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77F6A">
      <w:pPr>
        <w:spacing w:line="760" w:lineRule="exact"/>
        <w:jc w:val="center"/>
        <w:rPr>
          <w:rFonts w:hint="default" w:ascii="方正小标宋简体" w:hAnsi="方正小标宋简体" w:eastAsia="方正小标宋简体" w:cs="方正小标宋简体"/>
          <w:bCs/>
          <w:sz w:val="44"/>
          <w:szCs w:val="44"/>
          <w:lang w:val="en-US" w:eastAsia="zh-CN"/>
        </w:rPr>
      </w:pPr>
      <w:r>
        <w:rPr>
          <w:rFonts w:hint="default" w:ascii="方正小标宋简体" w:hAnsi="方正小标宋简体" w:eastAsia="方正小标宋简体" w:cs="方正小标宋简体"/>
          <w:bCs/>
          <w:sz w:val="44"/>
          <w:szCs w:val="44"/>
          <w:lang w:val="en-US" w:eastAsia="zh-CN"/>
        </w:rPr>
        <w:t>关于《云南省昆明市</w:t>
      </w:r>
      <w:r>
        <w:rPr>
          <w:rFonts w:hint="eastAsia" w:ascii="方正小标宋简体" w:hAnsi="方正小标宋简体" w:eastAsia="方正小标宋简体" w:cs="方正小标宋简体"/>
          <w:bCs/>
          <w:sz w:val="44"/>
          <w:szCs w:val="44"/>
          <w:lang w:eastAsia="zh-CN"/>
        </w:rPr>
        <w:t>西山</w:t>
      </w:r>
      <w:r>
        <w:rPr>
          <w:rFonts w:hint="default" w:ascii="方正小标宋简体" w:hAnsi="方正小标宋简体" w:eastAsia="方正小标宋简体" w:cs="方正小标宋简体"/>
          <w:bCs/>
          <w:sz w:val="44"/>
          <w:szCs w:val="44"/>
          <w:lang w:eastAsia="zh-CN"/>
        </w:rPr>
        <w:t>区</w:t>
      </w:r>
      <w:r>
        <w:rPr>
          <w:rFonts w:hint="default" w:ascii="方正小标宋简体" w:hAnsi="方正小标宋简体" w:eastAsia="方正小标宋简体" w:cs="方正小标宋简体"/>
          <w:bCs/>
          <w:sz w:val="44"/>
          <w:szCs w:val="44"/>
        </w:rPr>
        <w:t>烟草制品零售点合理布局规划（征求意见稿）</w:t>
      </w:r>
      <w:r>
        <w:rPr>
          <w:rFonts w:hint="default" w:ascii="方正小标宋简体" w:hAnsi="方正小标宋简体" w:eastAsia="方正小标宋简体" w:cs="方正小标宋简体"/>
          <w:bCs/>
          <w:sz w:val="44"/>
          <w:szCs w:val="44"/>
          <w:lang w:val="en-US" w:eastAsia="zh-CN"/>
        </w:rPr>
        <w:t>》的说明</w:t>
      </w:r>
    </w:p>
    <w:p w14:paraId="6DC27246">
      <w:pPr>
        <w:pStyle w:val="7"/>
        <w:rPr>
          <w:rFonts w:hint="default" w:ascii="方正小标宋简体" w:hAnsi="方正小标宋简体" w:eastAsia="方正小标宋简体" w:cs="方正小标宋简体"/>
          <w:bCs/>
          <w:sz w:val="44"/>
          <w:szCs w:val="44"/>
          <w:lang w:val="en-US" w:eastAsia="zh-CN"/>
        </w:rPr>
      </w:pPr>
    </w:p>
    <w:p w14:paraId="5319AC42">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default" w:ascii="仿宋_GB2312" w:hAnsi="Calibri" w:eastAsia="仿宋_GB2312" w:cs="Times New Roman"/>
          <w:color w:val="000000"/>
          <w:sz w:val="32"/>
          <w:szCs w:val="32"/>
          <w:u w:val="none"/>
          <w:lang w:val="en-US" w:eastAsia="zh-CN"/>
        </w:rPr>
        <w:t>为持续深化烟草行业“放管服”改革落地成效</w:t>
      </w:r>
      <w:r>
        <w:rPr>
          <w:rFonts w:hint="eastAsia" w:ascii="仿宋_GB2312" w:hAnsi="Calibri" w:eastAsia="仿宋_GB2312" w:cs="Times New Roman"/>
          <w:color w:val="000000"/>
          <w:sz w:val="32"/>
          <w:szCs w:val="32"/>
          <w:u w:val="none"/>
          <w:lang w:val="en-US" w:eastAsia="zh-CN"/>
        </w:rPr>
        <w:t>，</w:t>
      </w:r>
      <w:r>
        <w:rPr>
          <w:rFonts w:hint="default" w:ascii="仿宋_GB2312" w:hAnsi="Calibri" w:eastAsia="仿宋_GB2312" w:cs="Times New Roman"/>
          <w:color w:val="000000"/>
          <w:sz w:val="32"/>
          <w:szCs w:val="32"/>
          <w:u w:val="none"/>
          <w:lang w:val="en-US" w:eastAsia="zh-CN"/>
        </w:rPr>
        <w:t>进一步加强烟草专卖零售许可证管理</w:t>
      </w:r>
      <w:r>
        <w:rPr>
          <w:rFonts w:hint="eastAsia" w:ascii="仿宋_GB2312" w:hAnsi="Calibri" w:eastAsia="仿宋_GB2312" w:cs="Times New Roman"/>
          <w:color w:val="000000"/>
          <w:sz w:val="32"/>
          <w:szCs w:val="32"/>
          <w:u w:val="none"/>
          <w:lang w:val="en-US" w:eastAsia="zh-CN"/>
        </w:rPr>
        <w:t>，优化烟草市场资源科学配置，有序调控零售网点布局规模，稳定烟草零售市场经营秩序，切实保护未成年人身心健康，充分保障广大卷烟零售</w:t>
      </w:r>
      <w:r>
        <w:rPr>
          <w:rFonts w:hint="eastAsia" w:ascii="仿宋_GB2312" w:eastAsia="仿宋_GB2312" w:cs="Times New Roman"/>
          <w:color w:val="000000"/>
          <w:sz w:val="32"/>
          <w:szCs w:val="32"/>
          <w:u w:val="none"/>
          <w:lang w:val="en-US" w:eastAsia="zh-CN"/>
        </w:rPr>
        <w:t>户</w:t>
      </w:r>
      <w:r>
        <w:rPr>
          <w:rFonts w:hint="eastAsia" w:ascii="仿宋_GB2312" w:hAnsi="Calibri" w:eastAsia="仿宋_GB2312" w:cs="Times New Roman"/>
          <w:color w:val="000000"/>
          <w:sz w:val="32"/>
          <w:szCs w:val="32"/>
          <w:u w:val="none"/>
          <w:lang w:val="en-US" w:eastAsia="zh-CN"/>
        </w:rPr>
        <w:t>、消费者的合法权益，适配辖区经济社会发展与卷烟市场迭代发展需求，保障卷烟零售客户规模合理可控、市场经营生态平稳有序。昆明市西山区烟草专卖局组织起草了《云南省昆明市西山区烟草制品零售点合理布局规划（征求意见稿）》（以下简称《规划》），现将有关情况说明如下：</w:t>
      </w:r>
    </w:p>
    <w:p w14:paraId="399216BE">
      <w:pPr>
        <w:spacing w:line="120" w:lineRule="auto"/>
        <w:ind w:firstLine="640" w:firstLineChars="200"/>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一、起草背景及过程</w:t>
      </w:r>
    </w:p>
    <w:p w14:paraId="3F264637">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仿宋_GB2312" w:hAnsi="Calibri" w:eastAsia="仿宋_GB2312" w:cs="Times New Roman"/>
          <w:color w:val="000000"/>
          <w:sz w:val="32"/>
          <w:szCs w:val="32"/>
          <w:u w:val="none"/>
          <w:lang w:val="en-US" w:eastAsia="zh-CN"/>
        </w:rPr>
        <w:t>当前，西山区城市建设、商圈布局、人口分布、消费结构持续优化，原有烟草制品零售点布局标准已难以完全适配辖区市场精细化、规范化管理需求。为进一步补齐监管短板、细化管控标准、优化营商环境，严格落实未成年人烟草管控相关工作要求，平衡市场准入与行业规范发展关系，我局启动本次《规划》修订编制工作。</w:t>
      </w:r>
    </w:p>
    <w:p w14:paraId="0FEB6AF4">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仿宋_GB2312" w:hAnsi="Calibri" w:eastAsia="仿宋_GB2312" w:cs="Times New Roman"/>
          <w:color w:val="000000"/>
          <w:sz w:val="32"/>
          <w:szCs w:val="32"/>
          <w:u w:val="none"/>
          <w:lang w:val="en-US" w:eastAsia="zh-CN"/>
        </w:rPr>
        <w:t>本次《规划》严格依据</w:t>
      </w:r>
      <w:r>
        <w:rPr>
          <w:rFonts w:hint="default" w:ascii="仿宋_GB2312" w:hAnsi="Calibri" w:eastAsia="仿宋_GB2312" w:cs="Times New Roman"/>
          <w:color w:val="000000"/>
          <w:sz w:val="32"/>
          <w:szCs w:val="32"/>
          <w:u w:val="none"/>
          <w:lang w:val="en-US" w:eastAsia="zh-CN"/>
        </w:rPr>
        <w:t>《中华人民共和国行政许可法》《中华人民共和国未成年人保护法》《中华人民共和国烟草专卖法》《中华人民共和国烟草专卖法实施条例》《云南省重大行政决策程序规定》《烟草专卖许可证管理办法》《烟草专卖许可证管理办法实施细则》</w:t>
      </w:r>
      <w:r>
        <w:rPr>
          <w:rFonts w:hint="eastAsia" w:ascii="仿宋_GB2312" w:hAnsi="Calibri" w:eastAsia="仿宋_GB2312" w:cs="Times New Roman"/>
          <w:color w:val="000000"/>
          <w:sz w:val="32"/>
          <w:szCs w:val="32"/>
          <w:u w:val="none"/>
          <w:lang w:val="en-US" w:eastAsia="zh-CN"/>
        </w:rPr>
        <w:t>等法律法规、部门规章及规范性文件，同时参照《云南省烟草专卖局办公室关于优化和调整烟草专卖零售许可证办理有关措施的通知》（云烟办综〔2026〕94号）、《昆明市烟草专卖局关于印发修订烟草制品零售点合理布局规划的指导意见》（昆烟办综〔2026〕26号）工作要求，我局全面复盘辖区现行零售点布局规划实施成效，结合西山区商圈、街道社区的人口基数、经济发展能级、居民消费能力、卷烟市场销量及市场供需现状，遵循市场化、规范化、精细化管理原则，综合研判辖区零售户数量增减、市场布局疏密等核心数据，融合间距管控、数量管控、</w:t>
      </w:r>
      <w:r>
        <w:rPr>
          <w:rFonts w:hint="default" w:ascii="仿宋_GB2312" w:hAnsi="Calibri" w:eastAsia="仿宋_GB2312" w:cs="Times New Roman"/>
          <w:color w:val="000000"/>
          <w:sz w:val="32"/>
          <w:szCs w:val="32"/>
          <w:u w:val="none"/>
          <w:lang w:val="en-US" w:eastAsia="zh-CN"/>
        </w:rPr>
        <w:t>法定不予设置烟草制品零售点</w:t>
      </w:r>
      <w:r>
        <w:rPr>
          <w:rFonts w:hint="eastAsia" w:ascii="仿宋_GB2312" w:hAnsi="Calibri" w:eastAsia="仿宋_GB2312" w:cs="Times New Roman"/>
          <w:color w:val="000000"/>
          <w:sz w:val="32"/>
          <w:szCs w:val="32"/>
          <w:u w:val="none"/>
          <w:lang w:val="en-US" w:eastAsia="zh-CN"/>
        </w:rPr>
        <w:t>等多重管控模式。通过实地走访调研、市场数据分析、风险评估、内部研讨等多环节工作，广泛结合辖区市场实际痛点、经营诉求，反复打磨完善，最终形成本次《规划（征求意见稿）》。</w:t>
      </w:r>
    </w:p>
    <w:p w14:paraId="128222BE">
      <w:pPr>
        <w:spacing w:line="120" w:lineRule="auto"/>
        <w:ind w:firstLine="640" w:firstLineChars="200"/>
        <w:jc w:val="both"/>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二、《规划》主要内容</w:t>
      </w:r>
    </w:p>
    <w:p w14:paraId="5A30C49B">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仿宋_GB2312" w:hAnsi="Calibri" w:eastAsia="仿宋_GB2312" w:cs="Times New Roman"/>
          <w:color w:val="000000"/>
          <w:sz w:val="32"/>
          <w:szCs w:val="32"/>
          <w:u w:val="none"/>
          <w:lang w:val="en-US" w:eastAsia="zh-CN"/>
        </w:rPr>
        <w:t>本《规划》全文共</w:t>
      </w:r>
      <w:r>
        <w:rPr>
          <w:rFonts w:hint="eastAsia" w:ascii="仿宋_GB2312" w:eastAsia="仿宋_GB2312" w:cs="Times New Roman"/>
          <w:color w:val="000000"/>
          <w:sz w:val="32"/>
          <w:szCs w:val="32"/>
          <w:u w:val="none"/>
          <w:lang w:val="en-US" w:eastAsia="zh-CN"/>
        </w:rPr>
        <w:t>三十</w:t>
      </w:r>
      <w:r>
        <w:rPr>
          <w:rFonts w:hint="eastAsia" w:ascii="仿宋_GB2312" w:hAnsi="Calibri" w:eastAsia="仿宋_GB2312" w:cs="Times New Roman"/>
          <w:color w:val="000000"/>
          <w:sz w:val="32"/>
          <w:szCs w:val="32"/>
          <w:u w:val="none"/>
          <w:lang w:val="en-US" w:eastAsia="zh-CN"/>
        </w:rPr>
        <w:t>条，立足西山区实际，构建差异化、精细化、规范化的零售点布局管理体系，核心内容贴合辖区实际、兼具合规性与实操性，具体主要内容如下：</w:t>
      </w:r>
    </w:p>
    <w:p w14:paraId="42100ADD">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楷体_GB2312" w:hAnsi="楷体_GB2312" w:eastAsia="楷体_GB2312" w:cs="楷体_GB2312"/>
          <w:color w:val="000000"/>
          <w:sz w:val="32"/>
          <w:szCs w:val="32"/>
          <w:lang w:val="en-US" w:eastAsia="zh-CN"/>
        </w:rPr>
        <w:t>（一）实行辖区市场差异化分区管控。</w:t>
      </w:r>
      <w:r>
        <w:rPr>
          <w:rFonts w:hint="eastAsia" w:ascii="仿宋_GB2312" w:hAnsi="Calibri" w:eastAsia="仿宋_GB2312" w:cs="Times New Roman"/>
          <w:color w:val="000000"/>
          <w:sz w:val="32"/>
          <w:szCs w:val="32"/>
          <w:u w:val="none"/>
          <w:lang w:val="en-US" w:eastAsia="zh-CN"/>
        </w:rPr>
        <w:t>结合西山区城市功能定位、商业密集度、人口活跃度及市场饱和度，将辖区划分为</w:t>
      </w:r>
      <w:r>
        <w:rPr>
          <w:rFonts w:hint="default" w:ascii="仿宋_GB2312" w:hAnsi="Calibri" w:eastAsia="仿宋_GB2312" w:cs="Times New Roman"/>
          <w:color w:val="000000"/>
          <w:sz w:val="32"/>
          <w:szCs w:val="32"/>
          <w:u w:val="none"/>
          <w:lang w:val="en-US" w:eastAsia="zh-CN"/>
        </w:rPr>
        <w:t>稳定区、培育区、发展区、核心区</w:t>
      </w:r>
      <w:r>
        <w:rPr>
          <w:rFonts w:hint="eastAsia" w:ascii="仿宋_GB2312" w:hAnsi="Calibri" w:eastAsia="仿宋_GB2312" w:cs="Times New Roman"/>
          <w:color w:val="000000"/>
          <w:sz w:val="32"/>
          <w:szCs w:val="32"/>
          <w:u w:val="none"/>
          <w:lang w:val="en-US" w:eastAsia="zh-CN"/>
        </w:rPr>
        <w:t>四种类型，分类设置差异化零售点间距标准，分别为：实施数量控制、30米、50米、80米的间距管控要求，精准适配不同区域的市场承载能力，避免局部市场过度密集或布局空白问题。</w:t>
      </w:r>
    </w:p>
    <w:p w14:paraId="24E961B3">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楷体_GB2312" w:hAnsi="楷体_GB2312" w:eastAsia="楷体_GB2312" w:cs="楷体_GB2312"/>
          <w:color w:val="000000"/>
          <w:sz w:val="32"/>
          <w:szCs w:val="32"/>
          <w:lang w:val="en-US" w:eastAsia="zh-CN"/>
        </w:rPr>
        <w:t>（二）持续严管校园周边禁设标准。</w:t>
      </w:r>
      <w:r>
        <w:rPr>
          <w:rFonts w:hint="eastAsia" w:ascii="仿宋_GB2312" w:hAnsi="Calibri" w:eastAsia="仿宋_GB2312" w:cs="Times New Roman"/>
          <w:color w:val="000000"/>
          <w:sz w:val="32"/>
          <w:szCs w:val="32"/>
          <w:u w:val="none"/>
          <w:lang w:val="en-US" w:eastAsia="zh-CN"/>
        </w:rPr>
        <w:t>严格落实未成年人保护相关法规要求，明确校园周边100米范围内禁止设置烟草制品零售点，筑牢未成年人控烟防护屏障。</w:t>
      </w:r>
    </w:p>
    <w:p w14:paraId="15C7F8C8">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楷体_GB2312" w:hAnsi="楷体_GB2312" w:eastAsia="楷体_GB2312" w:cs="楷体_GB2312"/>
          <w:color w:val="000000"/>
          <w:sz w:val="32"/>
          <w:szCs w:val="32"/>
          <w:lang w:val="en-US" w:eastAsia="zh-CN"/>
        </w:rPr>
        <w:t>（三）优化便民惠民优抚政策。</w:t>
      </w:r>
      <w:r>
        <w:rPr>
          <w:rFonts w:hint="eastAsia" w:ascii="仿宋_GB2312" w:hAnsi="Calibri" w:eastAsia="仿宋_GB2312" w:cs="Times New Roman"/>
          <w:color w:val="000000"/>
          <w:sz w:val="32"/>
          <w:szCs w:val="32"/>
          <w:u w:val="none"/>
          <w:lang w:val="en-US" w:eastAsia="zh-CN"/>
        </w:rPr>
        <w:t>1.针对军烈属、残疾人等特殊群体，适度放宽零售点办证间距限制。2.明确道路规划或城市建设、校园新建或扩建、原有持证零售户合规搬迁三类特殊地址变更场景的布局放宽规则，解决辖区城市更新、基建改造过程中零售户经营存续的实际问题。</w:t>
      </w:r>
    </w:p>
    <w:p w14:paraId="24C75B17">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楷体_GB2312" w:hAnsi="楷体_GB2312" w:eastAsia="楷体_GB2312" w:cs="楷体_GB2312"/>
          <w:color w:val="000000"/>
          <w:sz w:val="32"/>
          <w:szCs w:val="32"/>
          <w:lang w:val="en-US" w:eastAsia="zh-CN"/>
        </w:rPr>
        <w:t>（四）明确刚性禁止发证情形。</w:t>
      </w:r>
      <w:r>
        <w:rPr>
          <w:rFonts w:hint="eastAsia" w:ascii="仿宋_GB2312" w:hAnsi="Calibri" w:eastAsia="仿宋_GB2312" w:cs="Times New Roman"/>
          <w:color w:val="000000"/>
          <w:sz w:val="32"/>
          <w:szCs w:val="32"/>
          <w:u w:val="none"/>
          <w:lang w:val="en-US" w:eastAsia="zh-CN"/>
        </w:rPr>
        <w:t>系统梳理法定不予核发烟草专卖零售许可证的主体、场所、场景清单，细化各类违规、不符合条件的准入限制，从源头规范市场准入，杜绝违规办证、无序设点问题。</w:t>
      </w:r>
    </w:p>
    <w:p w14:paraId="23A78DEE">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楷体_GB2312" w:hAnsi="楷体_GB2312" w:eastAsia="楷体_GB2312" w:cs="楷体_GB2312"/>
          <w:color w:val="000000"/>
          <w:sz w:val="32"/>
          <w:szCs w:val="32"/>
          <w:lang w:val="en-US" w:eastAsia="zh-CN"/>
        </w:rPr>
        <w:t>（五）规范间距测量与认定规则。</w:t>
      </w:r>
      <w:r>
        <w:rPr>
          <w:rFonts w:hint="eastAsia" w:ascii="仿宋_GB2312" w:hAnsi="Calibri" w:eastAsia="仿宋_GB2312" w:cs="Times New Roman"/>
          <w:color w:val="000000"/>
          <w:sz w:val="32"/>
          <w:szCs w:val="32"/>
          <w:u w:val="none"/>
          <w:lang w:val="en-US" w:eastAsia="zh-CN"/>
        </w:rPr>
        <w:t>统一辖区零售点间距测量标准、测量方式、争议复核流程，保障许可审批公平、公正、公开。</w:t>
      </w:r>
    </w:p>
    <w:p w14:paraId="42D33BB0">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楷体_GB2312" w:hAnsi="楷体_GB2312" w:eastAsia="楷体_GB2312" w:cs="楷体_GB2312"/>
          <w:color w:val="000000"/>
          <w:sz w:val="32"/>
          <w:szCs w:val="32"/>
          <w:lang w:val="en-US" w:eastAsia="zh-CN"/>
        </w:rPr>
        <w:t>（六）完善特殊情形兜底规定。</w:t>
      </w:r>
      <w:r>
        <w:rPr>
          <w:rFonts w:hint="eastAsia" w:ascii="仿宋_GB2312" w:hAnsi="Calibri" w:eastAsia="仿宋_GB2312" w:cs="Times New Roman"/>
          <w:color w:val="000000"/>
          <w:sz w:val="32"/>
          <w:szCs w:val="32"/>
          <w:u w:val="none"/>
          <w:lang w:val="en-US" w:eastAsia="zh-CN"/>
        </w:rPr>
        <w:t>针对辖区市场经营中的各类特殊、疑难场景</w:t>
      </w:r>
      <w:r>
        <w:rPr>
          <w:rFonts w:hint="eastAsia" w:ascii="仿宋_GB2312" w:eastAsia="仿宋_GB2312" w:cs="Times New Roman"/>
          <w:color w:val="000000"/>
          <w:sz w:val="32"/>
          <w:szCs w:val="32"/>
          <w:u w:val="none"/>
          <w:lang w:val="en-US" w:eastAsia="zh-CN"/>
        </w:rPr>
        <w:t>作</w:t>
      </w:r>
      <w:r>
        <w:rPr>
          <w:rFonts w:hint="eastAsia" w:ascii="仿宋_GB2312" w:hAnsi="Calibri" w:eastAsia="仿宋_GB2312" w:cs="Times New Roman"/>
          <w:color w:val="000000"/>
          <w:sz w:val="32"/>
          <w:szCs w:val="32"/>
          <w:u w:val="none"/>
          <w:lang w:val="en-US" w:eastAsia="zh-CN"/>
        </w:rPr>
        <w:t>了相关规定，兼顾政策刚性与实操灵活性。同时明确《规划》解释权限与正式施行日期，确保后续落地执行有据可依、规范统一。</w:t>
      </w:r>
    </w:p>
    <w:p w14:paraId="713A09B0">
      <w:pPr>
        <w:spacing w:line="120" w:lineRule="auto"/>
        <w:ind w:firstLine="640" w:firstLineChars="200"/>
        <w:jc w:val="both"/>
        <w:rPr>
          <w:rFonts w:hint="default" w:ascii="仿宋_GB2312" w:hAnsi="Calibri" w:eastAsia="仿宋_GB2312" w:cs="Times New Roman"/>
          <w:color w:val="000000"/>
          <w:sz w:val="32"/>
          <w:szCs w:val="32"/>
          <w:u w:val="none"/>
          <w:lang w:val="en-US" w:eastAsia="zh-CN"/>
        </w:rPr>
      </w:pPr>
    </w:p>
    <w:p w14:paraId="5D1BBC37">
      <w:pPr>
        <w:spacing w:line="120" w:lineRule="auto"/>
        <w:ind w:firstLine="640" w:firstLineChars="200"/>
        <w:jc w:val="both"/>
        <w:rPr>
          <w:rFonts w:hint="default" w:ascii="仿宋_GB2312" w:hAnsi="Calibri" w:eastAsia="仿宋_GB2312" w:cs="Times New Roman"/>
          <w:color w:val="000000"/>
          <w:sz w:val="32"/>
          <w:szCs w:val="32"/>
          <w:u w:val="none"/>
          <w:lang w:val="en-US" w:eastAsia="zh-CN"/>
        </w:rPr>
      </w:pPr>
    </w:p>
    <w:p w14:paraId="2C2EF5FA">
      <w:pPr>
        <w:spacing w:line="120" w:lineRule="auto"/>
        <w:ind w:firstLine="2880" w:firstLineChars="900"/>
        <w:jc w:val="both"/>
        <w:rPr>
          <w:rFonts w:hint="eastAsia" w:ascii="仿宋_GB2312" w:hAnsi="Calibri" w:eastAsia="仿宋_GB2312" w:cs="Times New Roman"/>
          <w:color w:val="000000"/>
          <w:sz w:val="32"/>
          <w:szCs w:val="32"/>
          <w:u w:val="none"/>
          <w:lang w:val="en-US" w:eastAsia="zh-CN"/>
        </w:rPr>
      </w:pPr>
      <w:r>
        <w:rPr>
          <w:rFonts w:hint="eastAsia" w:ascii="仿宋_GB2312" w:hAnsi="Calibri" w:eastAsia="仿宋_GB2312" w:cs="Times New Roman"/>
          <w:color w:val="000000"/>
          <w:sz w:val="32"/>
          <w:szCs w:val="32"/>
          <w:u w:val="none"/>
          <w:lang w:val="en-US" w:eastAsia="zh-CN"/>
        </w:rPr>
        <w:t>云南省昆明市西山区烟草专卖局</w:t>
      </w:r>
    </w:p>
    <w:p w14:paraId="40D8572E">
      <w:pPr>
        <w:spacing w:line="120" w:lineRule="auto"/>
        <w:ind w:firstLine="640" w:firstLineChars="200"/>
        <w:jc w:val="both"/>
        <w:rPr>
          <w:rFonts w:hint="eastAsia" w:ascii="仿宋_GB2312" w:hAnsi="Calibri" w:eastAsia="仿宋_GB2312" w:cs="Times New Roman"/>
          <w:color w:val="000000"/>
          <w:sz w:val="32"/>
          <w:szCs w:val="32"/>
          <w:u w:val="none"/>
          <w:lang w:val="en-US" w:eastAsia="zh-CN"/>
        </w:rPr>
      </w:pPr>
      <w:r>
        <w:rPr>
          <w:rFonts w:hint="eastAsia" w:ascii="仿宋_GB2312" w:hAnsi="Calibri" w:eastAsia="仿宋_GB2312" w:cs="Times New Roman"/>
          <w:color w:val="000000"/>
          <w:sz w:val="32"/>
          <w:szCs w:val="32"/>
          <w:u w:val="none"/>
          <w:lang w:val="en-US" w:eastAsia="zh-CN"/>
        </w:rPr>
        <w:t xml:space="preserve">                       2026年8月</w:t>
      </w:r>
      <w:r>
        <w:rPr>
          <w:rFonts w:hint="eastAsia" w:ascii="仿宋_GB2312" w:eastAsia="仿宋_GB2312" w:cs="Times New Roman"/>
          <w:color w:val="000000"/>
          <w:sz w:val="32"/>
          <w:szCs w:val="32"/>
          <w:u w:val="none"/>
          <w:lang w:val="en-US" w:eastAsia="zh-CN"/>
        </w:rPr>
        <w:t>14</w:t>
      </w:r>
      <w:r>
        <w:rPr>
          <w:rFonts w:hint="eastAsia" w:ascii="仿宋_GB2312" w:hAnsi="Calibri" w:eastAsia="仿宋_GB2312" w:cs="Times New Roman"/>
          <w:color w:val="000000"/>
          <w:sz w:val="32"/>
          <w:szCs w:val="32"/>
          <w:u w:val="none"/>
          <w:lang w:val="en-US" w:eastAsia="zh-CN"/>
        </w:rPr>
        <w:t>日</w:t>
      </w:r>
    </w:p>
    <w:p w14:paraId="48320FDC">
      <w:pPr>
        <w:pStyle w:val="7"/>
        <w:rPr>
          <w:rFonts w:hint="eastAsia" w:ascii="方正仿宋_GB2312" w:hAnsi="方正仿宋_GB2312" w:eastAsia="方正仿宋_GB2312" w:cs="方正仿宋_GB2312"/>
          <w:sz w:val="32"/>
          <w:szCs w:val="32"/>
        </w:rPr>
      </w:pPr>
      <w:bookmarkStart w:id="0" w:name="_GoBack"/>
      <w:bookmarkEnd w:id="0"/>
    </w:p>
    <w:p w14:paraId="27FAF48D"/>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6591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A66E6D">
                          <w:pPr>
                            <w:pStyle w:val="3"/>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FA66E6D">
                    <w:pPr>
                      <w:pStyle w:val="3"/>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D07CB"/>
    <w:rsid w:val="14EE1926"/>
    <w:rsid w:val="158D3845"/>
    <w:rsid w:val="17DF2A99"/>
    <w:rsid w:val="1F3EE97B"/>
    <w:rsid w:val="1FD47FE6"/>
    <w:rsid w:val="20B87907"/>
    <w:rsid w:val="292A089E"/>
    <w:rsid w:val="2E4B3591"/>
    <w:rsid w:val="31DF1C69"/>
    <w:rsid w:val="35002F62"/>
    <w:rsid w:val="35C27783"/>
    <w:rsid w:val="4A951FBF"/>
    <w:rsid w:val="4B9E7576"/>
    <w:rsid w:val="4C991FF1"/>
    <w:rsid w:val="4D2C295F"/>
    <w:rsid w:val="5C7764E9"/>
    <w:rsid w:val="5C7FAA87"/>
    <w:rsid w:val="5ECCA179"/>
    <w:rsid w:val="63F26259"/>
    <w:rsid w:val="6B961BC0"/>
    <w:rsid w:val="6F7FA968"/>
    <w:rsid w:val="75DC4673"/>
    <w:rsid w:val="77559E3C"/>
    <w:rsid w:val="7ADFA82A"/>
    <w:rsid w:val="7DB50242"/>
    <w:rsid w:val="7EDAAE82"/>
    <w:rsid w:val="7FCF5DE2"/>
    <w:rsid w:val="7FD512AC"/>
    <w:rsid w:val="BF6BAE3D"/>
    <w:rsid w:val="DAFB2F0C"/>
    <w:rsid w:val="DEFD2892"/>
    <w:rsid w:val="DFD52BEA"/>
    <w:rsid w:val="E39F4B28"/>
    <w:rsid w:val="EBCF51AA"/>
    <w:rsid w:val="FFF7C8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1556</Words>
  <Characters>1574</Characters>
  <Lines>0</Lines>
  <Paragraphs>0</Paragraphs>
  <TotalTime>2</TotalTime>
  <ScaleCrop>false</ScaleCrop>
  <LinksUpToDate>false</LinksUpToDate>
  <CharactersWithSpaces>1597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2026-08-14T18:54:00Z</dcterms:created>
  <dc:creator>user</dc:creator>
  <cp:lastModifiedBy>雪</cp:lastModifiedBy>
  <dcterms:modified xsi:type="dcterms:W3CDTF">2026-08-14T16:42:20Z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A22CB8CBF0C44D569AC2B9A12A9655B0_13</vt:lpwstr>
  </property>
  <property fmtid="{D5CDD505-2E9C-101B-9397-08002B2CF9AE}" pid="4" name="KSOTemplateDocerSaveRecord">
    <vt:lpwstr>eyJoZGlkIjoiZDkzMWVlYTU2ZTAwMDgxYWQxNWVkNjdkMGViYjM1OWYiLCJ1c2VySWQiOiIzNTE1MTc0MTEifQ==</vt:lpwstr>
  </property>
</Properties>
</file>