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STZhongsong" w:hAnsi="STZhongsong" w:eastAsia="STZhongsong" w:cs="STZhongsong"/>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SimHei" w:hAnsi="SimHei" w:eastAsia="SimHei"/>
          <w:color w:val="auto"/>
          <w:sz w:val="44"/>
          <w:szCs w:val="36"/>
          <w:highlight w:val="none"/>
        </w:rPr>
      </w:pPr>
      <w:r>
        <w:rPr>
          <w:rFonts w:hint="eastAsia" w:ascii="SimHei" w:hAnsi="SimHei" w:eastAsia="SimHei"/>
          <w:color w:val="auto"/>
          <w:sz w:val="44"/>
          <w:szCs w:val="36"/>
          <w:highlight w:val="none"/>
          <w:lang w:val="en-US" w:eastAsia="zh-CN"/>
        </w:rPr>
        <w:t>西山</w:t>
      </w:r>
      <w:r>
        <w:rPr>
          <w:rFonts w:hint="eastAsia" w:ascii="SimHei" w:hAnsi="SimHei" w:eastAsia="SimHei"/>
          <w:color w:val="auto"/>
          <w:sz w:val="44"/>
          <w:szCs w:val="36"/>
          <w:highlight w:val="none"/>
        </w:rPr>
        <w:t>区“十五五”生态环境保护规划</w:t>
      </w:r>
    </w:p>
    <w:p>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SimHei" w:hAnsi="SimHei" w:eastAsia="SimHei"/>
          <w:color w:val="auto"/>
          <w:sz w:val="44"/>
          <w:szCs w:val="36"/>
          <w:highlight w:val="none"/>
          <w:lang w:val="en-US" w:eastAsia="zh-CN"/>
        </w:rPr>
      </w:pPr>
      <w:r>
        <w:rPr>
          <w:rFonts w:hint="eastAsia" w:ascii="SimHei" w:hAnsi="SimHei" w:eastAsia="SimHei"/>
          <w:color w:val="auto"/>
          <w:sz w:val="44"/>
          <w:szCs w:val="36"/>
          <w:highlight w:val="none"/>
          <w:lang w:eastAsia="zh-CN"/>
        </w:rPr>
        <w:t>（</w:t>
      </w:r>
      <w:r>
        <w:rPr>
          <w:rFonts w:hint="eastAsia" w:ascii="SimHei" w:hAnsi="SimHei" w:eastAsia="SimHei"/>
          <w:color w:val="auto"/>
          <w:sz w:val="44"/>
          <w:szCs w:val="36"/>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bookmarkStart w:id="137" w:name="_GoBack"/>
      <w:bookmarkEnd w:id="137"/>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ascii="SimHei" w:hAnsi="SimHei" w:eastAsia="SimHei"/>
          <w:color w:val="auto"/>
          <w:sz w:val="44"/>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SimHei" w:hAnsi="SimHei" w:eastAsia="SimHei"/>
          <w:color w:val="auto"/>
          <w:sz w:val="36"/>
          <w:szCs w:val="28"/>
          <w:highlight w:val="none"/>
          <w:lang w:val="en-US" w:eastAsia="zh-CN"/>
        </w:rPr>
      </w:pPr>
      <w:r>
        <w:rPr>
          <w:rFonts w:hint="eastAsia" w:ascii="SimHei" w:hAnsi="SimHei" w:eastAsia="SimHei"/>
          <w:color w:val="auto"/>
          <w:sz w:val="36"/>
          <w:szCs w:val="28"/>
          <w:highlight w:val="none"/>
          <w:lang w:val="en-US" w:eastAsia="zh-CN"/>
        </w:rPr>
        <w:t>昆明市生态环境局西山分局</w:t>
      </w:r>
    </w:p>
    <w:p>
      <w:pPr>
        <w:keepNext w:val="0"/>
        <w:keepLines w:val="0"/>
        <w:pageBreakBefore w:val="0"/>
        <w:widowControl w:val="0"/>
        <w:kinsoku/>
        <w:wordWrap/>
        <w:overflowPunct/>
        <w:topLinePunct w:val="0"/>
        <w:autoSpaceDE/>
        <w:autoSpaceDN/>
        <w:bidi w:val="0"/>
        <w:adjustRightInd/>
        <w:snapToGrid/>
        <w:ind w:firstLine="0" w:firstLineChars="0"/>
        <w:jc w:val="center"/>
        <w:rPr>
          <w:rFonts w:eastAsia="SimHei" w:cs="Times New Roman"/>
          <w:color w:val="auto"/>
          <w:sz w:val="36"/>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408" w:charSpace="0"/>
        </w:sectPr>
      </w:pPr>
      <w:r>
        <w:rPr>
          <w:rFonts w:eastAsia="SimHei" w:cs="Times New Roman"/>
          <w:color w:val="auto"/>
          <w:sz w:val="36"/>
          <w:szCs w:val="28"/>
          <w:highlight w:val="none"/>
        </w:rPr>
        <w:t>202</w:t>
      </w:r>
      <w:r>
        <w:rPr>
          <w:rFonts w:hint="eastAsia" w:eastAsia="SimHei" w:cs="Times New Roman"/>
          <w:color w:val="auto"/>
          <w:sz w:val="36"/>
          <w:szCs w:val="28"/>
          <w:highlight w:val="none"/>
          <w:lang w:val="en-US" w:eastAsia="zh-CN"/>
        </w:rPr>
        <w:t>6</w:t>
      </w:r>
      <w:r>
        <w:rPr>
          <w:rFonts w:eastAsia="SimHei" w:cs="Times New Roman"/>
          <w:color w:val="auto"/>
          <w:sz w:val="36"/>
          <w:szCs w:val="28"/>
          <w:highlight w:val="none"/>
        </w:rPr>
        <w:t>年</w:t>
      </w:r>
      <w:r>
        <w:rPr>
          <w:rFonts w:hint="eastAsia" w:eastAsia="SimHei" w:cs="Times New Roman"/>
          <w:color w:val="auto"/>
          <w:sz w:val="36"/>
          <w:szCs w:val="28"/>
          <w:highlight w:val="none"/>
          <w:lang w:val="en-US" w:eastAsia="zh-CN"/>
        </w:rPr>
        <w:t>4</w:t>
      </w:r>
      <w:r>
        <w:rPr>
          <w:rFonts w:eastAsia="SimHei" w:cs="Times New Roman"/>
          <w:color w:val="auto"/>
          <w:sz w:val="36"/>
          <w:szCs w:val="28"/>
          <w:highlight w:val="none"/>
        </w:rPr>
        <w:t>月</w:t>
      </w:r>
    </w:p>
    <w:p>
      <w:pPr>
        <w:spacing w:before="0" w:beforeLines="0" w:after="0" w:afterLines="0" w:line="240" w:lineRule="auto"/>
        <w:ind w:left="0" w:leftChars="0" w:right="0" w:rightChars="0" w:firstLine="0" w:firstLineChars="0"/>
        <w:jc w:val="center"/>
        <w:rPr>
          <w:color w:val="auto"/>
          <w:sz w:val="44"/>
          <w:szCs w:val="36"/>
          <w:highlight w:val="none"/>
        </w:rPr>
      </w:pPr>
      <w:r>
        <w:rPr>
          <w:rFonts w:hint="eastAsia" w:ascii="SimHei" w:hAnsi="SimHei" w:eastAsia="SimHei" w:cs="SimHei"/>
          <w:color w:val="auto"/>
          <w:sz w:val="32"/>
          <w:szCs w:val="36"/>
          <w:highlight w:val="none"/>
        </w:rPr>
        <w:t>目</w:t>
      </w:r>
      <w:r>
        <w:rPr>
          <w:rFonts w:hint="eastAsia" w:ascii="SimHei" w:hAnsi="SimHei" w:eastAsia="SimHei" w:cs="SimHei"/>
          <w:color w:val="auto"/>
          <w:sz w:val="32"/>
          <w:szCs w:val="36"/>
          <w:highlight w:val="none"/>
          <w:lang w:val="en-US" w:eastAsia="zh-CN"/>
        </w:rPr>
        <w:t xml:space="preserve"> </w:t>
      </w:r>
      <w:r>
        <w:rPr>
          <w:rFonts w:hint="eastAsia" w:ascii="SimHei" w:hAnsi="SimHei" w:eastAsia="SimHei" w:cs="SimHei"/>
          <w:color w:val="auto"/>
          <w:sz w:val="32"/>
          <w:szCs w:val="36"/>
          <w:highlight w:val="none"/>
        </w:rPr>
        <w:t>录</w:t>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TOC \o "1-2" \h \u </w:instrText>
      </w:r>
      <w:r>
        <w:rPr>
          <w:rFonts w:ascii="Times New Roman" w:hAnsi="Times New Roman" w:eastAsia="SimHei" w:cs="Times New Roman"/>
          <w:color w:val="auto"/>
          <w:kern w:val="0"/>
          <w:szCs w:val="22"/>
          <w:highlight w:val="none"/>
          <w:lang w:val="en-US" w:eastAsia="zh-CN" w:bidi="ar-SA"/>
        </w:rPr>
        <w:fldChar w:fldCharType="separate"/>
      </w: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_Toc1243183219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前</w:t>
      </w:r>
      <w:r>
        <w:rPr>
          <w:rFonts w:hint="eastAsia"/>
          <w:color w:val="auto"/>
          <w:highlight w:val="none"/>
          <w:lang w:val="en-US" w:eastAsia="zh-CN"/>
        </w:rPr>
        <w:t xml:space="preserve"> </w:t>
      </w:r>
      <w:r>
        <w:rPr>
          <w:rFonts w:hint="eastAsia"/>
          <w:color w:val="auto"/>
          <w:highlight w:val="none"/>
        </w:rPr>
        <w:t>言</w:t>
      </w:r>
      <w:r>
        <w:rPr>
          <w:color w:val="auto"/>
          <w:highlight w:val="none"/>
        </w:rPr>
        <w:tab/>
      </w:r>
      <w:r>
        <w:rPr>
          <w:color w:val="auto"/>
          <w:highlight w:val="none"/>
        </w:rPr>
        <w:fldChar w:fldCharType="begin"/>
      </w:r>
      <w:r>
        <w:rPr>
          <w:color w:val="auto"/>
          <w:highlight w:val="none"/>
        </w:rPr>
        <w:instrText xml:space="preserve"> PAGEREF _Toc1243183219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_Toc1898292741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 xml:space="preserve">第一章 </w:t>
      </w:r>
      <w:r>
        <w:rPr>
          <w:color w:val="auto"/>
          <w:highlight w:val="none"/>
        </w:rPr>
        <w:t>生态环境保护回顾与形势</w:t>
      </w:r>
      <w:r>
        <w:rPr>
          <w:rFonts w:hint="eastAsia"/>
          <w:color w:val="auto"/>
          <w:highlight w:val="none"/>
        </w:rPr>
        <w:t>研判</w:t>
      </w:r>
      <w:r>
        <w:rPr>
          <w:color w:val="auto"/>
          <w:highlight w:val="none"/>
        </w:rPr>
        <w:tab/>
      </w:r>
      <w:r>
        <w:rPr>
          <w:color w:val="auto"/>
          <w:highlight w:val="none"/>
        </w:rPr>
        <w:fldChar w:fldCharType="begin"/>
      </w:r>
      <w:r>
        <w:rPr>
          <w:color w:val="auto"/>
          <w:highlight w:val="none"/>
        </w:rPr>
        <w:instrText xml:space="preserve"> PAGEREF _Toc1898292741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_Toc1589038155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1.1 “十四五”生态环境保护成效</w:t>
      </w:r>
      <w:r>
        <w:rPr>
          <w:color w:val="auto"/>
          <w:highlight w:val="none"/>
        </w:rPr>
        <w:tab/>
      </w:r>
      <w:r>
        <w:rPr>
          <w:color w:val="auto"/>
          <w:highlight w:val="none"/>
        </w:rPr>
        <w:fldChar w:fldCharType="begin"/>
      </w:r>
      <w:r>
        <w:rPr>
          <w:color w:val="auto"/>
          <w:highlight w:val="none"/>
        </w:rPr>
        <w:instrText xml:space="preserve"> PAGEREF _Toc1589038155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_Toc857636993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1.2 “十四五”规划指标及重点项目完成情况</w:t>
      </w:r>
      <w:r>
        <w:rPr>
          <w:color w:val="auto"/>
          <w:highlight w:val="none"/>
        </w:rPr>
        <w:tab/>
      </w:r>
      <w:r>
        <w:rPr>
          <w:color w:val="auto"/>
          <w:highlight w:val="none"/>
        </w:rPr>
        <w:fldChar w:fldCharType="begin"/>
      </w:r>
      <w:r>
        <w:rPr>
          <w:color w:val="auto"/>
          <w:highlight w:val="none"/>
        </w:rPr>
        <w:instrText xml:space="preserve"> PAGEREF _Toc857636993 \h </w:instrText>
      </w:r>
      <w:r>
        <w:rPr>
          <w:color w:val="auto"/>
          <w:highlight w:val="none"/>
        </w:rPr>
        <w:fldChar w:fldCharType="separate"/>
      </w:r>
      <w:r>
        <w:rPr>
          <w:color w:val="auto"/>
          <w:highlight w:val="none"/>
        </w:rPr>
        <w:t>8</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_Toc394702687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1.3 生态环境质量现状及变化趋势</w:t>
      </w:r>
      <w:r>
        <w:rPr>
          <w:color w:val="auto"/>
          <w:highlight w:val="none"/>
        </w:rPr>
        <w:tab/>
      </w:r>
      <w:r>
        <w:rPr>
          <w:color w:val="auto"/>
          <w:highlight w:val="none"/>
        </w:rPr>
        <w:fldChar w:fldCharType="begin"/>
      </w:r>
      <w:r>
        <w:rPr>
          <w:color w:val="auto"/>
          <w:highlight w:val="none"/>
        </w:rPr>
        <w:instrText xml:space="preserve"> PAGEREF _Toc394702687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_Toc191074826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1.4 污染物排放</w:t>
      </w:r>
      <w:r>
        <w:rPr>
          <w:rFonts w:hint="eastAsia"/>
          <w:color w:val="auto"/>
          <w:highlight w:val="none"/>
          <w:lang w:val="en-US" w:eastAsia="zh-CN"/>
        </w:rPr>
        <w:t>情况</w:t>
      </w:r>
      <w:r>
        <w:rPr>
          <w:color w:val="auto"/>
          <w:highlight w:val="none"/>
        </w:rPr>
        <w:tab/>
      </w:r>
      <w:r>
        <w:rPr>
          <w:color w:val="auto"/>
          <w:highlight w:val="none"/>
        </w:rPr>
        <w:fldChar w:fldCharType="begin"/>
      </w:r>
      <w:r>
        <w:rPr>
          <w:color w:val="auto"/>
          <w:highlight w:val="none"/>
        </w:rPr>
        <w:instrText xml:space="preserve"> PAGEREF _Toc191074826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_Toc906548317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1.5 生态环境</w:t>
      </w:r>
      <w:r>
        <w:rPr>
          <w:rFonts w:hint="eastAsia"/>
          <w:color w:val="auto"/>
          <w:highlight w:val="none"/>
          <w:lang w:val="en-US" w:eastAsia="zh-CN"/>
        </w:rPr>
        <w:t>主要</w:t>
      </w:r>
      <w:r>
        <w:rPr>
          <w:rFonts w:hint="eastAsia"/>
          <w:color w:val="auto"/>
          <w:highlight w:val="none"/>
        </w:rPr>
        <w:t>问题识别</w:t>
      </w:r>
      <w:r>
        <w:rPr>
          <w:color w:val="auto"/>
          <w:highlight w:val="none"/>
        </w:rPr>
        <w:tab/>
      </w:r>
      <w:r>
        <w:rPr>
          <w:color w:val="auto"/>
          <w:highlight w:val="none"/>
        </w:rPr>
        <w:fldChar w:fldCharType="begin"/>
      </w:r>
      <w:r>
        <w:rPr>
          <w:color w:val="auto"/>
          <w:highlight w:val="none"/>
        </w:rPr>
        <w:instrText xml:space="preserve"> PAGEREF _Toc906548317 \h </w:instrText>
      </w:r>
      <w:r>
        <w:rPr>
          <w:color w:val="auto"/>
          <w:highlight w:val="none"/>
        </w:rPr>
        <w:fldChar w:fldCharType="separate"/>
      </w:r>
      <w:r>
        <w:rPr>
          <w:color w:val="auto"/>
          <w:highlight w:val="none"/>
        </w:rPr>
        <w:t>15</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_Toc2108572001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1.6 “十五五”面临</w:t>
      </w:r>
      <w:r>
        <w:rPr>
          <w:rFonts w:hint="eastAsia"/>
          <w:color w:val="auto"/>
          <w:highlight w:val="none"/>
          <w:lang w:val="en-US" w:eastAsia="zh-CN"/>
        </w:rPr>
        <w:t>的</w:t>
      </w:r>
      <w:r>
        <w:rPr>
          <w:rFonts w:hint="eastAsia"/>
          <w:color w:val="auto"/>
          <w:highlight w:val="none"/>
        </w:rPr>
        <w:t>形势与挑战</w:t>
      </w:r>
      <w:r>
        <w:rPr>
          <w:color w:val="auto"/>
          <w:highlight w:val="none"/>
        </w:rPr>
        <w:tab/>
      </w:r>
      <w:r>
        <w:rPr>
          <w:color w:val="auto"/>
          <w:highlight w:val="none"/>
        </w:rPr>
        <w:fldChar w:fldCharType="begin"/>
      </w:r>
      <w:r>
        <w:rPr>
          <w:color w:val="auto"/>
          <w:highlight w:val="none"/>
        </w:rPr>
        <w:instrText xml:space="preserve"> PAGEREF _Toc2108572001 \h </w:instrText>
      </w:r>
      <w:r>
        <w:rPr>
          <w:color w:val="auto"/>
          <w:highlight w:val="none"/>
        </w:rPr>
        <w:fldChar w:fldCharType="separate"/>
      </w:r>
      <w:r>
        <w:rPr>
          <w:color w:val="auto"/>
          <w:highlight w:val="none"/>
        </w:rPr>
        <w:t>17</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_Toc326739890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第二章 指导思想及规划</w:t>
      </w:r>
      <w:r>
        <w:rPr>
          <w:rFonts w:hint="eastAsia"/>
          <w:color w:val="auto"/>
          <w:highlight w:val="none"/>
          <w:lang w:val="en-US" w:eastAsia="zh-CN"/>
        </w:rPr>
        <w:t>原则</w:t>
      </w:r>
      <w:r>
        <w:rPr>
          <w:color w:val="auto"/>
          <w:highlight w:val="none"/>
        </w:rPr>
        <w:tab/>
      </w:r>
      <w:r>
        <w:rPr>
          <w:color w:val="auto"/>
          <w:highlight w:val="none"/>
        </w:rPr>
        <w:fldChar w:fldCharType="begin"/>
      </w:r>
      <w:r>
        <w:rPr>
          <w:color w:val="auto"/>
          <w:highlight w:val="none"/>
        </w:rPr>
        <w:instrText xml:space="preserve"> PAGEREF _Toc326739890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_Toc401645851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2.1 指导思想</w:t>
      </w:r>
      <w:r>
        <w:rPr>
          <w:color w:val="auto"/>
          <w:highlight w:val="none"/>
        </w:rPr>
        <w:tab/>
      </w:r>
      <w:r>
        <w:rPr>
          <w:color w:val="auto"/>
          <w:highlight w:val="none"/>
        </w:rPr>
        <w:fldChar w:fldCharType="begin"/>
      </w:r>
      <w:r>
        <w:rPr>
          <w:color w:val="auto"/>
          <w:highlight w:val="none"/>
        </w:rPr>
        <w:instrText xml:space="preserve"> PAGEREF _Toc401645851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_Toc920715236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2.2 基本原则</w:t>
      </w:r>
      <w:r>
        <w:rPr>
          <w:color w:val="auto"/>
          <w:highlight w:val="none"/>
        </w:rPr>
        <w:tab/>
      </w:r>
      <w:r>
        <w:rPr>
          <w:color w:val="auto"/>
          <w:highlight w:val="none"/>
        </w:rPr>
        <w:fldChar w:fldCharType="begin"/>
      </w:r>
      <w:r>
        <w:rPr>
          <w:color w:val="auto"/>
          <w:highlight w:val="none"/>
        </w:rPr>
        <w:instrText xml:space="preserve"> PAGEREF _Toc920715236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_Toc1841294817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2.3 规划范围</w:t>
      </w:r>
      <w:r>
        <w:rPr>
          <w:rFonts w:hint="eastAsia"/>
          <w:color w:val="auto"/>
          <w:highlight w:val="none"/>
          <w:lang w:val="en-US" w:eastAsia="zh-CN"/>
        </w:rPr>
        <w:t>及期限</w:t>
      </w:r>
      <w:r>
        <w:rPr>
          <w:color w:val="auto"/>
          <w:highlight w:val="none"/>
        </w:rPr>
        <w:tab/>
      </w:r>
      <w:r>
        <w:rPr>
          <w:color w:val="auto"/>
          <w:highlight w:val="none"/>
        </w:rPr>
        <w:fldChar w:fldCharType="begin"/>
      </w:r>
      <w:r>
        <w:rPr>
          <w:color w:val="auto"/>
          <w:highlight w:val="none"/>
        </w:rPr>
        <w:instrText xml:space="preserve"> PAGEREF _Toc1841294817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_Toc1402636049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第三章 规划目标与指标体系</w:t>
      </w:r>
      <w:r>
        <w:rPr>
          <w:color w:val="auto"/>
          <w:highlight w:val="none"/>
        </w:rPr>
        <w:tab/>
      </w:r>
      <w:r>
        <w:rPr>
          <w:color w:val="auto"/>
          <w:highlight w:val="none"/>
        </w:rPr>
        <w:fldChar w:fldCharType="begin"/>
      </w:r>
      <w:r>
        <w:rPr>
          <w:color w:val="auto"/>
          <w:highlight w:val="none"/>
        </w:rPr>
        <w:instrText xml:space="preserve"> PAGEREF _Toc1402636049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_Toc1176082424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3.1 战略定位</w:t>
      </w:r>
      <w:r>
        <w:rPr>
          <w:color w:val="auto"/>
          <w:highlight w:val="none"/>
        </w:rPr>
        <w:tab/>
      </w:r>
      <w:r>
        <w:rPr>
          <w:color w:val="auto"/>
          <w:highlight w:val="none"/>
        </w:rPr>
        <w:fldChar w:fldCharType="begin"/>
      </w:r>
      <w:r>
        <w:rPr>
          <w:color w:val="auto"/>
          <w:highlight w:val="none"/>
        </w:rPr>
        <w:instrText xml:space="preserve"> PAGEREF _Toc1176082424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_Toc977813180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 xml:space="preserve">3.2 </w:t>
      </w:r>
      <w:r>
        <w:rPr>
          <w:rFonts w:hint="eastAsia"/>
          <w:color w:val="auto"/>
          <w:highlight w:val="none"/>
          <w:lang w:val="en-US" w:eastAsia="zh-CN"/>
        </w:rPr>
        <w:t>规划</w:t>
      </w:r>
      <w:r>
        <w:rPr>
          <w:rFonts w:hint="eastAsia"/>
          <w:color w:val="auto"/>
          <w:highlight w:val="none"/>
        </w:rPr>
        <w:t>目标</w:t>
      </w:r>
      <w:r>
        <w:rPr>
          <w:color w:val="auto"/>
          <w:highlight w:val="none"/>
        </w:rPr>
        <w:tab/>
      </w:r>
      <w:r>
        <w:rPr>
          <w:color w:val="auto"/>
          <w:highlight w:val="none"/>
        </w:rPr>
        <w:fldChar w:fldCharType="begin"/>
      </w:r>
      <w:r>
        <w:rPr>
          <w:color w:val="auto"/>
          <w:highlight w:val="none"/>
        </w:rPr>
        <w:instrText xml:space="preserve"> PAGEREF _Toc977813180 \h </w:instrText>
      </w:r>
      <w:r>
        <w:rPr>
          <w:color w:val="auto"/>
          <w:highlight w:val="none"/>
        </w:rPr>
        <w:fldChar w:fldCharType="separate"/>
      </w:r>
      <w:r>
        <w:rPr>
          <w:color w:val="auto"/>
          <w:highlight w:val="none"/>
        </w:rPr>
        <w:t>22</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_Toc1561249416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3.3 指标体系</w:t>
      </w:r>
      <w:r>
        <w:rPr>
          <w:color w:val="auto"/>
          <w:highlight w:val="none"/>
        </w:rPr>
        <w:tab/>
      </w:r>
      <w:r>
        <w:rPr>
          <w:color w:val="auto"/>
          <w:highlight w:val="none"/>
        </w:rPr>
        <w:fldChar w:fldCharType="begin"/>
      </w:r>
      <w:r>
        <w:rPr>
          <w:color w:val="auto"/>
          <w:highlight w:val="none"/>
        </w:rPr>
        <w:instrText xml:space="preserve"> PAGEREF _Toc1561249416 \h </w:instrText>
      </w:r>
      <w:r>
        <w:rPr>
          <w:color w:val="auto"/>
          <w:highlight w:val="none"/>
        </w:rPr>
        <w:fldChar w:fldCharType="separate"/>
      </w:r>
      <w:r>
        <w:rPr>
          <w:color w:val="auto"/>
          <w:highlight w:val="none"/>
        </w:rPr>
        <w:t>25</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_Toc1963735666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第四章 规划重点任务</w:t>
      </w:r>
      <w:r>
        <w:rPr>
          <w:color w:val="auto"/>
          <w:highlight w:val="none"/>
        </w:rPr>
        <w:tab/>
      </w:r>
      <w:r>
        <w:rPr>
          <w:color w:val="auto"/>
          <w:highlight w:val="none"/>
        </w:rPr>
        <w:fldChar w:fldCharType="begin"/>
      </w:r>
      <w:r>
        <w:rPr>
          <w:color w:val="auto"/>
          <w:highlight w:val="none"/>
        </w:rPr>
        <w:instrText xml:space="preserve"> PAGEREF _Toc1963735666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_Toc1976651366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4.1 加快绿色低碳转型，培育高质量发展新动能</w:t>
      </w:r>
      <w:r>
        <w:rPr>
          <w:color w:val="auto"/>
          <w:highlight w:val="none"/>
        </w:rPr>
        <w:tab/>
      </w:r>
      <w:r>
        <w:rPr>
          <w:color w:val="auto"/>
          <w:highlight w:val="none"/>
        </w:rPr>
        <w:fldChar w:fldCharType="begin"/>
      </w:r>
      <w:r>
        <w:rPr>
          <w:color w:val="auto"/>
          <w:highlight w:val="none"/>
        </w:rPr>
        <w:instrText xml:space="preserve"> PAGEREF _Toc1976651366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_Toc7489272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4.2 筑牢生态安全屏障，提升生态系统稳定性与持续性</w:t>
      </w:r>
      <w:r>
        <w:rPr>
          <w:color w:val="auto"/>
          <w:highlight w:val="none"/>
        </w:rPr>
        <w:tab/>
      </w:r>
      <w:r>
        <w:rPr>
          <w:color w:val="auto"/>
          <w:highlight w:val="none"/>
        </w:rPr>
        <w:fldChar w:fldCharType="begin"/>
      </w:r>
      <w:r>
        <w:rPr>
          <w:color w:val="auto"/>
          <w:highlight w:val="none"/>
        </w:rPr>
        <w:instrText xml:space="preserve"> PAGEREF _Toc7489272 \h </w:instrText>
      </w:r>
      <w:r>
        <w:rPr>
          <w:color w:val="auto"/>
          <w:highlight w:val="none"/>
        </w:rPr>
        <w:fldChar w:fldCharType="separate"/>
      </w:r>
      <w:r>
        <w:rPr>
          <w:color w:val="auto"/>
          <w:highlight w:val="none"/>
        </w:rPr>
        <w:t>31</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_Toc1318142978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 xml:space="preserve">4.3 </w:t>
      </w:r>
      <w:r>
        <w:rPr>
          <w:rFonts w:hint="default"/>
          <w:color w:val="auto"/>
          <w:highlight w:val="none"/>
        </w:rPr>
        <w:t>系统提升环境质量，深入打好污染防治攻坚战</w:t>
      </w:r>
      <w:r>
        <w:rPr>
          <w:color w:val="auto"/>
          <w:highlight w:val="none"/>
        </w:rPr>
        <w:tab/>
      </w:r>
      <w:r>
        <w:rPr>
          <w:color w:val="auto"/>
          <w:highlight w:val="none"/>
        </w:rPr>
        <w:fldChar w:fldCharType="begin"/>
      </w:r>
      <w:r>
        <w:rPr>
          <w:color w:val="auto"/>
          <w:highlight w:val="none"/>
        </w:rPr>
        <w:instrText xml:space="preserve"> PAGEREF _Toc1318142978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_Toc587728794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4.4 严守环境安全底线，有效防范化解生态环境风险</w:t>
      </w:r>
      <w:r>
        <w:rPr>
          <w:color w:val="auto"/>
          <w:highlight w:val="none"/>
        </w:rPr>
        <w:tab/>
      </w:r>
      <w:r>
        <w:rPr>
          <w:color w:val="auto"/>
          <w:highlight w:val="none"/>
        </w:rPr>
        <w:fldChar w:fldCharType="begin"/>
      </w:r>
      <w:r>
        <w:rPr>
          <w:color w:val="auto"/>
          <w:highlight w:val="none"/>
        </w:rPr>
        <w:instrText xml:space="preserve"> PAGEREF _Toc587728794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_Toc1680548205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4.5 健全生态治理体系制度，持续提升环境治理效能</w:t>
      </w:r>
      <w:r>
        <w:rPr>
          <w:color w:val="auto"/>
          <w:highlight w:val="none"/>
        </w:rPr>
        <w:tab/>
      </w:r>
      <w:r>
        <w:rPr>
          <w:color w:val="auto"/>
          <w:highlight w:val="none"/>
        </w:rPr>
        <w:fldChar w:fldCharType="begin"/>
      </w:r>
      <w:r>
        <w:rPr>
          <w:color w:val="auto"/>
          <w:highlight w:val="none"/>
        </w:rPr>
        <w:instrText xml:space="preserve"> PAGEREF _Toc1680548205 \h </w:instrText>
      </w:r>
      <w:r>
        <w:rPr>
          <w:color w:val="auto"/>
          <w:highlight w:val="none"/>
        </w:rPr>
        <w:fldChar w:fldCharType="separate"/>
      </w:r>
      <w:r>
        <w:rPr>
          <w:color w:val="auto"/>
          <w:highlight w:val="none"/>
        </w:rPr>
        <w:t>46</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_Toc1268756091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 xml:space="preserve">4.6 </w:t>
      </w:r>
      <w:r>
        <w:rPr>
          <w:rFonts w:hint="eastAsia"/>
          <w:color w:val="auto"/>
          <w:highlight w:val="none"/>
          <w:lang w:val="en-US" w:eastAsia="zh-CN"/>
        </w:rPr>
        <w:t>推动生态文化建设，打造美丽西山新样板</w:t>
      </w:r>
      <w:r>
        <w:rPr>
          <w:color w:val="auto"/>
          <w:highlight w:val="none"/>
        </w:rPr>
        <w:tab/>
      </w:r>
      <w:r>
        <w:rPr>
          <w:color w:val="auto"/>
          <w:highlight w:val="none"/>
        </w:rPr>
        <w:fldChar w:fldCharType="begin"/>
      </w:r>
      <w:r>
        <w:rPr>
          <w:color w:val="auto"/>
          <w:highlight w:val="none"/>
        </w:rPr>
        <w:instrText xml:space="preserve"> PAGEREF _Toc1268756091 \h </w:instrText>
      </w:r>
      <w:r>
        <w:rPr>
          <w:color w:val="auto"/>
          <w:highlight w:val="none"/>
        </w:rPr>
        <w:fldChar w:fldCharType="separate"/>
      </w:r>
      <w:r>
        <w:rPr>
          <w:color w:val="auto"/>
          <w:highlight w:val="none"/>
        </w:rPr>
        <w:t>50</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_Toc1939842916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第五章 规划重点项目</w:t>
      </w:r>
      <w:r>
        <w:rPr>
          <w:color w:val="auto"/>
          <w:highlight w:val="none"/>
        </w:rPr>
        <w:tab/>
      </w:r>
      <w:r>
        <w:rPr>
          <w:color w:val="auto"/>
          <w:highlight w:val="none"/>
        </w:rPr>
        <w:fldChar w:fldCharType="begin"/>
      </w:r>
      <w:r>
        <w:rPr>
          <w:color w:val="auto"/>
          <w:highlight w:val="none"/>
        </w:rPr>
        <w:instrText xml:space="preserve"> PAGEREF _Toc1939842916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_Toc1990644105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第六章 规划效益分析</w:t>
      </w:r>
      <w:r>
        <w:rPr>
          <w:color w:val="auto"/>
          <w:highlight w:val="none"/>
        </w:rPr>
        <w:tab/>
      </w:r>
      <w:r>
        <w:rPr>
          <w:color w:val="auto"/>
          <w:highlight w:val="none"/>
        </w:rPr>
        <w:fldChar w:fldCharType="begin"/>
      </w:r>
      <w:r>
        <w:rPr>
          <w:color w:val="auto"/>
          <w:highlight w:val="none"/>
        </w:rPr>
        <w:instrText xml:space="preserve"> PAGEREF _Toc1990644105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_Toc1107736122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6.1 经济效益</w:t>
      </w:r>
      <w:r>
        <w:rPr>
          <w:color w:val="auto"/>
          <w:highlight w:val="none"/>
        </w:rPr>
        <w:tab/>
      </w:r>
      <w:r>
        <w:rPr>
          <w:color w:val="auto"/>
          <w:highlight w:val="none"/>
        </w:rPr>
        <w:fldChar w:fldCharType="begin"/>
      </w:r>
      <w:r>
        <w:rPr>
          <w:color w:val="auto"/>
          <w:highlight w:val="none"/>
        </w:rPr>
        <w:instrText xml:space="preserve"> PAGEREF _Toc1107736122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_Toc1185266611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6.2 社会效益</w:t>
      </w:r>
      <w:r>
        <w:rPr>
          <w:color w:val="auto"/>
          <w:highlight w:val="none"/>
        </w:rPr>
        <w:tab/>
      </w:r>
      <w:r>
        <w:rPr>
          <w:color w:val="auto"/>
          <w:highlight w:val="none"/>
        </w:rPr>
        <w:fldChar w:fldCharType="begin"/>
      </w:r>
      <w:r>
        <w:rPr>
          <w:color w:val="auto"/>
          <w:highlight w:val="none"/>
        </w:rPr>
        <w:instrText xml:space="preserve"> PAGEREF _Toc1185266611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_Toc717621505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6.3 环境效益</w:t>
      </w:r>
      <w:r>
        <w:rPr>
          <w:color w:val="auto"/>
          <w:highlight w:val="none"/>
        </w:rPr>
        <w:tab/>
      </w:r>
      <w:r>
        <w:rPr>
          <w:color w:val="auto"/>
          <w:highlight w:val="none"/>
        </w:rPr>
        <w:fldChar w:fldCharType="begin"/>
      </w:r>
      <w:r>
        <w:rPr>
          <w:color w:val="auto"/>
          <w:highlight w:val="none"/>
        </w:rPr>
        <w:instrText xml:space="preserve"> PAGEREF _Toc717621505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_Toc796472983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6.4 生态效益</w:t>
      </w:r>
      <w:r>
        <w:rPr>
          <w:color w:val="auto"/>
          <w:highlight w:val="none"/>
        </w:rPr>
        <w:tab/>
      </w:r>
      <w:r>
        <w:rPr>
          <w:color w:val="auto"/>
          <w:highlight w:val="none"/>
        </w:rPr>
        <w:fldChar w:fldCharType="begin"/>
      </w:r>
      <w:r>
        <w:rPr>
          <w:color w:val="auto"/>
          <w:highlight w:val="none"/>
        </w:rPr>
        <w:instrText xml:space="preserve"> PAGEREF _Toc796472983 \h </w:instrText>
      </w:r>
      <w:r>
        <w:rPr>
          <w:color w:val="auto"/>
          <w:highlight w:val="none"/>
        </w:rPr>
        <w:fldChar w:fldCharType="separate"/>
      </w:r>
      <w:r>
        <w:rPr>
          <w:color w:val="auto"/>
          <w:highlight w:val="none"/>
        </w:rPr>
        <w:t>55</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_Toc1072903549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第七章 规划实施保障</w:t>
      </w:r>
      <w:r>
        <w:rPr>
          <w:color w:val="auto"/>
          <w:highlight w:val="none"/>
        </w:rPr>
        <w:tab/>
      </w:r>
      <w:r>
        <w:rPr>
          <w:color w:val="auto"/>
          <w:highlight w:val="none"/>
        </w:rPr>
        <w:fldChar w:fldCharType="begin"/>
      </w:r>
      <w:r>
        <w:rPr>
          <w:color w:val="auto"/>
          <w:highlight w:val="none"/>
        </w:rPr>
        <w:instrText xml:space="preserve"> PAGEREF _Toc1072903549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_Toc2017247831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 xml:space="preserve">7.1 </w:t>
      </w:r>
      <w:r>
        <w:rPr>
          <w:rFonts w:hint="default"/>
          <w:color w:val="auto"/>
          <w:highlight w:val="none"/>
          <w:lang w:val="en-US" w:eastAsia="zh-CN"/>
        </w:rPr>
        <w:t>强化组织领导，压实主体责任</w:t>
      </w:r>
      <w:r>
        <w:rPr>
          <w:color w:val="auto"/>
          <w:highlight w:val="none"/>
        </w:rPr>
        <w:tab/>
      </w:r>
      <w:r>
        <w:rPr>
          <w:color w:val="auto"/>
          <w:highlight w:val="none"/>
        </w:rPr>
        <w:fldChar w:fldCharType="begin"/>
      </w:r>
      <w:r>
        <w:rPr>
          <w:color w:val="auto"/>
          <w:highlight w:val="none"/>
        </w:rPr>
        <w:instrText xml:space="preserve"> PAGEREF _Toc2017247831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_Toc1559960428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lang w:val="en-US" w:eastAsia="zh-CN"/>
        </w:rPr>
        <w:t xml:space="preserve">7.2 </w:t>
      </w:r>
      <w:r>
        <w:rPr>
          <w:rFonts w:hint="default"/>
          <w:color w:val="auto"/>
          <w:highlight w:val="none"/>
          <w:lang w:val="en-US" w:eastAsia="zh-CN"/>
        </w:rPr>
        <w:t>拓宽资金渠道，保障项目实施</w:t>
      </w:r>
      <w:r>
        <w:rPr>
          <w:color w:val="auto"/>
          <w:highlight w:val="none"/>
        </w:rPr>
        <w:tab/>
      </w:r>
      <w:r>
        <w:rPr>
          <w:color w:val="auto"/>
          <w:highlight w:val="none"/>
        </w:rPr>
        <w:fldChar w:fldCharType="begin"/>
      </w:r>
      <w:r>
        <w:rPr>
          <w:color w:val="auto"/>
          <w:highlight w:val="none"/>
        </w:rPr>
        <w:instrText xml:space="preserve"> PAGEREF _Toc1559960428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_Toc1774550820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lang w:val="en-US" w:eastAsia="zh-CN"/>
        </w:rPr>
        <w:t xml:space="preserve">7.3 </w:t>
      </w:r>
      <w:r>
        <w:rPr>
          <w:rFonts w:hint="default"/>
          <w:color w:val="auto"/>
          <w:highlight w:val="none"/>
          <w:lang w:val="en-US" w:eastAsia="zh-CN"/>
        </w:rPr>
        <w:t>完善协调机制，增强制度合力</w:t>
      </w:r>
      <w:r>
        <w:rPr>
          <w:color w:val="auto"/>
          <w:highlight w:val="none"/>
        </w:rPr>
        <w:tab/>
      </w:r>
      <w:r>
        <w:rPr>
          <w:color w:val="auto"/>
          <w:highlight w:val="none"/>
        </w:rPr>
        <w:fldChar w:fldCharType="begin"/>
      </w:r>
      <w:r>
        <w:rPr>
          <w:color w:val="auto"/>
          <w:highlight w:val="none"/>
        </w:rPr>
        <w:instrText xml:space="preserve"> PAGEREF _Toc1774550820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_Toc622742204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lang w:val="en-US" w:eastAsia="zh-CN"/>
        </w:rPr>
        <w:t xml:space="preserve">7.4 </w:t>
      </w:r>
      <w:r>
        <w:rPr>
          <w:rFonts w:hint="default"/>
          <w:color w:val="auto"/>
          <w:highlight w:val="none"/>
          <w:lang w:val="en-US" w:eastAsia="zh-CN"/>
        </w:rPr>
        <w:t>引导社会参与，强化共建共享</w:t>
      </w:r>
      <w:r>
        <w:rPr>
          <w:color w:val="auto"/>
          <w:highlight w:val="none"/>
        </w:rPr>
        <w:tab/>
      </w:r>
      <w:r>
        <w:rPr>
          <w:color w:val="auto"/>
          <w:highlight w:val="none"/>
        </w:rPr>
        <w:fldChar w:fldCharType="begin"/>
      </w:r>
      <w:r>
        <w:rPr>
          <w:color w:val="auto"/>
          <w:highlight w:val="none"/>
        </w:rPr>
        <w:instrText xml:space="preserve"> PAGEREF _Toc622742204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_Toc1740410797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rPr>
        <w:t>附表</w:t>
      </w:r>
      <w:r>
        <w:rPr>
          <w:rFonts w:hint="eastAsia"/>
          <w:color w:val="auto"/>
          <w:highlight w:val="none"/>
          <w:lang w:val="en-US" w:eastAsia="zh-CN"/>
        </w:rPr>
        <w:t>1</w:t>
      </w:r>
      <w:r>
        <w:rPr>
          <w:color w:val="auto"/>
          <w:highlight w:val="none"/>
        </w:rPr>
        <w:tab/>
      </w:r>
      <w:r>
        <w:rPr>
          <w:color w:val="auto"/>
          <w:highlight w:val="none"/>
        </w:rPr>
        <w:fldChar w:fldCharType="begin"/>
      </w:r>
      <w:r>
        <w:rPr>
          <w:color w:val="auto"/>
          <w:highlight w:val="none"/>
        </w:rPr>
        <w:instrText xml:space="preserve"> PAGEREF _Toc1740410797 \h </w:instrText>
      </w:r>
      <w:r>
        <w:rPr>
          <w:color w:val="auto"/>
          <w:highlight w:val="none"/>
        </w:rPr>
        <w:fldChar w:fldCharType="separate"/>
      </w:r>
      <w:r>
        <w:rPr>
          <w:color w:val="auto"/>
          <w:highlight w:val="none"/>
        </w:rPr>
        <w:t>57</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ind w:firstLine="0" w:firstLineChars="0"/>
        <w:rPr>
          <w:color w:val="auto"/>
          <w:highlight w:val="none"/>
        </w:rPr>
      </w:pPr>
      <w:r>
        <w:rPr>
          <w:rFonts w:ascii="Times New Roman" w:hAnsi="Times New Roman" w:eastAsia="SimHei" w:cs="Times New Roman"/>
          <w:color w:val="auto"/>
          <w:kern w:val="0"/>
          <w:szCs w:val="22"/>
          <w:highlight w:val="none"/>
          <w:lang w:val="en-US" w:eastAsia="zh-CN" w:bidi="ar-SA"/>
        </w:rPr>
        <w:fldChar w:fldCharType="begin"/>
      </w:r>
      <w:r>
        <w:rPr>
          <w:rFonts w:ascii="Times New Roman" w:hAnsi="Times New Roman" w:eastAsia="SimHei" w:cs="Times New Roman"/>
          <w:color w:val="auto"/>
          <w:kern w:val="0"/>
          <w:szCs w:val="22"/>
          <w:highlight w:val="none"/>
          <w:lang w:val="en-US" w:eastAsia="zh-CN" w:bidi="ar-SA"/>
        </w:rPr>
        <w:instrText xml:space="preserve"> HYPERLINK \l _Toc209509392 </w:instrText>
      </w:r>
      <w:r>
        <w:rPr>
          <w:rFonts w:ascii="Times New Roman" w:hAnsi="Times New Roman" w:eastAsia="SimHei" w:cs="Times New Roman"/>
          <w:color w:val="auto"/>
          <w:kern w:val="0"/>
          <w:szCs w:val="22"/>
          <w:highlight w:val="none"/>
          <w:lang w:val="en-US" w:eastAsia="zh-CN" w:bidi="ar-SA"/>
        </w:rPr>
        <w:fldChar w:fldCharType="separate"/>
      </w:r>
      <w:r>
        <w:rPr>
          <w:rFonts w:hint="eastAsia"/>
          <w:color w:val="auto"/>
          <w:highlight w:val="none"/>
          <w:lang w:val="en-US" w:eastAsia="zh-CN"/>
        </w:rPr>
        <w:t>西山区</w:t>
      </w:r>
      <w:r>
        <w:rPr>
          <w:rFonts w:hint="eastAsia"/>
          <w:color w:val="auto"/>
          <w:highlight w:val="none"/>
        </w:rPr>
        <w:t>“十五五”生态环境规划重点项目表</w:t>
      </w:r>
      <w:r>
        <w:rPr>
          <w:color w:val="auto"/>
          <w:highlight w:val="none"/>
        </w:rPr>
        <w:tab/>
      </w:r>
      <w:r>
        <w:rPr>
          <w:color w:val="auto"/>
          <w:highlight w:val="none"/>
        </w:rPr>
        <w:fldChar w:fldCharType="begin"/>
      </w:r>
      <w:r>
        <w:rPr>
          <w:color w:val="auto"/>
          <w:highlight w:val="none"/>
        </w:rPr>
        <w:instrText xml:space="preserve"> PAGEREF _Toc209509392 \h </w:instrText>
      </w:r>
      <w:r>
        <w:rPr>
          <w:color w:val="auto"/>
          <w:highlight w:val="none"/>
        </w:rPr>
        <w:fldChar w:fldCharType="separate"/>
      </w:r>
      <w:r>
        <w:rPr>
          <w:color w:val="auto"/>
          <w:highlight w:val="none"/>
        </w:rPr>
        <w:t>57</w:t>
      </w:r>
      <w:r>
        <w:rPr>
          <w:color w:val="auto"/>
          <w:highlight w:val="none"/>
        </w:rPr>
        <w:fldChar w:fldCharType="end"/>
      </w:r>
      <w:r>
        <w:rPr>
          <w:rFonts w:ascii="Times New Roman" w:hAnsi="Times New Roman" w:eastAsia="SimHei" w:cs="Times New Roman"/>
          <w:color w:val="auto"/>
          <w:kern w:val="0"/>
          <w:szCs w:val="22"/>
          <w:highlight w:val="none"/>
          <w:lang w:val="en-US" w:eastAsia="zh-CN" w:bidi="ar-SA"/>
        </w:rPr>
        <w:fldChar w:fldCharType="end"/>
      </w:r>
    </w:p>
    <w:p>
      <w:pPr>
        <w:pStyle w:val="14"/>
        <w:keepNext w:val="0"/>
        <w:keepLines w:val="0"/>
        <w:pageBreakBefore w:val="0"/>
        <w:widowControl w:val="0"/>
        <w:kinsoku/>
        <w:wordWrap/>
        <w:overflowPunct/>
        <w:topLinePunct w:val="0"/>
        <w:autoSpaceDE/>
        <w:autoSpaceDN/>
        <w:bidi w:val="0"/>
        <w:adjustRightInd/>
        <w:snapToGrid/>
        <w:ind w:firstLine="0" w:firstLineChars="0"/>
        <w:rPr>
          <w:rFonts w:ascii="Times New Roman" w:hAnsi="Times New Roman" w:eastAsia="SimHei" w:cs="Times New Roman"/>
          <w:color w:val="auto"/>
          <w:kern w:val="0"/>
          <w:szCs w:val="22"/>
          <w:highlight w:val="none"/>
          <w:lang w:val="en-US" w:eastAsia="zh-CN" w:bidi="ar-SA"/>
        </w:rPr>
      </w:pPr>
      <w:r>
        <w:rPr>
          <w:rFonts w:ascii="Times New Roman" w:hAnsi="Times New Roman" w:eastAsia="SimHei" w:cs="Times New Roman"/>
          <w:color w:val="auto"/>
          <w:kern w:val="0"/>
          <w:szCs w:val="22"/>
          <w:highlight w:val="none"/>
          <w:lang w:val="en-US" w:eastAsia="zh-CN" w:bidi="ar-SA"/>
        </w:rPr>
        <w:fldChar w:fldCharType="end"/>
      </w:r>
    </w:p>
    <w:p>
      <w:pPr>
        <w:rPr>
          <w:color w:val="auto"/>
          <w:highlight w:val="none"/>
          <w:lang w:val="en-US" w:eastAsia="zh-CN"/>
        </w:rPr>
      </w:pPr>
    </w:p>
    <w:p>
      <w:pPr>
        <w:rPr>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rPr>
          <w:color w:val="auto"/>
          <w:highlight w:val="none"/>
        </w:rPr>
        <w:sectPr>
          <w:headerReference r:id="rId12" w:type="first"/>
          <w:footerReference r:id="rId14" w:type="first"/>
          <w:headerReference r:id="rId11" w:type="default"/>
          <w:footerReference r:id="rId13" w:type="default"/>
          <w:pgSz w:w="11906" w:h="16838"/>
          <w:pgMar w:top="1440" w:right="1800" w:bottom="1440" w:left="1800" w:header="851" w:footer="992" w:gutter="0"/>
          <w:pgNumType w:fmt="lowerRoman" w:start="1"/>
          <w:cols w:space="720" w:num="1"/>
          <w:titlePg/>
          <w:docGrid w:type="lines" w:linePitch="408" w:charSpace="0"/>
        </w:sectPr>
      </w:pPr>
    </w:p>
    <w:p>
      <w:pPr>
        <w:pStyle w:val="2"/>
        <w:numPr>
          <w:ilvl w:val="0"/>
          <w:numId w:val="0"/>
        </w:numPr>
        <w:ind w:left="425" w:hanging="425"/>
        <w:jc w:val="center"/>
        <w:rPr>
          <w:rFonts w:hint="eastAsia"/>
          <w:color w:val="auto"/>
          <w:highlight w:val="none"/>
        </w:rPr>
      </w:pPr>
      <w:bookmarkStart w:id="0" w:name="_Toc311445385"/>
      <w:bookmarkStart w:id="1" w:name="_Toc1243183219"/>
      <w:bookmarkStart w:id="2" w:name="_Toc18386"/>
      <w:bookmarkStart w:id="3" w:name="_Toc5625"/>
      <w:bookmarkStart w:id="4" w:name="_Toc7534"/>
      <w:bookmarkStart w:id="5" w:name="_Toc205997193"/>
      <w:bookmarkStart w:id="6" w:name="_Toc18825"/>
      <w:bookmarkStart w:id="7" w:name="_Toc24698"/>
      <w:r>
        <w:rPr>
          <w:rFonts w:hint="eastAsia"/>
          <w:color w:val="auto"/>
          <w:highlight w:val="none"/>
        </w:rPr>
        <w:t>前</w:t>
      </w:r>
      <w:r>
        <w:rPr>
          <w:rFonts w:hint="eastAsia"/>
          <w:color w:val="auto"/>
          <w:highlight w:val="none"/>
          <w:lang w:val="en-US" w:eastAsia="zh-CN"/>
        </w:rPr>
        <w:t xml:space="preserve"> </w:t>
      </w:r>
      <w:r>
        <w:rPr>
          <w:rFonts w:hint="eastAsia"/>
          <w:color w:val="auto"/>
          <w:highlight w:val="none"/>
        </w:rPr>
        <w:t>言</w:t>
      </w:r>
      <w:bookmarkEnd w:id="0"/>
      <w:bookmarkEnd w:id="1"/>
      <w:bookmarkEnd w:id="2"/>
      <w:bookmarkEnd w:id="3"/>
      <w:bookmarkEnd w:id="4"/>
      <w:bookmarkEnd w:id="5"/>
      <w:bookmarkEnd w:id="6"/>
      <w:bookmarkEnd w:id="7"/>
    </w:p>
    <w:p>
      <w:pPr>
        <w:ind w:firstLine="600"/>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“十五五”时期，是我国全面推进美丽中国建设、实现经济社会发展全面绿色转型的关键五年，</w:t>
      </w:r>
      <w:r>
        <w:rPr>
          <w:rFonts w:hint="eastAsia" w:ascii="Times New Roman" w:hAnsi="Times New Roman"/>
          <w:color w:val="auto"/>
          <w:sz w:val="30"/>
          <w:szCs w:val="30"/>
          <w:highlight w:val="none"/>
          <w:lang w:val="en-US" w:eastAsia="zh-CN"/>
        </w:rPr>
        <w:t>也</w:t>
      </w:r>
      <w:r>
        <w:rPr>
          <w:rFonts w:hint="eastAsia" w:ascii="Times New Roman" w:hAnsi="Times New Roman"/>
          <w:color w:val="auto"/>
          <w:sz w:val="30"/>
          <w:szCs w:val="30"/>
          <w:highlight w:val="none"/>
        </w:rPr>
        <w:t>是云南省持续筑牢国家西南生态安全屏障、昆明市建设区域性国际中心城市</w:t>
      </w:r>
      <w:r>
        <w:rPr>
          <w:rFonts w:hint="eastAsia" w:ascii="Times New Roman" w:hAnsi="Times New Roman"/>
          <w:color w:val="auto"/>
          <w:sz w:val="30"/>
          <w:szCs w:val="30"/>
          <w:highlight w:val="none"/>
          <w:lang w:eastAsia="zh-CN"/>
        </w:rPr>
        <w:t>的</w:t>
      </w:r>
      <w:r>
        <w:rPr>
          <w:rFonts w:hint="eastAsia" w:ascii="Times New Roman" w:hAnsi="Times New Roman"/>
          <w:color w:val="auto"/>
          <w:sz w:val="30"/>
          <w:szCs w:val="30"/>
          <w:highlight w:val="none"/>
          <w:lang w:val="en-US" w:eastAsia="zh-CN"/>
        </w:rPr>
        <w:t>重要阶段</w:t>
      </w:r>
      <w:r>
        <w:rPr>
          <w:rFonts w:hint="eastAsia" w:ascii="Times New Roman" w:hAnsi="Times New Roman"/>
          <w:color w:val="auto"/>
          <w:sz w:val="30"/>
          <w:szCs w:val="30"/>
          <w:highlight w:val="none"/>
        </w:rPr>
        <w:t>。在此宏大背景下，西山区作为昆明主城核心区域，地处城镇发展格局“一核”，坐拥 “半城山水”生态禀赋，肩负展示春城形象、守护滇池流域生态安全、探索城区绿色低碳发展路径的时代使命，是落实国家和省市战略、实现生态效益与经济社会效益协同提升的重要实践区和展示窗口。</w:t>
      </w:r>
    </w:p>
    <w:p>
      <w:pPr>
        <w:ind w:firstLine="600"/>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当前，西山区正处于城市功能提升、发展动能转换、生态治理深化的关键期，生态环境保护工作机遇与挑战并存。西山</w:t>
      </w:r>
      <w:r>
        <w:rPr>
          <w:rFonts w:hint="eastAsia"/>
          <w:color w:val="auto"/>
          <w:sz w:val="30"/>
          <w:szCs w:val="30"/>
          <w:highlight w:val="none"/>
          <w:lang w:val="en-US" w:eastAsia="zh-CN"/>
        </w:rPr>
        <w:t>区将</w:t>
      </w:r>
      <w:r>
        <w:rPr>
          <w:rFonts w:hint="eastAsia" w:ascii="Times New Roman" w:hAnsi="Times New Roman"/>
          <w:color w:val="auto"/>
          <w:sz w:val="30"/>
          <w:szCs w:val="30"/>
          <w:highlight w:val="none"/>
        </w:rPr>
        <w:t>以习近平生态文明思想为根本遵循，践行“绿水青山就是金山银山”理念，统筹区域发展、产业升级、污染治理与生态修复，协同推进降碳、减污、扩绿、增长，增强人民群众的生态获得感、幸福感、安全感。</w:t>
      </w:r>
    </w:p>
    <w:p>
      <w:pPr>
        <w:rPr>
          <w:rFonts w:hint="eastAsia"/>
          <w:color w:val="auto"/>
          <w:sz w:val="30"/>
          <w:szCs w:val="30"/>
          <w:highlight w:val="none"/>
        </w:rPr>
      </w:pPr>
      <w:r>
        <w:rPr>
          <w:rFonts w:hint="eastAsia" w:ascii="Times New Roman" w:hAnsi="Times New Roman"/>
          <w:color w:val="auto"/>
          <w:sz w:val="30"/>
          <w:szCs w:val="30"/>
          <w:highlight w:val="none"/>
        </w:rPr>
        <w:t>本规划立足西山区“山水相依、城景交融”的生态本底与发展阶段性特征，紧密</w:t>
      </w:r>
      <w:r>
        <w:rPr>
          <w:rFonts w:hint="eastAsia" w:ascii="Times New Roman" w:hAnsi="Times New Roman"/>
          <w:color w:val="auto"/>
          <w:sz w:val="30"/>
          <w:szCs w:val="30"/>
          <w:highlight w:val="none"/>
          <w:lang w:val="en-US" w:eastAsia="zh-CN"/>
        </w:rPr>
        <w:t>衔接上级战略</w:t>
      </w:r>
      <w:r>
        <w:rPr>
          <w:rFonts w:hint="eastAsia" w:ascii="Times New Roman" w:hAnsi="Times New Roman"/>
          <w:color w:val="auto"/>
          <w:sz w:val="30"/>
          <w:szCs w:val="30"/>
          <w:highlight w:val="none"/>
        </w:rPr>
        <w:t>部署，</w:t>
      </w:r>
      <w:r>
        <w:rPr>
          <w:rFonts w:hint="eastAsia" w:ascii="Times New Roman" w:hAnsi="Times New Roman"/>
          <w:color w:val="auto"/>
          <w:sz w:val="30"/>
          <w:szCs w:val="30"/>
          <w:highlight w:val="none"/>
          <w:lang w:val="en-US" w:eastAsia="zh-CN"/>
        </w:rPr>
        <w:t>总结“</w:t>
      </w:r>
      <w:r>
        <w:rPr>
          <w:rFonts w:hint="eastAsia" w:ascii="Times New Roman" w:hAnsi="Times New Roman"/>
          <w:color w:val="auto"/>
          <w:sz w:val="30"/>
          <w:szCs w:val="30"/>
          <w:highlight w:val="none"/>
        </w:rPr>
        <w:t>十四五”生态环境保护工作成效与实践经验，科学研判新形势、新要求，</w:t>
      </w:r>
      <w:r>
        <w:rPr>
          <w:rFonts w:hint="eastAsia" w:ascii="Times New Roman" w:hAnsi="Times New Roman"/>
          <w:color w:val="auto"/>
          <w:sz w:val="30"/>
          <w:szCs w:val="30"/>
          <w:highlight w:val="none"/>
          <w:lang w:val="en-US" w:eastAsia="zh-CN"/>
        </w:rPr>
        <w:t>系统</w:t>
      </w:r>
      <w:r>
        <w:rPr>
          <w:rFonts w:hint="eastAsia" w:ascii="Times New Roman" w:hAnsi="Times New Roman"/>
          <w:color w:val="auto"/>
          <w:sz w:val="30"/>
          <w:szCs w:val="30"/>
          <w:highlight w:val="none"/>
        </w:rPr>
        <w:t>谋划“十五五”时期西山区生态环境保护</w:t>
      </w:r>
      <w:r>
        <w:rPr>
          <w:rFonts w:hint="eastAsia" w:ascii="Times New Roman" w:hAnsi="Times New Roman"/>
          <w:color w:val="auto"/>
          <w:sz w:val="30"/>
          <w:szCs w:val="30"/>
          <w:highlight w:val="none"/>
          <w:lang w:val="en-US" w:eastAsia="zh-CN"/>
        </w:rPr>
        <w:t>规划目标方向与重点举措</w:t>
      </w:r>
      <w:r>
        <w:rPr>
          <w:rFonts w:hint="eastAsia" w:ascii="Times New Roman" w:hAnsi="Times New Roman"/>
          <w:color w:val="auto"/>
          <w:sz w:val="30"/>
          <w:szCs w:val="30"/>
          <w:highlight w:val="none"/>
        </w:rPr>
        <w:t>，通过系统推进滇池流域治理、重点行业绿色升级、生态系统功能巩固等举措，推动实现空气常新、青山常在、绿水长流的美丽西山愿景，为打造更具生态魅力、发展活力与环境韧性的现代化宜居宜业宜游城区，夯实生态安全屏障与绿色发展根基。</w:t>
      </w:r>
    </w:p>
    <w:p>
      <w:pPr>
        <w:pStyle w:val="2"/>
        <w:numPr>
          <w:ilvl w:val="0"/>
          <w:numId w:val="2"/>
        </w:numPr>
        <w:ind w:left="425" w:hanging="425"/>
        <w:rPr>
          <w:color w:val="auto"/>
          <w:sz w:val="30"/>
          <w:szCs w:val="30"/>
          <w:highlight w:val="none"/>
        </w:rPr>
        <w:sectPr>
          <w:footerReference r:id="rId15" w:type="default"/>
          <w:pgSz w:w="11906" w:h="16838"/>
          <w:pgMar w:top="1440" w:right="1800" w:bottom="1440" w:left="1800" w:header="851" w:footer="992" w:gutter="0"/>
          <w:pgNumType w:start="1"/>
          <w:cols w:space="720" w:num="1"/>
          <w:docGrid w:type="lines" w:linePitch="312" w:charSpace="0"/>
        </w:sectPr>
      </w:pPr>
      <w:bookmarkStart w:id="8" w:name="_Toc19112"/>
      <w:bookmarkStart w:id="9" w:name="_Toc23900"/>
    </w:p>
    <w:bookmarkEnd w:id="8"/>
    <w:bookmarkEnd w:id="9"/>
    <w:p>
      <w:pPr>
        <w:pStyle w:val="2"/>
        <w:numPr>
          <w:ilvl w:val="0"/>
          <w:numId w:val="3"/>
        </w:numPr>
        <w:ind w:left="425" w:leftChars="0" w:hanging="425" w:firstLineChars="0"/>
        <w:rPr>
          <w:color w:val="auto"/>
          <w:highlight w:val="none"/>
        </w:rPr>
      </w:pPr>
      <w:bookmarkStart w:id="10" w:name="_Toc8506"/>
      <w:bookmarkStart w:id="11" w:name="_Toc28945"/>
      <w:bookmarkStart w:id="12" w:name="_Toc9606"/>
      <w:bookmarkStart w:id="13" w:name="_Toc9855"/>
      <w:bookmarkStart w:id="14" w:name="_Toc17503"/>
      <w:bookmarkStart w:id="15" w:name="_Toc326739890"/>
      <w:bookmarkStart w:id="16" w:name="_Toc1788974129"/>
      <w:r>
        <w:rPr>
          <w:rFonts w:hint="eastAsia"/>
          <w:color w:val="auto"/>
          <w:highlight w:val="none"/>
        </w:rPr>
        <w:t>指导思想及规划</w:t>
      </w:r>
      <w:bookmarkEnd w:id="10"/>
      <w:bookmarkEnd w:id="11"/>
      <w:bookmarkEnd w:id="12"/>
      <w:bookmarkEnd w:id="13"/>
      <w:bookmarkEnd w:id="14"/>
      <w:r>
        <w:rPr>
          <w:rFonts w:hint="eastAsia"/>
          <w:color w:val="auto"/>
          <w:highlight w:val="none"/>
          <w:lang w:val="en-US" w:eastAsia="zh-CN"/>
        </w:rPr>
        <w:t>原则</w:t>
      </w:r>
      <w:bookmarkEnd w:id="15"/>
      <w:bookmarkEnd w:id="16"/>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17" w:name="_Toc401645851"/>
      <w:bookmarkStart w:id="18" w:name="_Toc10370"/>
      <w:bookmarkStart w:id="19" w:name="_Toc369644456"/>
      <w:bookmarkStart w:id="20" w:name="_Toc8777"/>
      <w:bookmarkStart w:id="21" w:name="_Toc11685"/>
      <w:bookmarkStart w:id="22" w:name="_Toc13461"/>
      <w:bookmarkStart w:id="23" w:name="_Toc6685"/>
      <w:r>
        <w:rPr>
          <w:rFonts w:hint="eastAsia"/>
          <w:color w:val="auto"/>
          <w:highlight w:val="none"/>
        </w:rPr>
        <w:t>指导思想</w:t>
      </w:r>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textAlignment w:val="auto"/>
        <w:rPr>
          <w:color w:val="auto"/>
          <w:sz w:val="30"/>
          <w:szCs w:val="30"/>
          <w:highlight w:val="none"/>
        </w:rPr>
      </w:pPr>
      <w:r>
        <w:rPr>
          <w:rFonts w:hint="eastAsia"/>
          <w:color w:val="auto"/>
          <w:sz w:val="30"/>
          <w:szCs w:val="30"/>
          <w:highlight w:val="none"/>
        </w:rPr>
        <w:t>始终坚持以习近平新时代中国特色社会主义思想为指导，全面贯彻党的二十大和二十届</w:t>
      </w:r>
      <w:r>
        <w:rPr>
          <w:rFonts w:hint="eastAsia"/>
          <w:color w:val="auto"/>
          <w:sz w:val="30"/>
          <w:szCs w:val="30"/>
          <w:highlight w:val="none"/>
          <w:lang w:val="en-US" w:eastAsia="zh-CN"/>
        </w:rPr>
        <w:t>历次</w:t>
      </w:r>
      <w:r>
        <w:rPr>
          <w:rFonts w:hint="eastAsia"/>
          <w:color w:val="auto"/>
          <w:sz w:val="30"/>
          <w:szCs w:val="30"/>
          <w:highlight w:val="none"/>
        </w:rPr>
        <w:t>全会精神，深入落实习近平生态文明思想和习近平总书记考察云南重要讲话精神，特别是对滇池保护治理的重要指示批示精神。立足新发展阶段，完整、准确、全面贯彻新发展理念，主动服务和融入新发展格局，紧紧围绕省委“3815”战略发展目标、市委“六个春城”建设任务及西山区“1446”发展战略、</w:t>
      </w:r>
      <w:r>
        <w:rPr>
          <w:rFonts w:hint="eastAsia"/>
          <w:color w:val="auto"/>
          <w:sz w:val="30"/>
          <w:szCs w:val="30"/>
          <w:highlight w:val="none"/>
          <w:lang w:val="en-US" w:eastAsia="zh-CN"/>
        </w:rPr>
        <w:t>立足</w:t>
      </w:r>
      <w:r>
        <w:rPr>
          <w:rFonts w:hint="eastAsia"/>
          <w:color w:val="auto"/>
          <w:sz w:val="30"/>
          <w:szCs w:val="30"/>
          <w:highlight w:val="none"/>
        </w:rPr>
        <w:t>“山水都市品质区”的发展定位，坚持以人民为中心的发展思想，以推动高质量发展为主题，以减污降碳协同增效为总抓手，以维护生态安全为底线，以改善生态环境质量为核心，统筹产业结构调整、污染治理、生态保护，协同推进降碳、减污、扩绿、增长，奋力谱写人与自然和谐共生的美丽西山新篇章。</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24" w:name="_Toc920715236"/>
      <w:bookmarkStart w:id="25" w:name="_Toc7999"/>
      <w:bookmarkStart w:id="26" w:name="_Toc25422"/>
      <w:bookmarkStart w:id="27" w:name="_Toc10641"/>
      <w:bookmarkStart w:id="28" w:name="_Toc2091664868"/>
      <w:bookmarkStart w:id="29" w:name="_Toc16445"/>
      <w:bookmarkStart w:id="30" w:name="_Toc1216"/>
      <w:r>
        <w:rPr>
          <w:rFonts w:hint="eastAsia"/>
          <w:color w:val="auto"/>
          <w:highlight w:val="none"/>
        </w:rPr>
        <w:t>基本原则</w:t>
      </w:r>
      <w:bookmarkEnd w:id="24"/>
      <w:bookmarkEnd w:id="25"/>
      <w:bookmarkEnd w:id="26"/>
      <w:bookmarkEnd w:id="27"/>
      <w:bookmarkEnd w:id="28"/>
      <w:bookmarkEnd w:id="29"/>
      <w:bookmarkEnd w:id="30"/>
    </w:p>
    <w:p>
      <w:pPr>
        <w:rPr>
          <w:rFonts w:hint="eastAsia"/>
          <w:color w:val="auto"/>
          <w:sz w:val="30"/>
          <w:szCs w:val="30"/>
          <w:highlight w:val="none"/>
        </w:rPr>
      </w:pPr>
      <w:r>
        <w:rPr>
          <w:rFonts w:hint="eastAsia"/>
          <w:color w:val="auto"/>
          <w:sz w:val="30"/>
          <w:szCs w:val="30"/>
          <w:highlight w:val="none"/>
        </w:rPr>
        <w:t>坚持党的领导、统筹协调：坚决落实“党政同责、一岗双责”，将党的领导贯穿于规划实施全过程，构建党委领导、政府主导、企业主体、社会组织和公众共同参与的现代环境治理体系。</w:t>
      </w:r>
    </w:p>
    <w:p>
      <w:pPr>
        <w:rPr>
          <w:rFonts w:hint="eastAsia"/>
          <w:color w:val="auto"/>
          <w:sz w:val="30"/>
          <w:szCs w:val="30"/>
          <w:highlight w:val="none"/>
        </w:rPr>
      </w:pPr>
      <w:r>
        <w:rPr>
          <w:rFonts w:hint="eastAsia"/>
          <w:color w:val="auto"/>
          <w:sz w:val="30"/>
          <w:szCs w:val="30"/>
          <w:highlight w:val="none"/>
        </w:rPr>
        <w:t>坚持生态优先、绿色发展：牢固树立和践行“绿水青山就是金山银山”的理念，以“保护优先、绿色发展”为准则，依托西山自然资源禀赋，强化滇池等生态空间保护，推动经济社会全面绿色转型，凸显全面绿色发展内涵价值。</w:t>
      </w:r>
    </w:p>
    <w:p>
      <w:pPr>
        <w:rPr>
          <w:rFonts w:hint="eastAsia"/>
          <w:color w:val="auto"/>
          <w:sz w:val="30"/>
          <w:szCs w:val="30"/>
          <w:highlight w:val="none"/>
        </w:rPr>
      </w:pPr>
      <w:r>
        <w:rPr>
          <w:rFonts w:hint="eastAsia"/>
          <w:color w:val="auto"/>
          <w:sz w:val="30"/>
          <w:szCs w:val="30"/>
          <w:highlight w:val="none"/>
        </w:rPr>
        <w:t>坚持以人民为中心、共建共享：聚焦群众关切的环境问题，提升生态产品供给质量，倡导绿色生活消费，激发全民参与热情，在公园城市建设、人居环境改善中，增强群众生态获得感、幸福感。</w:t>
      </w:r>
    </w:p>
    <w:p>
      <w:pPr>
        <w:rPr>
          <w:rFonts w:hint="eastAsia"/>
          <w:color w:val="auto"/>
          <w:sz w:val="30"/>
          <w:szCs w:val="30"/>
          <w:highlight w:val="none"/>
        </w:rPr>
      </w:pPr>
      <w:r>
        <w:rPr>
          <w:rFonts w:hint="eastAsia"/>
          <w:color w:val="auto"/>
          <w:sz w:val="30"/>
          <w:szCs w:val="30"/>
          <w:highlight w:val="none"/>
        </w:rPr>
        <w:t>坚持系统治理、精准施策：遵循生态系统规律，统筹山水林田湖草沙一体化保护，精准推进滇池流域治理、历史遗留生态修复及“蓝天、碧水、净土”保卫战，同时强化自然与历史文化保护、城市风貌管控，构建全域特色魅力空间。</w:t>
      </w:r>
    </w:p>
    <w:p>
      <w:pPr>
        <w:rPr>
          <w:color w:val="auto"/>
          <w:sz w:val="30"/>
          <w:szCs w:val="30"/>
          <w:highlight w:val="none"/>
        </w:rPr>
      </w:pPr>
      <w:r>
        <w:rPr>
          <w:rFonts w:hint="eastAsia"/>
          <w:color w:val="auto"/>
          <w:sz w:val="30"/>
          <w:szCs w:val="30"/>
          <w:highlight w:val="none"/>
        </w:rPr>
        <w:t>坚持改革创新、示范引领：深化生态文明体制改革，创新生态运营模式、引导生态消费，探索“零碳园区”“无废城市”试点，打造公园城市建设示范区，以试点成效带动全域生态环境保护水平提升。</w:t>
      </w:r>
    </w:p>
    <w:p>
      <w:pPr>
        <w:pStyle w:val="2"/>
        <w:numPr>
          <w:ilvl w:val="0"/>
          <w:numId w:val="3"/>
        </w:numPr>
        <w:ind w:left="425" w:leftChars="0" w:hanging="425" w:firstLineChars="0"/>
        <w:rPr>
          <w:rFonts w:hint="eastAsia"/>
          <w:color w:val="auto"/>
          <w:highlight w:val="none"/>
        </w:rPr>
      </w:pPr>
      <w:bookmarkStart w:id="31" w:name="_Toc19494"/>
      <w:bookmarkStart w:id="32" w:name="_Toc3461"/>
      <w:bookmarkStart w:id="33" w:name="_Toc28136"/>
      <w:bookmarkStart w:id="34" w:name="_Toc14983"/>
      <w:bookmarkStart w:id="35" w:name="_Toc587310542"/>
      <w:bookmarkStart w:id="36" w:name="_Toc3885"/>
      <w:bookmarkStart w:id="37" w:name="_Toc1402636049"/>
      <w:r>
        <w:rPr>
          <w:rFonts w:hint="eastAsia"/>
          <w:color w:val="auto"/>
          <w:highlight w:val="none"/>
        </w:rPr>
        <w:t>规划目标与指标体系</w:t>
      </w:r>
      <w:bookmarkEnd w:id="31"/>
      <w:bookmarkEnd w:id="32"/>
      <w:bookmarkEnd w:id="33"/>
      <w:bookmarkEnd w:id="34"/>
      <w:bookmarkEnd w:id="35"/>
      <w:bookmarkEnd w:id="36"/>
      <w:bookmarkEnd w:id="37"/>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38" w:name="_Toc27143"/>
      <w:bookmarkStart w:id="39" w:name="_Toc1553"/>
      <w:bookmarkStart w:id="40" w:name="_Toc31721"/>
      <w:bookmarkStart w:id="41" w:name="_Toc1093437782"/>
      <w:bookmarkStart w:id="42" w:name="_Toc1176082424"/>
      <w:bookmarkStart w:id="43" w:name="_Toc17882"/>
      <w:bookmarkStart w:id="44" w:name="_Toc1338"/>
      <w:r>
        <w:rPr>
          <w:rFonts w:hint="eastAsia"/>
          <w:color w:val="auto"/>
          <w:highlight w:val="none"/>
        </w:rPr>
        <w:t>战略定位</w:t>
      </w:r>
      <w:bookmarkEnd w:id="38"/>
      <w:bookmarkEnd w:id="39"/>
      <w:bookmarkEnd w:id="40"/>
      <w:bookmarkEnd w:id="41"/>
      <w:bookmarkEnd w:id="42"/>
      <w:bookmarkEnd w:id="43"/>
      <w:bookmarkEnd w:id="44"/>
    </w:p>
    <w:p>
      <w:pPr>
        <w:rPr>
          <w:rFonts w:hint="eastAsia"/>
          <w:color w:val="auto"/>
          <w:sz w:val="30"/>
          <w:szCs w:val="30"/>
          <w:highlight w:val="none"/>
        </w:rPr>
      </w:pPr>
      <w:r>
        <w:rPr>
          <w:rFonts w:hint="eastAsia"/>
          <w:color w:val="auto"/>
          <w:sz w:val="30"/>
          <w:szCs w:val="30"/>
          <w:highlight w:val="none"/>
        </w:rPr>
        <w:t>秉承“半城山水”的生态本底，以更高标准守护好高原明珠滇池，将西山区建设成为展示昆明“绿美春城”形象、体现人与自然和谐共生现代化成果的先行区和集中展示窗口。</w:t>
      </w:r>
    </w:p>
    <w:p>
      <w:pPr>
        <w:bidi w:val="0"/>
        <w:rPr>
          <w:rFonts w:hint="eastAsia"/>
          <w:color w:val="auto"/>
          <w:sz w:val="30"/>
          <w:szCs w:val="30"/>
          <w:highlight w:val="none"/>
        </w:rPr>
      </w:pPr>
      <w:r>
        <w:rPr>
          <w:rFonts w:hint="eastAsia"/>
          <w:b/>
          <w:bCs/>
          <w:color w:val="auto"/>
          <w:sz w:val="30"/>
          <w:szCs w:val="30"/>
          <w:highlight w:val="none"/>
        </w:rPr>
        <w:t>流域生态保护</w:t>
      </w:r>
      <w:r>
        <w:rPr>
          <w:rFonts w:hint="eastAsia"/>
          <w:b/>
          <w:bCs/>
          <w:color w:val="auto"/>
          <w:sz w:val="30"/>
          <w:szCs w:val="30"/>
          <w:highlight w:val="none"/>
          <w:lang w:val="en-US" w:eastAsia="zh-CN"/>
        </w:rPr>
        <w:t>治理</w:t>
      </w:r>
      <w:r>
        <w:rPr>
          <w:rFonts w:hint="eastAsia"/>
          <w:b/>
          <w:bCs/>
          <w:color w:val="auto"/>
          <w:sz w:val="30"/>
          <w:szCs w:val="30"/>
          <w:highlight w:val="none"/>
        </w:rPr>
        <w:t>典范区</w:t>
      </w:r>
      <w:r>
        <w:rPr>
          <w:rFonts w:hint="eastAsia"/>
          <w:b/>
          <w:bCs/>
          <w:color w:val="auto"/>
          <w:sz w:val="30"/>
          <w:szCs w:val="30"/>
          <w:highlight w:val="none"/>
          <w:lang w:eastAsia="zh-CN"/>
        </w:rPr>
        <w:t>。</w:t>
      </w:r>
      <w:r>
        <w:rPr>
          <w:rFonts w:hint="eastAsia"/>
          <w:color w:val="auto"/>
          <w:sz w:val="30"/>
          <w:szCs w:val="30"/>
          <w:highlight w:val="none"/>
        </w:rPr>
        <w:t>以滇池水质根本性改善与生态功能全面提升为核心目标，严</w:t>
      </w:r>
      <w:r>
        <w:rPr>
          <w:rFonts w:hint="eastAsia"/>
          <w:color w:val="auto"/>
          <w:sz w:val="30"/>
          <w:szCs w:val="30"/>
          <w:highlight w:val="none"/>
          <w:lang w:val="en-US" w:eastAsia="zh-CN"/>
        </w:rPr>
        <w:t>守</w:t>
      </w:r>
      <w:r>
        <w:rPr>
          <w:rFonts w:hint="eastAsia"/>
          <w:color w:val="auto"/>
          <w:sz w:val="30"/>
          <w:szCs w:val="30"/>
          <w:highlight w:val="none"/>
        </w:rPr>
        <w:t>湖滨生态红线，深化“山水林田湖草沙”一体化保护修复。强化滇池面山生态屏障建设与入湖河道综合治理，构建“一湖</w:t>
      </w:r>
      <w:r>
        <w:rPr>
          <w:rFonts w:hint="eastAsia"/>
          <w:color w:val="auto"/>
          <w:sz w:val="30"/>
          <w:szCs w:val="30"/>
          <w:highlight w:val="none"/>
          <w:lang w:val="en-US" w:eastAsia="zh-CN"/>
        </w:rPr>
        <w:t>一屏一带</w:t>
      </w:r>
      <w:r>
        <w:rPr>
          <w:rFonts w:hint="eastAsia"/>
          <w:color w:val="auto"/>
          <w:sz w:val="30"/>
          <w:szCs w:val="30"/>
          <w:highlight w:val="none"/>
        </w:rPr>
        <w:t>”生态安全格局。完善流域精细化管控机制，严控污染排放与开发强度，打造高原湖泊保护治理的“西山范例”，为流域生态安全筑牢根基。</w:t>
      </w:r>
    </w:p>
    <w:p>
      <w:pPr>
        <w:bidi w:val="0"/>
        <w:rPr>
          <w:rFonts w:hint="eastAsia"/>
          <w:color w:val="auto"/>
          <w:sz w:val="30"/>
          <w:szCs w:val="30"/>
          <w:highlight w:val="none"/>
        </w:rPr>
      </w:pPr>
      <w:r>
        <w:rPr>
          <w:rFonts w:hint="eastAsia"/>
          <w:b/>
          <w:bCs/>
          <w:color w:val="auto"/>
          <w:sz w:val="30"/>
          <w:szCs w:val="30"/>
          <w:highlight w:val="none"/>
        </w:rPr>
        <w:t>绿色低碳</w:t>
      </w:r>
      <w:r>
        <w:rPr>
          <w:rFonts w:hint="eastAsia"/>
          <w:b/>
          <w:bCs/>
          <w:color w:val="auto"/>
          <w:sz w:val="30"/>
          <w:szCs w:val="30"/>
          <w:highlight w:val="none"/>
          <w:lang w:val="en-US" w:eastAsia="zh-CN"/>
        </w:rPr>
        <w:t>转型示范</w:t>
      </w:r>
      <w:r>
        <w:rPr>
          <w:rFonts w:hint="eastAsia"/>
          <w:b/>
          <w:bCs/>
          <w:color w:val="auto"/>
          <w:sz w:val="30"/>
          <w:szCs w:val="30"/>
          <w:highlight w:val="none"/>
        </w:rPr>
        <w:t>区</w:t>
      </w:r>
      <w:r>
        <w:rPr>
          <w:rFonts w:hint="eastAsia"/>
          <w:b/>
          <w:bCs/>
          <w:color w:val="auto"/>
          <w:sz w:val="30"/>
          <w:szCs w:val="30"/>
          <w:highlight w:val="none"/>
          <w:lang w:eastAsia="zh-CN"/>
        </w:rPr>
        <w:t>。</w:t>
      </w:r>
      <w:r>
        <w:rPr>
          <w:rFonts w:hint="eastAsia"/>
          <w:color w:val="auto"/>
          <w:sz w:val="30"/>
          <w:szCs w:val="30"/>
          <w:highlight w:val="none"/>
        </w:rPr>
        <w:t>坚定走生态优先、绿色发展之路，设定并严守资源环境底线。以经济社会发展全面绿色转型为引领，深度调整产业结构，推动生态工业、生态旅游、生态农业融合发展，壮大循环经济规模</w:t>
      </w:r>
      <w:r>
        <w:rPr>
          <w:rFonts w:hint="eastAsia"/>
          <w:color w:val="auto"/>
          <w:sz w:val="30"/>
          <w:szCs w:val="30"/>
          <w:highlight w:val="none"/>
          <w:lang w:eastAsia="zh-CN"/>
        </w:rPr>
        <w:t>。</w:t>
      </w:r>
      <w:r>
        <w:rPr>
          <w:rFonts w:hint="eastAsia"/>
          <w:color w:val="auto"/>
          <w:sz w:val="30"/>
          <w:szCs w:val="30"/>
          <w:highlight w:val="none"/>
        </w:rPr>
        <w:t>加快构建清洁低碳能源体系和绿色交通体系，积极探索生态运营与生态消费新模式，共建绿色低碳发展区，实现经济发展与生态建设协同共进，打造中心城区绿色低碳转型的西山路。</w:t>
      </w:r>
    </w:p>
    <w:p>
      <w:pPr>
        <w:bidi w:val="0"/>
        <w:rPr>
          <w:rFonts w:hint="eastAsia"/>
          <w:color w:val="auto"/>
          <w:highlight w:val="none"/>
        </w:rPr>
      </w:pPr>
      <w:r>
        <w:rPr>
          <w:rFonts w:hint="eastAsia"/>
          <w:b/>
          <w:bCs/>
          <w:color w:val="auto"/>
          <w:sz w:val="30"/>
          <w:szCs w:val="30"/>
          <w:highlight w:val="none"/>
        </w:rPr>
        <w:t>山水人文融合</w:t>
      </w:r>
      <w:r>
        <w:rPr>
          <w:rFonts w:hint="eastAsia"/>
          <w:b/>
          <w:bCs/>
          <w:color w:val="auto"/>
          <w:sz w:val="30"/>
          <w:szCs w:val="30"/>
          <w:highlight w:val="none"/>
          <w:lang w:val="en-US" w:eastAsia="zh-CN"/>
        </w:rPr>
        <w:t>宜居地</w:t>
      </w:r>
      <w:r>
        <w:rPr>
          <w:rFonts w:hint="eastAsia"/>
          <w:b/>
          <w:bCs/>
          <w:color w:val="auto"/>
          <w:sz w:val="30"/>
          <w:szCs w:val="30"/>
          <w:highlight w:val="none"/>
          <w:lang w:eastAsia="zh-CN"/>
        </w:rPr>
        <w:t>。</w:t>
      </w:r>
      <w:r>
        <w:rPr>
          <w:rFonts w:hint="eastAsia"/>
          <w:color w:val="auto"/>
          <w:sz w:val="30"/>
          <w:szCs w:val="30"/>
          <w:highlight w:val="none"/>
        </w:rPr>
        <w:t>巩固提升生态文明区创建成果</w:t>
      </w:r>
      <w:r>
        <w:rPr>
          <w:rFonts w:hint="eastAsia"/>
          <w:color w:val="auto"/>
          <w:sz w:val="30"/>
          <w:szCs w:val="30"/>
          <w:highlight w:val="none"/>
          <w:lang w:eastAsia="zh-CN"/>
        </w:rPr>
        <w:t>，</w:t>
      </w:r>
      <w:r>
        <w:rPr>
          <w:rFonts w:hint="eastAsia"/>
          <w:color w:val="auto"/>
          <w:sz w:val="30"/>
          <w:szCs w:val="30"/>
          <w:highlight w:val="none"/>
        </w:rPr>
        <w:t>以公园城市建设为依托，</w:t>
      </w:r>
      <w:bookmarkStart w:id="45" w:name="_Toc19982"/>
      <w:r>
        <w:rPr>
          <w:rFonts w:hint="eastAsia"/>
          <w:color w:val="auto"/>
          <w:sz w:val="30"/>
          <w:szCs w:val="30"/>
          <w:highlight w:val="none"/>
        </w:rPr>
        <w:t>优化蓝绿交织的生态网络与城乡空间布局，提升人居环境品质。深度融合</w:t>
      </w:r>
      <w:r>
        <w:rPr>
          <w:rFonts w:hint="eastAsia"/>
          <w:color w:val="auto"/>
          <w:sz w:val="30"/>
          <w:szCs w:val="30"/>
          <w:highlight w:val="none"/>
          <w:lang w:val="en-US" w:eastAsia="zh-CN"/>
        </w:rPr>
        <w:t>湖光山色</w:t>
      </w:r>
      <w:r>
        <w:rPr>
          <w:rFonts w:hint="eastAsia"/>
          <w:color w:val="auto"/>
          <w:sz w:val="30"/>
          <w:szCs w:val="30"/>
          <w:highlight w:val="none"/>
        </w:rPr>
        <w:t>与</w:t>
      </w:r>
      <w:r>
        <w:rPr>
          <w:rFonts w:hint="eastAsia"/>
          <w:color w:val="auto"/>
          <w:sz w:val="30"/>
          <w:szCs w:val="30"/>
          <w:highlight w:val="none"/>
          <w:lang w:val="en-US" w:eastAsia="zh-CN"/>
        </w:rPr>
        <w:t>云南民俗</w:t>
      </w:r>
      <w:r>
        <w:rPr>
          <w:rFonts w:hint="eastAsia"/>
          <w:color w:val="auto"/>
          <w:sz w:val="30"/>
          <w:szCs w:val="30"/>
          <w:highlight w:val="none"/>
        </w:rPr>
        <w:t>风情，优化产城人文布局，打造“水清岸绿、景美人和”的现代化高品质宜居典范城区。</w:t>
      </w:r>
    </w:p>
    <w:bookmarkEnd w:id="45"/>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46" w:name="_Toc1391234695"/>
      <w:bookmarkStart w:id="47" w:name="_Toc5480"/>
      <w:bookmarkStart w:id="48" w:name="_Toc24298"/>
      <w:bookmarkStart w:id="49" w:name="_Toc7492"/>
      <w:bookmarkStart w:id="50" w:name="_Toc1844"/>
      <w:bookmarkStart w:id="51" w:name="_Toc977813180"/>
      <w:bookmarkStart w:id="52" w:name="_Toc9622"/>
      <w:r>
        <w:rPr>
          <w:rFonts w:hint="eastAsia"/>
          <w:color w:val="auto"/>
          <w:highlight w:val="none"/>
          <w:lang w:val="en-US" w:eastAsia="zh-CN"/>
        </w:rPr>
        <w:t>规划</w:t>
      </w:r>
      <w:r>
        <w:rPr>
          <w:rFonts w:hint="eastAsia"/>
          <w:color w:val="auto"/>
          <w:highlight w:val="none"/>
        </w:rPr>
        <w:t>目标</w:t>
      </w:r>
      <w:bookmarkEnd w:id="46"/>
      <w:bookmarkEnd w:id="47"/>
      <w:bookmarkEnd w:id="48"/>
      <w:bookmarkEnd w:id="49"/>
      <w:bookmarkEnd w:id="50"/>
      <w:bookmarkEnd w:id="51"/>
      <w:bookmarkEnd w:id="52"/>
    </w:p>
    <w:p>
      <w:pPr>
        <w:ind w:firstLine="600"/>
        <w:rPr>
          <w:rFonts w:hint="eastAsia" w:ascii="Times New Roman" w:hAnsi="Times New Roman"/>
          <w:b w:val="0"/>
          <w:bCs w:val="0"/>
          <w:color w:val="auto"/>
          <w:sz w:val="30"/>
          <w:szCs w:val="30"/>
          <w:highlight w:val="none"/>
          <w:lang w:val="en-US" w:eastAsia="zh-CN"/>
        </w:rPr>
      </w:pPr>
      <w:r>
        <w:rPr>
          <w:rFonts w:hint="eastAsia" w:ascii="Times New Roman" w:hAnsi="Times New Roman"/>
          <w:b/>
          <w:bCs/>
          <w:color w:val="auto"/>
          <w:sz w:val="30"/>
          <w:szCs w:val="30"/>
          <w:highlight w:val="none"/>
          <w:lang w:val="en-US" w:eastAsia="zh-CN"/>
        </w:rPr>
        <w:t>二〇三五年远景目标。</w:t>
      </w:r>
      <w:r>
        <w:rPr>
          <w:rFonts w:hint="eastAsia" w:ascii="Times New Roman" w:hAnsi="Times New Roman"/>
          <w:b w:val="0"/>
          <w:bCs w:val="0"/>
          <w:color w:val="auto"/>
          <w:sz w:val="30"/>
          <w:szCs w:val="30"/>
          <w:highlight w:val="none"/>
          <w:lang w:val="en-US" w:eastAsia="zh-CN"/>
        </w:rPr>
        <w:t>展望2035年，流域生态治理实现质的提升，水质持续改善并达到优良，生态系统健康韧性显著增强。全域环境品质迈入更高水平，“蓝天常驻、碧水长流、净土常在”成为生活常态。以生态工业、生态旅游、生态农业为核心的绿色低碳经济体系全面成型，碳排放实现达峰并稳中有降，高质量发展与高水平保护实现深度协同。形成多元共治环保新格局，现代化治理能力达到新水平，成为生态文明建设排头兵示范区，为昆明建设美丽中国典范城市提供支撑。</w:t>
      </w:r>
    </w:p>
    <w:p>
      <w:pPr>
        <w:ind w:firstLine="600"/>
        <w:rPr>
          <w:color w:val="auto"/>
          <w:sz w:val="30"/>
          <w:szCs w:val="30"/>
          <w:highlight w:val="none"/>
        </w:rPr>
      </w:pPr>
      <w:r>
        <w:rPr>
          <w:rFonts w:hint="eastAsia"/>
          <w:b/>
          <w:bCs/>
          <w:color w:val="auto"/>
          <w:sz w:val="30"/>
          <w:szCs w:val="30"/>
          <w:highlight w:val="none"/>
          <w:lang w:val="en-US" w:eastAsia="zh-CN"/>
        </w:rPr>
        <w:t>“十五五”规划总体目标。</w:t>
      </w:r>
      <w:r>
        <w:rPr>
          <w:color w:val="auto"/>
          <w:sz w:val="30"/>
          <w:szCs w:val="30"/>
          <w:highlight w:val="none"/>
        </w:rPr>
        <w:t>在推动经济高质量绿色发展的同时，以生态环境质量的根本性改善和生态环境治理能力的现代化为核心目标，确保与全省、全市同步实现碳达峰，积极推动美丽河湖、美丽乡村、美丽细胞建设，构建山水相依、城景一体的公园城市体系，大力发展公园经济，积极打造美丽中国</w:t>
      </w:r>
      <w:r>
        <w:rPr>
          <w:rFonts w:hint="eastAsia"/>
          <w:color w:val="auto"/>
          <w:sz w:val="30"/>
          <w:szCs w:val="30"/>
          <w:highlight w:val="none"/>
          <w:lang w:eastAsia="zh-CN"/>
        </w:rPr>
        <w:t>“</w:t>
      </w:r>
      <w:r>
        <w:rPr>
          <w:color w:val="auto"/>
          <w:sz w:val="30"/>
          <w:szCs w:val="30"/>
          <w:highlight w:val="none"/>
        </w:rPr>
        <w:t>西山样板</w:t>
      </w:r>
      <w:r>
        <w:rPr>
          <w:rFonts w:hint="eastAsia"/>
          <w:color w:val="auto"/>
          <w:sz w:val="30"/>
          <w:szCs w:val="30"/>
          <w:highlight w:val="none"/>
          <w:lang w:eastAsia="zh-CN"/>
        </w:rPr>
        <w:t>”</w:t>
      </w:r>
      <w:r>
        <w:rPr>
          <w:color w:val="auto"/>
          <w:sz w:val="30"/>
          <w:szCs w:val="30"/>
          <w:highlight w:val="none"/>
        </w:rPr>
        <w:t>。</w:t>
      </w:r>
    </w:p>
    <w:p>
      <w:pPr>
        <w:ind w:firstLine="600"/>
        <w:rPr>
          <w:color w:val="auto"/>
          <w:sz w:val="30"/>
          <w:szCs w:val="30"/>
          <w:highlight w:val="none"/>
        </w:rPr>
      </w:pPr>
      <w:r>
        <w:rPr>
          <w:b/>
          <w:bCs/>
          <w:color w:val="auto"/>
          <w:sz w:val="30"/>
          <w:szCs w:val="30"/>
          <w:highlight w:val="none"/>
        </w:rPr>
        <w:t>绿色低碳转型加快推进</w:t>
      </w:r>
      <w:r>
        <w:rPr>
          <w:color w:val="auto"/>
          <w:sz w:val="30"/>
          <w:szCs w:val="30"/>
          <w:highlight w:val="none"/>
        </w:rPr>
        <w:t>：</w:t>
      </w:r>
      <w:r>
        <w:rPr>
          <w:rFonts w:hint="eastAsia"/>
          <w:color w:val="auto"/>
          <w:sz w:val="30"/>
          <w:szCs w:val="30"/>
          <w:highlight w:val="none"/>
        </w:rPr>
        <w:t>加快推进全区绿色低碳转型，</w:t>
      </w:r>
      <w:r>
        <w:rPr>
          <w:color w:val="auto"/>
          <w:sz w:val="30"/>
          <w:szCs w:val="30"/>
          <w:highlight w:val="none"/>
        </w:rPr>
        <w:t>推进海口工业园区重点</w:t>
      </w:r>
      <w:r>
        <w:rPr>
          <w:rFonts w:hint="eastAsia"/>
          <w:color w:val="auto"/>
          <w:sz w:val="30"/>
          <w:szCs w:val="30"/>
          <w:highlight w:val="none"/>
        </w:rPr>
        <w:t>行业企业碳达峰，实施绿色节能改造，探索“零碳园区”试点效果突出</w:t>
      </w:r>
      <w:r>
        <w:rPr>
          <w:rFonts w:hint="eastAsia"/>
          <w:color w:val="auto"/>
          <w:sz w:val="30"/>
          <w:szCs w:val="30"/>
          <w:highlight w:val="none"/>
          <w:lang w:eastAsia="zh-CN"/>
        </w:rPr>
        <w:t>。</w:t>
      </w:r>
      <w:r>
        <w:rPr>
          <w:rFonts w:hint="eastAsia"/>
          <w:color w:val="auto"/>
          <w:sz w:val="30"/>
          <w:szCs w:val="30"/>
          <w:highlight w:val="none"/>
        </w:rPr>
        <w:t>推进新增绿色建筑占比达100%</w:t>
      </w:r>
      <w:r>
        <w:rPr>
          <w:rFonts w:hint="eastAsia"/>
          <w:color w:val="auto"/>
          <w:sz w:val="30"/>
          <w:szCs w:val="30"/>
          <w:highlight w:val="none"/>
          <w:lang w:eastAsia="zh-CN"/>
        </w:rPr>
        <w:t>，非化石能源占</w:t>
      </w:r>
      <w:r>
        <w:rPr>
          <w:rFonts w:hint="eastAsia"/>
          <w:color w:val="auto"/>
          <w:sz w:val="30"/>
          <w:szCs w:val="30"/>
          <w:highlight w:val="none"/>
          <w:lang w:val="en-US" w:eastAsia="zh-CN"/>
        </w:rPr>
        <w:t>比提升</w:t>
      </w:r>
      <w:r>
        <w:rPr>
          <w:rFonts w:hint="eastAsia"/>
          <w:color w:val="auto"/>
          <w:highlight w:val="none"/>
          <w:lang w:eastAsia="zh-CN"/>
        </w:rPr>
        <w:t>，</w:t>
      </w:r>
      <w:r>
        <w:rPr>
          <w:rFonts w:hint="eastAsia"/>
          <w:color w:val="auto"/>
          <w:sz w:val="30"/>
          <w:szCs w:val="30"/>
          <w:highlight w:val="none"/>
        </w:rPr>
        <w:t>营造绿色、低碳、简约、适度的生产、生活方式</w:t>
      </w:r>
      <w:r>
        <w:rPr>
          <w:rFonts w:hint="eastAsia"/>
          <w:color w:val="auto"/>
          <w:sz w:val="30"/>
          <w:szCs w:val="30"/>
          <w:highlight w:val="none"/>
          <w:lang w:eastAsia="zh-CN"/>
        </w:rPr>
        <w:t>。</w:t>
      </w:r>
      <w:r>
        <w:rPr>
          <w:rFonts w:hint="eastAsia"/>
          <w:color w:val="auto"/>
          <w:sz w:val="30"/>
          <w:szCs w:val="30"/>
          <w:highlight w:val="none"/>
        </w:rPr>
        <w:t>推动工业、能源、农业、交通运输等重点领域绿色低碳转型取得显著成效，绿色低碳产业规模不断扩大。持续推进海绵城市建设，加快再生水循环利用设施建设，推行垃圾分类，扩大“无废细胞”覆盖面，加快“无废城市”建设步伐。</w:t>
      </w:r>
    </w:p>
    <w:p>
      <w:pPr>
        <w:ind w:firstLine="600"/>
        <w:rPr>
          <w:color w:val="auto"/>
          <w:sz w:val="30"/>
          <w:szCs w:val="30"/>
          <w:highlight w:val="none"/>
        </w:rPr>
      </w:pPr>
      <w:r>
        <w:rPr>
          <w:b/>
          <w:bCs/>
          <w:color w:val="auto"/>
          <w:sz w:val="30"/>
          <w:szCs w:val="30"/>
          <w:highlight w:val="none"/>
        </w:rPr>
        <w:t>环境质量巩固提升</w:t>
      </w:r>
      <w:r>
        <w:rPr>
          <w:color w:val="auto"/>
          <w:sz w:val="30"/>
          <w:szCs w:val="30"/>
          <w:highlight w:val="none"/>
        </w:rPr>
        <w:t>：持续打好</w:t>
      </w:r>
      <w:r>
        <w:rPr>
          <w:rFonts w:hint="eastAsia"/>
          <w:color w:val="auto"/>
          <w:sz w:val="30"/>
          <w:szCs w:val="30"/>
          <w:highlight w:val="none"/>
          <w:lang w:eastAsia="zh-CN"/>
        </w:rPr>
        <w:t>“</w:t>
      </w:r>
      <w:r>
        <w:rPr>
          <w:color w:val="auto"/>
          <w:sz w:val="30"/>
          <w:szCs w:val="30"/>
          <w:highlight w:val="none"/>
        </w:rPr>
        <w:t>蓝天、碧水、净土</w:t>
      </w:r>
      <w:r>
        <w:rPr>
          <w:rFonts w:hint="eastAsia"/>
          <w:color w:val="auto"/>
          <w:sz w:val="30"/>
          <w:szCs w:val="30"/>
          <w:highlight w:val="none"/>
          <w:lang w:eastAsia="zh-CN"/>
        </w:rPr>
        <w:t>”</w:t>
      </w:r>
      <w:r>
        <w:rPr>
          <w:color w:val="auto"/>
          <w:sz w:val="30"/>
          <w:szCs w:val="30"/>
          <w:highlight w:val="none"/>
        </w:rPr>
        <w:t>保卫战，主要污染物排放总量持续削减。到20</w:t>
      </w:r>
      <w:r>
        <w:rPr>
          <w:rFonts w:hint="eastAsia"/>
          <w:color w:val="auto"/>
          <w:sz w:val="30"/>
          <w:szCs w:val="30"/>
          <w:highlight w:val="none"/>
          <w:lang w:val="en-US" w:eastAsia="zh-CN"/>
        </w:rPr>
        <w:t>30年</w:t>
      </w:r>
      <w:r>
        <w:rPr>
          <w:color w:val="auto"/>
          <w:sz w:val="30"/>
          <w:szCs w:val="30"/>
          <w:highlight w:val="none"/>
        </w:rPr>
        <w:t>细颗粒物平均浓度逐步下降到20微克/立方米以下</w:t>
      </w:r>
      <w:r>
        <w:rPr>
          <w:rFonts w:hint="eastAsia"/>
          <w:color w:val="auto"/>
          <w:sz w:val="30"/>
          <w:szCs w:val="30"/>
          <w:highlight w:val="none"/>
          <w:lang w:eastAsia="zh-CN"/>
        </w:rPr>
        <w:t>，</w:t>
      </w:r>
      <w:r>
        <w:rPr>
          <w:color w:val="auto"/>
          <w:sz w:val="30"/>
          <w:szCs w:val="30"/>
          <w:highlight w:val="none"/>
        </w:rPr>
        <w:t>环境空气质量优良天数比率</w:t>
      </w:r>
      <w:r>
        <w:rPr>
          <w:rFonts w:hint="eastAsia"/>
          <w:color w:val="auto"/>
          <w:sz w:val="30"/>
          <w:szCs w:val="30"/>
          <w:highlight w:val="none"/>
          <w:lang w:val="en-US" w:eastAsia="zh-CN"/>
        </w:rPr>
        <w:t>保持在</w:t>
      </w:r>
      <w:r>
        <w:rPr>
          <w:color w:val="auto"/>
          <w:sz w:val="30"/>
          <w:szCs w:val="30"/>
          <w:highlight w:val="none"/>
        </w:rPr>
        <w:t>9</w:t>
      </w:r>
      <w:r>
        <w:rPr>
          <w:rFonts w:hint="eastAsia"/>
          <w:color w:val="auto"/>
          <w:sz w:val="30"/>
          <w:szCs w:val="30"/>
          <w:highlight w:val="none"/>
          <w:lang w:val="en-US" w:eastAsia="zh-CN"/>
        </w:rPr>
        <w:t>8</w:t>
      </w:r>
      <w:r>
        <w:rPr>
          <w:color w:val="auto"/>
          <w:sz w:val="30"/>
          <w:szCs w:val="30"/>
          <w:highlight w:val="none"/>
        </w:rPr>
        <w:t>%</w:t>
      </w:r>
      <w:r>
        <w:rPr>
          <w:rFonts w:hint="eastAsia"/>
          <w:color w:val="auto"/>
          <w:sz w:val="30"/>
          <w:szCs w:val="30"/>
          <w:highlight w:val="none"/>
          <w:lang w:val="en-US" w:eastAsia="zh-CN"/>
        </w:rPr>
        <w:t>以上。</w:t>
      </w:r>
      <w:r>
        <w:rPr>
          <w:color w:val="auto"/>
          <w:sz w:val="30"/>
          <w:szCs w:val="30"/>
          <w:highlight w:val="none"/>
        </w:rPr>
        <w:t>地表水环境质量实现稳定达标向持续向好的根本性转变，有效解决汛期水质波动问题，滇池及主要出入湖河道水生态系统功能稳步恢复，</w:t>
      </w:r>
      <w:r>
        <w:rPr>
          <w:color w:val="auto"/>
          <w:highlight w:val="none"/>
        </w:rPr>
        <w:t>达到或好于Ⅲ类水质比例持续提升</w:t>
      </w:r>
      <w:r>
        <w:rPr>
          <w:color w:val="auto"/>
          <w:sz w:val="30"/>
          <w:szCs w:val="30"/>
          <w:highlight w:val="none"/>
        </w:rPr>
        <w:t>，</w:t>
      </w:r>
      <w:r>
        <w:rPr>
          <w:rFonts w:hint="eastAsia"/>
          <w:color w:val="auto"/>
          <w:sz w:val="30"/>
          <w:szCs w:val="30"/>
          <w:highlight w:val="none"/>
          <w:lang w:val="en-US" w:eastAsia="zh-CN"/>
        </w:rPr>
        <w:t>优良水体</w:t>
      </w:r>
      <w:r>
        <w:rPr>
          <w:color w:val="auto"/>
          <w:sz w:val="30"/>
          <w:szCs w:val="30"/>
          <w:highlight w:val="none"/>
        </w:rPr>
        <w:t>断面水质考核达标率持续保持100%，饮用水安全保障率100%</w:t>
      </w:r>
      <w:r>
        <w:rPr>
          <w:rFonts w:hint="eastAsia"/>
          <w:color w:val="auto"/>
          <w:sz w:val="30"/>
          <w:szCs w:val="30"/>
          <w:highlight w:val="none"/>
        </w:rPr>
        <w:t>。</w:t>
      </w:r>
      <w:r>
        <w:rPr>
          <w:color w:val="auto"/>
          <w:highlight w:val="none"/>
        </w:rPr>
        <w:t>受污染耕地和建点建设用地安全利用持续巩固，土壤环境风险全面管控，地下水环境质量保持稳定</w:t>
      </w:r>
      <w:r>
        <w:rPr>
          <w:rFonts w:hint="eastAsia"/>
          <w:color w:val="auto"/>
          <w:sz w:val="30"/>
          <w:szCs w:val="30"/>
          <w:highlight w:val="none"/>
          <w:lang w:val="en-US" w:eastAsia="zh-CN"/>
        </w:rPr>
        <w:t>。</w:t>
      </w:r>
      <w:r>
        <w:rPr>
          <w:rFonts w:hint="eastAsia"/>
          <w:color w:val="auto"/>
          <w:sz w:val="30"/>
          <w:szCs w:val="30"/>
          <w:highlight w:val="none"/>
        </w:rPr>
        <w:t>磷石膏综合利用率持续提升，</w:t>
      </w:r>
      <w:r>
        <w:rPr>
          <w:rFonts w:hint="eastAsia"/>
          <w:color w:val="auto"/>
          <w:sz w:val="30"/>
          <w:szCs w:val="30"/>
          <w:highlight w:val="none"/>
          <w:lang w:val="en-US" w:eastAsia="zh-CN"/>
        </w:rPr>
        <w:t>建立覆盖源头、过程、末端的全链条无害化固体废物长效治理体系</w:t>
      </w:r>
      <w:r>
        <w:rPr>
          <w:rFonts w:hint="eastAsia"/>
          <w:color w:val="auto"/>
          <w:sz w:val="30"/>
          <w:szCs w:val="30"/>
          <w:highlight w:val="none"/>
        </w:rPr>
        <w:t>。</w:t>
      </w:r>
      <w:r>
        <w:rPr>
          <w:color w:val="auto"/>
          <w:sz w:val="30"/>
          <w:szCs w:val="30"/>
          <w:highlight w:val="none"/>
        </w:rPr>
        <w:t>加快推动主城区噪声、油烟专项治理，</w:t>
      </w:r>
      <w:r>
        <w:rPr>
          <w:rFonts w:hint="eastAsia"/>
          <w:color w:val="auto"/>
          <w:sz w:val="30"/>
          <w:szCs w:val="30"/>
          <w:highlight w:val="none"/>
          <w:lang w:eastAsia="zh-CN"/>
        </w:rPr>
        <w:t>“</w:t>
      </w:r>
      <w:r>
        <w:rPr>
          <w:color w:val="auto"/>
          <w:sz w:val="30"/>
          <w:szCs w:val="30"/>
          <w:highlight w:val="none"/>
        </w:rPr>
        <w:t>宁静</w:t>
      </w:r>
      <w:r>
        <w:rPr>
          <w:rFonts w:hint="eastAsia"/>
          <w:color w:val="auto"/>
          <w:sz w:val="30"/>
          <w:szCs w:val="30"/>
          <w:highlight w:val="none"/>
          <w:lang w:eastAsia="zh-CN"/>
        </w:rPr>
        <w:t>”</w:t>
      </w:r>
      <w:r>
        <w:rPr>
          <w:color w:val="auto"/>
          <w:sz w:val="30"/>
          <w:szCs w:val="30"/>
          <w:highlight w:val="none"/>
        </w:rPr>
        <w:t>环境质量持续提升。</w:t>
      </w:r>
    </w:p>
    <w:p>
      <w:pPr>
        <w:ind w:firstLine="600"/>
        <w:rPr>
          <w:color w:val="auto"/>
          <w:sz w:val="30"/>
          <w:szCs w:val="30"/>
          <w:highlight w:val="none"/>
        </w:rPr>
      </w:pPr>
      <w:r>
        <w:rPr>
          <w:b/>
          <w:bCs/>
          <w:color w:val="auto"/>
          <w:sz w:val="30"/>
          <w:szCs w:val="30"/>
          <w:highlight w:val="none"/>
        </w:rPr>
        <w:t>生态系统</w:t>
      </w:r>
      <w:r>
        <w:rPr>
          <w:rFonts w:hint="eastAsia"/>
          <w:b/>
          <w:bCs/>
          <w:color w:val="auto"/>
          <w:sz w:val="30"/>
          <w:szCs w:val="30"/>
          <w:highlight w:val="none"/>
          <w:lang w:val="en-US" w:eastAsia="zh-CN"/>
        </w:rPr>
        <w:t>功能</w:t>
      </w:r>
      <w:r>
        <w:rPr>
          <w:b/>
          <w:bCs/>
          <w:color w:val="auto"/>
          <w:sz w:val="30"/>
          <w:szCs w:val="30"/>
          <w:highlight w:val="none"/>
        </w:rPr>
        <w:t>持续稳固</w:t>
      </w:r>
      <w:r>
        <w:rPr>
          <w:color w:val="auto"/>
          <w:sz w:val="30"/>
          <w:szCs w:val="30"/>
          <w:highlight w:val="none"/>
        </w:rPr>
        <w:t>：完成历史遗留矿山生态修复。森林、湿地等生态系统稳定性和服务功能显著增强，生物多样性得到切实保护。强化自然保护地建设，着力加强滇池湖滨带，西山风景名胜区、</w:t>
      </w:r>
      <w:r>
        <w:rPr>
          <w:rFonts w:hint="eastAsia"/>
          <w:color w:val="auto"/>
          <w:sz w:val="30"/>
          <w:szCs w:val="30"/>
          <w:highlight w:val="none"/>
          <w:lang w:val="en-US" w:eastAsia="zh-CN"/>
        </w:rPr>
        <w:t>团结街道</w:t>
      </w:r>
      <w:r>
        <w:rPr>
          <w:color w:val="auto"/>
          <w:sz w:val="30"/>
          <w:szCs w:val="30"/>
          <w:highlight w:val="none"/>
        </w:rPr>
        <w:t>生态环境保护与生物多样性建设。城市生物多样性保护水平提升，生态廊道连通性和完整性增强，公园城市建设取得显著成效，城景融合、蓝绿交织的生态空间格局基本形成。​</w:t>
      </w:r>
      <w:r>
        <w:rPr>
          <w:b/>
          <w:bCs/>
          <w:color w:val="auto"/>
          <w:sz w:val="30"/>
          <w:szCs w:val="30"/>
          <w:highlight w:val="none"/>
        </w:rPr>
        <w:t>​生态为民</w:t>
      </w:r>
      <w:r>
        <w:rPr>
          <w:rFonts w:hint="eastAsia"/>
          <w:b/>
          <w:bCs/>
          <w:color w:val="auto"/>
          <w:sz w:val="30"/>
          <w:szCs w:val="30"/>
          <w:highlight w:val="none"/>
          <w:lang w:val="en-US" w:eastAsia="zh-CN"/>
        </w:rPr>
        <w:t>落地</w:t>
      </w:r>
      <w:r>
        <w:rPr>
          <w:b/>
          <w:bCs/>
          <w:color w:val="auto"/>
          <w:sz w:val="30"/>
          <w:szCs w:val="30"/>
          <w:highlight w:val="none"/>
        </w:rPr>
        <w:t>见效：</w:t>
      </w:r>
      <w:r>
        <w:rPr>
          <w:rFonts w:hint="eastAsia"/>
          <w:b w:val="0"/>
          <w:bCs w:val="0"/>
          <w:color w:val="auto"/>
          <w:sz w:val="30"/>
          <w:szCs w:val="30"/>
          <w:highlight w:val="none"/>
          <w:lang w:val="en-US" w:eastAsia="zh-CN"/>
        </w:rPr>
        <w:t>聚焦</w:t>
      </w:r>
      <w:r>
        <w:rPr>
          <w:color w:val="auto"/>
          <w:sz w:val="30"/>
          <w:szCs w:val="30"/>
          <w:highlight w:val="none"/>
        </w:rPr>
        <w:t>中央及省级生态环境保护督察反馈问题，全面、彻底整改到位，并形成长效防治机制。环境健康与生态安全屏障更加牢固</w:t>
      </w:r>
      <w:r>
        <w:rPr>
          <w:rFonts w:hint="eastAsia"/>
          <w:color w:val="auto"/>
          <w:sz w:val="30"/>
          <w:szCs w:val="30"/>
          <w:highlight w:val="none"/>
        </w:rPr>
        <w:t>，</w:t>
      </w:r>
      <w:r>
        <w:rPr>
          <w:color w:val="auto"/>
          <w:sz w:val="30"/>
          <w:szCs w:val="30"/>
          <w:highlight w:val="none"/>
        </w:rPr>
        <w:t>城乡人居环境品质实现跨越式提升，亲水空间和生态休闲空间更具品质</w:t>
      </w:r>
      <w:r>
        <w:rPr>
          <w:rFonts w:hint="eastAsia"/>
          <w:color w:val="auto"/>
          <w:sz w:val="30"/>
          <w:szCs w:val="30"/>
          <w:highlight w:val="none"/>
        </w:rPr>
        <w:t>，</w:t>
      </w:r>
      <w:r>
        <w:rPr>
          <w:color w:val="auto"/>
          <w:sz w:val="30"/>
          <w:szCs w:val="30"/>
          <w:highlight w:val="none"/>
        </w:rPr>
        <w:t xml:space="preserve">公园服务功能不断完善，市民生态福利持续增加。噪声、油烟、恶臭等问题得到有效解决，人民群众生态环境获得感、满意度不断增强。​​ </w:t>
      </w:r>
    </w:p>
    <w:p>
      <w:pPr>
        <w:ind w:firstLine="600"/>
        <w:rPr>
          <w:color w:val="auto"/>
          <w:sz w:val="30"/>
          <w:szCs w:val="30"/>
          <w:highlight w:val="none"/>
        </w:rPr>
      </w:pPr>
      <w:r>
        <w:rPr>
          <w:b/>
          <w:bCs/>
          <w:color w:val="auto"/>
          <w:sz w:val="30"/>
          <w:szCs w:val="30"/>
          <w:highlight w:val="none"/>
        </w:rPr>
        <w:t>环境治理体系持续完善：</w:t>
      </w:r>
      <w:r>
        <w:rPr>
          <w:color w:val="auto"/>
          <w:sz w:val="30"/>
          <w:szCs w:val="30"/>
          <w:highlight w:val="none"/>
        </w:rPr>
        <w:t>党委领导、政府主导、企业主体、社会组织和公众共同参与的现代环境治理体系基本建成并高效运行。环境信息公开透明，公众参与渠道畅通高效，绿色发展成为社会普遍共识和自觉行动。公园城市理念和生态文化深入人心，多元共治的生态环境治理格局更加巩固。​</w:t>
      </w:r>
    </w:p>
    <w:p>
      <w:pPr>
        <w:pStyle w:val="2"/>
        <w:keepNext/>
        <w:keepLines/>
        <w:pageBreakBefore w:val="0"/>
        <w:widowControl w:val="0"/>
        <w:numPr>
          <w:ilvl w:val="0"/>
          <w:numId w:val="3"/>
        </w:numPr>
        <w:kinsoku/>
        <w:wordWrap/>
        <w:overflowPunct/>
        <w:topLinePunct w:val="0"/>
        <w:autoSpaceDE/>
        <w:autoSpaceDN/>
        <w:bidi w:val="0"/>
        <w:adjustRightInd/>
        <w:snapToGrid/>
        <w:spacing w:before="80"/>
        <w:ind w:left="425" w:leftChars="0" w:hanging="425" w:firstLineChars="0"/>
        <w:textAlignment w:val="auto"/>
        <w:rPr>
          <w:color w:val="auto"/>
          <w:highlight w:val="none"/>
        </w:rPr>
      </w:pPr>
      <w:bookmarkStart w:id="53" w:name="_Toc1200"/>
      <w:bookmarkStart w:id="54" w:name="_Toc5519"/>
      <w:bookmarkStart w:id="55" w:name="_Toc1963735666"/>
      <w:bookmarkStart w:id="56" w:name="_Toc28779"/>
      <w:bookmarkStart w:id="57" w:name="_Toc31978"/>
      <w:bookmarkStart w:id="58" w:name="_Toc17334"/>
      <w:bookmarkStart w:id="59" w:name="_Toc1220484757"/>
      <w:r>
        <w:rPr>
          <w:rFonts w:hint="eastAsia"/>
          <w:color w:val="auto"/>
          <w:highlight w:val="none"/>
        </w:rPr>
        <w:t>规划重点任务</w:t>
      </w:r>
      <w:bookmarkEnd w:id="53"/>
      <w:bookmarkEnd w:id="54"/>
      <w:bookmarkEnd w:id="55"/>
      <w:bookmarkEnd w:id="56"/>
      <w:bookmarkEnd w:id="57"/>
      <w:bookmarkEnd w:id="58"/>
      <w:bookmarkEnd w:id="59"/>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60" w:name="_Toc5215"/>
      <w:bookmarkStart w:id="61" w:name="_Toc29626"/>
      <w:bookmarkStart w:id="62" w:name="_Toc25218"/>
      <w:bookmarkStart w:id="63" w:name="_Toc1976651366"/>
      <w:bookmarkStart w:id="64" w:name="_Toc2070998402"/>
      <w:bookmarkStart w:id="65" w:name="_Toc19480"/>
      <w:bookmarkStart w:id="66" w:name="_Toc2420"/>
      <w:r>
        <w:rPr>
          <w:rFonts w:hint="eastAsia"/>
          <w:color w:val="auto"/>
          <w:highlight w:val="none"/>
        </w:rPr>
        <w:t>加快绿色低碳转型，培育高质量发展新动能</w:t>
      </w:r>
      <w:bookmarkEnd w:id="60"/>
      <w:bookmarkEnd w:id="61"/>
      <w:bookmarkEnd w:id="62"/>
      <w:bookmarkEnd w:id="63"/>
      <w:bookmarkEnd w:id="64"/>
      <w:bookmarkEnd w:id="65"/>
      <w:bookmarkEnd w:id="66"/>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锚定碳达峰时序，推动重点领域绿色转型</w:t>
      </w:r>
    </w:p>
    <w:p>
      <w:pPr>
        <w:bidi w:val="0"/>
        <w:rPr>
          <w:rFonts w:hint="eastAsia"/>
          <w:color w:val="auto"/>
          <w:highlight w:val="none"/>
          <w:lang w:val="en-US" w:eastAsia="zh-CN"/>
        </w:rPr>
      </w:pPr>
      <w:r>
        <w:rPr>
          <w:rFonts w:hint="eastAsia"/>
          <w:color w:val="auto"/>
          <w:highlight w:val="none"/>
          <w:lang w:val="en-US" w:eastAsia="zh-CN"/>
        </w:rPr>
        <w:t>充分发挥生态环境保护的引导、优化和倒逼作用，创新绿色发展机制，以“减污降碳协同增效”为总抓手，以布局优化、结构调整和效率提升为核心，深入推进供给侧结构性改革，推动工业、能源、农业、交通运输等重点领域全面绿色转型，加快建立健全绿色低碳循环发展的经济体系，力争到2030年，绿色低碳技术取得关键突破，与全市同步实现碳达峰。</w:t>
      </w:r>
    </w:p>
    <w:p>
      <w:pPr>
        <w:bidi w:val="0"/>
        <w:rPr>
          <w:rFonts w:hint="eastAsia"/>
          <w:color w:val="auto"/>
          <w:highlight w:val="none"/>
          <w:lang w:val="en-US" w:eastAsia="zh-CN"/>
        </w:rPr>
      </w:pPr>
      <w:r>
        <w:rPr>
          <w:rFonts w:hint="eastAsia"/>
          <w:color w:val="auto"/>
          <w:highlight w:val="none"/>
          <w:lang w:val="en-US" w:eastAsia="zh-CN"/>
        </w:rPr>
        <w:t>深入推进楼宇经济高质量发展，深化存量土地盘活焕新与产业园用地提质增效，引导绿色集约、高端商业和生产性服务业“进园上楼”。推动现有及新建商务楼宇实施节能改造与智能化管理，打造一批低碳、近零碳示范智能楼宇；依托东骏药业、中科院昆明动物研究所等龙头企业与科研平台，壮大生物医药等知识密集型、低能耗排放的绿色产业集群。规划建设以咖啡精深加工、生物医药研发制造等为代表的新兴低碳产业园，为产业升级注入绿色新动能。加快探索“工业上楼”与新型产业空间模式，在中心城区布局研发、中试、轻型制造等环境友好型新型楼宇工业，严格准入标准，促进土地集约节约利用与产业价值链提升，同时加速现代服务业绿色化、高端化发展。</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推动产业园区循环改造与绿色升级</w:t>
      </w:r>
    </w:p>
    <w:p>
      <w:pPr>
        <w:bidi w:val="0"/>
        <w:rPr>
          <w:rFonts w:hint="eastAsia"/>
          <w:color w:val="auto"/>
          <w:sz w:val="30"/>
          <w:szCs w:val="30"/>
          <w:highlight w:val="none"/>
        </w:rPr>
      </w:pPr>
      <w:r>
        <w:rPr>
          <w:rFonts w:hint="eastAsia"/>
          <w:color w:val="auto"/>
          <w:sz w:val="30"/>
          <w:szCs w:val="30"/>
          <w:highlight w:val="none"/>
        </w:rPr>
        <w:t>深入推进传统行业改造升级</w:t>
      </w:r>
      <w:r>
        <w:rPr>
          <w:rFonts w:hint="eastAsia"/>
          <w:color w:val="auto"/>
          <w:sz w:val="30"/>
          <w:szCs w:val="30"/>
          <w:highlight w:val="none"/>
          <w:lang w:eastAsia="zh-CN"/>
        </w:rPr>
        <w:t>。</w:t>
      </w:r>
      <w:r>
        <w:rPr>
          <w:rFonts w:hint="eastAsia"/>
          <w:color w:val="auto"/>
          <w:sz w:val="30"/>
          <w:szCs w:val="30"/>
          <w:highlight w:val="none"/>
        </w:rPr>
        <w:t>以海口工业园区为重点，持续培育国家级和省级“绿色工厂”“无废工厂”，以标杆引领带动产业布局优化与绿色升级</w:t>
      </w:r>
      <w:r>
        <w:rPr>
          <w:rFonts w:hint="eastAsia"/>
          <w:color w:val="auto"/>
          <w:sz w:val="30"/>
          <w:szCs w:val="30"/>
          <w:highlight w:val="none"/>
          <w:lang w:eastAsia="zh-CN"/>
        </w:rPr>
        <w:t>。</w:t>
      </w:r>
      <w:r>
        <w:rPr>
          <w:rFonts w:hint="eastAsia"/>
          <w:color w:val="auto"/>
          <w:sz w:val="30"/>
          <w:szCs w:val="30"/>
          <w:highlight w:val="none"/>
        </w:rPr>
        <w:t>严格执行产业政策，严控“两高一低”项目盲目发展，加强规划和产业政策约束，科学评估拟建项目，积极</w:t>
      </w:r>
      <w:r>
        <w:rPr>
          <w:rFonts w:hint="eastAsia"/>
          <w:color w:val="auto"/>
          <w:sz w:val="30"/>
          <w:szCs w:val="30"/>
          <w:highlight w:val="none"/>
          <w:lang w:val="en-US" w:eastAsia="zh-CN"/>
        </w:rPr>
        <w:t>推动</w:t>
      </w:r>
      <w:r>
        <w:rPr>
          <w:rFonts w:hint="eastAsia"/>
          <w:color w:val="auto"/>
          <w:sz w:val="30"/>
          <w:szCs w:val="30"/>
          <w:highlight w:val="none"/>
        </w:rPr>
        <w:t>能耗“双控”向碳排放“双控”转变。聚焦有色金属、建材、开采、农副食品加工等重点行业，实施全流程清洁化、循环化、低碳化改造，推动工业重点领域对照能效标杆水平和基准水平实施节能降碳改造升级，限期分批实施改造和淘汰，提升产业基础绿色化水平。</w:t>
      </w:r>
    </w:p>
    <w:p>
      <w:pPr>
        <w:bidi w:val="0"/>
        <w:rPr>
          <w:rFonts w:hint="eastAsia"/>
          <w:color w:val="auto"/>
          <w:sz w:val="30"/>
          <w:szCs w:val="30"/>
          <w:highlight w:val="none"/>
        </w:rPr>
      </w:pPr>
      <w:r>
        <w:rPr>
          <w:rFonts w:hint="eastAsia"/>
          <w:color w:val="auto"/>
          <w:sz w:val="30"/>
          <w:szCs w:val="30"/>
          <w:highlight w:val="none"/>
        </w:rPr>
        <w:t>扎实推进西山区“一园两片”工业园区规划建设，完善基础设施配套，全面提升园区综合承载能力。海口产业园区结合化工园区整治提升与历史遗留问题化解，集约高效利用发展空间，引导企业应用新技术、新工艺、新材料，提升产品附加值，推动磷化工、装备制造等传统产业迈向中高端。支持云天化等龙头企业延伸产业链，构建完整循环产业链。积极运用数字和绿色技术，全面提升磷石膏等废弃物资源化利用水平，加快“无废城市”建设。探索园区间共建循环产业链网，推进能源梯级利用、基础设施共建共享。长坡片区围绕绿色食品产业实施延链、扩链、强链行动，以精准招商推动集群化发展，逐步构建环保、节约、低碳、循环的生态型工业体系。</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构建清洁低碳、安全高效的现代能源体系</w:t>
      </w:r>
    </w:p>
    <w:p>
      <w:pPr>
        <w:bidi w:val="0"/>
        <w:rPr>
          <w:rFonts w:hint="eastAsia" w:eastAsia="FangSong_GB2312"/>
          <w:color w:val="auto"/>
          <w:sz w:val="30"/>
          <w:szCs w:val="30"/>
          <w:highlight w:val="none"/>
          <w:lang w:eastAsia="zh-CN"/>
        </w:rPr>
      </w:pPr>
      <w:r>
        <w:rPr>
          <w:rFonts w:hint="eastAsia"/>
          <w:color w:val="auto"/>
          <w:sz w:val="30"/>
          <w:szCs w:val="30"/>
          <w:highlight w:val="none"/>
        </w:rPr>
        <w:t>推进能源结构优化调整，持续提升清洁能源比重。严格执行煤炭消费总量控制，积极推动可再生能源替代，因地制宜发展太阳能、风能、生物质能等清洁能源，适时推进光伏发电、生活垃圾焚烧发电等项目的合理布局与有序开发。谋划氢能综合利用、储氢与加氢基础设施建设，统筹能源开发与生态保护</w:t>
      </w:r>
      <w:r>
        <w:rPr>
          <w:rFonts w:hint="eastAsia"/>
          <w:color w:val="auto"/>
          <w:sz w:val="30"/>
          <w:szCs w:val="30"/>
          <w:highlight w:val="none"/>
          <w:lang w:eastAsia="zh-CN"/>
        </w:rPr>
        <w:t>，</w:t>
      </w:r>
      <w:r>
        <w:rPr>
          <w:rFonts w:hint="eastAsia"/>
          <w:color w:val="auto"/>
          <w:sz w:val="30"/>
          <w:szCs w:val="30"/>
          <w:highlight w:val="none"/>
        </w:rPr>
        <w:t>构建风光储互补运行的绿色能源供应体系。力争到2030年，能源结构优化取得阶段性成果，非化石能源消费比重持续提高</w:t>
      </w:r>
      <w:r>
        <w:rPr>
          <w:rFonts w:hint="eastAsia"/>
          <w:color w:val="auto"/>
          <w:sz w:val="30"/>
          <w:szCs w:val="30"/>
          <w:highlight w:val="none"/>
          <w:lang w:eastAsia="zh-CN"/>
        </w:rPr>
        <w:t>。</w:t>
      </w:r>
    </w:p>
    <w:p>
      <w:pPr>
        <w:bidi w:val="0"/>
        <w:rPr>
          <w:rFonts w:hint="eastAsia"/>
          <w:color w:val="auto"/>
          <w:sz w:val="30"/>
          <w:szCs w:val="30"/>
          <w:highlight w:val="none"/>
          <w:lang w:eastAsia="zh-CN"/>
        </w:rPr>
      </w:pPr>
      <w:r>
        <w:rPr>
          <w:rFonts w:hint="eastAsia"/>
          <w:color w:val="auto"/>
          <w:sz w:val="30"/>
          <w:szCs w:val="30"/>
          <w:highlight w:val="none"/>
        </w:rPr>
        <w:t>坚持节能优先战略，持续深化工业、建筑、交通、公共机构等重点领域节能。强化建筑节能，实施先进标准领跑行动，开展超低能耗、近零能耗建筑试点示范，推动建筑能效水平整体提升</w:t>
      </w:r>
      <w:r>
        <w:rPr>
          <w:rFonts w:hint="eastAsia"/>
          <w:color w:val="auto"/>
          <w:sz w:val="30"/>
          <w:szCs w:val="30"/>
          <w:highlight w:val="none"/>
          <w:lang w:eastAsia="zh-CN"/>
        </w:rPr>
        <w:t>。</w:t>
      </w:r>
      <w:r>
        <w:rPr>
          <w:rFonts w:hint="eastAsia"/>
          <w:color w:val="auto"/>
          <w:sz w:val="30"/>
          <w:szCs w:val="30"/>
          <w:highlight w:val="none"/>
        </w:rPr>
        <w:t>积极推广建筑屋顶分布式光伏发电</w:t>
      </w:r>
      <w:r>
        <w:rPr>
          <w:rFonts w:hint="eastAsia"/>
          <w:color w:val="auto"/>
          <w:sz w:val="30"/>
          <w:szCs w:val="30"/>
          <w:highlight w:val="none"/>
          <w:lang w:eastAsia="zh-CN"/>
        </w:rPr>
        <w:t>、</w:t>
      </w:r>
      <w:r>
        <w:rPr>
          <w:rFonts w:hint="eastAsia"/>
          <w:color w:val="auto"/>
          <w:sz w:val="30"/>
          <w:szCs w:val="30"/>
          <w:highlight w:val="none"/>
        </w:rPr>
        <w:t>太阳能热水系统</w:t>
      </w:r>
      <w:r>
        <w:rPr>
          <w:rFonts w:hint="eastAsia"/>
          <w:color w:val="auto"/>
          <w:sz w:val="30"/>
          <w:szCs w:val="30"/>
          <w:highlight w:val="none"/>
          <w:lang w:val="en-US" w:eastAsia="zh-CN"/>
        </w:rPr>
        <w:t>及</w:t>
      </w:r>
      <w:r>
        <w:rPr>
          <w:rFonts w:hint="eastAsia"/>
          <w:color w:val="auto"/>
          <w:sz w:val="30"/>
          <w:szCs w:val="30"/>
          <w:highlight w:val="none"/>
        </w:rPr>
        <w:t>绿色建材和装配式建筑</w:t>
      </w:r>
      <w:r>
        <w:rPr>
          <w:rFonts w:hint="eastAsia"/>
          <w:color w:val="auto"/>
          <w:sz w:val="30"/>
          <w:szCs w:val="30"/>
          <w:highlight w:val="none"/>
          <w:lang w:eastAsia="zh-CN"/>
        </w:rPr>
        <w:t>，</w:t>
      </w:r>
      <w:r>
        <w:rPr>
          <w:rFonts w:hint="eastAsia"/>
          <w:color w:val="auto"/>
          <w:sz w:val="30"/>
          <w:szCs w:val="30"/>
          <w:highlight w:val="none"/>
        </w:rPr>
        <w:t>确保新建建筑全面执行绿色建筑标准</w:t>
      </w:r>
      <w:r>
        <w:rPr>
          <w:rFonts w:hint="eastAsia"/>
          <w:color w:val="auto"/>
          <w:sz w:val="30"/>
          <w:szCs w:val="30"/>
          <w:highlight w:val="none"/>
          <w:lang w:eastAsia="zh-CN"/>
        </w:rPr>
        <w:t>。</w:t>
      </w:r>
    </w:p>
    <w:p>
      <w:pPr>
        <w:bidi w:val="0"/>
        <w:rPr>
          <w:rFonts w:hint="eastAsia"/>
          <w:color w:val="auto"/>
          <w:sz w:val="30"/>
          <w:szCs w:val="30"/>
          <w:highlight w:val="none"/>
        </w:rPr>
      </w:pPr>
      <w:r>
        <w:rPr>
          <w:rFonts w:hint="eastAsia"/>
          <w:color w:val="auto"/>
          <w:sz w:val="30"/>
          <w:szCs w:val="30"/>
          <w:highlight w:val="none"/>
        </w:rPr>
        <w:t>倡导低碳消费模式，培育绿色生活方式。鼓励城乡居民消费绿色低碳产品，引导公众养成节能环保的生活习惯，推动形成简约适度、绿色低碳的社会风尚。通过政策激励与宣传教育，增强全民节能意识，促进绿色消费理念深入人心。</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发展集约高效、低碳环保的绿色交通体系</w:t>
      </w:r>
    </w:p>
    <w:p>
      <w:pPr>
        <w:pStyle w:val="7"/>
        <w:ind w:firstLine="600"/>
        <w:rPr>
          <w:rFonts w:hint="eastAsia"/>
          <w:color w:val="auto"/>
          <w:sz w:val="30"/>
          <w:szCs w:val="30"/>
          <w:highlight w:val="none"/>
        </w:rPr>
      </w:pPr>
      <w:r>
        <w:rPr>
          <w:rFonts w:hint="eastAsia"/>
          <w:color w:val="auto"/>
          <w:sz w:val="30"/>
          <w:szCs w:val="30"/>
          <w:highlight w:val="none"/>
          <w:lang w:val="en-US" w:eastAsia="zh-CN"/>
        </w:rPr>
        <w:t>加快</w:t>
      </w:r>
      <w:r>
        <w:rPr>
          <w:rFonts w:hint="eastAsia"/>
          <w:color w:val="auto"/>
          <w:sz w:val="30"/>
          <w:szCs w:val="30"/>
          <w:highlight w:val="none"/>
        </w:rPr>
        <w:t>构建绿色低碳交通体系</w:t>
      </w:r>
      <w:r>
        <w:rPr>
          <w:rFonts w:hint="eastAsia"/>
          <w:color w:val="auto"/>
          <w:sz w:val="30"/>
          <w:szCs w:val="30"/>
          <w:highlight w:val="none"/>
          <w:lang w:eastAsia="zh-CN"/>
        </w:rPr>
        <w:t>。</w:t>
      </w:r>
      <w:r>
        <w:rPr>
          <w:rFonts w:hint="eastAsia"/>
          <w:color w:val="auto"/>
          <w:sz w:val="30"/>
          <w:szCs w:val="30"/>
          <w:highlight w:val="none"/>
        </w:rPr>
        <w:t>强化公共交通主导地位，优化公交线网，提升服务品质。引导公众将公共交通作为出行首选，提升公共交通出行分担率，从出行结构优化降低交通碳排放。加快建设低碳交通基础设施</w:t>
      </w:r>
      <w:r>
        <w:rPr>
          <w:rFonts w:hint="eastAsia"/>
          <w:color w:val="auto"/>
          <w:sz w:val="30"/>
          <w:szCs w:val="30"/>
          <w:highlight w:val="none"/>
          <w:lang w:eastAsia="zh-CN"/>
        </w:rPr>
        <w:t>。</w:t>
      </w:r>
      <w:r>
        <w:rPr>
          <w:rFonts w:hint="eastAsia"/>
          <w:color w:val="auto"/>
          <w:sz w:val="30"/>
          <w:szCs w:val="30"/>
          <w:highlight w:val="none"/>
        </w:rPr>
        <w:t>将绿色低碳理念贯穿交通基础设施全生命周期。推进换乘中心、场站等设施的低碳化建设，优化公共充电桩和充换电站布局。推动交通基础设施与新能源设施统筹规划。推广低碳交通运输工具和装备应用。加快淘汰高排放老旧车辆，在城市公共服务领域大力推广新能源车辆。持续扩大新能源车辆在机动车保有量中的比重，研究建立运营补贴机制。有序推进氢能在交通领域的示范应用。</w:t>
      </w:r>
    </w:p>
    <w:p>
      <w:pPr>
        <w:pStyle w:val="7"/>
        <w:ind w:firstLine="600"/>
        <w:rPr>
          <w:rFonts w:hint="eastAsia"/>
          <w:color w:val="auto"/>
          <w:sz w:val="30"/>
          <w:szCs w:val="30"/>
          <w:highlight w:val="none"/>
        </w:rPr>
      </w:pPr>
      <w:r>
        <w:rPr>
          <w:rFonts w:hint="eastAsia"/>
          <w:color w:val="auto"/>
          <w:sz w:val="30"/>
          <w:szCs w:val="30"/>
          <w:highlight w:val="none"/>
        </w:rPr>
        <w:t>积极打造绿色出行体系</w:t>
      </w:r>
      <w:r>
        <w:rPr>
          <w:rFonts w:hint="eastAsia"/>
          <w:color w:val="auto"/>
          <w:sz w:val="30"/>
          <w:szCs w:val="30"/>
          <w:highlight w:val="none"/>
          <w:lang w:eastAsia="zh-CN"/>
        </w:rPr>
        <w:t>。</w:t>
      </w:r>
      <w:r>
        <w:rPr>
          <w:rFonts w:hint="eastAsia"/>
          <w:color w:val="auto"/>
          <w:sz w:val="30"/>
          <w:szCs w:val="30"/>
          <w:highlight w:val="none"/>
        </w:rPr>
        <w:t>创新多元绿色出行方式，加大定制公交推广。发挥智慧交通调度作用，治理交通拥堵。加快自行车道、步行道等慢行系统建设，构建绿色优先的城市低碳出行体系。深入开展绿色出行创建行动，倡导简约适度、绿色低碳的生活方式，鼓励公众优先选择公共交通、步行和自行车等绿色出行方式，建立绿色出行激励机制，形成全社会共同参与绿色交通发展、助力交通领域碳达峰的良好氛围。</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67" w:name="_Toc18060"/>
      <w:bookmarkStart w:id="68" w:name="_Toc11523"/>
      <w:bookmarkStart w:id="69" w:name="_Toc18204"/>
      <w:bookmarkStart w:id="70" w:name="_Toc7489272"/>
      <w:bookmarkStart w:id="71" w:name="_Toc29707"/>
      <w:bookmarkStart w:id="72" w:name="_Toc4040"/>
      <w:bookmarkStart w:id="73" w:name="_Toc855191838"/>
      <w:r>
        <w:rPr>
          <w:rFonts w:hint="eastAsia"/>
          <w:color w:val="auto"/>
          <w:highlight w:val="none"/>
        </w:rPr>
        <w:t>筑牢生态安全屏障，提升生态系统稳定性与持续性</w:t>
      </w:r>
      <w:bookmarkEnd w:id="67"/>
      <w:bookmarkEnd w:id="68"/>
      <w:bookmarkEnd w:id="69"/>
      <w:bookmarkEnd w:id="70"/>
      <w:bookmarkEnd w:id="71"/>
      <w:bookmarkEnd w:id="72"/>
      <w:bookmarkEnd w:id="73"/>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构建与优化全域生态安全空间格局</w:t>
      </w:r>
    </w:p>
    <w:p>
      <w:pPr>
        <w:rPr>
          <w:rFonts w:hint="eastAsia"/>
          <w:color w:val="auto"/>
          <w:sz w:val="30"/>
          <w:szCs w:val="30"/>
          <w:highlight w:val="none"/>
        </w:rPr>
      </w:pPr>
      <w:r>
        <w:rPr>
          <w:rFonts w:hint="eastAsia"/>
          <w:color w:val="auto"/>
          <w:sz w:val="30"/>
          <w:szCs w:val="30"/>
          <w:highlight w:val="none"/>
        </w:rPr>
        <w:t>系统构建“一湖一屏、一带两区”生态</w:t>
      </w:r>
      <w:r>
        <w:rPr>
          <w:rFonts w:hint="eastAsia"/>
          <w:color w:val="auto"/>
          <w:sz w:val="30"/>
          <w:szCs w:val="30"/>
          <w:highlight w:val="none"/>
          <w:lang w:val="en-US" w:eastAsia="zh-CN"/>
        </w:rPr>
        <w:t>保护</w:t>
      </w:r>
      <w:r>
        <w:rPr>
          <w:rFonts w:hint="eastAsia"/>
          <w:color w:val="auto"/>
          <w:sz w:val="30"/>
          <w:szCs w:val="30"/>
          <w:highlight w:val="none"/>
        </w:rPr>
        <w:t>格局，以西山生态绿心为核心，严格保护西部</w:t>
      </w:r>
      <w:r>
        <w:rPr>
          <w:rFonts w:hint="eastAsia"/>
          <w:color w:val="auto"/>
          <w:sz w:val="30"/>
          <w:szCs w:val="30"/>
          <w:highlight w:val="none"/>
          <w:lang w:val="en-US" w:eastAsia="zh-CN"/>
        </w:rPr>
        <w:t>山体</w:t>
      </w:r>
      <w:r>
        <w:rPr>
          <w:rFonts w:hint="eastAsia"/>
          <w:color w:val="auto"/>
          <w:sz w:val="30"/>
          <w:szCs w:val="30"/>
          <w:highlight w:val="none"/>
        </w:rPr>
        <w:t>生态屏障，重点打造环滇池生态</w:t>
      </w:r>
      <w:r>
        <w:rPr>
          <w:rFonts w:hint="eastAsia"/>
          <w:color w:val="auto"/>
          <w:sz w:val="30"/>
          <w:szCs w:val="30"/>
          <w:highlight w:val="none"/>
          <w:lang w:val="en-US" w:eastAsia="zh-CN"/>
        </w:rPr>
        <w:t>保护带</w:t>
      </w:r>
      <w:r>
        <w:rPr>
          <w:rFonts w:hint="eastAsia"/>
          <w:color w:val="auto"/>
          <w:sz w:val="30"/>
          <w:szCs w:val="30"/>
          <w:highlight w:val="none"/>
        </w:rPr>
        <w:t>，增强北部云南棋盘山国家级森林公园及其他重要生态空间</w:t>
      </w:r>
      <w:r>
        <w:rPr>
          <w:rFonts w:hint="eastAsia"/>
          <w:color w:val="auto"/>
          <w:sz w:val="30"/>
          <w:szCs w:val="30"/>
          <w:highlight w:val="none"/>
          <w:lang w:val="en-US" w:eastAsia="zh-CN"/>
        </w:rPr>
        <w:t>保护治理</w:t>
      </w:r>
      <w:r>
        <w:rPr>
          <w:rFonts w:hint="eastAsia"/>
          <w:color w:val="auto"/>
          <w:sz w:val="30"/>
          <w:szCs w:val="30"/>
          <w:highlight w:val="none"/>
          <w:lang w:eastAsia="zh-CN"/>
        </w:rPr>
        <w:t>，</w:t>
      </w:r>
      <w:r>
        <w:rPr>
          <w:rFonts w:hint="eastAsia"/>
          <w:color w:val="auto"/>
          <w:sz w:val="30"/>
          <w:szCs w:val="30"/>
          <w:highlight w:val="none"/>
        </w:rPr>
        <w:t>依托螳螂川</w:t>
      </w:r>
      <w:r>
        <w:rPr>
          <w:rFonts w:hint="eastAsia"/>
          <w:color w:val="auto"/>
          <w:sz w:val="30"/>
          <w:szCs w:val="30"/>
          <w:highlight w:val="none"/>
          <w:lang w:eastAsia="zh-CN"/>
        </w:rPr>
        <w:t>、</w:t>
      </w:r>
      <w:r>
        <w:rPr>
          <w:rFonts w:hint="eastAsia"/>
          <w:color w:val="auto"/>
          <w:sz w:val="30"/>
          <w:szCs w:val="30"/>
          <w:highlight w:val="none"/>
          <w:lang w:val="en-US" w:eastAsia="zh-CN"/>
        </w:rPr>
        <w:t>滇池支流</w:t>
      </w:r>
      <w:r>
        <w:rPr>
          <w:rFonts w:hint="eastAsia"/>
          <w:color w:val="auto"/>
          <w:sz w:val="30"/>
          <w:szCs w:val="30"/>
          <w:highlight w:val="none"/>
        </w:rPr>
        <w:t>等河流水系建设生态廊道，形成连通山、水、城的生态网络</w:t>
      </w:r>
      <w:r>
        <w:rPr>
          <w:rFonts w:hint="eastAsia"/>
          <w:color w:val="auto"/>
          <w:sz w:val="30"/>
          <w:szCs w:val="30"/>
          <w:highlight w:val="none"/>
          <w:lang w:eastAsia="zh-CN"/>
        </w:rPr>
        <w:t>。</w:t>
      </w:r>
      <w:r>
        <w:rPr>
          <w:rFonts w:hint="eastAsia"/>
          <w:color w:val="auto"/>
          <w:sz w:val="30"/>
          <w:szCs w:val="30"/>
          <w:highlight w:val="none"/>
        </w:rPr>
        <w:t>强化资源环境底线刚性约束，严格执行“三线一单”生态环境分区管控体系，严守生态保护红线保障生态安全</w:t>
      </w:r>
      <w:r>
        <w:rPr>
          <w:rFonts w:hint="eastAsia"/>
          <w:color w:val="auto"/>
          <w:sz w:val="30"/>
          <w:szCs w:val="30"/>
          <w:highlight w:val="none"/>
          <w:lang w:eastAsia="zh-CN"/>
        </w:rPr>
        <w:t>，</w:t>
      </w:r>
      <w:r>
        <w:rPr>
          <w:rFonts w:hint="eastAsia"/>
          <w:color w:val="auto"/>
          <w:sz w:val="30"/>
          <w:szCs w:val="30"/>
          <w:highlight w:val="none"/>
        </w:rPr>
        <w:t>严守城镇开发边界</w:t>
      </w:r>
      <w:r>
        <w:rPr>
          <w:rFonts w:hint="eastAsia"/>
          <w:color w:val="auto"/>
          <w:sz w:val="30"/>
          <w:szCs w:val="30"/>
          <w:highlight w:val="none"/>
          <w:lang w:eastAsia="zh-CN"/>
        </w:rPr>
        <w:t>。</w:t>
      </w:r>
      <w:r>
        <w:rPr>
          <w:rFonts w:hint="eastAsia"/>
          <w:color w:val="auto"/>
          <w:sz w:val="30"/>
          <w:szCs w:val="30"/>
          <w:highlight w:val="none"/>
          <w:lang w:val="en-US" w:eastAsia="zh-CN"/>
        </w:rPr>
        <w:t>抓好中央生态环境保护督察反馈问题涉及西山的整改落实，严守滇池保护控制线，持续推进滇池沿岸西山段违规违建整治，坚持遏制过度开发、无序开发、贴线开发现象，彻底转变“向湖要地”、“环湖造城”的开发模式。</w:t>
      </w:r>
      <w:r>
        <w:rPr>
          <w:rFonts w:hint="eastAsia"/>
          <w:color w:val="auto"/>
          <w:sz w:val="30"/>
          <w:szCs w:val="30"/>
          <w:highlight w:val="none"/>
        </w:rPr>
        <w:t>深化落实主体功能区战略，无缝对接“三区三线”，通过统筹生产、生活、生态空间，实施城市生态修补，最终构建功能清晰、衔接有序、安全韧性的国土空间开发保护新格局。</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加强重要生态系统与自然保护地监管</w:t>
      </w:r>
    </w:p>
    <w:p>
      <w:pPr>
        <w:rPr>
          <w:rFonts w:hint="eastAsia"/>
          <w:color w:val="auto"/>
          <w:sz w:val="30"/>
          <w:szCs w:val="30"/>
          <w:highlight w:val="none"/>
        </w:rPr>
      </w:pPr>
      <w:r>
        <w:rPr>
          <w:rFonts w:hint="eastAsia"/>
          <w:color w:val="auto"/>
          <w:sz w:val="30"/>
          <w:szCs w:val="30"/>
          <w:highlight w:val="none"/>
        </w:rPr>
        <w:t>基于云南棋盘山国家级森林公园、云南昆明滇池国家级风景名胜区2处自然公园构建自然保护地体系。建立自然保护地“网格化+智能化”监管体系，对滇池湿地、西山森林公园等重点区域</w:t>
      </w:r>
      <w:r>
        <w:rPr>
          <w:rFonts w:hint="eastAsia"/>
          <w:color w:val="auto"/>
          <w:sz w:val="30"/>
          <w:szCs w:val="30"/>
          <w:highlight w:val="none"/>
          <w:lang w:val="en-US" w:eastAsia="zh-CN"/>
        </w:rPr>
        <w:t>生态</w:t>
      </w:r>
      <w:r>
        <w:rPr>
          <w:rFonts w:hint="eastAsia"/>
          <w:color w:val="auto"/>
          <w:sz w:val="30"/>
          <w:szCs w:val="30"/>
          <w:highlight w:val="none"/>
        </w:rPr>
        <w:t>实施动态监测。对重要生态系统开展系统评估，推动符合条件的区域升级或增补为自然公园，实现应保尽保。对存在退化风险的保护地，以自然恢复为主、人工措施为辅，通过建设生态廊道、恢复栖息地等措施开展修复，提升生态功能。严格落实滇池岸线管控，整治岸线违规利用问题，</w:t>
      </w:r>
      <w:r>
        <w:rPr>
          <w:rFonts w:hint="eastAsia"/>
          <w:color w:val="auto"/>
          <w:sz w:val="30"/>
          <w:szCs w:val="30"/>
          <w:highlight w:val="none"/>
          <w:lang w:val="en-US" w:eastAsia="zh-CN"/>
        </w:rPr>
        <w:t>推动</w:t>
      </w:r>
      <w:r>
        <w:rPr>
          <w:rFonts w:hint="eastAsia"/>
          <w:color w:val="auto"/>
          <w:sz w:val="30"/>
          <w:szCs w:val="30"/>
          <w:highlight w:val="none"/>
        </w:rPr>
        <w:t>自然岸线恢复。深入推进国土绿化行动，精准提升森林质量，增加森林面积和森林蓄积量。采取人工造林、封山育林、退化林修复、人工种草草地改良等综合措施，</w:t>
      </w:r>
      <w:r>
        <w:rPr>
          <w:rFonts w:hint="eastAsia"/>
          <w:color w:val="auto"/>
          <w:sz w:val="30"/>
          <w:szCs w:val="30"/>
          <w:highlight w:val="none"/>
          <w:lang w:val="en-US" w:eastAsia="zh-CN"/>
        </w:rPr>
        <w:t>推动</w:t>
      </w:r>
      <w:r>
        <w:rPr>
          <w:rFonts w:hint="eastAsia"/>
          <w:color w:val="auto"/>
          <w:sz w:val="30"/>
          <w:szCs w:val="30"/>
          <w:highlight w:val="none"/>
        </w:rPr>
        <w:t>重要生态系统保护和修复。</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推进水土流失与生态脆弱区治理修复</w:t>
      </w:r>
    </w:p>
    <w:p>
      <w:pPr>
        <w:rPr>
          <w:rFonts w:hint="eastAsia"/>
          <w:color w:val="auto"/>
          <w:sz w:val="30"/>
          <w:szCs w:val="30"/>
          <w:highlight w:val="none"/>
        </w:rPr>
      </w:pPr>
      <w:r>
        <w:rPr>
          <w:rFonts w:hint="eastAsia"/>
          <w:color w:val="auto"/>
          <w:sz w:val="30"/>
          <w:szCs w:val="30"/>
          <w:highlight w:val="none"/>
        </w:rPr>
        <w:t>开展重点区域水土流失治理</w:t>
      </w:r>
      <w:r>
        <w:rPr>
          <w:rFonts w:hint="eastAsia"/>
          <w:color w:val="auto"/>
          <w:sz w:val="30"/>
          <w:szCs w:val="30"/>
          <w:highlight w:val="none"/>
          <w:lang w:eastAsia="zh-CN"/>
        </w:rPr>
        <w:t>。</w:t>
      </w:r>
      <w:r>
        <w:rPr>
          <w:rFonts w:hint="eastAsia"/>
          <w:color w:val="auto"/>
          <w:sz w:val="30"/>
          <w:szCs w:val="30"/>
          <w:highlight w:val="none"/>
        </w:rPr>
        <w:t>针对西山面山、矿山开采区、重大工程创面等区域，采取工程措施与生物措施相结合的方式，实施边坡治理、植被恢复和小流域综合治理。以海口街道、团结街道为重点推进历史遗留矿山生态修复治理。按照“宜耕则耕、宜林则林、宜建则建”的原则，进行历史遗留的矿山“一矿一策”修复整治。对关闭或废弃矿山进行地形重塑、土壤改良和植被重建，消除地质灾害隐患，恢复矿区生态功能，探索“矿山修复+产业导入”的治理模式。加强城市开发边界过渡带保护</w:t>
      </w:r>
      <w:r>
        <w:rPr>
          <w:rFonts w:hint="eastAsia"/>
          <w:color w:val="auto"/>
          <w:sz w:val="30"/>
          <w:szCs w:val="30"/>
          <w:highlight w:val="none"/>
          <w:lang w:eastAsia="zh-CN"/>
        </w:rPr>
        <w:t>，</w:t>
      </w:r>
      <w:r>
        <w:rPr>
          <w:rFonts w:hint="eastAsia"/>
          <w:color w:val="auto"/>
          <w:sz w:val="30"/>
          <w:szCs w:val="30"/>
          <w:highlight w:val="none"/>
        </w:rPr>
        <w:t>严格控制城市向生态敏感区域的蔓延，在城乡结合部等生态脆弱区建设防护林带和生态隔离带。</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 xml:space="preserve"> 强化生物多样性保护与可持续利用</w:t>
      </w:r>
    </w:p>
    <w:p>
      <w:pPr>
        <w:rPr>
          <w:rFonts w:hint="eastAsia"/>
          <w:color w:val="auto"/>
          <w:sz w:val="30"/>
          <w:szCs w:val="30"/>
          <w:highlight w:val="none"/>
        </w:rPr>
      </w:pPr>
      <w:r>
        <w:rPr>
          <w:rFonts w:hint="eastAsia"/>
          <w:color w:val="auto"/>
          <w:sz w:val="30"/>
          <w:szCs w:val="30"/>
          <w:highlight w:val="none"/>
        </w:rPr>
        <w:t>系统推进生物廊道与关键栖息地保护。建设维护候鸟迁徙廊道，</w:t>
      </w:r>
      <w:r>
        <w:rPr>
          <w:rFonts w:hint="eastAsia"/>
          <w:color w:val="auto"/>
          <w:sz w:val="30"/>
          <w:szCs w:val="30"/>
          <w:highlight w:val="none"/>
          <w:lang w:val="en-US" w:eastAsia="zh-CN"/>
        </w:rPr>
        <w:t>串联栖息地，保护候鸟种群和迁徙路线。配合市级做好</w:t>
      </w:r>
      <w:r>
        <w:rPr>
          <w:rFonts w:hint="eastAsia"/>
          <w:color w:val="auto"/>
          <w:sz w:val="30"/>
          <w:szCs w:val="30"/>
          <w:highlight w:val="none"/>
        </w:rPr>
        <w:t>滇池流域3条南北走向、3条东西走向的陆生生物迁徙通道</w:t>
      </w:r>
      <w:r>
        <w:rPr>
          <w:rFonts w:hint="eastAsia"/>
          <w:color w:val="auto"/>
          <w:sz w:val="30"/>
          <w:szCs w:val="30"/>
          <w:highlight w:val="none"/>
          <w:lang w:val="en-US" w:eastAsia="zh-CN"/>
        </w:rPr>
        <w:t>和鱼类洄游通道保护。</w:t>
      </w:r>
      <w:r>
        <w:rPr>
          <w:rFonts w:hint="eastAsia"/>
          <w:color w:val="auto"/>
          <w:sz w:val="30"/>
          <w:szCs w:val="30"/>
          <w:highlight w:val="none"/>
        </w:rPr>
        <w:t>着力实施本土物种保护与恢复工程。强化以滇池金线鲃为代表的珍稀特有物种保护，开展栖息地修复与人工繁育研究。同步加强海口、碧鸡等片区的国家级水产种质资源保护区管理，提升对多种特有水产种质资源的系统保护力度。在西山、滇池湖滨带等关键区域设立固定观测样地，动态监测动植物种群及生境变化。持续开展外来入侵物种普查与防控，有效治理</w:t>
      </w:r>
      <w:r>
        <w:rPr>
          <w:rFonts w:hint="eastAsia"/>
          <w:color w:val="auto"/>
          <w:sz w:val="30"/>
          <w:szCs w:val="30"/>
          <w:highlight w:val="none"/>
          <w:lang w:val="en-US" w:eastAsia="zh-CN"/>
        </w:rPr>
        <w:t>松材线虫</w:t>
      </w:r>
      <w:r>
        <w:rPr>
          <w:rFonts w:hint="eastAsia"/>
          <w:color w:val="auto"/>
          <w:sz w:val="30"/>
          <w:szCs w:val="30"/>
          <w:highlight w:val="none"/>
        </w:rPr>
        <w:t>、福寿螺等有害物种。在严格保护的前提下，合理利用西山、滇池的生态资源，适度发展生态旅游、自然教育、康养产业，将“绿水青山”转化为“金山银山”。</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74" w:name="_Toc31040"/>
      <w:bookmarkStart w:id="75" w:name="_Toc10079"/>
      <w:bookmarkStart w:id="76" w:name="_Toc11910"/>
      <w:bookmarkStart w:id="77" w:name="_Toc7695"/>
      <w:bookmarkStart w:id="78" w:name="_Toc1318142978"/>
      <w:bookmarkStart w:id="79" w:name="_Toc101171895"/>
      <w:bookmarkStart w:id="80" w:name="_Toc27701"/>
      <w:r>
        <w:rPr>
          <w:rFonts w:hint="default"/>
          <w:color w:val="auto"/>
          <w:highlight w:val="none"/>
        </w:rPr>
        <w:t>系统提升环境质量，深入打好污染防治攻坚战</w:t>
      </w:r>
      <w:bookmarkEnd w:id="74"/>
      <w:bookmarkEnd w:id="75"/>
      <w:bookmarkEnd w:id="76"/>
      <w:bookmarkEnd w:id="77"/>
      <w:bookmarkEnd w:id="78"/>
      <w:bookmarkEnd w:id="79"/>
      <w:bookmarkEnd w:id="80"/>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深化水生态环境系统治理</w:t>
      </w:r>
    </w:p>
    <w:p>
      <w:pPr>
        <w:pStyle w:val="5"/>
        <w:numPr>
          <w:ilvl w:val="3"/>
          <w:numId w:val="3"/>
        </w:numPr>
        <w:bidi w:val="0"/>
        <w:ind w:left="850" w:leftChars="0" w:hanging="850" w:firstLineChars="0"/>
        <w:rPr>
          <w:color w:val="auto"/>
          <w:sz w:val="30"/>
          <w:szCs w:val="30"/>
          <w:highlight w:val="none"/>
        </w:rPr>
      </w:pPr>
      <w:r>
        <w:rPr>
          <w:rFonts w:hint="eastAsia"/>
          <w:color w:val="auto"/>
          <w:sz w:val="30"/>
          <w:szCs w:val="30"/>
          <w:highlight w:val="none"/>
          <w:lang w:val="en-US" w:eastAsia="zh-CN"/>
        </w:rPr>
        <w:t>统筹推进“三水”共治</w:t>
      </w:r>
    </w:p>
    <w:p>
      <w:pPr>
        <w:bidi w:val="0"/>
        <w:rPr>
          <w:rFonts w:hint="eastAsia"/>
          <w:color w:val="auto"/>
          <w:sz w:val="30"/>
          <w:szCs w:val="30"/>
          <w:highlight w:val="none"/>
        </w:rPr>
      </w:pPr>
      <w:r>
        <w:rPr>
          <w:rFonts w:hint="eastAsia"/>
          <w:color w:val="auto"/>
          <w:sz w:val="30"/>
          <w:szCs w:val="30"/>
          <w:highlight w:val="none"/>
          <w:lang w:val="en-US" w:eastAsia="zh-CN"/>
        </w:rPr>
        <w:t>着力于</w:t>
      </w:r>
      <w:r>
        <w:rPr>
          <w:rFonts w:hint="eastAsia"/>
          <w:color w:val="auto"/>
          <w:sz w:val="30"/>
          <w:szCs w:val="30"/>
          <w:highlight w:val="none"/>
        </w:rPr>
        <w:t>优化配置、节水增效，</w:t>
      </w:r>
      <w:r>
        <w:rPr>
          <w:rFonts w:hint="eastAsia"/>
          <w:color w:val="auto"/>
          <w:sz w:val="30"/>
          <w:szCs w:val="30"/>
          <w:highlight w:val="none"/>
          <w:lang w:val="en-US" w:eastAsia="zh-CN"/>
        </w:rPr>
        <w:t>多</w:t>
      </w:r>
      <w:r>
        <w:rPr>
          <w:rFonts w:hint="eastAsia"/>
          <w:color w:val="auto"/>
          <w:sz w:val="30"/>
          <w:szCs w:val="30"/>
          <w:highlight w:val="none"/>
        </w:rPr>
        <w:t>措并举强化水资源管理。严格水资源刚性约束</w:t>
      </w:r>
      <w:r>
        <w:rPr>
          <w:rFonts w:hint="eastAsia"/>
          <w:color w:val="auto"/>
          <w:sz w:val="30"/>
          <w:szCs w:val="30"/>
          <w:highlight w:val="none"/>
          <w:lang w:eastAsia="zh-CN"/>
        </w:rPr>
        <w:t>，</w:t>
      </w:r>
      <w:r>
        <w:rPr>
          <w:rFonts w:hint="eastAsia"/>
          <w:color w:val="auto"/>
          <w:sz w:val="30"/>
          <w:szCs w:val="30"/>
          <w:highlight w:val="none"/>
          <w:lang w:val="en-US" w:eastAsia="zh-CN"/>
        </w:rPr>
        <w:t>坚持</w:t>
      </w:r>
      <w:r>
        <w:rPr>
          <w:rFonts w:hint="eastAsia"/>
          <w:color w:val="auto"/>
          <w:sz w:val="30"/>
          <w:szCs w:val="30"/>
          <w:highlight w:val="none"/>
        </w:rPr>
        <w:t>“以水定需”，</w:t>
      </w:r>
      <w:r>
        <w:rPr>
          <w:rFonts w:hint="default"/>
          <w:color w:val="auto"/>
          <w:sz w:val="30"/>
          <w:szCs w:val="30"/>
          <w:highlight w:val="none"/>
          <w:lang w:val="en-US" w:eastAsia="zh-CN"/>
        </w:rPr>
        <w:t>加强用水总量控制与定额管理，提升水资源监控监测能力</w:t>
      </w:r>
      <w:r>
        <w:rPr>
          <w:rFonts w:hint="eastAsia"/>
          <w:color w:val="auto"/>
          <w:sz w:val="30"/>
          <w:szCs w:val="30"/>
          <w:highlight w:val="none"/>
          <w:lang w:eastAsia="zh-CN"/>
        </w:rPr>
        <w:t>；</w:t>
      </w:r>
      <w:r>
        <w:rPr>
          <w:rFonts w:hint="eastAsia"/>
          <w:color w:val="auto"/>
          <w:sz w:val="30"/>
          <w:szCs w:val="30"/>
          <w:highlight w:val="none"/>
          <w:lang w:val="en-US" w:eastAsia="zh-CN"/>
        </w:rPr>
        <w:t>完善市政管网配套，推进主城区雨污分流改造收尾，实现污水全收集、全处理。建设初期雨水调蓄设施，控制汛期溢流污染，保障“清水入滇”稳定入湖；统筹本地水、外调水与再生水，实施河湖水质水量联合调度。依托牛栏江—滇池补水等工程，扩大水环境容量，推动水质净化厂尾水用于生态补水，增强水体流动性与水环境承载力；积极</w:t>
      </w:r>
      <w:r>
        <w:rPr>
          <w:rFonts w:hint="eastAsia"/>
          <w:color w:val="auto"/>
          <w:sz w:val="30"/>
          <w:szCs w:val="30"/>
          <w:highlight w:val="none"/>
        </w:rPr>
        <w:t>拓展水资源循环利用场景，扩大再生水在市政杂用、生态补水等领域应用，鼓励工业企业提高重复利用率，减少新水取用，提升区域水资源承载能力。</w:t>
      </w:r>
    </w:p>
    <w:p>
      <w:pPr>
        <w:rPr>
          <w:rFonts w:hint="default"/>
          <w:color w:val="auto"/>
          <w:sz w:val="30"/>
          <w:szCs w:val="30"/>
          <w:highlight w:val="none"/>
          <w:lang w:val="en-US" w:eastAsia="zh-CN"/>
        </w:rPr>
      </w:pPr>
      <w:r>
        <w:rPr>
          <w:rFonts w:hint="eastAsia"/>
          <w:color w:val="auto"/>
          <w:sz w:val="30"/>
          <w:szCs w:val="30"/>
          <w:highlight w:val="none"/>
          <w:lang w:val="en-US" w:eastAsia="zh-CN"/>
        </w:rPr>
        <w:t>以提升水环境质量为核心，推动从断面达标向全域优良跃升。</w:t>
      </w:r>
      <w:r>
        <w:rPr>
          <w:rFonts w:hint="default"/>
          <w:color w:val="auto"/>
          <w:sz w:val="30"/>
          <w:szCs w:val="30"/>
          <w:highlight w:val="none"/>
          <w:lang w:val="en-US" w:eastAsia="zh-CN"/>
        </w:rPr>
        <w:t>持续完善雨污分流系统，推进管网动态排查与修复，强化污水处理设施保障能力。推动城区水质净化厂提标改造，提升处理效能</w:t>
      </w:r>
      <w:r>
        <w:rPr>
          <w:rFonts w:hint="eastAsia"/>
          <w:color w:val="auto"/>
          <w:sz w:val="30"/>
          <w:szCs w:val="30"/>
          <w:highlight w:val="none"/>
          <w:lang w:val="en-US" w:eastAsia="zh-CN"/>
        </w:rPr>
        <w:t>。落实</w:t>
      </w:r>
      <w:r>
        <w:rPr>
          <w:rFonts w:hint="default"/>
          <w:color w:val="auto"/>
          <w:sz w:val="30"/>
          <w:szCs w:val="30"/>
          <w:highlight w:val="none"/>
          <w:lang w:val="en-US" w:eastAsia="zh-CN"/>
        </w:rPr>
        <w:t>产业园区配套污水处理</w:t>
      </w:r>
      <w:r>
        <w:rPr>
          <w:rFonts w:hint="eastAsia"/>
          <w:color w:val="auto"/>
          <w:sz w:val="30"/>
          <w:szCs w:val="30"/>
          <w:highlight w:val="none"/>
          <w:lang w:val="en-US" w:eastAsia="zh-CN"/>
        </w:rPr>
        <w:t>设施建设</w:t>
      </w:r>
      <w:r>
        <w:rPr>
          <w:rFonts w:hint="default"/>
          <w:color w:val="auto"/>
          <w:sz w:val="30"/>
          <w:szCs w:val="30"/>
          <w:highlight w:val="none"/>
          <w:lang w:val="en-US" w:eastAsia="zh-CN"/>
        </w:rPr>
        <w:t>，实现园区污水全收集、全处理。全面深化河（湖）长制，落实“一河一策”，系统推进河道综合整治，保障</w:t>
      </w:r>
      <w:r>
        <w:rPr>
          <w:rFonts w:hint="eastAsia"/>
          <w:color w:val="auto"/>
          <w:sz w:val="30"/>
          <w:szCs w:val="30"/>
          <w:highlight w:val="none"/>
          <w:lang w:val="en-US" w:eastAsia="zh-CN"/>
        </w:rPr>
        <w:t>11条</w:t>
      </w:r>
      <w:r>
        <w:rPr>
          <w:rFonts w:hint="default"/>
          <w:color w:val="auto"/>
          <w:sz w:val="30"/>
          <w:szCs w:val="30"/>
          <w:highlight w:val="none"/>
          <w:lang w:val="en-US" w:eastAsia="zh-CN"/>
        </w:rPr>
        <w:t>出入滇河道水质稳定达标并持续向好</w:t>
      </w:r>
      <w:r>
        <w:rPr>
          <w:rFonts w:hint="eastAsia"/>
          <w:color w:val="auto"/>
          <w:sz w:val="30"/>
          <w:szCs w:val="30"/>
          <w:highlight w:val="none"/>
          <w:lang w:val="en-US" w:eastAsia="zh-CN"/>
        </w:rPr>
        <w:t>。加快推进</w:t>
      </w:r>
      <w:r>
        <w:rPr>
          <w:rFonts w:hint="default"/>
          <w:color w:val="auto"/>
          <w:sz w:val="30"/>
          <w:szCs w:val="30"/>
          <w:highlight w:val="none"/>
          <w:lang w:val="en-US" w:eastAsia="zh-CN"/>
        </w:rPr>
        <w:t>滇池流域入河</w:t>
      </w:r>
      <w:r>
        <w:rPr>
          <w:rFonts w:hint="eastAsia"/>
          <w:color w:val="auto"/>
          <w:sz w:val="30"/>
          <w:szCs w:val="30"/>
          <w:highlight w:val="none"/>
          <w:lang w:val="en-US" w:eastAsia="zh-CN"/>
        </w:rPr>
        <w:t>（</w:t>
      </w:r>
      <w:r>
        <w:rPr>
          <w:rFonts w:hint="default"/>
          <w:color w:val="auto"/>
          <w:sz w:val="30"/>
          <w:szCs w:val="30"/>
          <w:highlight w:val="none"/>
          <w:lang w:val="en-US" w:eastAsia="zh-CN"/>
        </w:rPr>
        <w:t>湖</w:t>
      </w:r>
      <w:r>
        <w:rPr>
          <w:rFonts w:hint="eastAsia"/>
          <w:color w:val="auto"/>
          <w:sz w:val="30"/>
          <w:szCs w:val="30"/>
          <w:highlight w:val="none"/>
          <w:lang w:val="en-US" w:eastAsia="zh-CN"/>
        </w:rPr>
        <w:t>）</w:t>
      </w:r>
      <w:r>
        <w:rPr>
          <w:rFonts w:hint="default"/>
          <w:color w:val="auto"/>
          <w:sz w:val="30"/>
          <w:szCs w:val="30"/>
          <w:highlight w:val="none"/>
          <w:lang w:val="en-US" w:eastAsia="zh-CN"/>
        </w:rPr>
        <w:t>重点排污口分类整治，</w:t>
      </w:r>
      <w:r>
        <w:rPr>
          <w:rFonts w:hint="eastAsia"/>
          <w:color w:val="auto"/>
          <w:sz w:val="30"/>
          <w:szCs w:val="30"/>
          <w:highlight w:val="none"/>
          <w:lang w:val="en-US" w:eastAsia="zh-CN"/>
        </w:rPr>
        <w:t>实施</w:t>
      </w:r>
      <w:r>
        <w:rPr>
          <w:rFonts w:hint="default"/>
          <w:color w:val="auto"/>
          <w:sz w:val="30"/>
          <w:szCs w:val="30"/>
          <w:highlight w:val="none"/>
          <w:lang w:val="en-US" w:eastAsia="zh-CN"/>
        </w:rPr>
        <w:t>动态监管与精准溯源，严控污染物入河总量。加强农业面源污染溯源与动态管控，推动种植业清洁生产与养殖业粪污资源化利用，有效防控氮磷流失，杜绝污染反弹，助力草海水质稳定在Ⅳ类并持续改善。</w:t>
      </w:r>
    </w:p>
    <w:p>
      <w:pPr>
        <w:rPr>
          <w:rFonts w:hint="eastAsia"/>
          <w:color w:val="auto"/>
          <w:sz w:val="30"/>
          <w:szCs w:val="30"/>
          <w:highlight w:val="none"/>
        </w:rPr>
      </w:pPr>
      <w:r>
        <w:rPr>
          <w:rFonts w:hint="eastAsia"/>
          <w:color w:val="auto"/>
          <w:sz w:val="30"/>
          <w:szCs w:val="30"/>
          <w:highlight w:val="none"/>
        </w:rPr>
        <w:t>聚焦环滇池湿地</w:t>
      </w:r>
      <w:r>
        <w:rPr>
          <w:rFonts w:hint="eastAsia"/>
          <w:color w:val="auto"/>
          <w:sz w:val="30"/>
          <w:szCs w:val="30"/>
          <w:highlight w:val="none"/>
          <w:lang w:eastAsia="zh-CN"/>
        </w:rPr>
        <w:t>，</w:t>
      </w:r>
      <w:r>
        <w:rPr>
          <w:rFonts w:hint="eastAsia"/>
          <w:color w:val="auto"/>
          <w:sz w:val="30"/>
          <w:szCs w:val="30"/>
          <w:highlight w:val="none"/>
          <w:lang w:val="en-US" w:eastAsia="zh-CN"/>
        </w:rPr>
        <w:t>持续开展</w:t>
      </w:r>
      <w:r>
        <w:rPr>
          <w:rFonts w:hint="eastAsia"/>
          <w:color w:val="auto"/>
          <w:sz w:val="30"/>
          <w:szCs w:val="30"/>
          <w:highlight w:val="none"/>
          <w:lang w:eastAsia="zh-CN"/>
        </w:rPr>
        <w:t>生态保护缓冲区修复，推进滇池湿地建设与提升改</w:t>
      </w:r>
      <w:r>
        <w:rPr>
          <w:rFonts w:hint="eastAsia"/>
          <w:color w:val="auto"/>
          <w:sz w:val="30"/>
          <w:szCs w:val="30"/>
          <w:highlight w:val="none"/>
          <w:lang w:val="en-US" w:eastAsia="zh-CN"/>
        </w:rPr>
        <w:t>造，增强湖岸生态功能。</w:t>
      </w:r>
      <w:r>
        <w:rPr>
          <w:rFonts w:hint="eastAsia"/>
          <w:color w:val="auto"/>
          <w:sz w:val="30"/>
          <w:szCs w:val="30"/>
          <w:highlight w:val="none"/>
        </w:rPr>
        <w:t>通过改善湿地水文连通性、优化净水植物群落配置，强化湿地污染物降解与生物栖息地功能</w:t>
      </w:r>
      <w:r>
        <w:rPr>
          <w:rFonts w:hint="eastAsia"/>
          <w:color w:val="auto"/>
          <w:sz w:val="30"/>
          <w:szCs w:val="30"/>
          <w:highlight w:val="none"/>
          <w:lang w:eastAsia="zh-CN"/>
        </w:rPr>
        <w:t>，</w:t>
      </w:r>
      <w:r>
        <w:rPr>
          <w:rFonts w:hint="eastAsia"/>
          <w:color w:val="auto"/>
          <w:sz w:val="30"/>
          <w:szCs w:val="30"/>
          <w:highlight w:val="none"/>
          <w:lang w:val="en-US" w:eastAsia="zh-CN"/>
        </w:rPr>
        <w:t>推动湿地生态系统优化</w:t>
      </w:r>
      <w:r>
        <w:rPr>
          <w:rFonts w:hint="eastAsia"/>
          <w:color w:val="auto"/>
          <w:sz w:val="30"/>
          <w:szCs w:val="30"/>
          <w:highlight w:val="none"/>
        </w:rPr>
        <w:t>；以滇池金线鲃等土著鱼类为重点，实施栖息地修复工程，将生物多样性作为水生态健康的核心评价标准；融合滇池绿道、慢行系统与生物廊道建设，修复水陆交错带生态连续性，保障鱼类洄游与物种迁徙通道畅通。统筹水资源调度，保障主要河流及生态廊道河流基本生态流量，维系水生态系统动态平衡。</w:t>
      </w:r>
      <w:r>
        <w:rPr>
          <w:rFonts w:hint="eastAsia"/>
          <w:color w:val="auto"/>
          <w:sz w:val="30"/>
          <w:szCs w:val="30"/>
          <w:highlight w:val="none"/>
          <w:lang w:val="en-US" w:eastAsia="zh-CN"/>
        </w:rPr>
        <w:t>以</w:t>
      </w:r>
      <w:r>
        <w:rPr>
          <w:rFonts w:hint="eastAsia"/>
          <w:color w:val="auto"/>
          <w:sz w:val="30"/>
          <w:szCs w:val="30"/>
          <w:highlight w:val="none"/>
        </w:rPr>
        <w:t>重点河道为对象，实施清淤疏浚、生态护岸、滨岸带修复等工程，恢复河流水生态，巩固盘龙江（西山段）省级“绿美河湖”标杆典型建设成果，打造“水清、岸绿、景美”的滨水空间。</w:t>
      </w:r>
    </w:p>
    <w:p>
      <w:pPr>
        <w:pStyle w:val="5"/>
        <w:numPr>
          <w:ilvl w:val="3"/>
          <w:numId w:val="3"/>
        </w:numPr>
        <w:bidi w:val="0"/>
        <w:ind w:left="850" w:leftChars="0" w:hanging="850" w:firstLineChars="0"/>
        <w:rPr>
          <w:rFonts w:hint="eastAsia" w:ascii="Times New Roman" w:hAnsi="Times New Roman"/>
          <w:color w:val="auto"/>
          <w:sz w:val="30"/>
          <w:szCs w:val="30"/>
          <w:highlight w:val="none"/>
          <w:lang w:val="en-US" w:eastAsia="zh-CN"/>
        </w:rPr>
      </w:pPr>
      <w:r>
        <w:rPr>
          <w:rFonts w:hint="eastAsia"/>
          <w:color w:val="auto"/>
          <w:sz w:val="30"/>
          <w:szCs w:val="30"/>
          <w:highlight w:val="none"/>
          <w:lang w:val="en-US" w:eastAsia="zh-CN"/>
        </w:rPr>
        <w:t xml:space="preserve"> </w:t>
      </w:r>
      <w:r>
        <w:rPr>
          <w:rFonts w:hint="eastAsia" w:ascii="Times New Roman" w:hAnsi="Times New Roman"/>
          <w:color w:val="auto"/>
          <w:sz w:val="30"/>
          <w:szCs w:val="30"/>
          <w:highlight w:val="none"/>
          <w:lang w:val="en-US" w:eastAsia="zh-CN"/>
        </w:rPr>
        <w:t>强化饮用水水源地保护</w:t>
      </w:r>
    </w:p>
    <w:p>
      <w:pPr>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严格保护区划定与规范化建设。构建“人防+技防”监管体系，严守水库一</w:t>
      </w:r>
      <w:r>
        <w:rPr>
          <w:rFonts w:hint="eastAsia" w:ascii="Times New Roman" w:hAnsi="Times New Roman"/>
          <w:color w:val="auto"/>
          <w:sz w:val="30"/>
          <w:szCs w:val="30"/>
          <w:highlight w:val="none"/>
          <w:lang w:val="en-US" w:eastAsia="zh-CN"/>
        </w:rPr>
        <w:t>二</w:t>
      </w:r>
      <w:r>
        <w:rPr>
          <w:rFonts w:hint="eastAsia" w:ascii="Times New Roman" w:hAnsi="Times New Roman"/>
          <w:color w:val="auto"/>
          <w:sz w:val="30"/>
          <w:szCs w:val="30"/>
          <w:highlight w:val="none"/>
        </w:rPr>
        <w:t>级保护区范围</w:t>
      </w:r>
      <w:r>
        <w:rPr>
          <w:rFonts w:hint="eastAsia" w:ascii="Times New Roman" w:hAnsi="Times New Roman"/>
          <w:color w:val="auto"/>
          <w:sz w:val="30"/>
          <w:szCs w:val="30"/>
          <w:highlight w:val="none"/>
          <w:lang w:eastAsia="zh-CN"/>
        </w:rPr>
        <w:t>。</w:t>
      </w:r>
      <w:r>
        <w:rPr>
          <w:rFonts w:hint="eastAsia" w:ascii="Times New Roman" w:hAnsi="Times New Roman"/>
          <w:color w:val="auto"/>
          <w:sz w:val="30"/>
          <w:szCs w:val="30"/>
          <w:highlight w:val="none"/>
        </w:rPr>
        <w:t>按要求规范设置界标、警示牌及物理隔离防护设施，实现保护范围清晰、管控精准。</w:t>
      </w:r>
      <w:r>
        <w:rPr>
          <w:rFonts w:hint="eastAsia" w:ascii="Times New Roman" w:hAnsi="Times New Roman"/>
          <w:color w:val="auto"/>
          <w:sz w:val="30"/>
          <w:szCs w:val="30"/>
          <w:highlight w:val="none"/>
          <w:lang w:val="en-US" w:eastAsia="zh-CN"/>
        </w:rPr>
        <w:t>升级</w:t>
      </w:r>
      <w:r>
        <w:rPr>
          <w:rFonts w:hint="eastAsia" w:ascii="Times New Roman" w:hAnsi="Times New Roman"/>
          <w:color w:val="auto"/>
          <w:sz w:val="30"/>
          <w:szCs w:val="30"/>
          <w:highlight w:val="none"/>
        </w:rPr>
        <w:t>视频监控系统和水量水质自动监测预警设施，筑牢水源地安全防线</w:t>
      </w:r>
      <w:r>
        <w:rPr>
          <w:rFonts w:hint="eastAsia" w:ascii="Times New Roman" w:hAnsi="Times New Roman"/>
          <w:color w:val="auto"/>
          <w:sz w:val="30"/>
          <w:szCs w:val="30"/>
          <w:highlight w:val="none"/>
          <w:lang w:eastAsia="zh-CN"/>
        </w:rPr>
        <w:t>。</w:t>
      </w:r>
      <w:r>
        <w:rPr>
          <w:rFonts w:hint="eastAsia" w:ascii="Times New Roman" w:hAnsi="Times New Roman"/>
          <w:color w:val="auto"/>
          <w:sz w:val="30"/>
          <w:szCs w:val="30"/>
          <w:highlight w:val="none"/>
        </w:rPr>
        <w:t>制定并完善突发环境事件应急预案，常态化排查整治生活污水直排、违规建设等环境风险隐患，确保饮用水源水质100%稳定达标。</w:t>
      </w:r>
    </w:p>
    <w:p>
      <w:pPr>
        <w:rPr>
          <w:rFonts w:hint="eastAsia" w:ascii="Times New Roman" w:hAnsi="Times New Roman"/>
          <w:color w:val="auto"/>
          <w:sz w:val="30"/>
          <w:szCs w:val="30"/>
          <w:highlight w:val="none"/>
          <w:lang w:eastAsia="zh-CN"/>
        </w:rPr>
      </w:pPr>
      <w:r>
        <w:rPr>
          <w:rFonts w:hint="eastAsia" w:ascii="Times New Roman" w:hAnsi="Times New Roman"/>
          <w:color w:val="auto"/>
          <w:sz w:val="30"/>
          <w:szCs w:val="30"/>
          <w:highlight w:val="none"/>
        </w:rPr>
        <w:t>深化保护区内污染综合整治。加快补齐</w:t>
      </w:r>
      <w:r>
        <w:rPr>
          <w:rFonts w:hint="eastAsia"/>
          <w:color w:val="auto"/>
          <w:sz w:val="30"/>
          <w:szCs w:val="30"/>
          <w:highlight w:val="none"/>
          <w:lang w:val="en-US" w:eastAsia="zh-CN"/>
        </w:rPr>
        <w:t>明朗、大坝两个</w:t>
      </w:r>
      <w:r>
        <w:rPr>
          <w:rFonts w:hint="eastAsia" w:ascii="Times New Roman" w:hAnsi="Times New Roman"/>
          <w:color w:val="auto"/>
          <w:sz w:val="30"/>
          <w:szCs w:val="30"/>
          <w:highlight w:val="none"/>
        </w:rPr>
        <w:t>水源地周边农村生活污水和垃圾处理设施短板，确保已建设施稳定运行。推广生态种植，严控农业面源污染。严格畜禽养殖管控，一级保护区内禁止</w:t>
      </w:r>
      <w:r>
        <w:rPr>
          <w:rFonts w:hint="eastAsia"/>
          <w:color w:val="auto"/>
          <w:sz w:val="30"/>
          <w:szCs w:val="30"/>
          <w:highlight w:val="none"/>
          <w:lang w:val="en-US" w:eastAsia="zh-CN"/>
        </w:rPr>
        <w:t>一切</w:t>
      </w:r>
      <w:r>
        <w:rPr>
          <w:rFonts w:hint="eastAsia" w:ascii="Times New Roman" w:hAnsi="Times New Roman"/>
          <w:color w:val="auto"/>
          <w:sz w:val="30"/>
          <w:szCs w:val="30"/>
          <w:highlight w:val="none"/>
        </w:rPr>
        <w:t>养殖</w:t>
      </w:r>
      <w:r>
        <w:rPr>
          <w:rFonts w:hint="eastAsia"/>
          <w:color w:val="auto"/>
          <w:sz w:val="30"/>
          <w:szCs w:val="30"/>
          <w:highlight w:val="none"/>
          <w:lang w:val="en-US" w:eastAsia="zh-CN"/>
        </w:rPr>
        <w:t>活动</w:t>
      </w:r>
      <w:r>
        <w:rPr>
          <w:rFonts w:hint="eastAsia" w:ascii="Times New Roman" w:hAnsi="Times New Roman"/>
          <w:color w:val="auto"/>
          <w:sz w:val="30"/>
          <w:szCs w:val="30"/>
          <w:highlight w:val="none"/>
        </w:rPr>
        <w:t>，二级保护区及准保护区</w:t>
      </w:r>
      <w:r>
        <w:rPr>
          <w:rFonts w:hint="eastAsia"/>
          <w:color w:val="auto"/>
          <w:sz w:val="30"/>
          <w:szCs w:val="30"/>
          <w:highlight w:val="none"/>
          <w:lang w:val="en-US" w:eastAsia="zh-CN"/>
        </w:rPr>
        <w:t>禁止规模化养殖，并应</w:t>
      </w:r>
      <w:r>
        <w:rPr>
          <w:rFonts w:hint="eastAsia" w:ascii="Times New Roman" w:hAnsi="Times New Roman"/>
          <w:color w:val="auto"/>
          <w:sz w:val="30"/>
          <w:szCs w:val="30"/>
          <w:highlight w:val="none"/>
        </w:rPr>
        <w:t>严格规范</w:t>
      </w:r>
      <w:r>
        <w:rPr>
          <w:rFonts w:hint="eastAsia"/>
          <w:color w:val="auto"/>
          <w:sz w:val="30"/>
          <w:szCs w:val="30"/>
          <w:highlight w:val="none"/>
          <w:lang w:val="en-US" w:eastAsia="zh-CN"/>
        </w:rPr>
        <w:t>散户</w:t>
      </w:r>
      <w:r>
        <w:rPr>
          <w:rFonts w:hint="eastAsia" w:ascii="Times New Roman" w:hAnsi="Times New Roman"/>
          <w:color w:val="auto"/>
          <w:sz w:val="30"/>
          <w:szCs w:val="30"/>
          <w:highlight w:val="none"/>
        </w:rPr>
        <w:t>养殖规模</w:t>
      </w:r>
      <w:r>
        <w:rPr>
          <w:rFonts w:hint="eastAsia"/>
          <w:color w:val="auto"/>
          <w:sz w:val="30"/>
          <w:szCs w:val="30"/>
          <w:highlight w:val="none"/>
          <w:lang w:eastAsia="zh-CN"/>
        </w:rPr>
        <w:t>，</w:t>
      </w:r>
      <w:r>
        <w:rPr>
          <w:rFonts w:hint="eastAsia"/>
          <w:color w:val="auto"/>
          <w:sz w:val="30"/>
          <w:szCs w:val="30"/>
          <w:highlight w:val="none"/>
          <w:lang w:val="en-US" w:eastAsia="zh-CN"/>
        </w:rPr>
        <w:t>加强</w:t>
      </w:r>
      <w:r>
        <w:rPr>
          <w:rFonts w:hint="eastAsia" w:ascii="Times New Roman" w:hAnsi="Times New Roman"/>
          <w:color w:val="auto"/>
          <w:sz w:val="30"/>
          <w:szCs w:val="30"/>
          <w:highlight w:val="none"/>
        </w:rPr>
        <w:t>粪污</w:t>
      </w:r>
      <w:r>
        <w:rPr>
          <w:rFonts w:hint="eastAsia"/>
          <w:color w:val="auto"/>
          <w:sz w:val="30"/>
          <w:szCs w:val="30"/>
          <w:highlight w:val="none"/>
          <w:lang w:val="en-US" w:eastAsia="zh-CN"/>
        </w:rPr>
        <w:t>资源综合利用</w:t>
      </w:r>
      <w:r>
        <w:rPr>
          <w:rFonts w:hint="eastAsia" w:ascii="Times New Roman" w:hAnsi="Times New Roman"/>
          <w:color w:val="auto"/>
          <w:sz w:val="30"/>
          <w:szCs w:val="30"/>
          <w:highlight w:val="none"/>
        </w:rPr>
        <w:t>。加强水源涵养林建设与管护，稳步提升森林覆盖率与质量</w:t>
      </w:r>
      <w:r>
        <w:rPr>
          <w:rFonts w:hint="eastAsia" w:ascii="Times New Roman" w:hAnsi="Times New Roman"/>
          <w:color w:val="auto"/>
          <w:sz w:val="30"/>
          <w:szCs w:val="30"/>
          <w:highlight w:val="none"/>
          <w:lang w:eastAsia="zh-CN"/>
        </w:rPr>
        <w:t>，增强生态系统功能。</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default"/>
          <w:color w:val="auto"/>
          <w:sz w:val="30"/>
          <w:szCs w:val="30"/>
          <w:highlight w:val="none"/>
          <w:lang w:val="en-US" w:eastAsia="zh-CN"/>
        </w:rPr>
        <w:t>推动环境空气质量精准改善</w:t>
      </w:r>
    </w:p>
    <w:p>
      <w:pPr>
        <w:pStyle w:val="5"/>
        <w:numPr>
          <w:ilvl w:val="3"/>
          <w:numId w:val="3"/>
        </w:numPr>
        <w:bidi w:val="0"/>
        <w:ind w:left="850" w:leftChars="0" w:hanging="850" w:firstLineChars="0"/>
        <w:rPr>
          <w:rFonts w:hint="eastAsia" w:ascii="Times New Roman" w:hAnsi="Times New Roman"/>
          <w:color w:val="auto"/>
          <w:sz w:val="30"/>
          <w:szCs w:val="30"/>
          <w:highlight w:val="none"/>
          <w:lang w:val="en-US" w:eastAsia="zh-CN"/>
        </w:rPr>
      </w:pPr>
      <w:r>
        <w:rPr>
          <w:rFonts w:hint="eastAsia" w:ascii="Times New Roman" w:hAnsi="Times New Roman"/>
          <w:color w:val="auto"/>
          <w:sz w:val="30"/>
          <w:szCs w:val="30"/>
          <w:highlight w:val="none"/>
          <w:lang w:val="en-US" w:eastAsia="zh-CN"/>
        </w:rPr>
        <w:t>深化重点行业多污染物协同减排</w:t>
      </w:r>
    </w:p>
    <w:p>
      <w:pPr>
        <w:rPr>
          <w:rFonts w:hint="eastAsia"/>
          <w:color w:val="auto"/>
          <w:sz w:val="30"/>
          <w:szCs w:val="30"/>
          <w:highlight w:val="none"/>
        </w:rPr>
      </w:pPr>
      <w:r>
        <w:rPr>
          <w:rFonts w:hint="eastAsia"/>
          <w:color w:val="auto"/>
          <w:sz w:val="30"/>
          <w:szCs w:val="30"/>
          <w:highlight w:val="none"/>
        </w:rPr>
        <w:t>以云南海口产业园区为核心，聚焦化工等重点行业，持续推进氮氧化物（NOx）与挥发性有机物（VOCs）的协同减排。强化环境基础设施支撑，依托园区空气质量自动监测站与应急信息化管控平台，强化脱硫、脱硝、除尘设施运行监管；推动工业炉窑、无组织排放深度治理</w:t>
      </w:r>
      <w:r>
        <w:rPr>
          <w:rFonts w:hint="eastAsia"/>
          <w:color w:val="auto"/>
          <w:sz w:val="30"/>
          <w:szCs w:val="30"/>
          <w:highlight w:val="none"/>
          <w:lang w:eastAsia="zh-CN"/>
        </w:rPr>
        <w:t>，</w:t>
      </w:r>
      <w:r>
        <w:rPr>
          <w:rFonts w:hint="eastAsia"/>
          <w:color w:val="auto"/>
          <w:sz w:val="30"/>
          <w:szCs w:val="30"/>
          <w:highlight w:val="none"/>
        </w:rPr>
        <w:t>确保</w:t>
      </w:r>
      <w:r>
        <w:rPr>
          <w:rFonts w:hint="eastAsia"/>
          <w:color w:val="auto"/>
          <w:sz w:val="30"/>
          <w:szCs w:val="30"/>
          <w:highlight w:val="none"/>
          <w:lang w:val="en-US" w:eastAsia="zh-CN"/>
        </w:rPr>
        <w:t>园区</w:t>
      </w:r>
      <w:r>
        <w:rPr>
          <w:rFonts w:hint="eastAsia"/>
          <w:color w:val="auto"/>
          <w:sz w:val="30"/>
          <w:szCs w:val="30"/>
          <w:highlight w:val="none"/>
        </w:rPr>
        <w:t>签约企业污染防治责任落地。严格执行国家碳达峰部署，鼓励企业实施节能降碳技术改造，开展自愿性清洁生产审核。督促重点企业安装在线监测设备并联网，确保稳定达标排放。</w:t>
      </w:r>
    </w:p>
    <w:p>
      <w:pPr>
        <w:pStyle w:val="5"/>
        <w:numPr>
          <w:ilvl w:val="3"/>
          <w:numId w:val="3"/>
        </w:numPr>
        <w:bidi w:val="0"/>
        <w:ind w:left="850" w:leftChars="0" w:hanging="850" w:firstLineChars="0"/>
        <w:rPr>
          <w:color w:val="auto"/>
          <w:sz w:val="30"/>
          <w:szCs w:val="30"/>
          <w:highlight w:val="none"/>
        </w:rPr>
      </w:pPr>
      <w:r>
        <w:rPr>
          <w:rFonts w:hint="eastAsia"/>
          <w:color w:val="auto"/>
          <w:sz w:val="30"/>
          <w:szCs w:val="30"/>
          <w:highlight w:val="none"/>
        </w:rPr>
        <w:t>强化移动源与面源污染精细化管控</w:t>
      </w:r>
    </w:p>
    <w:p>
      <w:pPr>
        <w:rPr>
          <w:rFonts w:hint="eastAsia"/>
          <w:color w:val="auto"/>
          <w:sz w:val="30"/>
          <w:szCs w:val="30"/>
          <w:highlight w:val="none"/>
        </w:rPr>
      </w:pPr>
      <w:r>
        <w:rPr>
          <w:rFonts w:hint="eastAsia"/>
          <w:color w:val="auto"/>
          <w:sz w:val="30"/>
          <w:szCs w:val="30"/>
          <w:highlight w:val="none"/>
          <w:lang w:val="en-US" w:eastAsia="zh-CN"/>
        </w:rPr>
        <w:t>推动</w:t>
      </w:r>
      <w:r>
        <w:rPr>
          <w:rFonts w:hint="eastAsia"/>
          <w:color w:val="auto"/>
          <w:sz w:val="30"/>
          <w:szCs w:val="30"/>
          <w:highlight w:val="none"/>
        </w:rPr>
        <w:t>移动源治理升级</w:t>
      </w:r>
      <w:r>
        <w:rPr>
          <w:rFonts w:hint="eastAsia"/>
          <w:color w:val="auto"/>
          <w:sz w:val="30"/>
          <w:szCs w:val="30"/>
          <w:highlight w:val="none"/>
          <w:lang w:eastAsia="zh-CN"/>
        </w:rPr>
        <w:t>。</w:t>
      </w:r>
      <w:r>
        <w:rPr>
          <w:rFonts w:hint="eastAsia"/>
          <w:color w:val="auto"/>
          <w:sz w:val="30"/>
          <w:szCs w:val="30"/>
          <w:highlight w:val="none"/>
        </w:rPr>
        <w:t>加</w:t>
      </w:r>
      <w:r>
        <w:rPr>
          <w:rFonts w:hint="eastAsia"/>
          <w:color w:val="auto"/>
          <w:sz w:val="30"/>
          <w:szCs w:val="30"/>
          <w:highlight w:val="none"/>
          <w:lang w:val="en-US" w:eastAsia="zh-CN"/>
        </w:rPr>
        <w:t>快</w:t>
      </w:r>
      <w:r>
        <w:rPr>
          <w:rFonts w:hint="eastAsia"/>
          <w:color w:val="auto"/>
          <w:sz w:val="30"/>
          <w:szCs w:val="30"/>
          <w:highlight w:val="none"/>
        </w:rPr>
        <w:t>新能源汽车普及与应用</w:t>
      </w:r>
      <w:r>
        <w:rPr>
          <w:rFonts w:hint="eastAsia"/>
          <w:color w:val="auto"/>
          <w:sz w:val="30"/>
          <w:szCs w:val="30"/>
          <w:highlight w:val="none"/>
          <w:lang w:eastAsia="zh-CN"/>
        </w:rPr>
        <w:t>，</w:t>
      </w:r>
      <w:r>
        <w:rPr>
          <w:rFonts w:hint="eastAsia"/>
          <w:color w:val="auto"/>
          <w:sz w:val="30"/>
          <w:szCs w:val="30"/>
          <w:highlight w:val="none"/>
        </w:rPr>
        <w:t>继续完善公共充电站、换电站及充电桩网络布局，实现重点区域充电设施全覆盖。</w:t>
      </w:r>
      <w:r>
        <w:rPr>
          <w:rFonts w:hint="eastAsia"/>
          <w:color w:val="auto"/>
          <w:sz w:val="30"/>
          <w:szCs w:val="30"/>
          <w:highlight w:val="none"/>
          <w:lang w:val="en-US" w:eastAsia="zh-CN"/>
        </w:rPr>
        <w:t>深化</w:t>
      </w:r>
      <w:r>
        <w:rPr>
          <w:rFonts w:hint="eastAsia"/>
          <w:color w:val="auto"/>
          <w:sz w:val="30"/>
          <w:szCs w:val="30"/>
          <w:highlight w:val="none"/>
        </w:rPr>
        <w:t>“车油路”统筹监管</w:t>
      </w:r>
      <w:r>
        <w:rPr>
          <w:rFonts w:hint="eastAsia"/>
          <w:color w:val="auto"/>
          <w:sz w:val="30"/>
          <w:szCs w:val="30"/>
          <w:highlight w:val="none"/>
          <w:lang w:eastAsia="zh-CN"/>
        </w:rPr>
        <w:t>，</w:t>
      </w:r>
      <w:r>
        <w:rPr>
          <w:rFonts w:hint="eastAsia"/>
          <w:color w:val="auto"/>
          <w:sz w:val="30"/>
          <w:szCs w:val="30"/>
          <w:highlight w:val="none"/>
        </w:rPr>
        <w:t>严厉打击非法成品油经营行为，建立并动态更新非道路移动机械台账，通过路检路查和入户抽查相结合的方式，强化对工程机械、农业机械等移动源的排放管控，提升整体达标率。</w:t>
      </w:r>
    </w:p>
    <w:p>
      <w:pPr>
        <w:rPr>
          <w:rFonts w:hint="default"/>
          <w:color w:val="auto"/>
          <w:sz w:val="30"/>
          <w:szCs w:val="30"/>
          <w:highlight w:val="none"/>
        </w:rPr>
      </w:pPr>
      <w:r>
        <w:rPr>
          <w:rFonts w:hint="eastAsia"/>
          <w:color w:val="auto"/>
          <w:sz w:val="30"/>
          <w:szCs w:val="30"/>
          <w:highlight w:val="none"/>
        </w:rPr>
        <w:t>精准防控面源污染</w:t>
      </w:r>
      <w:r>
        <w:rPr>
          <w:rFonts w:hint="eastAsia"/>
          <w:color w:val="auto"/>
          <w:sz w:val="30"/>
          <w:szCs w:val="30"/>
          <w:highlight w:val="none"/>
          <w:lang w:eastAsia="zh-CN"/>
        </w:rPr>
        <w:t>。全面推行施工扬尘“六个百分百”标准，利用第三方巡查与量化评分机制，严格落实“红黑榜”制度，强化社会监督与信用管理。</w:t>
      </w:r>
      <w:r>
        <w:rPr>
          <w:rFonts w:hint="default"/>
          <w:color w:val="auto"/>
          <w:sz w:val="30"/>
          <w:szCs w:val="30"/>
          <w:highlight w:val="none"/>
        </w:rPr>
        <w:t>道路保洁推行“吸扫冲刷”立体化作业，</w:t>
      </w:r>
      <w:r>
        <w:rPr>
          <w:rFonts w:hint="eastAsia"/>
          <w:color w:val="auto"/>
          <w:sz w:val="30"/>
          <w:szCs w:val="30"/>
          <w:highlight w:val="none"/>
          <w:lang w:val="en-US" w:eastAsia="zh-CN"/>
        </w:rPr>
        <w:t>定期开展</w:t>
      </w:r>
      <w:r>
        <w:rPr>
          <w:rFonts w:hint="default"/>
          <w:color w:val="auto"/>
          <w:sz w:val="30"/>
          <w:szCs w:val="30"/>
          <w:highlight w:val="none"/>
        </w:rPr>
        <w:t>重点道路机械化清扫</w:t>
      </w:r>
      <w:r>
        <w:rPr>
          <w:rFonts w:hint="eastAsia"/>
          <w:color w:val="auto"/>
          <w:sz w:val="30"/>
          <w:szCs w:val="30"/>
          <w:highlight w:val="none"/>
          <w:lang w:val="en-US" w:eastAsia="zh-CN"/>
        </w:rPr>
        <w:t>及</w:t>
      </w:r>
      <w:r>
        <w:rPr>
          <w:rFonts w:hint="default"/>
          <w:color w:val="auto"/>
          <w:sz w:val="30"/>
          <w:szCs w:val="30"/>
          <w:highlight w:val="none"/>
        </w:rPr>
        <w:t>洒水降尘</w:t>
      </w:r>
      <w:r>
        <w:rPr>
          <w:rFonts w:hint="eastAsia"/>
          <w:color w:val="auto"/>
          <w:sz w:val="30"/>
          <w:szCs w:val="30"/>
          <w:highlight w:val="none"/>
          <w:lang w:eastAsia="zh-CN"/>
        </w:rPr>
        <w:t>，</w:t>
      </w:r>
      <w:r>
        <w:rPr>
          <w:rFonts w:hint="default"/>
          <w:color w:val="auto"/>
          <w:sz w:val="30"/>
          <w:szCs w:val="30"/>
          <w:highlight w:val="none"/>
        </w:rPr>
        <w:t>极端天气动态加频</w:t>
      </w:r>
      <w:r>
        <w:rPr>
          <w:rFonts w:hint="eastAsia"/>
          <w:color w:val="auto"/>
          <w:sz w:val="30"/>
          <w:szCs w:val="30"/>
          <w:highlight w:val="none"/>
          <w:lang w:eastAsia="zh-CN"/>
        </w:rPr>
        <w:t>；</w:t>
      </w:r>
      <w:r>
        <w:rPr>
          <w:rFonts w:hint="default"/>
          <w:color w:val="auto"/>
          <w:sz w:val="30"/>
          <w:szCs w:val="30"/>
          <w:highlight w:val="none"/>
        </w:rPr>
        <w:t>建立餐饮业选址负面清单，控制源头增量。对主城区餐饮集中区开展专项整治，推广高效油烟净化设备和在线监控，打造示范街区。</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完善机制建设与应急响应能力</w:t>
      </w:r>
    </w:p>
    <w:p>
      <w:pPr>
        <w:bidi w:val="0"/>
        <w:rPr>
          <w:rFonts w:hint="eastAsia"/>
          <w:color w:val="auto"/>
          <w:sz w:val="30"/>
          <w:szCs w:val="30"/>
          <w:highlight w:val="none"/>
        </w:rPr>
      </w:pPr>
      <w:r>
        <w:rPr>
          <w:rFonts w:hint="eastAsia"/>
          <w:color w:val="auto"/>
          <w:sz w:val="30"/>
          <w:szCs w:val="30"/>
          <w:highlight w:val="none"/>
        </w:rPr>
        <w:t>健全政策与</w:t>
      </w:r>
      <w:r>
        <w:rPr>
          <w:rFonts w:hint="eastAsia"/>
          <w:color w:val="auto"/>
          <w:sz w:val="30"/>
          <w:szCs w:val="30"/>
          <w:highlight w:val="none"/>
          <w:lang w:val="en-US" w:eastAsia="zh-CN"/>
        </w:rPr>
        <w:t>防控</w:t>
      </w:r>
      <w:r>
        <w:rPr>
          <w:rFonts w:hint="eastAsia"/>
          <w:color w:val="auto"/>
          <w:sz w:val="30"/>
          <w:szCs w:val="30"/>
          <w:highlight w:val="none"/>
        </w:rPr>
        <w:t>体系</w:t>
      </w:r>
      <w:r>
        <w:rPr>
          <w:rFonts w:hint="eastAsia"/>
          <w:color w:val="auto"/>
          <w:sz w:val="30"/>
          <w:szCs w:val="30"/>
          <w:highlight w:val="none"/>
          <w:lang w:eastAsia="zh-CN"/>
        </w:rPr>
        <w:t>。</w:t>
      </w:r>
      <w:r>
        <w:rPr>
          <w:rFonts w:hint="eastAsia"/>
          <w:color w:val="auto"/>
          <w:sz w:val="30"/>
          <w:szCs w:val="30"/>
          <w:highlight w:val="none"/>
          <w:lang w:val="en-US" w:eastAsia="zh-CN"/>
        </w:rPr>
        <w:t>联合多部门建立协同监管体系，定期召开专题会议及时解决治理难题。</w:t>
      </w:r>
      <w:r>
        <w:rPr>
          <w:rFonts w:hint="eastAsia"/>
          <w:color w:val="auto"/>
          <w:sz w:val="30"/>
          <w:szCs w:val="30"/>
          <w:highlight w:val="none"/>
        </w:rPr>
        <w:t>制定并完善年度大气污染综合治理攻坚方案，将污染防治任务纳入各相关部门和街道的年度目标考核，压实属地与部门责任，确保问题整改</w:t>
      </w:r>
      <w:r>
        <w:rPr>
          <w:rFonts w:hint="default"/>
          <w:color w:val="auto"/>
          <w:sz w:val="30"/>
          <w:szCs w:val="30"/>
          <w:highlight w:val="none"/>
        </w:rPr>
        <w:t>率达100</w:t>
      </w:r>
      <w:r>
        <w:rPr>
          <w:rFonts w:hint="default"/>
          <w:color w:val="auto"/>
          <w:sz w:val="30"/>
          <w:szCs w:val="30"/>
          <w:highlight w:val="none"/>
          <w:lang w:val="en-US" w:eastAsia="zh-CN"/>
        </w:rPr>
        <w:t>%</w:t>
      </w:r>
      <w:r>
        <w:rPr>
          <w:rFonts w:hint="eastAsia"/>
          <w:color w:val="auto"/>
          <w:sz w:val="30"/>
          <w:szCs w:val="30"/>
          <w:highlight w:val="none"/>
        </w:rPr>
        <w:t>。</w:t>
      </w:r>
    </w:p>
    <w:p>
      <w:pPr>
        <w:bidi w:val="0"/>
        <w:rPr>
          <w:rFonts w:hint="eastAsia"/>
          <w:color w:val="auto"/>
          <w:sz w:val="30"/>
          <w:szCs w:val="30"/>
          <w:highlight w:val="none"/>
        </w:rPr>
      </w:pPr>
      <w:r>
        <w:rPr>
          <w:rFonts w:hint="eastAsia"/>
          <w:color w:val="auto"/>
          <w:sz w:val="30"/>
          <w:szCs w:val="30"/>
          <w:highlight w:val="none"/>
        </w:rPr>
        <w:t>强化应急响应</w:t>
      </w:r>
      <w:r>
        <w:rPr>
          <w:rFonts w:hint="eastAsia"/>
          <w:color w:val="auto"/>
          <w:sz w:val="30"/>
          <w:szCs w:val="30"/>
          <w:highlight w:val="none"/>
          <w:lang w:val="en-US" w:eastAsia="zh-CN"/>
        </w:rPr>
        <w:t>与监测能力</w:t>
      </w:r>
      <w:r>
        <w:rPr>
          <w:rFonts w:hint="eastAsia"/>
          <w:color w:val="auto"/>
          <w:sz w:val="30"/>
          <w:szCs w:val="30"/>
          <w:highlight w:val="none"/>
          <w:lang w:eastAsia="zh-CN"/>
        </w:rPr>
        <w:t>。</w:t>
      </w:r>
      <w:r>
        <w:rPr>
          <w:rFonts w:hint="eastAsia"/>
          <w:color w:val="auto"/>
          <w:sz w:val="30"/>
          <w:szCs w:val="30"/>
          <w:highlight w:val="none"/>
        </w:rPr>
        <w:t>修订并完善大气污染事件应急预案，建立健全重污染天气应急响应机制。在污染天气预警期间，及时启动并落实洒水增湿、错峰生产、停工停产等应急削峰措施，最大限度减轻污染影响</w:t>
      </w:r>
      <w:r>
        <w:rPr>
          <w:rFonts w:hint="eastAsia"/>
          <w:color w:val="auto"/>
          <w:sz w:val="30"/>
          <w:szCs w:val="30"/>
          <w:highlight w:val="none"/>
          <w:lang w:eastAsia="zh-CN"/>
        </w:rPr>
        <w:t>；</w:t>
      </w:r>
      <w:r>
        <w:rPr>
          <w:rFonts w:hint="eastAsia"/>
          <w:color w:val="auto"/>
          <w:sz w:val="30"/>
          <w:szCs w:val="30"/>
          <w:highlight w:val="none"/>
        </w:rPr>
        <w:t>在重点工业园区、人口密集区</w:t>
      </w:r>
      <w:r>
        <w:rPr>
          <w:rFonts w:hint="eastAsia"/>
          <w:color w:val="auto"/>
          <w:sz w:val="30"/>
          <w:szCs w:val="30"/>
          <w:highlight w:val="none"/>
          <w:lang w:val="en-US" w:eastAsia="zh-CN"/>
        </w:rPr>
        <w:t>加密</w:t>
      </w:r>
      <w:r>
        <w:rPr>
          <w:rFonts w:hint="eastAsia"/>
          <w:color w:val="auto"/>
          <w:sz w:val="30"/>
          <w:szCs w:val="30"/>
          <w:highlight w:val="none"/>
        </w:rPr>
        <w:t>监测</w:t>
      </w:r>
      <w:r>
        <w:rPr>
          <w:rFonts w:hint="eastAsia"/>
          <w:color w:val="auto"/>
          <w:sz w:val="30"/>
          <w:szCs w:val="30"/>
          <w:highlight w:val="none"/>
          <w:lang w:eastAsia="zh-CN"/>
        </w:rPr>
        <w:t>，</w:t>
      </w:r>
      <w:r>
        <w:rPr>
          <w:rFonts w:hint="eastAsia"/>
          <w:color w:val="auto"/>
          <w:sz w:val="30"/>
          <w:szCs w:val="30"/>
          <w:highlight w:val="none"/>
          <w:lang w:val="en-US" w:eastAsia="zh-CN"/>
        </w:rPr>
        <w:t>强化</w:t>
      </w:r>
      <w:r>
        <w:rPr>
          <w:rFonts w:hint="eastAsia"/>
          <w:color w:val="auto"/>
          <w:sz w:val="30"/>
          <w:szCs w:val="30"/>
          <w:highlight w:val="none"/>
        </w:rPr>
        <w:t>PM</w:t>
      </w:r>
      <w:r>
        <w:rPr>
          <w:rFonts w:hint="eastAsia"/>
          <w:color w:val="auto"/>
          <w:sz w:val="30"/>
          <w:szCs w:val="30"/>
          <w:highlight w:val="none"/>
          <w:vertAlign w:val="subscript"/>
        </w:rPr>
        <w:t>2.5</w:t>
      </w:r>
      <w:r>
        <w:rPr>
          <w:rFonts w:hint="eastAsia"/>
          <w:color w:val="auto"/>
          <w:sz w:val="30"/>
          <w:szCs w:val="30"/>
          <w:highlight w:val="none"/>
        </w:rPr>
        <w:t>、VOCs等指标实时监控</w:t>
      </w:r>
      <w:r>
        <w:rPr>
          <w:rFonts w:hint="eastAsia"/>
          <w:color w:val="auto"/>
          <w:sz w:val="30"/>
          <w:szCs w:val="30"/>
          <w:highlight w:val="none"/>
          <w:lang w:val="en-US" w:eastAsia="zh-CN"/>
        </w:rPr>
        <w:t>能力</w:t>
      </w:r>
      <w:r>
        <w:rPr>
          <w:rFonts w:hint="eastAsia"/>
          <w:color w:val="auto"/>
          <w:sz w:val="30"/>
          <w:szCs w:val="30"/>
          <w:highlight w:val="none"/>
          <w:lang w:eastAsia="zh-CN"/>
        </w:rPr>
        <w:t>，</w:t>
      </w:r>
      <w:r>
        <w:rPr>
          <w:rFonts w:hint="eastAsia"/>
          <w:color w:val="auto"/>
          <w:sz w:val="30"/>
          <w:szCs w:val="30"/>
          <w:highlight w:val="none"/>
        </w:rPr>
        <w:t>推广3D可视激光雷达空气质量监测等技术，提升污染溯源与精准治理能力。</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default"/>
          <w:color w:val="auto"/>
          <w:sz w:val="30"/>
          <w:szCs w:val="30"/>
          <w:highlight w:val="none"/>
          <w:lang w:val="en-US" w:eastAsia="zh-CN"/>
        </w:rPr>
        <w:t>强化土壤与地下水污染风险管控与</w:t>
      </w:r>
      <w:r>
        <w:rPr>
          <w:rFonts w:hint="eastAsia"/>
          <w:color w:val="auto"/>
          <w:sz w:val="30"/>
          <w:szCs w:val="30"/>
          <w:highlight w:val="none"/>
          <w:lang w:val="en-US" w:eastAsia="zh-CN"/>
        </w:rPr>
        <w:t>修复</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强化土壤污染源头预防与风险管控</w:t>
      </w:r>
    </w:p>
    <w:p>
      <w:pPr>
        <w:rPr>
          <w:rFonts w:hint="eastAsia"/>
          <w:color w:val="auto"/>
          <w:sz w:val="30"/>
          <w:szCs w:val="30"/>
          <w:highlight w:val="none"/>
        </w:rPr>
      </w:pPr>
      <w:r>
        <w:rPr>
          <w:rFonts w:hint="eastAsia"/>
          <w:color w:val="auto"/>
          <w:sz w:val="30"/>
          <w:szCs w:val="30"/>
          <w:highlight w:val="none"/>
        </w:rPr>
        <w:t>对</w:t>
      </w:r>
      <w:r>
        <w:rPr>
          <w:rFonts w:hint="eastAsia"/>
          <w:color w:val="auto"/>
          <w:sz w:val="30"/>
          <w:szCs w:val="30"/>
          <w:highlight w:val="none"/>
          <w:lang w:val="en-US" w:eastAsia="zh-CN"/>
        </w:rPr>
        <w:t>产业园区</w:t>
      </w:r>
      <w:r>
        <w:rPr>
          <w:rFonts w:hint="eastAsia"/>
          <w:color w:val="auto"/>
          <w:sz w:val="30"/>
          <w:szCs w:val="30"/>
          <w:highlight w:val="none"/>
        </w:rPr>
        <w:t>化工、电镀、制革等重点行业企业实施全生命周期土壤环境监管，建立并落实土壤污染隐患排查制度。对拟收回土地使用权的上述企业用地，严格开展土壤环境质量调查评估。同时，加强涉重金属行业污染防控，</w:t>
      </w:r>
      <w:r>
        <w:rPr>
          <w:color w:val="auto"/>
          <w:highlight w:val="none"/>
        </w:rPr>
        <w:t>严格落实涉重金属行业建设项目重点重金属污染物排放总量控制与指标调剂制度，实施“等量置换”或“减量替换”</w:t>
      </w:r>
      <w:r>
        <w:rPr>
          <w:rFonts w:hint="eastAsia"/>
          <w:color w:val="auto"/>
          <w:sz w:val="30"/>
          <w:szCs w:val="30"/>
          <w:highlight w:val="none"/>
        </w:rPr>
        <w:t>，从源头减少重金属污染物进入土壤环境。</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实施农用地分类管理与安全利用</w:t>
      </w:r>
    </w:p>
    <w:p>
      <w:pPr>
        <w:rPr>
          <w:rFonts w:hint="eastAsia"/>
          <w:color w:val="auto"/>
          <w:sz w:val="30"/>
          <w:szCs w:val="30"/>
          <w:highlight w:val="none"/>
        </w:rPr>
      </w:pPr>
      <w:r>
        <w:rPr>
          <w:rFonts w:hint="eastAsia"/>
          <w:color w:val="auto"/>
          <w:sz w:val="30"/>
          <w:szCs w:val="30"/>
          <w:highlight w:val="none"/>
        </w:rPr>
        <w:t>持续开展农用地土壤环境质量监测与分类管理，动态更新耕地土壤环境质量类别划分。对安全利用类耕地，结合当地主要作物品种和种植习惯，优先采取农艺调控、替代种植、轮作休耕等安全利用措施，降低农产品超标风险。对严格管控类耕地，依法划定特定农产品禁止生产区域，有序推进种植结构调整或退耕还林还草，确保农用地安全利用水平稳步提升。</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推进地下水污染防控与修复治理</w:t>
      </w:r>
    </w:p>
    <w:p>
      <w:pPr>
        <w:rPr>
          <w:rFonts w:hint="eastAsia"/>
          <w:color w:val="auto"/>
          <w:sz w:val="30"/>
          <w:szCs w:val="30"/>
          <w:highlight w:val="none"/>
        </w:rPr>
      </w:pPr>
      <w:r>
        <w:rPr>
          <w:rFonts w:hint="eastAsia"/>
          <w:color w:val="auto"/>
          <w:sz w:val="30"/>
          <w:szCs w:val="30"/>
          <w:highlight w:val="none"/>
        </w:rPr>
        <w:t>科学划定并严格保护地下水水源保护区。对海口化工园区等重点区域，督促可能造成地下水污染的企业落实防渗、防漏措施，并建立园区及周边地下水环境监测网络，定期开展水质监测。对已形成污染的企业场地，实施地下水污染风险管控与修复工程，重点推进海口化工园区地下水污染整治项目，有效遏制污染扩散，逐步改善地下水环境质量。</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default"/>
          <w:color w:val="auto"/>
          <w:sz w:val="30"/>
          <w:szCs w:val="30"/>
          <w:highlight w:val="none"/>
          <w:lang w:val="en-US" w:eastAsia="zh-CN"/>
        </w:rPr>
        <w:t>全域推进“无废城市”建设</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推动建筑垃圾全过程管理</w:t>
      </w:r>
    </w:p>
    <w:p>
      <w:pPr>
        <w:rPr>
          <w:rFonts w:hint="eastAsia"/>
          <w:color w:val="auto"/>
          <w:sz w:val="30"/>
          <w:szCs w:val="30"/>
          <w:highlight w:val="none"/>
        </w:rPr>
      </w:pPr>
      <w:r>
        <w:rPr>
          <w:rFonts w:hint="eastAsia"/>
          <w:color w:val="auto"/>
          <w:sz w:val="30"/>
          <w:szCs w:val="30"/>
          <w:highlight w:val="none"/>
        </w:rPr>
        <w:t>强化源头减量</w:t>
      </w:r>
      <w:r>
        <w:rPr>
          <w:rFonts w:hint="eastAsia"/>
          <w:color w:val="auto"/>
          <w:sz w:val="30"/>
          <w:szCs w:val="30"/>
          <w:highlight w:val="none"/>
          <w:lang w:eastAsia="zh-CN"/>
        </w:rPr>
        <w:t>，</w:t>
      </w:r>
      <w:r>
        <w:rPr>
          <w:rFonts w:hint="eastAsia"/>
          <w:color w:val="auto"/>
          <w:sz w:val="30"/>
          <w:szCs w:val="30"/>
          <w:highlight w:val="none"/>
        </w:rPr>
        <w:t>严格执行《建筑垃圾处理方案》制度与绿色建造标准，推广装配式建筑和绿色建材，从工程设计、施工环节减少垃圾产生。完善建筑垃圾收运体系，结合旧城改造、棚改项目需求，科学规划建筑垃圾临时堆放点与分拣点</w:t>
      </w:r>
      <w:r>
        <w:rPr>
          <w:rFonts w:hint="eastAsia"/>
          <w:color w:val="auto"/>
          <w:sz w:val="30"/>
          <w:szCs w:val="30"/>
          <w:highlight w:val="none"/>
          <w:lang w:eastAsia="zh-CN"/>
        </w:rPr>
        <w:t>。</w:t>
      </w:r>
      <w:r>
        <w:rPr>
          <w:rFonts w:hint="eastAsia"/>
          <w:color w:val="auto"/>
          <w:sz w:val="30"/>
          <w:szCs w:val="30"/>
          <w:highlight w:val="none"/>
        </w:rPr>
        <w:t>扶持资源化利用企业，简化资源化利用项目审批备案流程</w:t>
      </w:r>
      <w:r>
        <w:rPr>
          <w:rFonts w:hint="eastAsia"/>
          <w:color w:val="auto"/>
          <w:sz w:val="30"/>
          <w:szCs w:val="30"/>
          <w:highlight w:val="none"/>
          <w:lang w:eastAsia="zh-CN"/>
        </w:rPr>
        <w:t>，</w:t>
      </w:r>
      <w:r>
        <w:rPr>
          <w:rFonts w:hint="eastAsia"/>
          <w:color w:val="auto"/>
          <w:sz w:val="30"/>
          <w:szCs w:val="30"/>
          <w:highlight w:val="none"/>
        </w:rPr>
        <w:t>推动资源化利用企业升级技术装备，提升装修垃圾分拣精度与再生产品质量，拓展再生产品应用场景。健全监管机制</w:t>
      </w:r>
      <w:r>
        <w:rPr>
          <w:rFonts w:hint="eastAsia"/>
          <w:color w:val="auto"/>
          <w:sz w:val="30"/>
          <w:szCs w:val="30"/>
          <w:highlight w:val="none"/>
          <w:lang w:eastAsia="zh-CN"/>
        </w:rPr>
        <w:t>，</w:t>
      </w:r>
      <w:r>
        <w:rPr>
          <w:rFonts w:hint="eastAsia"/>
          <w:color w:val="auto"/>
          <w:sz w:val="30"/>
          <w:szCs w:val="30"/>
          <w:highlight w:val="none"/>
        </w:rPr>
        <w:t>全面实施《西山区城市建筑垃圾全过程管理及资源化利用实施方案》，加强部门联动执法，严厉打击非法倾倒行为。</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促进一般工业固废源头减量与高值利用</w:t>
      </w:r>
    </w:p>
    <w:p>
      <w:pPr>
        <w:rPr>
          <w:rFonts w:hint="eastAsia"/>
          <w:color w:val="auto"/>
          <w:sz w:val="30"/>
          <w:szCs w:val="30"/>
          <w:highlight w:val="none"/>
        </w:rPr>
      </w:pPr>
      <w:r>
        <w:rPr>
          <w:rFonts w:hint="eastAsia"/>
          <w:color w:val="auto"/>
          <w:sz w:val="30"/>
          <w:szCs w:val="30"/>
          <w:highlight w:val="none"/>
          <w:lang w:eastAsia="zh-CN"/>
        </w:rPr>
        <w:t>严格执行排污许可管理制度，</w:t>
      </w:r>
      <w:r>
        <w:rPr>
          <w:rFonts w:hint="eastAsia"/>
          <w:color w:val="auto"/>
          <w:sz w:val="30"/>
          <w:szCs w:val="30"/>
          <w:highlight w:val="none"/>
        </w:rPr>
        <w:t>提升工业固体废物综合处置水平</w:t>
      </w:r>
      <w:r>
        <w:rPr>
          <w:rFonts w:hint="eastAsia"/>
          <w:color w:val="auto"/>
          <w:sz w:val="30"/>
          <w:szCs w:val="30"/>
          <w:highlight w:val="none"/>
          <w:lang w:eastAsia="zh-CN"/>
        </w:rPr>
        <w:t>。加强对高耗能、高排放项目的准入控制，坚决压减过剩产能，降低工业固体废物产生强度。建立工业固废管理台账，如实记录产生工业固体废物的种类、数量、流向、贮存、利用、处置等信息。</w:t>
      </w:r>
      <w:r>
        <w:rPr>
          <w:rFonts w:hint="eastAsia"/>
          <w:color w:val="auto"/>
          <w:sz w:val="30"/>
          <w:szCs w:val="30"/>
          <w:highlight w:val="none"/>
        </w:rPr>
        <w:t>重点推动磷石膏、冶炼渣等大宗工业固废的资源化利用，鼓励在建材、筑路等领域的规模化利用。推广磷石膏建材等绿色产品的应用奖励政策</w:t>
      </w:r>
      <w:r>
        <w:rPr>
          <w:rFonts w:hint="eastAsia"/>
          <w:color w:val="auto"/>
          <w:sz w:val="30"/>
          <w:szCs w:val="30"/>
          <w:highlight w:val="none"/>
          <w:lang w:eastAsia="zh-CN"/>
        </w:rPr>
        <w:t>，</w:t>
      </w:r>
      <w:r>
        <w:rPr>
          <w:rFonts w:hint="eastAsia"/>
          <w:color w:val="auto"/>
          <w:sz w:val="30"/>
          <w:szCs w:val="30"/>
          <w:highlight w:val="none"/>
        </w:rPr>
        <w:t>推动氯化钾生产加工、有价值副产品综合利用。</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lang w:val="en-US" w:eastAsia="zh-CN"/>
        </w:rPr>
        <w:t>推进</w:t>
      </w:r>
      <w:r>
        <w:rPr>
          <w:rFonts w:hint="eastAsia"/>
          <w:color w:val="auto"/>
          <w:sz w:val="30"/>
          <w:szCs w:val="30"/>
          <w:highlight w:val="none"/>
        </w:rPr>
        <w:t>生活垃圾分类与处理全覆盖</w:t>
      </w:r>
    </w:p>
    <w:p>
      <w:pPr>
        <w:rPr>
          <w:rFonts w:hint="eastAsia"/>
          <w:color w:val="auto"/>
          <w:sz w:val="30"/>
          <w:szCs w:val="30"/>
          <w:highlight w:val="none"/>
        </w:rPr>
      </w:pPr>
      <w:r>
        <w:rPr>
          <w:rFonts w:hint="eastAsia"/>
          <w:color w:val="auto"/>
          <w:sz w:val="30"/>
          <w:szCs w:val="30"/>
          <w:highlight w:val="none"/>
        </w:rPr>
        <w:t>持续开展居民小区垃圾分类示范试点，健全“分类投放-分类收集-分类运输-分类处理”的生活垃圾处理体系，提升居民小区、公共机构分类实效。加强转运站、收集点管理，巩固生活垃圾无害化处理率100%的目标，确保所有垃圾得到规范、安全处置。加快</w:t>
      </w:r>
      <w:r>
        <w:rPr>
          <w:rFonts w:hint="eastAsia"/>
          <w:color w:val="auto"/>
          <w:sz w:val="30"/>
          <w:szCs w:val="30"/>
          <w:highlight w:val="none"/>
          <w:lang w:val="en-US" w:eastAsia="zh-CN"/>
        </w:rPr>
        <w:t>补齐垃圾转运站点</w:t>
      </w:r>
      <w:r>
        <w:rPr>
          <w:rFonts w:hint="eastAsia"/>
          <w:color w:val="auto"/>
          <w:sz w:val="30"/>
          <w:szCs w:val="30"/>
          <w:highlight w:val="none"/>
        </w:rPr>
        <w:t>基础设施短板</w:t>
      </w:r>
      <w:r>
        <w:rPr>
          <w:rFonts w:hint="eastAsia"/>
          <w:color w:val="auto"/>
          <w:sz w:val="30"/>
          <w:szCs w:val="30"/>
          <w:highlight w:val="none"/>
          <w:lang w:eastAsia="zh-CN"/>
        </w:rPr>
        <w:t>，提升全区垃圾收运与压缩处理效率。</w:t>
      </w:r>
      <w:r>
        <w:rPr>
          <w:rFonts w:hint="eastAsia"/>
          <w:color w:val="auto"/>
          <w:sz w:val="30"/>
          <w:szCs w:val="30"/>
          <w:highlight w:val="none"/>
        </w:rPr>
        <w:t>大力发展厨余垃圾资源化利用，完善可回收物回收体系，进一步提高焚烧发电效率，推动“末端处置”向“资源循环”转型。</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构建城乡再生资源回收网络</w:t>
      </w:r>
    </w:p>
    <w:p>
      <w:pPr>
        <w:rPr>
          <w:rFonts w:hint="eastAsia"/>
          <w:color w:val="auto"/>
          <w:sz w:val="30"/>
          <w:szCs w:val="30"/>
          <w:highlight w:val="none"/>
        </w:rPr>
      </w:pPr>
      <w:r>
        <w:rPr>
          <w:rFonts w:hint="eastAsia"/>
          <w:color w:val="auto"/>
          <w:sz w:val="30"/>
          <w:szCs w:val="30"/>
          <w:highlight w:val="none"/>
        </w:rPr>
        <w:t>合理布局建设再生资源回收站点、分拣中心，形成覆盖城乡、便捷高效的回收网络。鼓励“互联网+回收”等新模式发展</w:t>
      </w:r>
      <w:r>
        <w:rPr>
          <w:rFonts w:hint="eastAsia"/>
          <w:color w:val="auto"/>
          <w:sz w:val="30"/>
          <w:szCs w:val="30"/>
          <w:highlight w:val="none"/>
          <w:lang w:eastAsia="zh-CN"/>
        </w:rPr>
        <w:t>，</w:t>
      </w:r>
      <w:r>
        <w:rPr>
          <w:rFonts w:hint="eastAsia"/>
          <w:color w:val="auto"/>
          <w:sz w:val="30"/>
          <w:szCs w:val="30"/>
          <w:highlight w:val="none"/>
        </w:rPr>
        <w:t>提升全社会再生资源回收利用率。推进农业废弃物资源化</w:t>
      </w:r>
      <w:r>
        <w:rPr>
          <w:rFonts w:hint="eastAsia"/>
          <w:color w:val="auto"/>
          <w:sz w:val="30"/>
          <w:szCs w:val="30"/>
          <w:highlight w:val="none"/>
          <w:lang w:val="en-US" w:eastAsia="zh-CN"/>
        </w:rPr>
        <w:t>利用</w:t>
      </w:r>
      <w:r>
        <w:rPr>
          <w:rFonts w:hint="eastAsia"/>
          <w:color w:val="auto"/>
          <w:sz w:val="30"/>
          <w:szCs w:val="30"/>
          <w:highlight w:val="none"/>
          <w:lang w:eastAsia="zh-CN"/>
        </w:rPr>
        <w:t>，深化化肥农药减量增效，</w:t>
      </w:r>
      <w:r>
        <w:rPr>
          <w:rFonts w:hint="eastAsia"/>
          <w:color w:val="auto"/>
          <w:sz w:val="30"/>
          <w:szCs w:val="30"/>
          <w:highlight w:val="none"/>
          <w:lang w:val="en-US" w:eastAsia="zh-CN"/>
        </w:rPr>
        <w:t>完善</w:t>
      </w:r>
      <w:r>
        <w:rPr>
          <w:rFonts w:hint="eastAsia"/>
          <w:color w:val="auto"/>
          <w:sz w:val="30"/>
          <w:szCs w:val="30"/>
          <w:highlight w:val="none"/>
          <w:lang w:eastAsia="zh-CN"/>
        </w:rPr>
        <w:t>规模化养殖场粪污处理设施，推动秸秆还田、饲料化、基料化利用，加强农膜回收管控，建立 “农户收集 + 站点回收 + 企业再生” 体系，严控农业面源污染。</w:t>
      </w:r>
      <w:r>
        <w:rPr>
          <w:rFonts w:hint="eastAsia"/>
          <w:color w:val="auto"/>
          <w:sz w:val="30"/>
          <w:szCs w:val="30"/>
          <w:highlight w:val="none"/>
        </w:rPr>
        <w:t>将农村生活垃圾治理纳入城乡一体化处理体系，因地制宜推进农村生活垃圾分类和资源化利用。</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培育“无废理念”与社会协同</w:t>
      </w:r>
      <w:r>
        <w:rPr>
          <w:rFonts w:hint="eastAsia"/>
          <w:color w:val="auto"/>
          <w:sz w:val="30"/>
          <w:szCs w:val="30"/>
          <w:highlight w:val="none"/>
          <w:lang w:val="en-US" w:eastAsia="zh-CN"/>
        </w:rPr>
        <w:t>发展</w:t>
      </w:r>
    </w:p>
    <w:p>
      <w:pPr>
        <w:rPr>
          <w:rFonts w:hint="eastAsia"/>
          <w:color w:val="auto"/>
          <w:sz w:val="30"/>
          <w:szCs w:val="30"/>
          <w:highlight w:val="none"/>
        </w:rPr>
      </w:pPr>
      <w:r>
        <w:rPr>
          <w:rFonts w:hint="eastAsia"/>
          <w:color w:val="auto"/>
          <w:sz w:val="30"/>
          <w:szCs w:val="30"/>
          <w:highlight w:val="none"/>
        </w:rPr>
        <w:t>深入建筑工地、社区、企业开展 “无废” 理念宣传，利用多种媒介普及“无废”知识，组织开展“无废细胞”创建活动，营造全社会共建共享的良好氛围。引导企业履行社会责任，践行绿色生产方式。支持社会组织、志愿者队伍参与“无废城市”建设与监督。开展“无废学校”</w:t>
      </w:r>
      <w:r>
        <w:rPr>
          <w:rFonts w:hint="eastAsia"/>
          <w:color w:val="auto"/>
          <w:sz w:val="30"/>
          <w:szCs w:val="30"/>
          <w:highlight w:val="none"/>
          <w:lang w:val="en-US" w:eastAsia="zh-CN"/>
        </w:rPr>
        <w:t>示范试点建设</w:t>
      </w:r>
      <w:r>
        <w:rPr>
          <w:rFonts w:hint="eastAsia"/>
          <w:color w:val="auto"/>
          <w:sz w:val="30"/>
          <w:szCs w:val="30"/>
          <w:highlight w:val="none"/>
          <w:lang w:eastAsia="zh-CN"/>
        </w:rPr>
        <w:t>，</w:t>
      </w:r>
      <w:r>
        <w:rPr>
          <w:rFonts w:hint="eastAsia"/>
          <w:color w:val="auto"/>
          <w:sz w:val="30"/>
          <w:szCs w:val="30"/>
          <w:highlight w:val="none"/>
          <w:lang w:val="en-US" w:eastAsia="zh-CN"/>
        </w:rPr>
        <w:t>打造智慧无废校园，</w:t>
      </w:r>
      <w:r>
        <w:rPr>
          <w:rFonts w:hint="eastAsia"/>
          <w:color w:val="auto"/>
          <w:sz w:val="30"/>
          <w:szCs w:val="30"/>
          <w:highlight w:val="none"/>
        </w:rPr>
        <w:t>将节约资源、垃圾分类、绿色生活等内容纳入学校教育教学计划，通过主题课堂、实践活动培养学生环保习惯。</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default"/>
          <w:color w:val="auto"/>
          <w:sz w:val="30"/>
          <w:szCs w:val="30"/>
          <w:highlight w:val="none"/>
          <w:lang w:val="en-US" w:eastAsia="zh-CN"/>
        </w:rPr>
        <w:t>整治提升农村人居环境</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全面提升基础设施与污染治理水平</w:t>
      </w:r>
    </w:p>
    <w:p>
      <w:pPr>
        <w:bidi w:val="0"/>
        <w:rPr>
          <w:rFonts w:hint="default" w:eastAsia="FangSong_GB2312"/>
          <w:color w:val="auto"/>
          <w:sz w:val="30"/>
          <w:szCs w:val="30"/>
          <w:highlight w:val="none"/>
          <w:lang w:val="en-US" w:eastAsia="zh-CN"/>
        </w:rPr>
      </w:pPr>
      <w:r>
        <w:rPr>
          <w:rFonts w:hint="eastAsia"/>
          <w:color w:val="auto"/>
          <w:sz w:val="30"/>
          <w:szCs w:val="30"/>
          <w:highlight w:val="none"/>
        </w:rPr>
        <w:t>系统推进农村截污治污，加快实施流域排水系统雨污分流改造，着力完善覆盖自然村的污水收集与处理设施网络，从源头实现清污分流。</w:t>
      </w:r>
      <w:r>
        <w:rPr>
          <w:rFonts w:hint="eastAsia"/>
          <w:color w:val="auto"/>
          <w:sz w:val="30"/>
          <w:szCs w:val="30"/>
          <w:highlight w:val="none"/>
          <w:lang w:val="en-US" w:eastAsia="zh-CN"/>
        </w:rPr>
        <w:t>加强农村污水处理设施运维管理</w:t>
      </w:r>
      <w:r>
        <w:rPr>
          <w:rFonts w:hint="eastAsia"/>
          <w:color w:val="auto"/>
          <w:sz w:val="30"/>
          <w:szCs w:val="30"/>
          <w:highlight w:val="none"/>
        </w:rPr>
        <w:t>，</w:t>
      </w:r>
      <w:r>
        <w:rPr>
          <w:rFonts w:hint="eastAsia"/>
          <w:color w:val="auto"/>
          <w:sz w:val="30"/>
          <w:szCs w:val="30"/>
          <w:highlight w:val="none"/>
          <w:lang w:val="en-US" w:eastAsia="zh-CN"/>
        </w:rPr>
        <w:t>保障</w:t>
      </w:r>
      <w:r>
        <w:rPr>
          <w:rFonts w:hint="eastAsia"/>
          <w:color w:val="auto"/>
          <w:sz w:val="30"/>
          <w:szCs w:val="30"/>
          <w:highlight w:val="none"/>
        </w:rPr>
        <w:t>农村生活污水收集处理全覆盖，健全资金保障机制，确保污水设施稳定运行</w:t>
      </w:r>
      <w:r>
        <w:rPr>
          <w:rFonts w:hint="eastAsia"/>
          <w:color w:val="auto"/>
          <w:sz w:val="30"/>
          <w:szCs w:val="30"/>
          <w:highlight w:val="none"/>
          <w:lang w:eastAsia="zh-CN"/>
        </w:rPr>
        <w:t>。</w:t>
      </w:r>
      <w:r>
        <w:rPr>
          <w:rFonts w:hint="eastAsia"/>
          <w:color w:val="auto"/>
          <w:sz w:val="30"/>
          <w:szCs w:val="30"/>
          <w:highlight w:val="none"/>
        </w:rPr>
        <w:t>持续开展疑似黑臭水体排查整治，巩固“长制久清”成果，严防反弹与新增。深化“厕所革命”后续管护，建立粪污清掏、维修和资源化利用长效机制。优化生活</w:t>
      </w:r>
      <w:r>
        <w:rPr>
          <w:rFonts w:hint="eastAsia"/>
          <w:color w:val="auto"/>
          <w:sz w:val="30"/>
          <w:szCs w:val="30"/>
          <w:highlight w:val="none"/>
          <w:lang w:val="en-US" w:eastAsia="zh-CN"/>
        </w:rPr>
        <w:t>垃圾处置，实现日产日清与100%无害化处理。</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全面提升村容村貌</w:t>
      </w:r>
    </w:p>
    <w:p>
      <w:pPr>
        <w:rPr>
          <w:rFonts w:hint="eastAsia"/>
          <w:color w:val="auto"/>
          <w:sz w:val="30"/>
          <w:szCs w:val="30"/>
          <w:highlight w:val="none"/>
        </w:rPr>
      </w:pPr>
      <w:r>
        <w:rPr>
          <w:rFonts w:hint="eastAsia"/>
          <w:color w:val="auto"/>
          <w:sz w:val="30"/>
          <w:szCs w:val="30"/>
          <w:highlight w:val="none"/>
        </w:rPr>
        <w:t>严格落实村庄规划，加强农房风貌引导和历史村落保护。持续开展“森林乡村”、“绿美乡村”创建，守护乡村自然风貌</w:t>
      </w:r>
      <w:r>
        <w:rPr>
          <w:rFonts w:hint="eastAsia"/>
          <w:color w:val="auto"/>
          <w:sz w:val="30"/>
          <w:szCs w:val="30"/>
          <w:highlight w:val="none"/>
          <w:lang w:eastAsia="zh-CN"/>
        </w:rPr>
        <w:t>。</w:t>
      </w:r>
      <w:r>
        <w:rPr>
          <w:rFonts w:hint="eastAsia"/>
          <w:color w:val="auto"/>
          <w:sz w:val="30"/>
          <w:szCs w:val="30"/>
          <w:highlight w:val="none"/>
        </w:rPr>
        <w:t>推进村庄</w:t>
      </w:r>
      <w:r>
        <w:rPr>
          <w:rFonts w:hint="eastAsia"/>
          <w:color w:val="auto"/>
          <w:sz w:val="30"/>
          <w:szCs w:val="30"/>
          <w:highlight w:val="none"/>
          <w:lang w:val="en-US" w:eastAsia="zh-CN"/>
        </w:rPr>
        <w:t>环境整治</w:t>
      </w:r>
      <w:r>
        <w:rPr>
          <w:rFonts w:hint="eastAsia"/>
          <w:color w:val="auto"/>
          <w:sz w:val="30"/>
          <w:szCs w:val="30"/>
          <w:highlight w:val="none"/>
          <w:lang w:eastAsia="zh-CN"/>
        </w:rPr>
        <w:t>，进一步完善村内道路、照明、活动场所等公共设施，推进村庄公共空间整治，解决柴草乱堆、污水乱排等突出问题，营造干净、整洁、有序的公共环境。</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建立健全长效机制</w:t>
      </w:r>
    </w:p>
    <w:p>
      <w:pPr>
        <w:bidi w:val="0"/>
        <w:rPr>
          <w:rFonts w:hint="eastAsia"/>
          <w:color w:val="auto"/>
          <w:sz w:val="30"/>
          <w:szCs w:val="30"/>
          <w:highlight w:val="none"/>
        </w:rPr>
      </w:pPr>
      <w:r>
        <w:rPr>
          <w:rFonts w:hint="eastAsia"/>
          <w:color w:val="auto"/>
          <w:sz w:val="30"/>
          <w:szCs w:val="30"/>
          <w:highlight w:val="none"/>
        </w:rPr>
        <w:t>以 “强约束、多元投、可持续” 为导向筑牢治理根基。制度约束上，完善以村规民约和“红黑榜”制度为核心的监督激励机制。明确区、街道、村三级管理责任，构建政府、市场、村民共同参与的多元投入和管护格局；投入与管护上，明确区、街道、村三级职责，构建 “政府主导、村民主体、市场运作” 机制，稳定财政投入，引导社会资本参与，鼓励农民投工投劳，确保各类设施建成后持续稳定运行，避免整治效果反弹。</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default"/>
          <w:color w:val="auto"/>
          <w:sz w:val="30"/>
          <w:szCs w:val="30"/>
          <w:highlight w:val="none"/>
          <w:lang w:val="en-US" w:eastAsia="zh-CN"/>
        </w:rPr>
      </w:pPr>
      <w:r>
        <w:rPr>
          <w:rFonts w:hint="default"/>
          <w:color w:val="auto"/>
          <w:sz w:val="30"/>
          <w:szCs w:val="30"/>
          <w:highlight w:val="none"/>
          <w:lang w:val="en-US" w:eastAsia="zh-CN"/>
        </w:rPr>
        <w:t>加强噪声污染防控与治理</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lang w:val="en-US" w:eastAsia="zh-CN"/>
        </w:rPr>
        <w:t>加强</w:t>
      </w:r>
      <w:r>
        <w:rPr>
          <w:rFonts w:hint="eastAsia"/>
          <w:color w:val="auto"/>
          <w:sz w:val="30"/>
          <w:szCs w:val="30"/>
          <w:highlight w:val="none"/>
        </w:rPr>
        <w:t>源头预防与规划</w:t>
      </w:r>
      <w:r>
        <w:rPr>
          <w:rFonts w:hint="eastAsia"/>
          <w:color w:val="auto"/>
          <w:sz w:val="30"/>
          <w:szCs w:val="30"/>
          <w:highlight w:val="none"/>
          <w:lang w:val="en-US" w:eastAsia="zh-CN"/>
        </w:rPr>
        <w:t>引导</w:t>
      </w:r>
      <w:r>
        <w:rPr>
          <w:rFonts w:hint="eastAsia"/>
          <w:color w:val="auto"/>
          <w:sz w:val="30"/>
          <w:szCs w:val="30"/>
          <w:highlight w:val="none"/>
        </w:rPr>
        <w:t>​</w:t>
      </w:r>
    </w:p>
    <w:p>
      <w:pPr>
        <w:rPr>
          <w:rFonts w:hint="eastAsia"/>
          <w:color w:val="auto"/>
          <w:sz w:val="30"/>
          <w:szCs w:val="30"/>
          <w:highlight w:val="none"/>
        </w:rPr>
      </w:pPr>
      <w:r>
        <w:rPr>
          <w:rFonts w:hint="eastAsia"/>
          <w:color w:val="auto"/>
          <w:sz w:val="30"/>
          <w:szCs w:val="30"/>
          <w:highlight w:val="none"/>
        </w:rPr>
        <w:t>坚持 “预防为主、规划先行”，科学划定声环境功能区并严格执行管理要求</w:t>
      </w:r>
      <w:r>
        <w:rPr>
          <w:rFonts w:hint="eastAsia"/>
          <w:color w:val="auto"/>
          <w:sz w:val="30"/>
          <w:szCs w:val="30"/>
          <w:highlight w:val="none"/>
          <w:lang w:eastAsia="zh-CN"/>
        </w:rPr>
        <w:t>，</w:t>
      </w:r>
      <w:r>
        <w:rPr>
          <w:rFonts w:hint="eastAsia"/>
          <w:color w:val="auto"/>
          <w:sz w:val="30"/>
          <w:szCs w:val="30"/>
          <w:highlight w:val="none"/>
        </w:rPr>
        <w:t>在规划层面充分考虑噪声防护治理设施，做好距离退让</w:t>
      </w:r>
      <w:r>
        <w:rPr>
          <w:rFonts w:hint="eastAsia"/>
          <w:color w:val="auto"/>
          <w:sz w:val="30"/>
          <w:szCs w:val="30"/>
          <w:highlight w:val="none"/>
          <w:lang w:eastAsia="zh-CN"/>
        </w:rPr>
        <w:t>。</w:t>
      </w:r>
      <w:r>
        <w:rPr>
          <w:rFonts w:hint="eastAsia"/>
          <w:color w:val="auto"/>
          <w:sz w:val="30"/>
          <w:szCs w:val="30"/>
          <w:highlight w:val="none"/>
        </w:rPr>
        <w:t>严格落实新建项目噪声污染防治设施 “三同时” 制度，从项目审批环节把控噪声排放风险。推动建筑隔声设计标准升级，确保新建住宅隔声性能达标；在老旧小区改造中优先嵌入隔声降噪措施，从空间布局与建筑设计源头降低噪声对居民生活的影响。</w:t>
      </w:r>
      <w:r>
        <w:rPr>
          <w:rFonts w:hint="eastAsia"/>
          <w:color w:val="auto"/>
          <w:sz w:val="30"/>
          <w:szCs w:val="30"/>
          <w:highlight w:val="none"/>
          <w:lang w:val="en-US" w:eastAsia="zh-CN"/>
        </w:rPr>
        <w:t>积极开展</w:t>
      </w:r>
      <w:r>
        <w:rPr>
          <w:rFonts w:hint="eastAsia"/>
          <w:color w:val="auto"/>
          <w:sz w:val="30"/>
          <w:szCs w:val="30"/>
          <w:highlight w:val="none"/>
        </w:rPr>
        <w:t xml:space="preserve"> “宁静小区”</w:t>
      </w:r>
      <w:r>
        <w:rPr>
          <w:rFonts w:hint="eastAsia"/>
          <w:color w:val="auto"/>
          <w:sz w:val="30"/>
          <w:szCs w:val="30"/>
          <w:highlight w:val="none"/>
          <w:lang w:val="en-US" w:eastAsia="zh-CN"/>
        </w:rPr>
        <w:t>建设</w:t>
      </w:r>
      <w:r>
        <w:rPr>
          <w:rFonts w:hint="eastAsia"/>
          <w:color w:val="auto"/>
          <w:sz w:val="30"/>
          <w:szCs w:val="30"/>
          <w:highlight w:val="none"/>
          <w:lang w:eastAsia="zh-CN"/>
        </w:rPr>
        <w:t>，</w:t>
      </w:r>
      <w:r>
        <w:rPr>
          <w:rFonts w:hint="eastAsia"/>
          <w:color w:val="auto"/>
          <w:sz w:val="30"/>
          <w:szCs w:val="30"/>
          <w:highlight w:val="none"/>
        </w:rPr>
        <w:t>通过优化小区噪声管控措施、提升居民噪声防治意识，打造安静舒适的居住环境，以点带面推动全区声环境质量持续改善。</w:t>
      </w:r>
    </w:p>
    <w:p>
      <w:pPr>
        <w:pStyle w:val="5"/>
        <w:numPr>
          <w:ilvl w:val="3"/>
          <w:numId w:val="3"/>
        </w:numPr>
        <w:bidi w:val="0"/>
        <w:ind w:left="850" w:leftChars="0" w:hanging="850" w:firstLineChars="0"/>
        <w:rPr>
          <w:rFonts w:hint="eastAsia"/>
          <w:color w:val="auto"/>
          <w:sz w:val="30"/>
          <w:szCs w:val="30"/>
          <w:highlight w:val="none"/>
        </w:rPr>
      </w:pPr>
      <w:r>
        <w:rPr>
          <w:rFonts w:hint="eastAsia"/>
          <w:color w:val="auto"/>
          <w:sz w:val="30"/>
          <w:szCs w:val="30"/>
          <w:highlight w:val="none"/>
        </w:rPr>
        <w:t>深化重点领域分类治理</w:t>
      </w:r>
    </w:p>
    <w:p>
      <w:pPr>
        <w:keepNext w:val="0"/>
        <w:keepLines w:val="0"/>
        <w:widowControl/>
        <w:suppressLineNumbers w:val="0"/>
        <w:jc w:val="left"/>
        <w:rPr>
          <w:rFonts w:hint="eastAsia" w:ascii="Times New Roman" w:hAnsi="Times New Roman" w:cs="Times New Roman"/>
          <w:color w:val="auto"/>
          <w:sz w:val="30"/>
          <w:szCs w:val="30"/>
          <w:highlight w:val="none"/>
        </w:rPr>
      </w:pPr>
      <w:r>
        <w:rPr>
          <w:rFonts w:hint="eastAsia" w:ascii="Times New Roman" w:hAnsi="Times New Roman" w:eastAsia="FangSong_GB2312" w:cs="Times New Roman"/>
          <w:color w:val="auto"/>
          <w:kern w:val="2"/>
          <w:sz w:val="30"/>
          <w:szCs w:val="30"/>
          <w:highlight w:val="none"/>
          <w:lang w:val="en-US" w:eastAsia="zh-CN" w:bidi="ar"/>
        </w:rPr>
        <w:t>深化工业、建筑施工、交通运输、社会生活四类突出噪声问题分类精准管控。工业噪声方面，建立重点噪声源企业动态名录，督促企业落实降噪措施，严控敏感区域高噪声项目审批并严查超标排放；建筑施工噪声方面，规范夜间施工审批与台账管理，结合信用监管打击违法夜间施工行为；交通运输噪声方面，强化机动车禁鸣管控，敏感区域推广声呐抓拍，推进声屏障建设、低噪声路面铺设及公交线路优化；社会生活噪声方面，加强各类活动噪声监管，推动公共场所制定文明降噪公约。同时，细化噪声和振动防治主体责任，明确生态环境、自然资源等多部门职责，协同推进污染防治，持续提升区域声环境质量。</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bookmarkStart w:id="81" w:name="_Toc18242"/>
      <w:bookmarkStart w:id="82" w:name="_Toc587728794"/>
      <w:bookmarkStart w:id="83" w:name="_Toc24659"/>
      <w:bookmarkStart w:id="84" w:name="_Toc6709"/>
      <w:bookmarkStart w:id="85" w:name="_Toc2146"/>
      <w:bookmarkStart w:id="86" w:name="_Toc1736474488"/>
      <w:bookmarkStart w:id="87" w:name="_Toc20979"/>
      <w:r>
        <w:rPr>
          <w:rFonts w:hint="eastAsia"/>
          <w:color w:val="auto"/>
          <w:highlight w:val="none"/>
        </w:rPr>
        <w:t>严守环境安全底线，有效防范化解生态环境风险</w:t>
      </w:r>
      <w:bookmarkEnd w:id="81"/>
      <w:bookmarkEnd w:id="82"/>
      <w:bookmarkEnd w:id="83"/>
      <w:bookmarkEnd w:id="84"/>
      <w:bookmarkEnd w:id="85"/>
      <w:bookmarkEnd w:id="86"/>
      <w:bookmarkEnd w:id="87"/>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健全全域覆盖、响应及时的环境风险防控体系</w:t>
      </w:r>
    </w:p>
    <w:p>
      <w:pPr>
        <w:ind w:firstLine="600"/>
        <w:rPr>
          <w:color w:val="auto"/>
          <w:sz w:val="30"/>
          <w:szCs w:val="30"/>
          <w:highlight w:val="none"/>
        </w:rPr>
      </w:pPr>
      <w:r>
        <w:rPr>
          <w:rFonts w:hint="eastAsia"/>
          <w:color w:val="auto"/>
          <w:sz w:val="30"/>
          <w:szCs w:val="30"/>
          <w:highlight w:val="none"/>
        </w:rPr>
        <w:t>健全应急管理机制，提升综合响应能力。完善多灾种和灾害链综合监测预报预警体系，构建涵盖组织管理、预防预警、应急响应和保障支撑的生态环境应急“四大体系”，增强对各类灾害事故的整体应对与统筹处置能力。坚持“统一领导、专常兼备、反应灵敏、上下联动”的应急管理体制，</w:t>
      </w:r>
      <w:r>
        <w:rPr>
          <w:rFonts w:hint="eastAsia"/>
          <w:color w:val="auto"/>
          <w:sz w:val="30"/>
          <w:szCs w:val="30"/>
          <w:highlight w:val="none"/>
          <w:lang w:val="en-US" w:eastAsia="zh-CN"/>
        </w:rPr>
        <w:t>强化</w:t>
      </w:r>
      <w:r>
        <w:rPr>
          <w:rFonts w:hint="eastAsia"/>
          <w:color w:val="auto"/>
          <w:sz w:val="30"/>
          <w:szCs w:val="30"/>
          <w:highlight w:val="none"/>
        </w:rPr>
        <w:t>应急救援装备与救灾物资储备能力，</w:t>
      </w:r>
      <w:r>
        <w:rPr>
          <w:rFonts w:hint="eastAsia"/>
          <w:color w:val="auto"/>
          <w:sz w:val="30"/>
          <w:szCs w:val="30"/>
          <w:highlight w:val="none"/>
          <w:lang w:val="en-US" w:eastAsia="zh-CN"/>
        </w:rPr>
        <w:t>全面</w:t>
      </w:r>
      <w:r>
        <w:rPr>
          <w:rFonts w:hint="eastAsia"/>
          <w:color w:val="auto"/>
          <w:sz w:val="30"/>
          <w:szCs w:val="30"/>
          <w:highlight w:val="none"/>
        </w:rPr>
        <w:t>提升应急管理水平和防灾减灾抗灾救灾效能。强化安全风险防控，</w:t>
      </w:r>
      <w:r>
        <w:rPr>
          <w:rFonts w:hint="eastAsia"/>
          <w:color w:val="auto"/>
          <w:sz w:val="30"/>
          <w:szCs w:val="30"/>
          <w:highlight w:val="none"/>
          <w:lang w:val="en-US" w:eastAsia="zh-CN"/>
        </w:rPr>
        <w:t>深化</w:t>
      </w:r>
      <w:r>
        <w:rPr>
          <w:rFonts w:hint="eastAsia"/>
          <w:color w:val="auto"/>
          <w:sz w:val="30"/>
          <w:szCs w:val="30"/>
          <w:highlight w:val="none"/>
        </w:rPr>
        <w:t>执法体制改革。加快应急广播系统建设，深化应急管理综合行政执法改革，整合优化执法职能，完善跨部门应急联动机制。加强与消防、应急、水利等相关部门的协同配合，建立健全信息共享与协调处置机制，共同应对环境突发事件。持续提升应急管理综合行政执法能力，推进应急管理体系和能力现代化，有效防范化解重大安全风险，构建权责统一、权威高效的监管执法体制。加强应急预案管理，提升实战应对水平。修订完善环境应急预案，实现电子化备案管理，增强预案的科学性、针对性与可操作性。定期组织开展多种形式的应急演练，</w:t>
      </w:r>
      <w:r>
        <w:rPr>
          <w:rFonts w:hint="eastAsia"/>
          <w:color w:val="auto"/>
          <w:sz w:val="30"/>
          <w:szCs w:val="30"/>
          <w:highlight w:val="none"/>
          <w:lang w:val="en-US" w:eastAsia="zh-CN"/>
        </w:rPr>
        <w:t>以</w:t>
      </w:r>
      <w:r>
        <w:rPr>
          <w:rFonts w:hint="eastAsia"/>
          <w:color w:val="auto"/>
          <w:sz w:val="30"/>
          <w:szCs w:val="30"/>
          <w:highlight w:val="none"/>
        </w:rPr>
        <w:t>实战检验预案、优化</w:t>
      </w:r>
      <w:r>
        <w:rPr>
          <w:rFonts w:hint="eastAsia"/>
          <w:color w:val="auto"/>
          <w:sz w:val="30"/>
          <w:szCs w:val="30"/>
          <w:highlight w:val="none"/>
          <w:lang w:val="en-US" w:eastAsia="zh-CN"/>
        </w:rPr>
        <w:t>处置</w:t>
      </w:r>
      <w:r>
        <w:rPr>
          <w:rFonts w:hint="eastAsia"/>
          <w:color w:val="auto"/>
          <w:sz w:val="30"/>
          <w:szCs w:val="30"/>
          <w:highlight w:val="none"/>
        </w:rPr>
        <w:t>流程，不断提升突发事件应对能力和协同处置水平。</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加强核与辐射安全全过程监管</w:t>
      </w:r>
    </w:p>
    <w:p>
      <w:pPr>
        <w:ind w:firstLine="600"/>
        <w:rPr>
          <w:color w:val="auto"/>
          <w:sz w:val="30"/>
          <w:szCs w:val="30"/>
          <w:highlight w:val="none"/>
        </w:rPr>
      </w:pPr>
      <w:r>
        <w:rPr>
          <w:rFonts w:hint="eastAsia"/>
          <w:color w:val="auto"/>
          <w:sz w:val="30"/>
          <w:szCs w:val="30"/>
          <w:highlight w:val="none"/>
        </w:rPr>
        <w:t>强化辐射安全监管，筑牢环境安全底线。依法开展辖区内核技术利用单位的辐射安全许可审批，规范辐射安全准入管理。加强对涉源单位的统一监管，严格执行辐射安全监督检查，全面落实涉源单位许可证管理制度，建立“放射源身份证”管理体系，实现对放射源与射线装置的全生命周期动态监控。健全辐射突发事件应急响应机制，提升核与辐射安全监管能力。压实辐射安全主体责任，督促核技术利用单位完善内部管理制度，规范辐射安全管理流程，确保责任到人、管理到位。强化应急值班值守，制定并落实应急值班计划，明确专职辐射应急联络员，执行辐射安全情况日报制度。深入开展辐射风险排查整治，及时消除安全隐患，切实保障辖区辐射环境持续安全可控。</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排查化解生态环境领域社会风险隐患</w:t>
      </w:r>
    </w:p>
    <w:p>
      <w:pPr>
        <w:bidi w:val="0"/>
        <w:rPr>
          <w:rFonts w:hint="eastAsia"/>
          <w:color w:val="auto"/>
          <w:sz w:val="30"/>
          <w:szCs w:val="30"/>
          <w:highlight w:val="none"/>
        </w:rPr>
      </w:pPr>
      <w:r>
        <w:rPr>
          <w:rFonts w:hint="eastAsia"/>
          <w:color w:val="auto"/>
          <w:sz w:val="30"/>
          <w:szCs w:val="30"/>
          <w:highlight w:val="none"/>
        </w:rPr>
        <w:t>加强工业固体废物处置监管</w:t>
      </w:r>
      <w:r>
        <w:rPr>
          <w:rFonts w:hint="eastAsia"/>
          <w:color w:val="auto"/>
          <w:sz w:val="30"/>
          <w:szCs w:val="30"/>
          <w:highlight w:val="none"/>
          <w:lang w:eastAsia="zh-CN"/>
        </w:rPr>
        <w:t>，</w:t>
      </w:r>
      <w:r>
        <w:rPr>
          <w:rFonts w:hint="eastAsia"/>
          <w:color w:val="auto"/>
          <w:sz w:val="30"/>
          <w:szCs w:val="30"/>
          <w:highlight w:val="none"/>
        </w:rPr>
        <w:t>全面摸排辖区内工业固体废物的产生、贮存与处置情况，建立统一规范的固体废物管理数据库，强化对产废企业的常态化监管，依法严禁擅自倾倒、丢弃、遗撒固体废物等违法行为。强化磷石膏排放源头监管，严厉查处环境违法行为，对存在生态环境和安全隐患问题的磷石膏库，指导企业制定整改方案，做到“一库一策”督促整改落实。推进重点行业实施清洁生产，促进企业间废物交换与资源化利用，防止在处理和利用过程中造成二次污染。严格禁止工业固体废物与生活垃圾混合收集、合并处理。对污染物排放量大、能耗高、效益差的工业企业，实施分类施策，推动其搬迁、改造或关停。</w:t>
      </w:r>
    </w:p>
    <w:p>
      <w:pPr>
        <w:bidi w:val="0"/>
        <w:rPr>
          <w:rFonts w:hint="eastAsia" w:ascii="Times New Roman" w:hAnsi="Times New Roman" w:eastAsia="FangSong_GB2312" w:cs="Times New Roman"/>
          <w:color w:val="auto"/>
          <w:sz w:val="30"/>
          <w:szCs w:val="30"/>
          <w:highlight w:val="none"/>
        </w:rPr>
      </w:pPr>
      <w:r>
        <w:rPr>
          <w:rFonts w:hint="eastAsia"/>
          <w:color w:val="auto"/>
          <w:sz w:val="30"/>
          <w:szCs w:val="30"/>
          <w:highlight w:val="none"/>
        </w:rPr>
        <w:t>强化危险废物安全处置与监管，对化工、医疗、汽修等行业危险废物的全过程环境监管，督促企业落实主体责任。落实台账管理制度</w:t>
      </w:r>
      <w:r>
        <w:rPr>
          <w:rFonts w:hint="eastAsia"/>
          <w:color w:val="auto"/>
          <w:sz w:val="30"/>
          <w:szCs w:val="30"/>
          <w:highlight w:val="none"/>
          <w:lang w:eastAsia="zh-CN"/>
        </w:rPr>
        <w:t>，</w:t>
      </w:r>
      <w:r>
        <w:rPr>
          <w:rFonts w:hint="eastAsia"/>
          <w:color w:val="auto"/>
          <w:sz w:val="30"/>
          <w:szCs w:val="30"/>
          <w:highlight w:val="none"/>
        </w:rPr>
        <w:t>完善危险废物企业信息管理系统。对涉危险废物企业，严格执行危险废物经营许可证制度和转移联单制度。</w:t>
      </w:r>
      <w:r>
        <w:rPr>
          <w:rFonts w:hint="eastAsia"/>
          <w:color w:val="auto"/>
          <w:sz w:val="30"/>
          <w:szCs w:val="30"/>
          <w:highlight w:val="none"/>
          <w:lang w:val="en-US" w:eastAsia="zh-CN"/>
        </w:rPr>
        <w:t>积极</w:t>
      </w:r>
      <w:r>
        <w:rPr>
          <w:rFonts w:hint="eastAsia"/>
          <w:color w:val="auto"/>
          <w:sz w:val="30"/>
          <w:szCs w:val="30"/>
          <w:highlight w:val="none"/>
        </w:rPr>
        <w:t>推进危险废物的无害化处理与资源化利用。推广无废、少废原料，从源头减少工业危险废物产生量。实施危险废物从收集、运输、贮存、利用到处置的全过程闭环监管</w:t>
      </w:r>
      <w:r>
        <w:rPr>
          <w:rFonts w:hint="eastAsia"/>
          <w:color w:val="auto"/>
          <w:sz w:val="30"/>
          <w:szCs w:val="30"/>
          <w:highlight w:val="none"/>
          <w:lang w:eastAsia="zh-CN"/>
        </w:rPr>
        <w:t>，</w:t>
      </w:r>
      <w:r>
        <w:rPr>
          <w:rFonts w:hint="eastAsia"/>
          <w:color w:val="auto"/>
          <w:sz w:val="30"/>
          <w:szCs w:val="30"/>
          <w:highlight w:val="none"/>
        </w:rPr>
        <w:t>确保安全处置率达100%</w:t>
      </w:r>
      <w:r>
        <w:rPr>
          <w:rFonts w:hint="eastAsia"/>
          <w:color w:val="auto"/>
          <w:sz w:val="30"/>
          <w:szCs w:val="30"/>
          <w:highlight w:val="none"/>
          <w:lang w:eastAsia="zh-CN"/>
        </w:rPr>
        <w:t>。</w:t>
      </w:r>
      <w:r>
        <w:rPr>
          <w:rFonts w:hint="eastAsia"/>
          <w:color w:val="auto"/>
          <w:sz w:val="30"/>
          <w:szCs w:val="30"/>
          <w:highlight w:val="none"/>
        </w:rPr>
        <w:t>开展重点行业危险废物产生情况调查与综合利用技术研究，制定工业危险废物突发环境事件应急预案，提升风险防控与应急处置能力。加大医疗废物安全处置监督力度，重点加强基层医疗卫生机构医疗废物管理能力，全面建成医疗废物收集、转运、处置体系。将医疗废物管理纳入日常监管重点内容，并列为年度监督检查计划的重要组成部分。加强对医疗卫生机构医疗废物管理制度建设与落实、人员职业安全防护、分类收集、转运暂存、集中处置等环节的监督检查。对不具备集中处置条件的机构，强化其自行处置行为的规范管理与监督指导，确保医疗废物全部安全处置。</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推动环境健康管理</w:t>
      </w:r>
    </w:p>
    <w:p>
      <w:pPr>
        <w:bidi w:val="0"/>
        <w:rPr>
          <w:rFonts w:hint="default"/>
          <w:color w:val="auto"/>
          <w:sz w:val="30"/>
          <w:szCs w:val="30"/>
          <w:highlight w:val="none"/>
        </w:rPr>
      </w:pPr>
      <w:r>
        <w:rPr>
          <w:rFonts w:hint="eastAsia"/>
          <w:color w:val="auto"/>
          <w:sz w:val="30"/>
          <w:szCs w:val="30"/>
          <w:highlight w:val="none"/>
          <w:lang w:val="en-US" w:eastAsia="zh-CN"/>
        </w:rPr>
        <w:t>依托昆明市</w:t>
      </w:r>
      <w:r>
        <w:rPr>
          <w:rFonts w:hint="default"/>
          <w:color w:val="auto"/>
          <w:sz w:val="30"/>
          <w:szCs w:val="30"/>
          <w:highlight w:val="none"/>
          <w:lang w:val="en-US" w:eastAsia="zh-CN"/>
        </w:rPr>
        <w:t>环境健康管理试点</w:t>
      </w:r>
      <w:r>
        <w:rPr>
          <w:rFonts w:hint="eastAsia"/>
          <w:color w:val="auto"/>
          <w:sz w:val="30"/>
          <w:szCs w:val="30"/>
          <w:highlight w:val="none"/>
          <w:lang w:val="en-US" w:eastAsia="zh-CN"/>
        </w:rPr>
        <w:t>工作</w:t>
      </w:r>
      <w:r>
        <w:rPr>
          <w:rFonts w:hint="default"/>
          <w:color w:val="auto"/>
          <w:sz w:val="30"/>
          <w:szCs w:val="30"/>
          <w:highlight w:val="none"/>
          <w:lang w:val="en-US" w:eastAsia="zh-CN"/>
        </w:rPr>
        <w:t>经验，构建西山区环境健康管理体系，搭建区-街道-重点园区工作网络，建立生态环境、卫生健康等多部门协作机制；</w:t>
      </w:r>
      <w:r>
        <w:rPr>
          <w:rFonts w:hint="eastAsia"/>
          <w:color w:val="auto"/>
          <w:sz w:val="30"/>
          <w:szCs w:val="30"/>
          <w:highlight w:val="none"/>
          <w:lang w:val="en-US" w:eastAsia="zh-CN"/>
        </w:rPr>
        <w:t>鼓励</w:t>
      </w:r>
      <w:r>
        <w:rPr>
          <w:rFonts w:hint="default"/>
          <w:color w:val="auto"/>
          <w:sz w:val="30"/>
          <w:szCs w:val="30"/>
          <w:highlight w:val="none"/>
          <w:lang w:val="en-US" w:eastAsia="zh-CN"/>
        </w:rPr>
        <w:t>海口产业园区等重点区域企业落实主体责任，引导企业主动开展环境健康管理。同时，将环境健康管理融入规划与项目</w:t>
      </w:r>
      <w:r>
        <w:rPr>
          <w:rFonts w:hint="eastAsia"/>
          <w:color w:val="auto"/>
          <w:sz w:val="30"/>
          <w:szCs w:val="30"/>
          <w:highlight w:val="none"/>
          <w:lang w:val="en-US" w:eastAsia="zh-CN"/>
        </w:rPr>
        <w:t>环境影响评价</w:t>
      </w:r>
      <w:r>
        <w:rPr>
          <w:rFonts w:hint="default"/>
          <w:color w:val="auto"/>
          <w:sz w:val="30"/>
          <w:szCs w:val="30"/>
          <w:highlight w:val="none"/>
          <w:lang w:val="en-US" w:eastAsia="zh-CN"/>
        </w:rPr>
        <w:t>，重点排查评估海口产业园区等区域风险源，</w:t>
      </w:r>
      <w:r>
        <w:rPr>
          <w:rFonts w:hint="eastAsia"/>
          <w:color w:val="auto"/>
          <w:sz w:val="30"/>
          <w:szCs w:val="30"/>
          <w:highlight w:val="none"/>
          <w:lang w:val="en-US" w:eastAsia="zh-CN"/>
        </w:rPr>
        <w:t>探索</w:t>
      </w:r>
      <w:r>
        <w:rPr>
          <w:rFonts w:hint="default"/>
          <w:color w:val="auto"/>
          <w:sz w:val="30"/>
          <w:szCs w:val="30"/>
          <w:highlight w:val="none"/>
          <w:lang w:val="en-US" w:eastAsia="zh-CN"/>
        </w:rPr>
        <w:t>建立高风险企业及物质清单</w:t>
      </w:r>
      <w:r>
        <w:rPr>
          <w:rFonts w:hint="eastAsia"/>
          <w:color w:val="auto"/>
          <w:sz w:val="30"/>
          <w:szCs w:val="30"/>
          <w:highlight w:val="none"/>
          <w:lang w:val="en-US" w:eastAsia="zh-CN"/>
        </w:rPr>
        <w:t>，</w:t>
      </w:r>
      <w:r>
        <w:rPr>
          <w:rFonts w:hint="default"/>
          <w:color w:val="auto"/>
          <w:sz w:val="30"/>
          <w:szCs w:val="30"/>
          <w:highlight w:val="none"/>
          <w:lang w:val="en-US" w:eastAsia="zh-CN"/>
        </w:rPr>
        <w:t>制定差异化方案并</w:t>
      </w:r>
      <w:r>
        <w:rPr>
          <w:rFonts w:hint="eastAsia"/>
          <w:color w:val="auto"/>
          <w:sz w:val="30"/>
          <w:szCs w:val="30"/>
          <w:highlight w:val="none"/>
          <w:lang w:val="en-US" w:eastAsia="zh-CN"/>
        </w:rPr>
        <w:t>实施</w:t>
      </w:r>
      <w:r>
        <w:rPr>
          <w:rFonts w:hint="default"/>
          <w:color w:val="auto"/>
          <w:sz w:val="30"/>
          <w:szCs w:val="30"/>
          <w:highlight w:val="none"/>
          <w:lang w:val="en-US" w:eastAsia="zh-CN"/>
        </w:rPr>
        <w:t>分级管控。​</w:t>
      </w:r>
    </w:p>
    <w:p>
      <w:pPr>
        <w:bidi w:val="0"/>
        <w:rPr>
          <w:rFonts w:hint="default"/>
          <w:color w:val="auto"/>
          <w:sz w:val="30"/>
          <w:szCs w:val="30"/>
          <w:highlight w:val="none"/>
        </w:rPr>
      </w:pPr>
      <w:r>
        <w:rPr>
          <w:rFonts w:hint="default"/>
          <w:color w:val="auto"/>
          <w:sz w:val="30"/>
          <w:szCs w:val="30"/>
          <w:highlight w:val="none"/>
          <w:lang w:val="en-US" w:eastAsia="zh-CN"/>
        </w:rPr>
        <w:t>以海口产业园区风险物质监测为示范，结合国家重点管控名录，开展工业园区及重点企业风险因子常态化监测，探索</w:t>
      </w:r>
      <w:r>
        <w:rPr>
          <w:rFonts w:hint="eastAsia"/>
          <w:color w:val="auto"/>
          <w:sz w:val="30"/>
          <w:szCs w:val="30"/>
          <w:highlight w:val="none"/>
          <w:lang w:val="en-US" w:eastAsia="zh-CN"/>
        </w:rPr>
        <w:t>特征</w:t>
      </w:r>
      <w:r>
        <w:rPr>
          <w:rFonts w:hint="default"/>
          <w:color w:val="auto"/>
          <w:sz w:val="30"/>
          <w:szCs w:val="30"/>
          <w:highlight w:val="none"/>
          <w:lang w:val="en-US" w:eastAsia="zh-CN"/>
        </w:rPr>
        <w:t>新污染物管控与预警；加强园区周边居民区、学校等区域健康监测及人群暴露调查。此外，通过社区讲座、线上科普等多形式加强环境健康宣传，普及知识与防范技能，2030年实现居民环境健康素养水平不低于25%。</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r>
        <w:rPr>
          <w:rFonts w:hint="eastAsia"/>
          <w:color w:val="auto"/>
          <w:highlight w:val="none"/>
        </w:rPr>
        <w:t xml:space="preserve"> </w:t>
      </w:r>
      <w:bookmarkStart w:id="88" w:name="_Toc16312"/>
      <w:bookmarkStart w:id="89" w:name="_Toc623957086"/>
      <w:bookmarkStart w:id="90" w:name="_Toc1833"/>
      <w:bookmarkStart w:id="91" w:name="_Toc23659"/>
      <w:bookmarkStart w:id="92" w:name="_Toc1680548205"/>
      <w:bookmarkStart w:id="93" w:name="_Toc6626"/>
      <w:r>
        <w:rPr>
          <w:rFonts w:hint="eastAsia"/>
          <w:color w:val="auto"/>
          <w:highlight w:val="none"/>
        </w:rPr>
        <w:t>健全生态治理体系制度，持续提升环境治理效能</w:t>
      </w:r>
      <w:bookmarkEnd w:id="88"/>
      <w:bookmarkEnd w:id="89"/>
      <w:bookmarkEnd w:id="90"/>
      <w:bookmarkEnd w:id="91"/>
      <w:bookmarkEnd w:id="92"/>
      <w:bookmarkEnd w:id="93"/>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加强生态环境保护制度建设</w:t>
      </w:r>
    </w:p>
    <w:p>
      <w:pPr>
        <w:rPr>
          <w:rFonts w:hint="eastAsia"/>
          <w:color w:val="auto"/>
          <w:sz w:val="30"/>
          <w:szCs w:val="30"/>
          <w:highlight w:val="none"/>
        </w:rPr>
      </w:pPr>
      <w:r>
        <w:rPr>
          <w:rFonts w:hint="eastAsia"/>
          <w:color w:val="auto"/>
          <w:sz w:val="30"/>
          <w:szCs w:val="30"/>
          <w:highlight w:val="none"/>
        </w:rPr>
        <w:t>坚持依法治理、系统治理，构建权责清晰、执行有力的生态环境保护制度体系。严格执行生态环境保护法律法规，推动地方性法规、规章的制定与修订，为新兴环境问题提供法治保障。健全“三线一单”生态环境分区管控体系，强化其在政策制定、环境准入、执法监管等环节的应用。全面落实生态环境损害赔偿制度，健全鉴定评估办法与实施机制，坚持“谁破坏、谁赔偿、谁担责”原则，构建公安、生态环境、司法等多部门联动格局。加强区域协作，推动滇池、螳螂川流域联合执法，</w:t>
      </w:r>
      <w:r>
        <w:rPr>
          <w:rFonts w:hint="eastAsia"/>
          <w:color w:val="auto"/>
          <w:sz w:val="30"/>
          <w:szCs w:val="30"/>
          <w:highlight w:val="none"/>
          <w:lang w:val="en-US" w:eastAsia="zh-CN"/>
        </w:rPr>
        <w:t>开展</w:t>
      </w:r>
      <w:r>
        <w:rPr>
          <w:rFonts w:hint="eastAsia"/>
          <w:color w:val="auto"/>
          <w:sz w:val="30"/>
          <w:szCs w:val="30"/>
          <w:highlight w:val="none"/>
        </w:rPr>
        <w:t>生态损害赔偿示范基地</w:t>
      </w:r>
      <w:r>
        <w:rPr>
          <w:rFonts w:hint="eastAsia"/>
          <w:color w:val="auto"/>
          <w:sz w:val="30"/>
          <w:szCs w:val="30"/>
          <w:highlight w:val="none"/>
          <w:lang w:val="en-US" w:eastAsia="zh-CN"/>
        </w:rPr>
        <w:t>建设</w:t>
      </w:r>
      <w:r>
        <w:rPr>
          <w:rFonts w:hint="eastAsia"/>
          <w:color w:val="auto"/>
          <w:sz w:val="30"/>
          <w:szCs w:val="30"/>
          <w:highlight w:val="none"/>
        </w:rPr>
        <w:t>，建立健全“政府主导、企业出资、社会参与”的运行机制，推动生态损害赔偿制度常态化、规范化实施。</w:t>
      </w:r>
    </w:p>
    <w:p>
      <w:pPr>
        <w:rPr>
          <w:color w:val="auto"/>
          <w:sz w:val="30"/>
          <w:szCs w:val="30"/>
          <w:highlight w:val="none"/>
        </w:rPr>
      </w:pPr>
      <w:r>
        <w:rPr>
          <w:rFonts w:hint="eastAsia"/>
          <w:color w:val="auto"/>
          <w:sz w:val="30"/>
          <w:szCs w:val="30"/>
          <w:highlight w:val="none"/>
        </w:rPr>
        <w:t>完善环评与排污许可协同管理体系，全面推行固定污染源排污许可“一证式”监管。健全生态保护补偿机制，总结滇池流域生态保护补偿经验，探索建立覆盖全流域森林、草原、湿地、耕地等领域的生态保护补偿制度</w:t>
      </w:r>
      <w:r>
        <w:rPr>
          <w:rFonts w:hint="eastAsia"/>
          <w:color w:val="auto"/>
          <w:sz w:val="30"/>
          <w:szCs w:val="30"/>
          <w:highlight w:val="none"/>
          <w:lang w:eastAsia="zh-CN"/>
        </w:rPr>
        <w:t>，</w:t>
      </w:r>
      <w:r>
        <w:rPr>
          <w:rFonts w:hint="eastAsia"/>
          <w:color w:val="auto"/>
          <w:sz w:val="30"/>
          <w:szCs w:val="30"/>
          <w:highlight w:val="none"/>
        </w:rPr>
        <w:t>强</w:t>
      </w:r>
      <w:r>
        <w:rPr>
          <w:rFonts w:hint="eastAsia"/>
          <w:color w:val="auto"/>
          <w:sz w:val="30"/>
          <w:szCs w:val="30"/>
          <w:highlight w:val="none"/>
          <w:lang w:val="en-US" w:eastAsia="zh-CN"/>
        </w:rPr>
        <w:t>化</w:t>
      </w:r>
      <w:r>
        <w:rPr>
          <w:rFonts w:hint="eastAsia"/>
          <w:color w:val="auto"/>
          <w:sz w:val="30"/>
          <w:szCs w:val="30"/>
          <w:highlight w:val="none"/>
        </w:rPr>
        <w:t>补偿考核</w:t>
      </w:r>
      <w:r>
        <w:rPr>
          <w:rFonts w:hint="eastAsia"/>
          <w:color w:val="auto"/>
          <w:sz w:val="30"/>
          <w:szCs w:val="30"/>
          <w:highlight w:val="none"/>
          <w:lang w:val="en-US" w:eastAsia="zh-CN"/>
        </w:rPr>
        <w:t>管理</w:t>
      </w:r>
      <w:r>
        <w:rPr>
          <w:rFonts w:hint="eastAsia"/>
          <w:color w:val="auto"/>
          <w:sz w:val="30"/>
          <w:szCs w:val="30"/>
          <w:highlight w:val="none"/>
        </w:rPr>
        <w:t>，将生态系统生产总值（GEP）核算结果作为重要依据。健全资源环境价格形成机制，落实节能环保税收优惠和阶梯价格政策</w:t>
      </w:r>
      <w:r>
        <w:rPr>
          <w:rFonts w:hint="eastAsia"/>
          <w:color w:val="auto"/>
          <w:sz w:val="30"/>
          <w:szCs w:val="30"/>
          <w:highlight w:val="none"/>
          <w:lang w:eastAsia="zh-CN"/>
        </w:rPr>
        <w:t>，</w:t>
      </w:r>
      <w:r>
        <w:rPr>
          <w:rFonts w:hint="eastAsia"/>
          <w:color w:val="auto"/>
          <w:sz w:val="30"/>
          <w:szCs w:val="30"/>
          <w:highlight w:val="none"/>
        </w:rPr>
        <w:t>建立健全反映生态价值和环境损害成本的资源环境价格机制</w:t>
      </w:r>
      <w:r>
        <w:rPr>
          <w:rFonts w:hint="eastAsia"/>
          <w:color w:val="auto"/>
          <w:sz w:val="30"/>
          <w:szCs w:val="30"/>
          <w:highlight w:val="none"/>
          <w:lang w:eastAsia="zh-CN"/>
        </w:rPr>
        <w:t>；</w:t>
      </w:r>
      <w:r>
        <w:rPr>
          <w:rFonts w:hint="eastAsia"/>
          <w:color w:val="auto"/>
          <w:sz w:val="30"/>
          <w:szCs w:val="30"/>
          <w:highlight w:val="none"/>
        </w:rPr>
        <w:t>创新“水补林、电补林”等生态补偿方式</w:t>
      </w:r>
      <w:r>
        <w:rPr>
          <w:rFonts w:hint="eastAsia"/>
          <w:color w:val="auto"/>
          <w:sz w:val="30"/>
          <w:szCs w:val="30"/>
          <w:highlight w:val="none"/>
          <w:lang w:eastAsia="zh-CN"/>
        </w:rPr>
        <w:t>，</w:t>
      </w:r>
      <w:r>
        <w:rPr>
          <w:rFonts w:hint="eastAsia"/>
          <w:color w:val="auto"/>
          <w:sz w:val="30"/>
          <w:szCs w:val="30"/>
          <w:highlight w:val="none"/>
          <w:lang w:val="en-US" w:eastAsia="zh-CN"/>
        </w:rPr>
        <w:t>提升生态保护实效</w:t>
      </w:r>
      <w:r>
        <w:rPr>
          <w:rFonts w:hint="eastAsia"/>
          <w:color w:val="auto"/>
          <w:sz w:val="30"/>
          <w:szCs w:val="30"/>
          <w:highlight w:val="none"/>
        </w:rPr>
        <w:t>。健全环境治理信用体系，建立企业环保信用评价制度，</w:t>
      </w:r>
      <w:r>
        <w:rPr>
          <w:rFonts w:hint="eastAsia"/>
          <w:color w:val="auto"/>
          <w:sz w:val="30"/>
          <w:szCs w:val="30"/>
          <w:highlight w:val="none"/>
          <w:lang w:val="en-US" w:eastAsia="zh-CN"/>
        </w:rPr>
        <w:t>将其</w:t>
      </w:r>
      <w:r>
        <w:rPr>
          <w:rFonts w:hint="eastAsia"/>
          <w:color w:val="auto"/>
          <w:sz w:val="30"/>
          <w:szCs w:val="30"/>
          <w:highlight w:val="none"/>
        </w:rPr>
        <w:t>与执法监管、绿色金融等政策挂钩。强化制度执行监督与考核，确保各项制度落地见效，形成</w:t>
      </w:r>
      <w:r>
        <w:rPr>
          <w:rFonts w:hint="eastAsia"/>
          <w:color w:val="auto"/>
          <w:sz w:val="30"/>
          <w:szCs w:val="30"/>
          <w:highlight w:val="none"/>
          <w:lang w:val="en-US" w:eastAsia="zh-CN"/>
        </w:rPr>
        <w:t>生态环境保护</w:t>
      </w:r>
      <w:r>
        <w:rPr>
          <w:rFonts w:hint="eastAsia"/>
          <w:color w:val="auto"/>
          <w:sz w:val="30"/>
          <w:szCs w:val="30"/>
          <w:highlight w:val="none"/>
        </w:rPr>
        <w:t>长效保护机制。</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提升生态环境法治化、规范化治理水平</w:t>
      </w:r>
    </w:p>
    <w:p>
      <w:pPr>
        <w:ind w:firstLine="600"/>
        <w:rPr>
          <w:rFonts w:hint="eastAsia"/>
          <w:color w:val="auto"/>
          <w:sz w:val="30"/>
          <w:szCs w:val="30"/>
          <w:highlight w:val="none"/>
        </w:rPr>
      </w:pPr>
      <w:r>
        <w:rPr>
          <w:rFonts w:hint="eastAsia"/>
          <w:color w:val="auto"/>
          <w:sz w:val="30"/>
          <w:szCs w:val="30"/>
          <w:highlight w:val="none"/>
        </w:rPr>
        <w:t>提升生态环境综合行政执法能力，构建现代化监管体系。优化监管力量配置，建立执法重心下移、力量下沉的工作机制，持续完善“联合执法+同步整改+精准服务+环保普法”一体化执法模式。推动具备条件的街道配备专职环境监管人员，促进环境监管服务向涉农地区延伸，着力提升环境公共服务的均等化水平。加强环境监管队伍职业化建设，完善监管人员选拔、培训与考核制度，提升现场执法能力和专业水平。强化执法能力保障，统筹配备执法车辆、无人机、手持快速检测仪等现代化监管设备，以科技手段弥补基层执法力量不足。逐步为执法人员配备防护服、护目镜、防护鞋等专业防护装备，切实保障执法人身安全。推进智慧执法体系建设，依托云南省环保大数据平台，加快移动执法系统信息化升级，推动实现现场执法可视化、处罚审批电子化、处罚标准智能化，构建信息共享、执法高效、保障有力的生态环境智慧执法体系。</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增强生态环境监测与监管的精准化能力</w:t>
      </w:r>
    </w:p>
    <w:p>
      <w:pPr>
        <w:ind w:firstLine="600"/>
        <w:rPr>
          <w:rFonts w:hint="eastAsia" w:eastAsia="FangSong_GB2312"/>
          <w:color w:val="auto"/>
          <w:sz w:val="30"/>
          <w:szCs w:val="30"/>
          <w:highlight w:val="none"/>
          <w:lang w:val="en-US" w:eastAsia="zh-CN"/>
        </w:rPr>
      </w:pPr>
      <w:r>
        <w:rPr>
          <w:rFonts w:hint="eastAsia"/>
          <w:color w:val="auto"/>
          <w:sz w:val="30"/>
          <w:szCs w:val="30"/>
          <w:highlight w:val="none"/>
        </w:rPr>
        <w:t>立足系统治理要求，全面提升生态环境监测能力。按照“山水林田湖草沙”系统治理理念，围绕准确、及时、全面反映生态环境状况与变化趋势的目标，加快补齐监测能力短板，全面提升全区生态环境监测组织与技术水平。参照全国环境监测站建设标准，重点推进专项监测能力升级</w:t>
      </w:r>
      <w:r>
        <w:rPr>
          <w:rFonts w:hint="eastAsia"/>
          <w:color w:val="auto"/>
          <w:sz w:val="30"/>
          <w:szCs w:val="30"/>
          <w:highlight w:val="none"/>
          <w:lang w:eastAsia="zh-CN"/>
        </w:rPr>
        <w:t>，</w:t>
      </w:r>
      <w:r>
        <w:rPr>
          <w:rFonts w:hint="eastAsia"/>
          <w:color w:val="auto"/>
          <w:sz w:val="30"/>
          <w:szCs w:val="30"/>
          <w:highlight w:val="none"/>
          <w:lang w:val="en-US" w:eastAsia="zh-CN"/>
        </w:rPr>
        <w:t>构建</w:t>
      </w:r>
      <w:r>
        <w:rPr>
          <w:rFonts w:hint="eastAsia"/>
          <w:color w:val="auto"/>
          <w:sz w:val="30"/>
          <w:szCs w:val="30"/>
          <w:highlight w:val="none"/>
          <w:lang w:eastAsia="zh-CN"/>
        </w:rPr>
        <w:t>螳螂川流域（西山段）监测系统，对部分老旧、不符合国家现行要求的站房进行提升改造，聚焦化工园区、垃圾填埋场、磷石膏库等重点污染源，构建覆盖核心区域的地下水监测体系。同步更新老化监测设备，补充生态、应急等专项监测装备，推进监测能力标准化建设。</w:t>
      </w:r>
    </w:p>
    <w:p>
      <w:pPr>
        <w:ind w:firstLine="600"/>
        <w:rPr>
          <w:rFonts w:hint="eastAsia" w:eastAsia="FangSong_GB2312"/>
          <w:color w:val="auto"/>
          <w:sz w:val="30"/>
          <w:szCs w:val="30"/>
          <w:highlight w:val="none"/>
          <w:lang w:eastAsia="zh-CN"/>
        </w:rPr>
      </w:pPr>
      <w:r>
        <w:rPr>
          <w:rFonts w:hint="eastAsia"/>
          <w:color w:val="auto"/>
          <w:sz w:val="30"/>
          <w:szCs w:val="30"/>
          <w:highlight w:val="none"/>
        </w:rPr>
        <w:t>加强监测队伍建设，保障数据真实准确。积极组织环境监测技术人员参加环保系统业务培训，持续更新和拓展业务知识，提升执法与监测综合能力。强化环境监测数据质量管理，确保数据的真实性、准确性与完整性，增强环境监测数据的公信力和权威性，更好服务于环境管理决策。完善监测网络体系，构建智能监控格局。健全大气、水污染源自动在线监测系统，优化污染控制网络架构。完善污染物统计监测体系，将工业、城镇生活、农业、移动源等各类污染源纳入调查范围。推动VOCs、总磷、总氮、重金属等重点排污单位自主安装自动监控设备，建立与省、市监测站协同联动的应急监测网络，提升全域生态环境风险预警与响应能力。</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强化科技支撑与科学决策能力</w:t>
      </w:r>
    </w:p>
    <w:p>
      <w:pPr>
        <w:ind w:firstLine="600"/>
        <w:rPr>
          <w:rFonts w:hint="eastAsia"/>
          <w:color w:val="auto"/>
          <w:sz w:val="30"/>
          <w:szCs w:val="30"/>
          <w:highlight w:val="none"/>
        </w:rPr>
      </w:pPr>
      <w:r>
        <w:rPr>
          <w:rFonts w:hint="eastAsia"/>
          <w:color w:val="auto"/>
          <w:sz w:val="30"/>
          <w:szCs w:val="30"/>
          <w:highlight w:val="none"/>
        </w:rPr>
        <w:t>提升信息化基础设施保障水平，构建高效协同支撑体系。依托云南省、昆明市政务云平台及云服务体系，建设统一的生态环境云服务平台，完善 “互联网+政务服务”信息化架构，夯实生态环境大数据基础支撑能力。推进集约化基础设施建设，为全区生态环境系统提供全面、高效的业务管理、系统构建与数据应用服务。推进西山区地下水环境监管系统建设，</w:t>
      </w:r>
      <w:r>
        <w:rPr>
          <w:rFonts w:hint="eastAsia"/>
          <w:color w:val="auto"/>
          <w:sz w:val="30"/>
          <w:szCs w:val="30"/>
          <w:highlight w:val="none"/>
          <w:lang w:val="en-US" w:eastAsia="zh-CN"/>
        </w:rPr>
        <w:t>逐步</w:t>
      </w:r>
      <w:r>
        <w:rPr>
          <w:rFonts w:hint="eastAsia"/>
          <w:color w:val="auto"/>
          <w:sz w:val="30"/>
          <w:szCs w:val="30"/>
          <w:highlight w:val="none"/>
        </w:rPr>
        <w:t>实现地下水生态环境监管信息化、标准化、可视化，为地下水生态环境管理决策提供技术支撑。</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构建多方共治、全民行动的现代环境治理体系</w:t>
      </w:r>
    </w:p>
    <w:p>
      <w:pPr>
        <w:bidi w:val="0"/>
        <w:rPr>
          <w:rFonts w:hint="eastAsia"/>
          <w:color w:val="auto"/>
          <w:sz w:val="30"/>
          <w:szCs w:val="30"/>
          <w:highlight w:val="none"/>
        </w:rPr>
      </w:pPr>
      <w:r>
        <w:rPr>
          <w:rFonts w:hint="eastAsia"/>
          <w:color w:val="auto"/>
          <w:sz w:val="30"/>
          <w:szCs w:val="30"/>
          <w:highlight w:val="none"/>
        </w:rPr>
        <w:t>健全部门协作机制，构建协同治理格局。坚持“管发展必须管环保”的原则，全面落实相关部门生态环境保护责任。推动落实各部门和单位生态环境保护责任清单及相关规定，强化职能协同，形成齐抓共管、各负其责、协同联动的大生态环保工作格局。构建生态环境治理全民行动体系，加强生态环保理念宣传，提升全社会生态文明意识，增强生态环境保护的责任感与紧迫感，推动绿色低碳行为成为公民自觉。发挥工会、共青团、妇联等群团组织作用，广泛动员职工、青年、妇女等群体参与环境治理。强化行业协会桥梁纽带功能，推动行业自律与绿色转型。完善环保社会组织培育和引导机制，加强业务指导与规范管理，支持其健康有序发展。积极推进环保能力建设，充分发挥环保志愿者作用，提升生态环境公益与志愿服务水平，形成全社会共同参与生态环境治理的良好氛围。</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r>
        <w:rPr>
          <w:rFonts w:hint="eastAsia"/>
          <w:color w:val="auto"/>
          <w:highlight w:val="none"/>
        </w:rPr>
        <w:t xml:space="preserve"> </w:t>
      </w:r>
      <w:bookmarkStart w:id="94" w:name="_Toc27950"/>
      <w:bookmarkStart w:id="95" w:name="_Toc31946"/>
      <w:bookmarkStart w:id="96" w:name="_Toc684096101"/>
      <w:bookmarkStart w:id="97" w:name="_Toc21053"/>
      <w:bookmarkStart w:id="98" w:name="_Toc6622"/>
      <w:bookmarkStart w:id="99" w:name="_Toc5821"/>
      <w:bookmarkStart w:id="100" w:name="_Toc1268756091"/>
      <w:r>
        <w:rPr>
          <w:rFonts w:hint="eastAsia"/>
          <w:color w:val="auto"/>
          <w:highlight w:val="none"/>
          <w:lang w:val="en-US" w:eastAsia="zh-CN"/>
        </w:rPr>
        <w:t>推动生态文化建设，打造美丽西山新样板</w:t>
      </w:r>
      <w:bookmarkEnd w:id="94"/>
      <w:bookmarkEnd w:id="95"/>
      <w:bookmarkEnd w:id="96"/>
      <w:bookmarkEnd w:id="97"/>
      <w:bookmarkEnd w:id="98"/>
      <w:bookmarkEnd w:id="99"/>
      <w:bookmarkEnd w:id="100"/>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绘就绿色发展底色，筑牢生态文化根基</w:t>
      </w:r>
    </w:p>
    <w:p>
      <w:pPr>
        <w:rPr>
          <w:rFonts w:hint="eastAsia"/>
          <w:color w:val="auto"/>
          <w:sz w:val="30"/>
          <w:szCs w:val="30"/>
          <w:highlight w:val="none"/>
        </w:rPr>
      </w:pPr>
      <w:r>
        <w:rPr>
          <w:rFonts w:hint="eastAsia"/>
          <w:color w:val="auto"/>
          <w:sz w:val="30"/>
          <w:szCs w:val="30"/>
          <w:highlight w:val="none"/>
        </w:rPr>
        <w:t>立足滇池流域生态本底，深入挖掘滇池流域生态文化价值。依托滇池湖滨湿地、西山森林公园等生态资源，建设生态文明教育基地，开发生态研学课程。创新生态文化传播载体，创作滇池治理主题文艺作品，建设生态文化长廊，培育</w:t>
      </w:r>
      <w:r>
        <w:rPr>
          <w:rFonts w:hint="eastAsia"/>
          <w:color w:val="auto"/>
          <w:sz w:val="30"/>
          <w:szCs w:val="30"/>
          <w:highlight w:val="none"/>
          <w:lang w:eastAsia="zh-CN"/>
        </w:rPr>
        <w:t>“</w:t>
      </w:r>
      <w:r>
        <w:rPr>
          <w:rFonts w:hint="eastAsia"/>
          <w:color w:val="auto"/>
          <w:sz w:val="30"/>
          <w:szCs w:val="30"/>
          <w:highlight w:val="none"/>
        </w:rPr>
        <w:t>西山生态卫士</w:t>
      </w:r>
      <w:r>
        <w:rPr>
          <w:rFonts w:hint="eastAsia"/>
          <w:color w:val="auto"/>
          <w:sz w:val="30"/>
          <w:szCs w:val="30"/>
          <w:highlight w:val="none"/>
          <w:lang w:eastAsia="zh-CN"/>
        </w:rPr>
        <w:t>”</w:t>
      </w:r>
      <w:r>
        <w:rPr>
          <w:rFonts w:hint="eastAsia"/>
          <w:color w:val="auto"/>
          <w:sz w:val="30"/>
          <w:szCs w:val="30"/>
          <w:highlight w:val="none"/>
        </w:rPr>
        <w:t>志愿者队伍，开展生态艺术节、自然观察等活动</w:t>
      </w:r>
      <w:r>
        <w:rPr>
          <w:rFonts w:hint="eastAsia"/>
          <w:color w:val="auto"/>
          <w:sz w:val="30"/>
          <w:szCs w:val="30"/>
          <w:highlight w:val="none"/>
          <w:lang w:eastAsia="zh-CN"/>
        </w:rPr>
        <w:t>，</w:t>
      </w:r>
      <w:r>
        <w:rPr>
          <w:rFonts w:hint="eastAsia"/>
          <w:color w:val="auto"/>
          <w:sz w:val="30"/>
          <w:szCs w:val="30"/>
          <w:highlight w:val="none"/>
        </w:rPr>
        <w:t>形成全民参与生态保护的社会风尚。推动生态文化创意产品开发，打造西山生态文化IP，实现生态价值向文化价值转化。</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打造美丽宜居城市，提升城市品质与人居环境</w:t>
      </w:r>
    </w:p>
    <w:p>
      <w:pPr>
        <w:rPr>
          <w:rFonts w:hint="eastAsia"/>
          <w:color w:val="auto"/>
          <w:sz w:val="30"/>
          <w:szCs w:val="30"/>
          <w:highlight w:val="none"/>
        </w:rPr>
      </w:pPr>
      <w:r>
        <w:rPr>
          <w:rFonts w:hint="eastAsia"/>
          <w:color w:val="auto"/>
          <w:sz w:val="30"/>
          <w:szCs w:val="30"/>
          <w:highlight w:val="none"/>
          <w:lang w:val="en-US" w:eastAsia="zh-CN"/>
        </w:rPr>
        <w:t>实施品质城区驱动战略，依托西山自然生态与滇池廊道，构建“山水相依、城景一体”的公园城市格局。以“公园城市”理念引领发展，培育公园经济模式，推动生态、文旅、休闲等要素融合，创新“公园+”多元场景发展；统筹滇池流域生态资源，探索文旅康养融合开发，深化公园资源开放利用，探索生态产品价值实现路径，试点林业碳汇，推动生态优势转化为经济优势，助力绿色金融发展。通过拆违建绿、立体绿化扩大绿地，推进生态廊道建设，实施雨污分流、海绵城市等工程，推广绿色建筑、建立生态监测网络，以“公园+”理念推进城市更新，建设生态社区。</w:t>
      </w:r>
    </w:p>
    <w:p>
      <w:pPr>
        <w:pStyle w:val="4"/>
        <w:keepNext/>
        <w:keepLines/>
        <w:pageBreakBefore w:val="0"/>
        <w:widowControl w:val="0"/>
        <w:numPr>
          <w:ilvl w:val="2"/>
          <w:numId w:val="3"/>
        </w:numPr>
        <w:kinsoku/>
        <w:wordWrap/>
        <w:overflowPunct/>
        <w:topLinePunct w:val="0"/>
        <w:autoSpaceDE/>
        <w:autoSpaceDN/>
        <w:bidi w:val="0"/>
        <w:adjustRightInd/>
        <w:snapToGrid/>
        <w:ind w:left="709" w:leftChars="0" w:hanging="709" w:firstLineChars="0"/>
        <w:textAlignment w:val="auto"/>
        <w:rPr>
          <w:rFonts w:hint="eastAsia"/>
          <w:color w:val="auto"/>
          <w:sz w:val="30"/>
          <w:szCs w:val="30"/>
          <w:highlight w:val="none"/>
          <w:lang w:val="en-US" w:eastAsia="zh-CN"/>
        </w:rPr>
      </w:pPr>
      <w:r>
        <w:rPr>
          <w:rFonts w:hint="eastAsia"/>
          <w:color w:val="auto"/>
          <w:sz w:val="30"/>
          <w:szCs w:val="30"/>
          <w:highlight w:val="none"/>
          <w:lang w:val="en-US" w:eastAsia="zh-CN"/>
        </w:rPr>
        <w:t>打造乡村振兴典范，促进生态价值转化</w:t>
      </w:r>
    </w:p>
    <w:p>
      <w:pPr>
        <w:rPr>
          <w:color w:val="auto"/>
          <w:highlight w:val="none"/>
        </w:rPr>
        <w:sectPr>
          <w:footerReference r:id="rId16" w:type="default"/>
          <w:pgSz w:w="11906" w:h="16838"/>
          <w:pgMar w:top="1440" w:right="1800" w:bottom="1440" w:left="1800" w:header="851" w:footer="992" w:gutter="0"/>
          <w:cols w:space="720" w:num="1"/>
          <w:docGrid w:type="lines" w:linePitch="312" w:charSpace="0"/>
        </w:sectPr>
      </w:pPr>
      <w:r>
        <w:rPr>
          <w:rFonts w:hint="eastAsia"/>
          <w:color w:val="auto"/>
          <w:sz w:val="30"/>
          <w:szCs w:val="30"/>
          <w:highlight w:val="none"/>
        </w:rPr>
        <w:t>以滇池沿岸生态保护为重点，推进百草村等美丽乡村示范建设。严格保护乡村生态空间，划定生态保护红线，维护生物多样性。推广"生态农业+"发展模式，在团结、碧鸡等街道发展有机农业、林下经济等业态。在涉农街道建设有机农业示范基地，培育</w:t>
      </w:r>
      <w:r>
        <w:rPr>
          <w:rFonts w:hint="eastAsia"/>
          <w:color w:val="auto"/>
          <w:sz w:val="30"/>
          <w:szCs w:val="30"/>
          <w:highlight w:val="none"/>
          <w:lang w:eastAsia="zh-CN"/>
        </w:rPr>
        <w:t>“</w:t>
      </w:r>
      <w:r>
        <w:rPr>
          <w:rFonts w:hint="eastAsia"/>
          <w:color w:val="auto"/>
          <w:sz w:val="30"/>
          <w:szCs w:val="30"/>
          <w:highlight w:val="none"/>
        </w:rPr>
        <w:t>西山苹果</w:t>
      </w:r>
      <w:r>
        <w:rPr>
          <w:rFonts w:hint="eastAsia"/>
          <w:color w:val="auto"/>
          <w:sz w:val="30"/>
          <w:szCs w:val="30"/>
          <w:highlight w:val="none"/>
          <w:lang w:eastAsia="zh-CN"/>
        </w:rPr>
        <w:t>”“</w:t>
      </w:r>
      <w:r>
        <w:rPr>
          <w:rFonts w:hint="eastAsia"/>
          <w:color w:val="auto"/>
          <w:sz w:val="30"/>
          <w:szCs w:val="30"/>
          <w:highlight w:val="none"/>
        </w:rPr>
        <w:t>谷律花椒</w:t>
      </w:r>
      <w:r>
        <w:rPr>
          <w:rFonts w:hint="eastAsia"/>
          <w:color w:val="auto"/>
          <w:sz w:val="30"/>
          <w:szCs w:val="30"/>
          <w:highlight w:val="none"/>
          <w:lang w:eastAsia="zh-CN"/>
        </w:rPr>
        <w:t>”</w:t>
      </w:r>
      <w:r>
        <w:rPr>
          <w:rFonts w:hint="eastAsia"/>
          <w:color w:val="auto"/>
          <w:sz w:val="30"/>
          <w:szCs w:val="30"/>
          <w:highlight w:val="none"/>
        </w:rPr>
        <w:t>等地理标志生态农产品。</w:t>
      </w:r>
      <w:r>
        <w:rPr>
          <w:rFonts w:hint="eastAsia"/>
          <w:color w:val="auto"/>
          <w:sz w:val="30"/>
          <w:szCs w:val="30"/>
          <w:highlight w:val="none"/>
          <w:lang w:val="en-US" w:eastAsia="zh-CN"/>
        </w:rPr>
        <w:t>着力推动</w:t>
      </w:r>
      <w:r>
        <w:rPr>
          <w:rFonts w:hint="eastAsia"/>
          <w:color w:val="auto"/>
          <w:sz w:val="30"/>
          <w:szCs w:val="30"/>
          <w:highlight w:val="none"/>
        </w:rPr>
        <w:t>农村人居环境整治，完善污水收集处理设施，推进垃圾分类资源化利用。加强传统村落保护，修复乡村生态景观，发展生态旅游产业，</w:t>
      </w:r>
      <w:r>
        <w:rPr>
          <w:rFonts w:hint="eastAsia"/>
          <w:color w:val="auto"/>
          <w:sz w:val="30"/>
          <w:szCs w:val="30"/>
          <w:highlight w:val="none"/>
          <w:lang w:val="en-US" w:eastAsia="zh-CN"/>
        </w:rPr>
        <w:t>打造西山</w:t>
      </w:r>
      <w:r>
        <w:rPr>
          <w:rFonts w:hint="eastAsia"/>
          <w:color w:val="auto"/>
          <w:sz w:val="30"/>
          <w:szCs w:val="30"/>
          <w:highlight w:val="none"/>
        </w:rPr>
        <w:t>精品生态旅游线路，建设具有西山特色的田园综合体。建立生态产品价值实现机制，推动生态保护与乡村振兴协调发展。</w:t>
      </w:r>
      <w:bookmarkStart w:id="101" w:name="_Toc11057"/>
    </w:p>
    <w:bookmarkEnd w:id="101"/>
    <w:p>
      <w:pPr>
        <w:pStyle w:val="2"/>
        <w:pageBreakBefore w:val="0"/>
        <w:widowControl w:val="0"/>
        <w:numPr>
          <w:ilvl w:val="0"/>
          <w:numId w:val="3"/>
        </w:numPr>
        <w:kinsoku/>
        <w:wordWrap/>
        <w:overflowPunct/>
        <w:topLinePunct w:val="0"/>
        <w:autoSpaceDE/>
        <w:autoSpaceDN/>
        <w:bidi w:val="0"/>
        <w:adjustRightInd/>
        <w:snapToGrid/>
        <w:spacing w:line="520" w:lineRule="exact"/>
        <w:ind w:left="425" w:leftChars="0" w:hanging="425" w:firstLineChars="0"/>
        <w:textAlignment w:val="auto"/>
        <w:rPr>
          <w:color w:val="auto"/>
          <w:highlight w:val="none"/>
        </w:rPr>
      </w:pPr>
      <w:bookmarkStart w:id="102" w:name="_Toc1072903549"/>
      <w:bookmarkStart w:id="103" w:name="_Toc26111"/>
      <w:bookmarkStart w:id="104" w:name="_Toc27824"/>
      <w:bookmarkStart w:id="105" w:name="_Toc18938"/>
      <w:bookmarkStart w:id="106" w:name="_Toc20177"/>
      <w:bookmarkStart w:id="107" w:name="_Toc1409049989"/>
      <w:bookmarkStart w:id="108" w:name="_Toc23610"/>
      <w:r>
        <w:rPr>
          <w:rFonts w:hint="eastAsia"/>
          <w:color w:val="auto"/>
          <w:highlight w:val="none"/>
        </w:rPr>
        <w:t>规划实施保障</w:t>
      </w:r>
      <w:bookmarkEnd w:id="102"/>
      <w:bookmarkEnd w:id="103"/>
      <w:bookmarkEnd w:id="104"/>
      <w:bookmarkEnd w:id="105"/>
      <w:bookmarkEnd w:id="106"/>
      <w:bookmarkEnd w:id="107"/>
      <w:bookmarkEnd w:id="108"/>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eastAsia"/>
          <w:color w:val="auto"/>
          <w:highlight w:val="none"/>
        </w:rPr>
      </w:pPr>
      <w:r>
        <w:rPr>
          <w:rFonts w:hint="default"/>
          <w:color w:val="auto"/>
          <w:highlight w:val="none"/>
          <w:lang w:val="en-US" w:eastAsia="zh-CN"/>
        </w:rPr>
        <w:t xml:space="preserve"> </w:t>
      </w:r>
      <w:bookmarkStart w:id="109" w:name="_Toc17607"/>
      <w:bookmarkStart w:id="110" w:name="_Toc3295"/>
      <w:bookmarkStart w:id="111" w:name="_Toc28753"/>
      <w:bookmarkStart w:id="112" w:name="_Toc2017247831"/>
      <w:bookmarkStart w:id="113" w:name="_Toc1600989654"/>
      <w:bookmarkStart w:id="114" w:name="_Toc4417"/>
      <w:bookmarkStart w:id="115" w:name="_Toc8518"/>
      <w:r>
        <w:rPr>
          <w:rFonts w:hint="default"/>
          <w:color w:val="auto"/>
          <w:highlight w:val="none"/>
          <w:lang w:val="en-US" w:eastAsia="zh-CN"/>
        </w:rPr>
        <w:t>强化组织领导，压实主体责任</w:t>
      </w:r>
      <w:bookmarkEnd w:id="109"/>
      <w:bookmarkEnd w:id="110"/>
      <w:bookmarkEnd w:id="111"/>
      <w:bookmarkEnd w:id="112"/>
      <w:bookmarkEnd w:id="113"/>
      <w:bookmarkEnd w:id="114"/>
      <w:bookmarkEnd w:id="115"/>
    </w:p>
    <w:p>
      <w:pPr>
        <w:pageBreakBefore w:val="0"/>
        <w:widowControl w:val="0"/>
        <w:kinsoku/>
        <w:wordWrap/>
        <w:overflowPunct/>
        <w:topLinePunct w:val="0"/>
        <w:autoSpaceDE/>
        <w:autoSpaceDN/>
        <w:bidi w:val="0"/>
        <w:adjustRightInd/>
        <w:snapToGrid/>
        <w:spacing w:line="520" w:lineRule="exact"/>
        <w:textAlignment w:val="auto"/>
        <w:rPr>
          <w:color w:val="auto"/>
          <w:sz w:val="30"/>
          <w:szCs w:val="30"/>
          <w:highlight w:val="none"/>
        </w:rPr>
      </w:pPr>
      <w:r>
        <w:rPr>
          <w:rFonts w:hint="default"/>
          <w:color w:val="auto"/>
          <w:sz w:val="30"/>
          <w:szCs w:val="30"/>
          <w:highlight w:val="none"/>
          <w:lang w:val="en-US" w:eastAsia="zh-CN"/>
        </w:rPr>
        <w:t>建立由区委、区政府主要领导牵头的工作推进机制，将规划目标任务分解至各街道和部门，纳入年度绩效考核体系。明确“党政同责、一岗双责”，制定年度实施计划，细化任务清单和完成时限，形成区级统筹、街道落实、部门协同的责任链条，确保各项任务有序推进、按期完成。</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default"/>
          <w:color w:val="auto"/>
          <w:highlight w:val="none"/>
          <w:lang w:val="en-US" w:eastAsia="zh-CN"/>
        </w:rPr>
      </w:pPr>
      <w:bookmarkStart w:id="116" w:name="_Toc9504"/>
      <w:bookmarkStart w:id="117" w:name="_Toc9212"/>
      <w:bookmarkStart w:id="118" w:name="_Toc2010501515"/>
      <w:bookmarkStart w:id="119" w:name="_Toc1879"/>
      <w:bookmarkStart w:id="120" w:name="_Toc25764"/>
      <w:bookmarkStart w:id="121" w:name="_Toc25765"/>
      <w:bookmarkStart w:id="122" w:name="_Toc1559960428"/>
      <w:r>
        <w:rPr>
          <w:rFonts w:hint="default"/>
          <w:color w:val="auto"/>
          <w:highlight w:val="none"/>
          <w:lang w:val="en-US" w:eastAsia="zh-CN"/>
        </w:rPr>
        <w:t>拓宽资金渠道，保障项目实施</w:t>
      </w:r>
      <w:bookmarkEnd w:id="116"/>
      <w:bookmarkEnd w:id="117"/>
      <w:bookmarkEnd w:id="118"/>
      <w:bookmarkEnd w:id="119"/>
      <w:bookmarkEnd w:id="120"/>
      <w:bookmarkEnd w:id="121"/>
      <w:bookmarkEnd w:id="122"/>
    </w:p>
    <w:p>
      <w:pPr>
        <w:pageBreakBefore w:val="0"/>
        <w:widowControl w:val="0"/>
        <w:kinsoku/>
        <w:wordWrap/>
        <w:overflowPunct/>
        <w:topLinePunct w:val="0"/>
        <w:autoSpaceDE/>
        <w:autoSpaceDN/>
        <w:bidi w:val="0"/>
        <w:adjustRightInd/>
        <w:snapToGrid/>
        <w:spacing w:line="520" w:lineRule="exact"/>
        <w:textAlignment w:val="auto"/>
        <w:rPr>
          <w:rFonts w:hint="default"/>
          <w:color w:val="auto"/>
          <w:sz w:val="30"/>
          <w:szCs w:val="30"/>
          <w:highlight w:val="none"/>
          <w:lang w:val="en-US" w:eastAsia="zh-CN"/>
        </w:rPr>
      </w:pPr>
      <w:r>
        <w:rPr>
          <w:rFonts w:hint="default"/>
          <w:color w:val="auto"/>
          <w:sz w:val="30"/>
          <w:szCs w:val="30"/>
          <w:highlight w:val="none"/>
          <w:lang w:val="en-US" w:eastAsia="zh-CN"/>
        </w:rPr>
        <w:t>将生态环境保护投入纳入区级财政重点保障范围，优先支持污染防治、生态修复等重点项目。积极争取上级资金，探索政府与社会资本合作（PPP）等模式，引导社会资本参与环境治理。建立资金使用绩效评估机制，提高资金使用效益，确保重点项目落地见效。</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default"/>
          <w:color w:val="auto"/>
          <w:highlight w:val="none"/>
          <w:lang w:val="en-US" w:eastAsia="zh-CN"/>
        </w:rPr>
      </w:pPr>
      <w:bookmarkStart w:id="123" w:name="_Toc1774550820"/>
      <w:bookmarkStart w:id="124" w:name="_Toc18439"/>
      <w:bookmarkStart w:id="125" w:name="_Toc6207"/>
      <w:bookmarkStart w:id="126" w:name="_Toc3628"/>
      <w:bookmarkStart w:id="127" w:name="_Toc11404"/>
      <w:bookmarkStart w:id="128" w:name="_Toc1991260707"/>
      <w:bookmarkStart w:id="129" w:name="_Toc9110"/>
      <w:r>
        <w:rPr>
          <w:rFonts w:hint="default"/>
          <w:color w:val="auto"/>
          <w:highlight w:val="none"/>
          <w:lang w:val="en-US" w:eastAsia="zh-CN"/>
        </w:rPr>
        <w:t>完善协调机制，增强制度合力</w:t>
      </w:r>
      <w:bookmarkEnd w:id="123"/>
      <w:bookmarkEnd w:id="124"/>
      <w:bookmarkEnd w:id="125"/>
      <w:bookmarkEnd w:id="126"/>
      <w:bookmarkEnd w:id="127"/>
      <w:bookmarkEnd w:id="128"/>
      <w:bookmarkEnd w:id="129"/>
    </w:p>
    <w:p>
      <w:pPr>
        <w:pageBreakBefore w:val="0"/>
        <w:widowControl w:val="0"/>
        <w:kinsoku/>
        <w:wordWrap/>
        <w:overflowPunct/>
        <w:topLinePunct w:val="0"/>
        <w:autoSpaceDE/>
        <w:autoSpaceDN/>
        <w:bidi w:val="0"/>
        <w:adjustRightInd/>
        <w:snapToGrid/>
        <w:spacing w:line="520" w:lineRule="exact"/>
        <w:textAlignment w:val="auto"/>
        <w:rPr>
          <w:rFonts w:hint="default"/>
          <w:color w:val="auto"/>
          <w:sz w:val="30"/>
          <w:szCs w:val="30"/>
          <w:highlight w:val="none"/>
          <w:lang w:val="en-US" w:eastAsia="zh-CN"/>
        </w:rPr>
      </w:pPr>
      <w:r>
        <w:rPr>
          <w:rFonts w:hint="default"/>
          <w:color w:val="auto"/>
          <w:sz w:val="30"/>
          <w:szCs w:val="30"/>
          <w:highlight w:val="none"/>
          <w:lang w:val="en-US" w:eastAsia="zh-CN"/>
        </w:rPr>
        <w:t>建立由生态环境部门牵头的联席会议制度，定期研究解决规划实施中的问题。加强部门信息共享和工作联动，推动生态环境保护与经济发展、城市建设等规划有效衔接。健全生态环境管理制度，强化排污许可、环境执法等制度协同，形成系统高效的制度保障体系。</w:t>
      </w:r>
    </w:p>
    <w:p>
      <w:pPr>
        <w:pStyle w:val="3"/>
        <w:keepNext w:val="0"/>
        <w:keepLines w:val="0"/>
        <w:pageBreakBefore w:val="0"/>
        <w:widowControl w:val="0"/>
        <w:numPr>
          <w:ilvl w:val="1"/>
          <w:numId w:val="3"/>
        </w:numPr>
        <w:kinsoku/>
        <w:wordWrap/>
        <w:overflowPunct/>
        <w:topLinePunct w:val="0"/>
        <w:autoSpaceDE/>
        <w:autoSpaceDN/>
        <w:bidi w:val="0"/>
        <w:adjustRightInd/>
        <w:snapToGrid/>
        <w:ind w:left="567" w:leftChars="0" w:hanging="567" w:firstLineChars="0"/>
        <w:textAlignment w:val="auto"/>
        <w:rPr>
          <w:rFonts w:hint="default"/>
          <w:color w:val="auto"/>
          <w:highlight w:val="none"/>
          <w:lang w:val="en-US" w:eastAsia="zh-CN"/>
        </w:rPr>
      </w:pPr>
      <w:bookmarkStart w:id="130" w:name="_Toc2154"/>
      <w:bookmarkStart w:id="131" w:name="_Toc733547701"/>
      <w:bookmarkStart w:id="132" w:name="_Toc1606"/>
      <w:bookmarkStart w:id="133" w:name="_Toc13308"/>
      <w:bookmarkStart w:id="134" w:name="_Toc3949"/>
      <w:bookmarkStart w:id="135" w:name="_Toc622742204"/>
      <w:bookmarkStart w:id="136" w:name="_Toc14831"/>
      <w:r>
        <w:rPr>
          <w:rFonts w:hint="default"/>
          <w:color w:val="auto"/>
          <w:highlight w:val="none"/>
          <w:lang w:val="en-US" w:eastAsia="zh-CN"/>
        </w:rPr>
        <w:t>引导社会参与，强化共建共享</w:t>
      </w:r>
      <w:bookmarkEnd w:id="130"/>
      <w:bookmarkEnd w:id="131"/>
      <w:bookmarkEnd w:id="132"/>
      <w:bookmarkEnd w:id="133"/>
      <w:bookmarkEnd w:id="134"/>
      <w:bookmarkEnd w:id="135"/>
      <w:bookmarkEnd w:id="136"/>
    </w:p>
    <w:p>
      <w:r>
        <w:rPr>
          <w:rFonts w:hint="default"/>
          <w:color w:val="auto"/>
          <w:sz w:val="30"/>
          <w:szCs w:val="30"/>
          <w:highlight w:val="none"/>
          <w:lang w:val="en-US" w:eastAsia="zh-CN"/>
        </w:rPr>
        <w:t>定期公开规划实施进展和环境质量信息，畅通公众监督渠道。发挥媒体、志愿者和社区力量，建立环境问题反馈和整改回应机制。加强生态文明宣传教育，提升公众参与意识，形成全社会共同支持、参与生态环境保护的良好氛围</w:t>
      </w:r>
      <w:r>
        <w:rPr>
          <w:rFonts w:hint="eastAsia"/>
          <w:color w:val="auto"/>
          <w:sz w:val="30"/>
          <w:szCs w:val="30"/>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panose1 w:val="02010609030101010101"/>
    <w:charset w:val="86"/>
    <w:family w:val="modern"/>
    <w:pitch w:val="default"/>
    <w:sig w:usb0="00000001" w:usb1="080E0000" w:usb2="00000000" w:usb3="00000000" w:csb0="00040000" w:csb1="00000000"/>
  </w:font>
  <w:font w:name="等线 Light">
    <w:altName w:val="SimSun-PUA"/>
    <w:panose1 w:val="02010600030101010101"/>
    <w:charset w:val="00"/>
    <w:family w:val="auto"/>
    <w:pitch w:val="default"/>
    <w:sig w:usb0="00000000" w:usb1="00000000" w:usb2="00000016" w:usb3="00000000" w:csb0="0004000F" w:csb1="00000000"/>
  </w:font>
  <w:font w:name="KaiTi">
    <w:panose1 w:val="02010609060101010101"/>
    <w:charset w:val="86"/>
    <w:family w:val="modern"/>
    <w:pitch w:val="default"/>
    <w:sig w:usb0="800002BF" w:usb1="38CF7CFA" w:usb2="00000016" w:usb3="00000000" w:csb0="00040001" w:csb1="00000000"/>
  </w:font>
  <w:font w:name="FangSong">
    <w:panose1 w:val="02010609060101010101"/>
    <w:charset w:val="86"/>
    <w:family w:val="modern"/>
    <w:pitch w:val="default"/>
    <w:sig w:usb0="800002BF" w:usb1="38CF7CFA" w:usb2="00000016" w:usb3="00000000" w:csb0="00040001" w:csb1="00000000"/>
  </w:font>
  <w:font w:name="STZhongsong">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 w:name="SimSun-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pPr>
    <w:r>
      <w:fldChar w:fldCharType="begin"/>
    </w:r>
    <w:r>
      <w:instrText xml:space="preserve">PAGE   \* MERGEFORMAT</w:instrText>
    </w:r>
    <w:r>
      <w:fldChar w:fldCharType="separate"/>
    </w:r>
    <w:r>
      <w:rPr>
        <w:lang w:val="zh-CN"/>
      </w:rPr>
      <w:t>2</w:t>
    </w:r>
    <w:r>
      <w:fldChar w:fldCharType="end"/>
    </w:r>
  </w:p>
  <w:p>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pPr>
    <w:r>
      <w:fldChar w:fldCharType="begin"/>
    </w:r>
    <w:r>
      <w:instrText xml:space="preserve">PAGE   \* MERGEFORMAT</w:instrText>
    </w:r>
    <w:r>
      <w:fldChar w:fldCharType="separate"/>
    </w:r>
    <w:r>
      <w:rPr>
        <w:lang w:val="zh-CN"/>
      </w:rPr>
      <w:t>2</w:t>
    </w:r>
    <w:r>
      <w:fldChar w:fldCharType="end"/>
    </w:r>
  </w:p>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pPr>
    <w:r>
      <w:fldChar w:fldCharType="begin"/>
    </w:r>
    <w:r>
      <w:instrText xml:space="preserve">PAGE   \* MERGEFORMAT</w:instrText>
    </w:r>
    <w:r>
      <w:fldChar w:fldCharType="separate"/>
    </w:r>
    <w:r>
      <w:rPr>
        <w:lang w:val="zh-CN"/>
      </w:rPr>
      <w:t>2</w:t>
    </w:r>
    <w:r>
      <w:fldChar w:fldCharType="end"/>
    </w:r>
  </w:p>
  <w:p>
    <w:pPr>
      <w:pStyle w:val="8"/>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pPr>
    <w:r>
      <w:fldChar w:fldCharType="begin"/>
    </w:r>
    <w:r>
      <w:instrText xml:space="preserve">PAGE   \* MERGEFORMAT</w:instrText>
    </w:r>
    <w:r>
      <w:fldChar w:fldCharType="separate"/>
    </w:r>
    <w:r>
      <w:rPr>
        <w:lang w:val="zh-CN"/>
      </w:rPr>
      <w:t>2</w:t>
    </w:r>
    <w:r>
      <w:fldChar w:fldCharType="end"/>
    </w:r>
  </w:p>
  <w:p>
    <w:pPr>
      <w:pStyle w:val="8"/>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AFFE0"/>
    <w:multiLevelType w:val="multilevel"/>
    <w:tmpl w:val="898AFFE0"/>
    <w:lvl w:ilvl="0" w:tentative="0">
      <w:start w:val="1"/>
      <w:numFmt w:val="chineseCounting"/>
      <w:pStyle w:val="2"/>
      <w:lvlText w:val="第%1章"/>
      <w:lvlJc w:val="left"/>
      <w:pPr>
        <w:ind w:left="425" w:hanging="425"/>
      </w:pPr>
      <w:rPr>
        <w:rFonts w:hint="eastAsia"/>
      </w:rPr>
    </w:lvl>
    <w:lvl w:ilvl="1" w:tentative="0">
      <w:start w:val="1"/>
      <w:numFmt w:val="decimal"/>
      <w:pStyle w:val="3"/>
      <w:lvlText w:val="%2"/>
      <w:lvlJc w:val="left"/>
      <w:pPr>
        <w:ind w:left="992" w:hanging="567"/>
      </w:pPr>
      <w:rPr>
        <w:rFonts w:hint="eastAsia"/>
      </w:rPr>
    </w:lvl>
    <w:lvl w:ilvl="2" w:tentative="0">
      <w:start w:val="1"/>
      <w:numFmt w:val="decimal"/>
      <w:pStyle w:val="4"/>
      <w:lvlText w:val="%2.%3"/>
      <w:lvlJc w:val="left"/>
      <w:pPr>
        <w:ind w:left="1418" w:hanging="567"/>
      </w:pPr>
      <w:rPr>
        <w:rFonts w:hint="eastAsia"/>
      </w:rPr>
    </w:lvl>
    <w:lvl w:ilvl="3" w:tentative="0">
      <w:start w:val="1"/>
      <w:numFmt w:val="decimal"/>
      <w:pStyle w:val="5"/>
      <w:lvlText w:val="%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DFF69366"/>
    <w:multiLevelType w:val="multilevel"/>
    <w:tmpl w:val="DFF69366"/>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7BF7A114"/>
    <w:multiLevelType w:val="multilevel"/>
    <w:tmpl w:val="7BF7A114"/>
    <w:lvl w:ilvl="0" w:tentative="0">
      <w:start w:val="1"/>
      <w:numFmt w:val="chineseCounting"/>
      <w:suff w:val="nothing"/>
      <w:lvlText w:val="%1、"/>
      <w:lvlJc w:val="left"/>
      <w:pPr>
        <w:tabs>
          <w:tab w:val="left" w:pos="0"/>
        </w:tabs>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58066"/>
    <w:rsid w:val="5E1078A9"/>
    <w:rsid w:val="F7E58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FangSong_GB2312" w:cs="Times New Roman"/>
      <w:kern w:val="2"/>
      <w:sz w:val="28"/>
      <w:szCs w:val="22"/>
      <w:lang w:val="en-US" w:eastAsia="zh-CN" w:bidi="ar-SA"/>
    </w:rPr>
  </w:style>
  <w:style w:type="paragraph" w:styleId="2">
    <w:name w:val="heading 1"/>
    <w:basedOn w:val="1"/>
    <w:next w:val="1"/>
    <w:qFormat/>
    <w:uiPriority w:val="9"/>
    <w:pPr>
      <w:keepNext/>
      <w:keepLines/>
      <w:numPr>
        <w:ilvl w:val="0"/>
        <w:numId w:val="1"/>
      </w:numPr>
      <w:spacing w:before="80" w:after="80"/>
      <w:ind w:firstLineChars="0"/>
      <w:jc w:val="left"/>
      <w:outlineLvl w:val="0"/>
    </w:pPr>
    <w:rPr>
      <w:rFonts w:ascii="等线 Light" w:hAnsi="等线 Light" w:eastAsia="SimHei" w:cs="Times New Roman"/>
      <w:b/>
      <w:sz w:val="32"/>
      <w:szCs w:val="48"/>
    </w:rPr>
  </w:style>
  <w:style w:type="paragraph" w:styleId="3">
    <w:name w:val="heading 2"/>
    <w:basedOn w:val="1"/>
    <w:next w:val="1"/>
    <w:autoRedefine/>
    <w:unhideWhenUsed/>
    <w:qFormat/>
    <w:uiPriority w:val="9"/>
    <w:pPr>
      <w:keepNext w:val="0"/>
      <w:keepLines w:val="0"/>
      <w:numPr>
        <w:ilvl w:val="1"/>
        <w:numId w:val="1"/>
      </w:numPr>
      <w:spacing w:before="160" w:after="80"/>
      <w:ind w:left="425" w:firstLine="0" w:firstLineChars="0"/>
      <w:outlineLvl w:val="1"/>
    </w:pPr>
    <w:rPr>
      <w:rFonts w:eastAsia="KaiTi"/>
      <w:b/>
      <w:sz w:val="32"/>
      <w:szCs w:val="40"/>
    </w:rPr>
  </w:style>
  <w:style w:type="paragraph" w:styleId="4">
    <w:name w:val="heading 3"/>
    <w:basedOn w:val="1"/>
    <w:next w:val="1"/>
    <w:autoRedefine/>
    <w:unhideWhenUsed/>
    <w:qFormat/>
    <w:uiPriority w:val="9"/>
    <w:pPr>
      <w:keepNext/>
      <w:keepLines/>
      <w:numPr>
        <w:ilvl w:val="2"/>
        <w:numId w:val="1"/>
      </w:numPr>
      <w:spacing w:before="160" w:after="80"/>
      <w:ind w:left="0" w:firstLine="880"/>
      <w:jc w:val="left"/>
      <w:outlineLvl w:val="2"/>
    </w:pPr>
    <w:rPr>
      <w:rFonts w:eastAsia="FangSong"/>
      <w:b/>
      <w:sz w:val="30"/>
      <w:szCs w:val="32"/>
    </w:rPr>
  </w:style>
  <w:style w:type="paragraph" w:styleId="5">
    <w:name w:val="heading 4"/>
    <w:basedOn w:val="1"/>
    <w:next w:val="1"/>
    <w:unhideWhenUsed/>
    <w:qFormat/>
    <w:uiPriority w:val="9"/>
    <w:pPr>
      <w:keepNext/>
      <w:keepLines/>
      <w:numPr>
        <w:ilvl w:val="3"/>
        <w:numId w:val="1"/>
      </w:numPr>
      <w:spacing w:before="80" w:after="40"/>
      <w:ind w:left="0" w:firstLine="880"/>
      <w:outlineLvl w:val="3"/>
    </w:pPr>
    <w:rPr>
      <w:b/>
      <w:szCs w:val="28"/>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99"/>
    <w:pPr>
      <w:widowControl w:val="0"/>
      <w:ind w:left="1400" w:leftChars="1400"/>
      <w:jc w:val="both"/>
    </w:pPr>
    <w:rPr>
      <w:rFonts w:ascii="Calibri" w:hAnsi="Calibri" w:eastAsia="SimSun" w:cs="SimSun"/>
      <w:kern w:val="2"/>
      <w:sz w:val="24"/>
      <w:szCs w:val="22"/>
      <w:lang w:val="en-US" w:eastAsia="zh-CN" w:bidi="ar-SA"/>
    </w:rPr>
  </w:style>
  <w:style w:type="paragraph" w:styleId="7">
    <w:name w:val="Body Text"/>
    <w:basedOn w:val="1"/>
    <w:next w:val="6"/>
    <w:autoRedefine/>
    <w:qFormat/>
    <w:uiPriority w:val="1"/>
    <w:pPr>
      <w:ind w:left="137"/>
    </w:pPr>
    <w:rPr>
      <w:rFonts w:ascii="FangSong" w:hAnsi="FangSong" w:eastAsia="FangSong" w:cs="FangSong"/>
      <w:sz w:val="28"/>
      <w:szCs w:val="28"/>
    </w:rPr>
  </w:style>
  <w:style w:type="paragraph" w:styleId="8">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autoRedefine/>
    <w:unhideWhenUsed/>
    <w:qFormat/>
    <w:uiPriority w:val="99"/>
    <w:pPr>
      <w:tabs>
        <w:tab w:val="center" w:pos="4153"/>
        <w:tab w:val="right" w:pos="8306"/>
      </w:tabs>
      <w:snapToGrid w:val="0"/>
      <w:spacing w:line="240" w:lineRule="atLeast"/>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customStyle="1" w:styleId="14">
    <w:name w:val="Heading1"/>
    <w:basedOn w:val="1"/>
    <w:next w:val="1"/>
    <w:autoRedefine/>
    <w:qFormat/>
    <w:uiPriority w:val="0"/>
    <w:pPr>
      <w:spacing w:line="360" w:lineRule="auto"/>
      <w:jc w:val="both"/>
      <w:textAlignment w:val="baseline"/>
    </w:pPr>
    <w:rPr>
      <w:rFonts w:ascii="Times New Roman" w:hAnsi="Times New Roman" w:eastAsia="SimHei"/>
      <w:kern w:val="0"/>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2026-04-28T11:45:00Z</dcterms:created>
  <dc:creator>zxj</dc:creator>
  <cp:lastModifiedBy>车明骏</cp:lastModifiedBy>
  <dcterms:modified xsi:type="dcterms:W3CDTF">2026-04-28T06:03:01Z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A82D2E724128493AB60DAFB4140F844B_13</vt:lpwstr>
  </property>
</Properties>
</file>