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Theme="majorEastAsia" w:hAnsiTheme="majorEastAsia" w:eastAsiaTheme="majorEastAsia" w:cstheme="majorEastAsia"/>
          <w:b/>
          <w:bCs/>
          <w:sz w:val="36"/>
          <w:szCs w:val="36"/>
          <w:lang w:val="zh-CN"/>
        </w:rPr>
        <w:id w:val="-201706083"/>
      </w:sdtPr>
      <w:sdtEndPr>
        <w:rPr>
          <w:rFonts w:hint="eastAsia" w:ascii="仿宋" w:hAnsi="Times New Roman" w:eastAsia="仿宋" w:cstheme="majorEastAsia"/>
          <w:b w:val="0"/>
          <w:bCs w:val="0"/>
          <w:sz w:val="30"/>
          <w:szCs w:val="21"/>
          <w:lang w:val="en-US"/>
        </w:rPr>
      </w:sdtEndPr>
      <w:sdtContent>
        <w:p w14:paraId="3F8DD9BA">
          <w:pPr>
            <w:spacing w:line="590" w:lineRule="exact"/>
            <w:jc w:val="center"/>
            <w:rPr>
              <w:rFonts w:ascii="方正小标宋简体" w:hAnsi="黑体" w:eastAsia="方正小标宋简体" w:cs="宋体+FPEF"/>
              <w:color w:val="0000FF"/>
              <w:spacing w:val="6"/>
              <w:kern w:val="0"/>
              <w:sz w:val="40"/>
              <w:szCs w:val="40"/>
            </w:rPr>
          </w:pPr>
          <w:r>
            <w:rPr>
              <w:rFonts w:asciiTheme="majorEastAsia" w:hAnsiTheme="majorEastAsia" w:eastAsiaTheme="majorEastAsia" w:cstheme="majorEastAsia"/>
              <w:b/>
              <w:bCs/>
              <w:sz w:val="36"/>
              <w:szCs w:val="36"/>
              <w:lang w:val="zh-CN"/>
            </w:rPr>
            <w:tab/>
          </w:r>
        </w:p>
        <w:p w14:paraId="5E5CA6B6">
          <w:pPr>
            <w:spacing w:line="590" w:lineRule="exact"/>
            <w:jc w:val="center"/>
            <w:rPr>
              <w:rFonts w:ascii="方正小标宋简体" w:hAnsi="方正小标宋简体" w:eastAsia="方正小标宋简体" w:cs="方正小标宋简体"/>
              <w:spacing w:val="6"/>
              <w:kern w:val="0"/>
              <w:sz w:val="40"/>
              <w:szCs w:val="40"/>
            </w:rPr>
          </w:pPr>
        </w:p>
        <w:p w14:paraId="4B04DD67">
          <w:pPr>
            <w:spacing w:line="590" w:lineRule="exact"/>
            <w:jc w:val="center"/>
            <w:rPr>
              <w:rFonts w:ascii="方正小标宋简体" w:hAnsi="方正小标宋简体" w:eastAsia="方正小标宋简体" w:cs="方正小标宋简体"/>
              <w:spacing w:val="6"/>
              <w:kern w:val="0"/>
              <w:sz w:val="40"/>
              <w:szCs w:val="40"/>
            </w:rPr>
          </w:pPr>
        </w:p>
        <w:p w14:paraId="65F541C9">
          <w:pPr>
            <w:spacing w:line="590" w:lineRule="exact"/>
            <w:jc w:val="center"/>
            <w:rPr>
              <w:rFonts w:hint="default" w:ascii="方正小标宋简体" w:hAnsi="方正小标宋简体" w:eastAsia="方正小标宋简体" w:cs="方正小标宋简体"/>
              <w:spacing w:val="6"/>
              <w:kern w:val="0"/>
              <w:sz w:val="40"/>
              <w:szCs w:val="40"/>
              <w:lang w:val="en-US" w:eastAsia="zh-CN"/>
            </w:rPr>
          </w:pPr>
          <w:r>
            <w:rPr>
              <w:rFonts w:hint="eastAsia" w:ascii="方正小标宋简体" w:hAnsi="方正小标宋简体" w:eastAsia="方正小标宋简体" w:cs="方正小标宋简体"/>
              <w:spacing w:val="6"/>
              <w:kern w:val="0"/>
              <w:sz w:val="40"/>
              <w:szCs w:val="40"/>
              <w:lang w:val="en-US" w:eastAsia="zh-CN"/>
            </w:rPr>
            <w:t>4A级旅游景区创建奖励资金项目</w:t>
          </w:r>
        </w:p>
        <w:p w14:paraId="70C1474C">
          <w:pPr>
            <w:spacing w:line="590" w:lineRule="exact"/>
            <w:jc w:val="center"/>
            <w:rPr>
              <w:rFonts w:ascii="方正小标宋简体" w:hAnsi="方正小标宋简体" w:eastAsia="方正小标宋简体" w:cs="方正小标宋简体"/>
              <w:spacing w:val="6"/>
              <w:kern w:val="0"/>
              <w:sz w:val="40"/>
              <w:szCs w:val="40"/>
            </w:rPr>
          </w:pPr>
        </w:p>
        <w:p w14:paraId="2FFCB0BB">
          <w:pPr>
            <w:jc w:val="center"/>
            <w:rPr>
              <w:rFonts w:hint="eastAsia" w:ascii="方正小标宋简体" w:hAnsi="宋体" w:eastAsia="方正小标宋简体"/>
              <w:color w:val="000000"/>
              <w:spacing w:val="6"/>
              <w:sz w:val="72"/>
              <w:szCs w:val="72"/>
            </w:rPr>
          </w:pPr>
          <w:r>
            <w:rPr>
              <w:rFonts w:hint="eastAsia" w:ascii="方正小标宋简体" w:hAnsi="宋体" w:eastAsia="方正小标宋简体"/>
              <w:color w:val="000000"/>
              <w:spacing w:val="6"/>
              <w:sz w:val="72"/>
              <w:szCs w:val="72"/>
            </w:rPr>
            <w:t>绩效评价报告</w:t>
          </w:r>
        </w:p>
        <w:p w14:paraId="24156066">
          <w:pPr>
            <w:spacing w:line="590" w:lineRule="exact"/>
            <w:jc w:val="center"/>
            <w:rPr>
              <w:rFonts w:ascii="方正小标宋简体" w:hAnsi="Arial Narrow" w:eastAsia="方正小标宋简体"/>
              <w:spacing w:val="6"/>
              <w:kern w:val="0"/>
              <w:sz w:val="40"/>
              <w:szCs w:val="40"/>
            </w:rPr>
          </w:pPr>
        </w:p>
        <w:p w14:paraId="065A29D9">
          <w:pPr>
            <w:spacing w:line="590" w:lineRule="exact"/>
            <w:jc w:val="both"/>
            <w:rPr>
              <w:rFonts w:ascii="方正小标宋简体" w:hAnsi="Arial Narrow" w:eastAsia="方正小标宋简体"/>
              <w:spacing w:val="6"/>
              <w:kern w:val="0"/>
              <w:sz w:val="40"/>
              <w:szCs w:val="40"/>
            </w:rPr>
          </w:pPr>
        </w:p>
        <w:p w14:paraId="1ABEBC6B">
          <w:pPr>
            <w:pStyle w:val="7"/>
            <w:ind w:left="0" w:leftChars="0" w:firstLine="0" w:firstLineChars="0"/>
          </w:pPr>
        </w:p>
        <w:p w14:paraId="0AC1525D">
          <w:pPr>
            <w:pStyle w:val="8"/>
          </w:pPr>
        </w:p>
        <w:p w14:paraId="3113E57C"/>
        <w:p w14:paraId="49CEBE5D">
          <w:pPr>
            <w:spacing w:line="590" w:lineRule="exact"/>
            <w:jc w:val="center"/>
            <w:rPr>
              <w:rFonts w:ascii="方正小标宋简体" w:hAnsi="方正小标宋简体" w:eastAsia="方正小标宋简体" w:cs="方正小标宋简体"/>
              <w:spacing w:val="6"/>
              <w:kern w:val="0"/>
              <w:sz w:val="36"/>
              <w:szCs w:val="36"/>
            </w:rPr>
          </w:pPr>
        </w:p>
        <w:tbl>
          <w:tblPr>
            <w:tblStyle w:val="18"/>
            <w:tblW w:w="88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8"/>
            <w:gridCol w:w="5660"/>
          </w:tblGrid>
          <w:tr w14:paraId="78EA0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7A6F66E2">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u w:val="none"/>
                  </w:rPr>
                </w:pPr>
                <w:r>
                  <w:rPr>
                    <w:rFonts w:hint="eastAsia" w:ascii="方正小标宋简体" w:hAnsi="方正小标宋简体" w:eastAsia="方正小标宋简体" w:cs="方正小标宋简体"/>
                    <w:spacing w:val="40"/>
                    <w:kern w:val="0"/>
                    <w:sz w:val="24"/>
                    <w:szCs w:val="24"/>
                    <w:vertAlign w:val="baseline"/>
                    <w:lang w:val="en-US" w:eastAsia="zh-CN" w:bidi="ar"/>
                  </w:rPr>
                  <w:t>委托单位名称：</w:t>
                </w:r>
              </w:p>
            </w:tc>
            <w:tc>
              <w:tcPr>
                <w:tcW w:w="5660" w:type="dxa"/>
                <w:tcBorders>
                  <w:bottom w:val="single" w:color="auto" w:sz="4" w:space="0"/>
                </w:tcBorders>
                <w:noWrap w:val="0"/>
                <w:vAlign w:val="center"/>
              </w:tcPr>
              <w:p w14:paraId="32440B1F">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eastAsia" w:ascii="方正小标宋简体" w:hAnsi="方正小标宋简体" w:eastAsia="方正小标宋简体" w:cs="方正小标宋简体"/>
                    <w:spacing w:val="40"/>
                    <w:kern w:val="0"/>
                    <w:sz w:val="24"/>
                    <w:szCs w:val="24"/>
                    <w:u w:val="none"/>
                  </w:rPr>
                </w:pPr>
                <w:r>
                  <w:rPr>
                    <w:rFonts w:hint="eastAsia" w:ascii="方正小标宋简体" w:hAnsi="方正小标宋简体" w:eastAsia="方正小标宋简体" w:cs="方正小标宋简体"/>
                    <w:spacing w:val="40"/>
                    <w:kern w:val="0"/>
                    <w:sz w:val="24"/>
                    <w:szCs w:val="24"/>
                    <w:vertAlign w:val="baseline"/>
                    <w:lang w:val="en-US" w:eastAsia="zh-CN" w:bidi="ar"/>
                  </w:rPr>
                  <w:t>昆明市西山区财政局</w:t>
                </w:r>
              </w:p>
            </w:tc>
          </w:tr>
          <w:tr w14:paraId="4EA16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33FA953A">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评审机构名称：</w:t>
                </w:r>
              </w:p>
            </w:tc>
            <w:tc>
              <w:tcPr>
                <w:tcW w:w="5660" w:type="dxa"/>
                <w:tcBorders>
                  <w:bottom w:val="single" w:color="auto" w:sz="4" w:space="0"/>
                </w:tcBorders>
                <w:noWrap w:val="0"/>
                <w:vAlign w:val="center"/>
              </w:tcPr>
              <w:p w14:paraId="7CA8DA67">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eastAsia"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云南谛祥会计师事务所（普通合伙）</w:t>
                </w:r>
              </w:p>
            </w:tc>
          </w:tr>
          <w:tr w14:paraId="1705C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21A82651">
                <w:pPr>
                  <w:keepNext w:val="0"/>
                  <w:keepLines w:val="0"/>
                  <w:pageBreakBefore w:val="0"/>
                  <w:widowControl w:val="0"/>
                  <w:tabs>
                    <w:tab w:val="right" w:pos="8306"/>
                  </w:tabs>
                  <w:kinsoku/>
                  <w:wordWrap/>
                  <w:overflowPunct/>
                  <w:topLinePunct w:val="0"/>
                  <w:autoSpaceDE/>
                  <w:autoSpaceDN/>
                  <w:bidi w:val="0"/>
                  <w:adjustRightInd w:val="0"/>
                  <w:snapToGrid w:val="0"/>
                  <w:spacing w:line="500" w:lineRule="exact"/>
                  <w:jc w:val="distribute"/>
                  <w:textAlignment w:val="auto"/>
                  <w:rPr>
                    <w:rFonts w:hint="eastAsia" w:ascii="方正小标宋简体" w:hAnsi="方正小标宋简体" w:eastAsia="方正小标宋简体" w:cs="方正小标宋简体"/>
                    <w:spacing w:val="40"/>
                    <w:kern w:val="0"/>
                    <w:sz w:val="24"/>
                    <w:szCs w:val="24"/>
                    <w:u w:val="none"/>
                    <w:vertAlign w:val="baseline"/>
                  </w:rPr>
                </w:pPr>
                <w:r>
                  <w:rPr>
                    <w:rFonts w:hint="eastAsia" w:ascii="方正小标宋简体" w:hAnsi="方正小标宋简体" w:eastAsia="方正小标宋简体" w:cs="方正小标宋简体"/>
                    <w:spacing w:val="40"/>
                    <w:kern w:val="0"/>
                    <w:sz w:val="24"/>
                    <w:szCs w:val="24"/>
                    <w:u w:val="none"/>
                    <w:lang w:val="en-US" w:eastAsia="zh-CN"/>
                  </w:rPr>
                  <w:t>项目单位名称</w:t>
                </w:r>
                <w:r>
                  <w:rPr>
                    <w:rFonts w:hint="eastAsia" w:ascii="方正小标宋简体" w:hAnsi="方正小标宋简体" w:eastAsia="方正小标宋简体" w:cs="方正小标宋简体"/>
                    <w:spacing w:val="40"/>
                    <w:kern w:val="0"/>
                    <w:sz w:val="24"/>
                    <w:szCs w:val="24"/>
                    <w:u w:val="none"/>
                  </w:rPr>
                  <w:t>：</w:t>
                </w:r>
              </w:p>
            </w:tc>
            <w:tc>
              <w:tcPr>
                <w:tcW w:w="5660" w:type="dxa"/>
                <w:tcBorders>
                  <w:top w:val="single" w:color="auto" w:sz="4" w:space="0"/>
                  <w:bottom w:val="single" w:color="auto" w:sz="4" w:space="0"/>
                </w:tcBorders>
                <w:noWrap w:val="0"/>
                <w:vAlign w:val="center"/>
              </w:tcPr>
              <w:p w14:paraId="0CA4B90E">
                <w:pPr>
                  <w:keepNext w:val="0"/>
                  <w:keepLines w:val="0"/>
                  <w:pageBreakBefore w:val="0"/>
                  <w:widowControl w:val="0"/>
                  <w:tabs>
                    <w:tab w:val="right" w:pos="8306"/>
                  </w:tabs>
                  <w:kinsoku/>
                  <w:wordWrap/>
                  <w:overflowPunct/>
                  <w:topLinePunct w:val="0"/>
                  <w:autoSpaceDE/>
                  <w:autoSpaceDN/>
                  <w:bidi w:val="0"/>
                  <w:adjustRightInd w:val="0"/>
                  <w:snapToGrid w:val="0"/>
                  <w:spacing w:line="500" w:lineRule="exact"/>
                  <w:jc w:val="left"/>
                  <w:textAlignment w:val="auto"/>
                  <w:rPr>
                    <w:rFonts w:hint="default" w:ascii="方正小标宋简体" w:hAnsi="方正小标宋简体" w:eastAsia="方正小标宋简体" w:cs="方正小标宋简体"/>
                    <w:spacing w:val="40"/>
                    <w:kern w:val="0"/>
                    <w:sz w:val="24"/>
                    <w:szCs w:val="24"/>
                    <w:u w:val="none"/>
                    <w:vertAlign w:val="baseline"/>
                    <w:lang w:val="en-US" w:eastAsia="zh-CN"/>
                  </w:rPr>
                </w:pPr>
                <w:r>
                  <w:rPr>
                    <w:rFonts w:hint="eastAsia" w:ascii="方正小标宋简体" w:hAnsi="方正小标宋简体" w:eastAsia="方正小标宋简体" w:cs="方正小标宋简体"/>
                    <w:spacing w:val="40"/>
                    <w:kern w:val="0"/>
                    <w:sz w:val="24"/>
                    <w:szCs w:val="24"/>
                    <w:u w:val="none"/>
                    <w:vertAlign w:val="baseline"/>
                    <w:lang w:val="en-US" w:eastAsia="zh-CN"/>
                  </w:rPr>
                  <w:t>昆明市西山区文化和旅游局</w:t>
                </w:r>
              </w:p>
            </w:tc>
          </w:tr>
          <w:tr w14:paraId="12EDB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4A4FCCB7">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u w:val="none"/>
                  </w:rPr>
                </w:pPr>
                <w:r>
                  <w:rPr>
                    <w:rFonts w:hint="eastAsia" w:ascii="方正小标宋简体" w:hAnsi="方正小标宋简体" w:eastAsia="方正小标宋简体" w:cs="方正小标宋简体"/>
                    <w:spacing w:val="40"/>
                    <w:kern w:val="0"/>
                    <w:sz w:val="24"/>
                    <w:szCs w:val="24"/>
                    <w:vertAlign w:val="baseline"/>
                    <w:lang w:val="en-US" w:eastAsia="zh-CN" w:bidi="ar"/>
                  </w:rPr>
                  <w:t>项目评审起止时间：</w:t>
                </w:r>
              </w:p>
            </w:tc>
            <w:tc>
              <w:tcPr>
                <w:tcW w:w="5660" w:type="dxa"/>
                <w:tcBorders>
                  <w:top w:val="single" w:color="auto" w:sz="4" w:space="0"/>
                  <w:bottom w:val="single" w:color="auto" w:sz="4" w:space="0"/>
                </w:tcBorders>
                <w:noWrap w:val="0"/>
                <w:vAlign w:val="center"/>
              </w:tcPr>
              <w:p w14:paraId="17A77070">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default" w:ascii="方正小标宋简体" w:hAnsi="方正小标宋简体" w:eastAsia="方正小标宋简体" w:cs="方正小标宋简体"/>
                    <w:spacing w:val="40"/>
                    <w:kern w:val="0"/>
                    <w:sz w:val="24"/>
                    <w:szCs w:val="24"/>
                    <w:u w:val="none"/>
                    <w:vertAlign w:val="baseline"/>
                    <w:lang w:val="en-US" w:eastAsia="zh-CN"/>
                  </w:rPr>
                </w:pPr>
                <w:r>
                  <w:rPr>
                    <w:rFonts w:hint="eastAsia" w:ascii="方正小标宋简体" w:hAnsi="方正小标宋简体" w:eastAsia="方正小标宋简体" w:cs="方正小标宋简体"/>
                    <w:spacing w:val="40"/>
                    <w:kern w:val="0"/>
                    <w:sz w:val="24"/>
                    <w:szCs w:val="24"/>
                    <w:u w:val="none"/>
                    <w:vertAlign w:val="baseline"/>
                    <w:lang w:val="en-US" w:eastAsia="zh-CN"/>
                  </w:rPr>
                  <w:t>2025年8月-10月</w:t>
                </w:r>
              </w:p>
            </w:tc>
          </w:tr>
          <w:tr w14:paraId="34C79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05B01D5C">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评审报告出具时间：</w:t>
                </w:r>
              </w:p>
            </w:tc>
            <w:tc>
              <w:tcPr>
                <w:tcW w:w="5660" w:type="dxa"/>
                <w:tcBorders>
                  <w:top w:val="single" w:color="auto" w:sz="4" w:space="0"/>
                  <w:bottom w:val="single" w:color="auto" w:sz="4" w:space="0"/>
                </w:tcBorders>
                <w:noWrap w:val="0"/>
                <w:vAlign w:val="center"/>
              </w:tcPr>
              <w:p w14:paraId="352944F1">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default"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2025年10月</w:t>
                </w:r>
              </w:p>
            </w:tc>
          </w:tr>
        </w:tbl>
        <w:p w14:paraId="278C809C">
          <w:pPr>
            <w:rPr>
              <w:rFonts w:ascii="方正小标宋简体" w:eastAsia="方正小标宋简体"/>
              <w:sz w:val="44"/>
              <w:szCs w:val="44"/>
            </w:rPr>
            <w:sectPr>
              <w:headerReference r:id="rId3" w:type="default"/>
              <w:footerReference r:id="rId5" w:type="default"/>
              <w:headerReference r:id="rId4" w:type="even"/>
              <w:footerReference r:id="rId6" w:type="even"/>
              <w:pgSz w:w="11906" w:h="16838"/>
              <w:pgMar w:top="2098" w:right="1474" w:bottom="1985" w:left="1588" w:header="851" w:footer="1474" w:gutter="0"/>
              <w:pgBorders>
                <w:top w:val="none" w:sz="0" w:space="0"/>
                <w:left w:val="none" w:sz="0" w:space="0"/>
                <w:bottom w:val="none" w:sz="0" w:space="0"/>
                <w:right w:val="none" w:sz="0" w:space="0"/>
              </w:pgBorders>
              <w:pgNumType w:fmt="lowerRoman" w:start="1"/>
              <w:cols w:space="425" w:num="1"/>
              <w:docGrid w:type="linesAndChars" w:linePitch="579" w:charSpace="3247"/>
            </w:sectPr>
          </w:pPr>
          <w:r>
            <w:rPr>
              <w:rFonts w:hint="eastAsia" w:ascii="宋体" w:hAnsi="宋体" w:eastAsia="宋体" w:cs="宋体"/>
              <w:b w:val="0"/>
              <w:bCs w:val="0"/>
              <w:sz w:val="28"/>
              <w:szCs w:val="28"/>
            </w:rPr>
            <w:t xml:space="preserve"> </w:t>
          </w:r>
        </w:p>
      </w:sdtContent>
    </w:sdt>
    <w:sdt>
      <w:sdtPr>
        <w:rPr>
          <w:rFonts w:ascii="宋体" w:hAnsi="宋体" w:eastAsia="宋体" w:cs="Times New Roman"/>
          <w:kern w:val="30"/>
          <w:sz w:val="32"/>
          <w:szCs w:val="32"/>
          <w:lang w:val="en-US" w:eastAsia="zh-CN" w:bidi="ar-SA"/>
        </w:rPr>
        <w:id w:val="147470414"/>
        <w15:color w:val="DBDBDB"/>
        <w:docPartObj>
          <w:docPartGallery w:val="Table of Contents"/>
          <w:docPartUnique/>
        </w:docPartObj>
      </w:sdtPr>
      <w:sdtEndPr>
        <w:rPr>
          <w:rFonts w:ascii="宋体" w:hAnsi="宋体" w:eastAsia="宋体" w:cs="Times New Roman"/>
          <w:kern w:val="30"/>
          <w:sz w:val="21"/>
          <w:szCs w:val="21"/>
          <w:lang w:val="en-US" w:eastAsia="zh-CN" w:bidi="ar-SA"/>
        </w:rPr>
      </w:sdtEndPr>
      <w:sdtContent>
        <w:p w14:paraId="3C6EA532">
          <w:pPr>
            <w:spacing w:before="0" w:beforeLines="0" w:after="0" w:afterLines="0" w:line="240" w:lineRule="auto"/>
            <w:ind w:left="0" w:leftChars="0" w:right="0" w:rightChars="0" w:firstLine="0" w:firstLineChars="0"/>
            <w:jc w:val="center"/>
            <w:rPr>
              <w:sz w:val="32"/>
              <w:szCs w:val="32"/>
            </w:rPr>
          </w:pPr>
          <w:bookmarkStart w:id="0" w:name="_Toc11895"/>
          <w:bookmarkStart w:id="1" w:name="_Toc20378"/>
          <w:bookmarkStart w:id="64" w:name="_GoBack"/>
          <w:bookmarkEnd w:id="64"/>
          <w:r>
            <w:rPr>
              <w:rFonts w:ascii="宋体" w:hAnsi="宋体" w:eastAsia="宋体"/>
              <w:b/>
              <w:bCs/>
              <w:sz w:val="44"/>
              <w:szCs w:val="44"/>
            </w:rPr>
            <w:t>目录</w:t>
          </w:r>
        </w:p>
        <w:p w14:paraId="24E44F74">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"1-2" \h \u </w:instrText>
          </w:r>
          <w:r>
            <w:rPr>
              <w:rFonts w:hint="eastAsia" w:ascii="宋体" w:hAnsi="宋体" w:eastAsia="宋体" w:cs="宋体"/>
              <w:sz w:val="28"/>
              <w:szCs w:val="28"/>
            </w:rPr>
            <w:fldChar w:fldCharType="separate"/>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_Toc32082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rPr>
            <w:t>摘  要</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_Toc32082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I</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45E2D57B">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_Toc10495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一、基本情况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_Toc10495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I</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2DCD5927">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_Toc10318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二、绩效评价结论</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_Toc10318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I</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35E753D8">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_Toc28938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三、存在问题及原因分析</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_Toc28938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II</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0DEA5806">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_Toc6605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四、建议</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_Toc6605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III</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352C23B9">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_Toc20948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五、其它需说明的情况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_Toc20948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IV</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6E1089AC">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_Toc8508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4A级旅游景区创建奖励资金项目支出</w:t>
          </w:r>
          <w:r>
            <w:rPr>
              <w:rFonts w:hint="eastAsia" w:ascii="宋体" w:hAnsi="宋体" w:eastAsia="宋体" w:cs="宋体"/>
              <w:b w:val="0"/>
              <w:bCs w:val="0"/>
              <w:sz w:val="28"/>
              <w:szCs w:val="28"/>
              <w:highlight w:val="none"/>
            </w:rPr>
            <w:t>绩效评价报告</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_Toc8508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1720B3DD">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_Toc6279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一、基本情况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_Toc6279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2BFF6583">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_Toc18168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（一）项目概况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_Toc18168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464D44BE">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_Toc20502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二</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资金到位</w:t>
          </w:r>
          <w:r>
            <w:rPr>
              <w:rFonts w:hint="eastAsia" w:ascii="宋体" w:hAnsi="宋体" w:eastAsia="宋体" w:cs="宋体"/>
              <w:b w:val="0"/>
              <w:bCs w:val="0"/>
              <w:sz w:val="28"/>
              <w:szCs w:val="28"/>
            </w:rPr>
            <w:t>及使用情况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_Toc20502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1765596C">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_Toc796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（三）实施内容</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_Toc796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7165427B">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_Toc7123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四</w:t>
          </w:r>
          <w:r>
            <w:rPr>
              <w:rFonts w:hint="eastAsia" w:ascii="宋体" w:hAnsi="宋体" w:eastAsia="宋体" w:cs="宋体"/>
              <w:b w:val="0"/>
              <w:bCs w:val="0"/>
              <w:sz w:val="28"/>
              <w:szCs w:val="28"/>
              <w:highlight w:val="none"/>
            </w:rPr>
            <w:t>）绩效目标</w:t>
          </w:r>
          <w:r>
            <w:rPr>
              <w:rFonts w:hint="eastAsia" w:ascii="宋体" w:hAnsi="宋体" w:eastAsia="宋体" w:cs="宋体"/>
              <w:b w:val="0"/>
              <w:bCs w:val="0"/>
              <w:sz w:val="28"/>
              <w:szCs w:val="28"/>
              <w:highlight w:val="none"/>
              <w:lang w:val="en-US" w:eastAsia="zh-CN"/>
            </w:rPr>
            <w:t>设立情况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_Toc7123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6</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4A4AAD61">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_Toc9605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五</w:t>
          </w:r>
          <w:r>
            <w:rPr>
              <w:rFonts w:hint="eastAsia" w:ascii="宋体" w:hAnsi="宋体" w:eastAsia="宋体" w:cs="宋体"/>
              <w:b w:val="0"/>
              <w:bCs w:val="0"/>
              <w:sz w:val="28"/>
              <w:szCs w:val="28"/>
              <w:highlight w:val="none"/>
            </w:rPr>
            <w:t>）组织管理情况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_Toc9605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7</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03FA66FA">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_Toc4445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二</w:t>
          </w:r>
          <w:r>
            <w:rPr>
              <w:rFonts w:hint="eastAsia" w:ascii="宋体" w:hAnsi="宋体" w:eastAsia="宋体" w:cs="宋体"/>
              <w:b w:val="0"/>
              <w:bCs w:val="0"/>
              <w:sz w:val="28"/>
              <w:szCs w:val="28"/>
            </w:rPr>
            <w:t>、绩效评价工作开展情况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_Toc4445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7</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51F8E607">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_Toc26046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rPr>
            <w:t>（一）绩效评价</w:t>
          </w:r>
          <w:r>
            <w:rPr>
              <w:rFonts w:hint="eastAsia" w:ascii="宋体" w:hAnsi="宋体" w:eastAsia="宋体" w:cs="宋体"/>
              <w:b w:val="0"/>
              <w:bCs w:val="0"/>
              <w:sz w:val="28"/>
              <w:szCs w:val="28"/>
              <w:highlight w:val="none"/>
              <w:lang w:val="en-US" w:eastAsia="zh-CN"/>
            </w:rPr>
            <w:t>目的、对象和范围</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_Toc26046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7</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11CC7844">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_Toc18639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二</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绩效评价原则</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_Toc18639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8</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48ECBAAB">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_Toc18223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（三）绩效评价依据</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_Toc18223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9</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60832857">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_Toc15559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四</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绩效</w:t>
          </w:r>
          <w:r>
            <w:rPr>
              <w:rFonts w:hint="eastAsia" w:ascii="宋体" w:hAnsi="宋体" w:eastAsia="宋体" w:cs="宋体"/>
              <w:b w:val="0"/>
              <w:bCs w:val="0"/>
              <w:sz w:val="28"/>
              <w:szCs w:val="28"/>
            </w:rPr>
            <w:t>评价方法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_Toc15559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9</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71A3EC45">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_Toc5002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五</w:t>
          </w:r>
          <w:r>
            <w:rPr>
              <w:rFonts w:hint="eastAsia" w:ascii="宋体" w:hAnsi="宋体" w:eastAsia="宋体" w:cs="宋体"/>
              <w:b w:val="0"/>
              <w:bCs w:val="0"/>
              <w:sz w:val="28"/>
              <w:szCs w:val="28"/>
            </w:rPr>
            <w:t>）评价指标体系</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_Toc5002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486CC7E4">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_Toc2955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六</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绩效</w:t>
          </w:r>
          <w:r>
            <w:rPr>
              <w:rFonts w:hint="eastAsia" w:ascii="宋体" w:hAnsi="宋体" w:eastAsia="宋体" w:cs="宋体"/>
              <w:b w:val="0"/>
              <w:bCs w:val="0"/>
              <w:sz w:val="28"/>
              <w:szCs w:val="28"/>
            </w:rPr>
            <w:t>评价</w:t>
          </w:r>
          <w:r>
            <w:rPr>
              <w:rFonts w:hint="eastAsia" w:ascii="宋体" w:hAnsi="宋体" w:eastAsia="宋体" w:cs="宋体"/>
              <w:b w:val="0"/>
              <w:bCs w:val="0"/>
              <w:sz w:val="28"/>
              <w:szCs w:val="28"/>
              <w:lang w:val="en-US" w:eastAsia="zh-CN"/>
            </w:rPr>
            <w:t>抽样</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_Toc2955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7D1400DD">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_Toc1492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三</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绩效评价</w:t>
          </w:r>
          <w:r>
            <w:rPr>
              <w:rFonts w:hint="eastAsia" w:ascii="宋体" w:hAnsi="宋体" w:eastAsia="宋体" w:cs="宋体"/>
              <w:b w:val="0"/>
              <w:bCs w:val="0"/>
              <w:sz w:val="28"/>
              <w:szCs w:val="28"/>
            </w:rPr>
            <w:t>结论</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_Toc1492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7742BFC8">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_Toc10886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（一）绩效评价综合结论</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_Toc10886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0F1FBF85">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_Toc4731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（二）绩效目标实现情况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_Toc4731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14</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597BE287">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_Toc26222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四</w:t>
          </w:r>
          <w:r>
            <w:rPr>
              <w:rFonts w:hint="eastAsia" w:ascii="宋体" w:hAnsi="宋体" w:eastAsia="宋体" w:cs="宋体"/>
              <w:b w:val="0"/>
              <w:bCs w:val="0"/>
              <w:sz w:val="28"/>
              <w:szCs w:val="28"/>
            </w:rPr>
            <w:t>、绩效评价情况分析</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_Toc26222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19</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63F7525D">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_Toc23893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（一）</w:t>
          </w:r>
          <w:r>
            <w:rPr>
              <w:rFonts w:hint="eastAsia" w:ascii="宋体" w:hAnsi="宋体" w:eastAsia="宋体" w:cs="宋体"/>
              <w:b w:val="0"/>
              <w:bCs w:val="0"/>
              <w:sz w:val="28"/>
              <w:szCs w:val="28"/>
              <w:lang w:val="en-US" w:eastAsia="zh-CN"/>
            </w:rPr>
            <w:t>项目决策</w:t>
          </w:r>
          <w:r>
            <w:rPr>
              <w:rFonts w:hint="eastAsia" w:ascii="宋体" w:hAnsi="宋体" w:eastAsia="宋体" w:cs="宋体"/>
              <w:b w:val="0"/>
              <w:bCs w:val="0"/>
              <w:sz w:val="28"/>
              <w:szCs w:val="28"/>
            </w:rPr>
            <w:t>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_Toc23893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19</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1D9AE507">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_Toc7629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eastAsia="zh-CN"/>
            </w:rPr>
            <w:t>（二）</w:t>
          </w:r>
          <w:r>
            <w:rPr>
              <w:rFonts w:hint="eastAsia" w:ascii="宋体" w:hAnsi="宋体" w:eastAsia="宋体" w:cs="宋体"/>
              <w:b w:val="0"/>
              <w:bCs w:val="0"/>
              <w:sz w:val="28"/>
              <w:szCs w:val="28"/>
              <w:lang w:val="en-US" w:eastAsia="zh-CN"/>
            </w:rPr>
            <w:t>过程情况分析</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_Toc7629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20</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7C366D55">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_Toc13450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（三）产出情况分析</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_Toc13450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01953C08">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_Toc20693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（四）效益及满意度情况分析</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_Toc20693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23</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606F8A57">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_Toc24485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五</w:t>
          </w:r>
          <w:r>
            <w:rPr>
              <w:rFonts w:hint="eastAsia" w:ascii="宋体" w:hAnsi="宋体" w:eastAsia="宋体" w:cs="宋体"/>
              <w:b w:val="0"/>
              <w:bCs w:val="0"/>
              <w:sz w:val="28"/>
              <w:szCs w:val="28"/>
              <w:highlight w:val="none"/>
            </w:rPr>
            <w:t>、主要经验及做法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_Toc24485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24</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140BC3D2">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_Toc14481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六</w:t>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存在问题及原因分析</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_Toc14481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24</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1F488933">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_Toc19561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七</w:t>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建议</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_Toc19561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25</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7218A125">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_Toc26876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八</w:t>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其他需要说明的情况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_Toc26876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26</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2A60F995">
          <w:r>
            <w:rPr>
              <w:rFonts w:hint="eastAsia" w:ascii="宋体" w:hAnsi="宋体" w:eastAsia="宋体" w:cs="宋体"/>
              <w:szCs w:val="28"/>
            </w:rPr>
            <w:fldChar w:fldCharType="end"/>
          </w:r>
        </w:p>
      </w:sdtContent>
    </w:sdt>
    <w:p w14:paraId="3836FE03"/>
    <w:p w14:paraId="167E1DBF">
      <w:pPr>
        <w:overflowPunct w:val="0"/>
        <w:spacing w:line="579" w:lineRule="exact"/>
        <w:jc w:val="center"/>
        <w:outlineLvl w:val="0"/>
        <w:rPr>
          <w:rFonts w:hint="eastAsia" w:ascii="方正小标宋简体" w:eastAsia="方正小标宋简体"/>
          <w:sz w:val="44"/>
          <w:szCs w:val="44"/>
          <w:highlight w:val="none"/>
        </w:rPr>
        <w:sectPr>
          <w:footerReference r:id="rId8" w:type="default"/>
          <w:headerReference r:id="rId7" w:type="even"/>
          <w:footerReference r:id="rId9" w:type="even"/>
          <w:pgSz w:w="11906" w:h="16838"/>
          <w:pgMar w:top="2098" w:right="1474" w:bottom="1985" w:left="1588" w:header="851" w:footer="1474" w:gutter="0"/>
          <w:pgBorders>
            <w:top w:val="none" w:sz="0" w:space="0"/>
            <w:left w:val="none" w:sz="0" w:space="0"/>
            <w:bottom w:val="none" w:sz="0" w:space="0"/>
            <w:right w:val="none" w:sz="0" w:space="0"/>
          </w:pgBorders>
          <w:pgNumType w:fmt="upperRoman" w:start="1"/>
          <w:cols w:space="425" w:num="1"/>
          <w:docGrid w:type="linesAndChars" w:linePitch="579" w:charSpace="3247"/>
        </w:sectPr>
      </w:pPr>
    </w:p>
    <w:p w14:paraId="03E7BBD9">
      <w:pPr>
        <w:overflowPunct w:val="0"/>
        <w:spacing w:line="579" w:lineRule="exact"/>
        <w:jc w:val="center"/>
        <w:outlineLvl w:val="0"/>
        <w:rPr>
          <w:rFonts w:ascii="方正小标宋简体" w:eastAsia="方正小标宋简体"/>
          <w:sz w:val="44"/>
          <w:szCs w:val="44"/>
          <w:highlight w:val="none"/>
        </w:rPr>
      </w:pPr>
      <w:bookmarkStart w:id="2" w:name="_Toc32082"/>
      <w:r>
        <w:rPr>
          <w:rFonts w:hint="eastAsia" w:ascii="方正小标宋简体" w:eastAsia="方正小标宋简体"/>
          <w:sz w:val="44"/>
          <w:szCs w:val="44"/>
          <w:highlight w:val="none"/>
        </w:rPr>
        <w:t>摘  要</w:t>
      </w:r>
      <w:bookmarkEnd w:id="0"/>
      <w:bookmarkEnd w:id="1"/>
      <w:bookmarkEnd w:id="2"/>
    </w:p>
    <w:p w14:paraId="22D6AB97">
      <w:pPr>
        <w:spacing w:line="579" w:lineRule="exact"/>
        <w:ind w:firstLine="630" w:firstLineChars="200"/>
        <w:outlineLvl w:val="0"/>
        <w:rPr>
          <w:rFonts w:hint="eastAsia" w:ascii="黑体" w:hAnsi="黑体" w:eastAsia="黑体" w:cs="宋体"/>
          <w:szCs w:val="30"/>
          <w:lang w:val="en-US" w:eastAsia="zh-CN"/>
        </w:rPr>
      </w:pPr>
      <w:bookmarkStart w:id="3" w:name="_Toc10495"/>
      <w:r>
        <w:rPr>
          <w:rFonts w:hint="eastAsia" w:ascii="黑体" w:hAnsi="黑体" w:eastAsia="黑体" w:cs="宋体"/>
          <w:szCs w:val="30"/>
          <w:lang w:val="en-US" w:eastAsia="zh-CN"/>
        </w:rPr>
        <w:t>一、基本情况</w:t>
      </w:r>
      <w:bookmarkEnd w:id="3"/>
    </w:p>
    <w:p w14:paraId="1E5976ED">
      <w:pPr>
        <w:spacing w:line="579" w:lineRule="exact"/>
        <w:ind w:firstLine="670" w:firstLineChars="200"/>
        <w:rPr>
          <w:rFonts w:hint="default" w:hAnsi="仿宋"/>
          <w:sz w:val="32"/>
          <w:szCs w:val="32"/>
          <w:highlight w:val="none"/>
          <w:lang w:val="en-US" w:eastAsia="zh-CN"/>
        </w:rPr>
      </w:pPr>
      <w:r>
        <w:rPr>
          <w:rFonts w:hint="eastAsia" w:hAnsi="仿宋"/>
          <w:sz w:val="32"/>
          <w:szCs w:val="32"/>
          <w:highlight w:val="none"/>
          <w:lang w:val="en-US" w:eastAsia="zh-CN"/>
        </w:rPr>
        <w:t>根据《云南省人民政府关于印发2023年推动经济稳进提质政策措施的通知》（云政发〔2023〕2号）文件，第（十五）条：大力提升旅游业服务能力和水平。主动适应市场需求变化，从省级层面策划实施一批旅游转型升级大型项目，加大知名旅游企业招商，推动旅游与健康、体育、文化、生态、教育、互联网以及现代农业等融合发展。对成功创建国家5A级、4A级景区的市场主体分别给予300万元、100万元奖励；按照文件精神，昆明市西山区文化和旅游局对申报单位的资质进行审查，并进入“阳光云财一网通”填写初审意见，推荐昆明融创海世界雪乐园景区创建4A级旅游景区。依照《云南省财政厅云南省文化和旅游厅关于下达2023年4A级旅游景区创建奖补资金的通知》（云财教〔2023〕330号）下达100.00万元，资金到位率100%，全部用于4A景区创建。</w:t>
      </w:r>
    </w:p>
    <w:p w14:paraId="5BD00C7B">
      <w:pPr>
        <w:spacing w:line="579" w:lineRule="exact"/>
        <w:ind w:firstLine="630" w:firstLineChars="200"/>
        <w:outlineLvl w:val="0"/>
        <w:rPr>
          <w:rFonts w:hint="eastAsia" w:ascii="黑体" w:hAnsi="黑体" w:eastAsia="黑体" w:cs="宋体"/>
          <w:szCs w:val="30"/>
          <w:lang w:val="en-US" w:eastAsia="zh-CN"/>
        </w:rPr>
      </w:pPr>
      <w:bookmarkStart w:id="4" w:name="_Toc10318"/>
      <w:r>
        <w:rPr>
          <w:rFonts w:hint="eastAsia" w:ascii="黑体" w:hAnsi="黑体" w:eastAsia="黑体" w:cs="宋体"/>
          <w:szCs w:val="30"/>
          <w:lang w:val="en-US" w:eastAsia="zh-CN"/>
        </w:rPr>
        <w:t>二、绩效评价结论</w:t>
      </w:r>
      <w:bookmarkEnd w:id="4"/>
    </w:p>
    <w:p w14:paraId="11F64863">
      <w:pPr>
        <w:ind w:firstLine="630"/>
        <w:rPr>
          <w:rFonts w:hint="eastAsia" w:hAnsi="仿宋"/>
          <w:szCs w:val="30"/>
          <w:highlight w:val="none"/>
        </w:rPr>
      </w:pPr>
      <w:r>
        <w:rPr>
          <w:rFonts w:hint="eastAsia" w:hAnsi="仿宋"/>
          <w:szCs w:val="30"/>
          <w:highlight w:val="none"/>
          <w:lang w:eastAsia="zh-CN"/>
        </w:rPr>
        <w:t>4A级旅游景区创建奖励资金项目绩效评价得分</w:t>
      </w:r>
      <w:r>
        <w:rPr>
          <w:rFonts w:hint="eastAsia" w:hAnsi="仿宋"/>
          <w:szCs w:val="30"/>
          <w:highlight w:val="none"/>
          <w:lang w:val="en-US" w:eastAsia="zh-CN"/>
        </w:rPr>
        <w:t>94.45</w:t>
      </w:r>
      <w:r>
        <w:rPr>
          <w:rFonts w:hint="eastAsia" w:hAnsi="仿宋"/>
          <w:szCs w:val="30"/>
          <w:highlight w:val="none"/>
          <w:lang w:eastAsia="zh-CN"/>
        </w:rPr>
        <w:t>分，评价等级为“</w:t>
      </w:r>
      <w:r>
        <w:rPr>
          <w:rFonts w:hint="eastAsia" w:hAnsi="仿宋"/>
          <w:szCs w:val="30"/>
          <w:highlight w:val="none"/>
          <w:lang w:val="en-US" w:eastAsia="zh-CN"/>
        </w:rPr>
        <w:t>优</w:t>
      </w:r>
      <w:r>
        <w:rPr>
          <w:rFonts w:hint="eastAsia" w:hAnsi="仿宋"/>
          <w:szCs w:val="30"/>
          <w:highlight w:val="none"/>
          <w:lang w:eastAsia="zh-CN"/>
        </w:rPr>
        <w:t>”</w:t>
      </w:r>
      <w:r>
        <w:rPr>
          <w:rFonts w:hint="eastAsia" w:hAnsi="仿宋"/>
          <w:szCs w:val="30"/>
          <w:highlight w:val="none"/>
        </w:rPr>
        <w:t>。</w:t>
      </w:r>
    </w:p>
    <w:p w14:paraId="36A21140">
      <w:pPr>
        <w:spacing w:line="579" w:lineRule="exact"/>
        <w:ind w:firstLine="670" w:firstLineChars="200"/>
        <w:rPr>
          <w:rFonts w:hint="default" w:hAnsi="仿宋"/>
          <w:sz w:val="32"/>
          <w:szCs w:val="32"/>
          <w:highlight w:val="none"/>
          <w:lang w:val="en-US" w:eastAsia="zh-CN"/>
        </w:rPr>
      </w:pPr>
      <w:r>
        <w:rPr>
          <w:rFonts w:hint="eastAsia" w:hAnsi="仿宋"/>
          <w:sz w:val="32"/>
          <w:szCs w:val="32"/>
          <w:highlight w:val="none"/>
          <w:lang w:val="en-US" w:eastAsia="zh-CN"/>
        </w:rPr>
        <w:t>整体来看，4A级旅游景区创建奖励资金项目</w:t>
      </w:r>
      <w:r>
        <w:rPr>
          <w:rFonts w:hint="eastAsia" w:hAnsi="仿宋"/>
          <w:sz w:val="32"/>
          <w:szCs w:val="32"/>
          <w:highlight w:val="none"/>
          <w:lang w:eastAsia="zh-CN"/>
        </w:rPr>
        <w:t>，符合《云南省人民政府关于印发2023年推动经济稳进提质政策措施的通知》（云政发〔2023〕2号）</w:t>
      </w:r>
      <w:r>
        <w:rPr>
          <w:rFonts w:hint="eastAsia" w:hAnsi="仿宋"/>
          <w:sz w:val="32"/>
          <w:szCs w:val="32"/>
          <w:highlight w:val="none"/>
          <w:lang w:val="en-US" w:eastAsia="zh-CN"/>
        </w:rPr>
        <w:t>文件精神</w:t>
      </w:r>
      <w:r>
        <w:rPr>
          <w:rFonts w:hint="eastAsia" w:hAnsi="仿宋"/>
          <w:sz w:val="32"/>
          <w:szCs w:val="32"/>
          <w:highlight w:val="none"/>
          <w:lang w:eastAsia="zh-CN"/>
        </w:rPr>
        <w:t>，立项依据充分、程序规范</w:t>
      </w:r>
      <w:r>
        <w:rPr>
          <w:rFonts w:hint="eastAsia" w:hAnsi="仿宋"/>
          <w:sz w:val="32"/>
          <w:szCs w:val="32"/>
          <w:highlight w:val="none"/>
          <w:lang w:val="en-US" w:eastAsia="zh-CN"/>
        </w:rPr>
        <w:t>。4A级旅游景区创建奖励资金使用具备完整的审批程序和手续，未发现挤占、挪用专项资金的情况。为保障项目顺利实施，执行《云南省4A级旅游景区创建奖励措施实施方案》保障措施：全省各级文化和旅游部门要高度重视此项工作，通过当地政府门户网站或主流媒体对政策进行广泛宣传，积极扩大奖励措施的企业知晓率和参与度。对多头申报、套取、骗取奖励资金，挪用资金用于理财等套利行为，相关行政管理部门将依法取消政策支持，追回奖励资金，予以通报，列入严重违法失信企业名单，三年内不得申报行业发展各类资金，不得享受相关企业优惠政策，并按有关规定追究相关法律责任。以此保障项目的实施。</w:t>
      </w:r>
    </w:p>
    <w:p w14:paraId="4332E7A1">
      <w:pPr>
        <w:spacing w:line="579" w:lineRule="exact"/>
        <w:ind w:firstLine="670" w:firstLineChars="200"/>
        <w:rPr>
          <w:rFonts w:hint="eastAsia" w:ascii="黑体" w:hAnsi="黑体" w:eastAsia="黑体" w:cs="宋体"/>
          <w:szCs w:val="30"/>
          <w:lang w:val="en-US" w:eastAsia="zh-CN"/>
        </w:rPr>
      </w:pPr>
      <w:r>
        <w:rPr>
          <w:rFonts w:hint="eastAsia" w:hAnsi="仿宋"/>
          <w:sz w:val="32"/>
          <w:szCs w:val="32"/>
          <w:highlight w:val="none"/>
          <w:lang w:val="en-US" w:eastAsia="zh-CN"/>
        </w:rPr>
        <w:t>通过项目实施，对提升昆明市西山区的知名度美誉度具有重要作用，同时对相关产业产值的增长也具有一定的带动作用</w:t>
      </w:r>
      <w:r>
        <w:rPr>
          <w:rFonts w:hint="eastAsia" w:hAnsi="仿宋"/>
          <w:szCs w:val="30"/>
          <w:highlight w:val="none"/>
          <w:lang w:val="en-US" w:eastAsia="zh-CN"/>
        </w:rPr>
        <w:t>。</w:t>
      </w:r>
    </w:p>
    <w:p w14:paraId="27785FA4">
      <w:pPr>
        <w:spacing w:line="579" w:lineRule="exact"/>
        <w:ind w:firstLine="630" w:firstLineChars="200"/>
        <w:outlineLvl w:val="0"/>
        <w:rPr>
          <w:rFonts w:hint="default" w:ascii="黑体" w:hAnsi="黑体" w:eastAsia="黑体" w:cs="宋体"/>
          <w:szCs w:val="30"/>
          <w:lang w:val="en-US" w:eastAsia="zh-CN"/>
        </w:rPr>
      </w:pPr>
      <w:bookmarkStart w:id="5" w:name="_Toc28938"/>
      <w:r>
        <w:rPr>
          <w:rFonts w:hint="eastAsia" w:ascii="黑体" w:hAnsi="黑体" w:eastAsia="黑体" w:cs="宋体"/>
          <w:szCs w:val="30"/>
          <w:lang w:val="en-US" w:eastAsia="zh-CN"/>
        </w:rPr>
        <w:t>三、存在问题及原因分析</w:t>
      </w:r>
      <w:bookmarkEnd w:id="5"/>
    </w:p>
    <w:p w14:paraId="3C14EC65">
      <w:pPr>
        <w:spacing w:line="579" w:lineRule="exact"/>
        <w:ind w:firstLine="670" w:firstLineChars="200"/>
        <w:rPr>
          <w:rFonts w:hint="eastAsia" w:hAnsi="仿宋"/>
          <w:sz w:val="32"/>
          <w:szCs w:val="32"/>
          <w:highlight w:val="none"/>
          <w:lang w:val="en-US" w:eastAsia="zh-CN"/>
        </w:rPr>
      </w:pPr>
      <w:r>
        <w:rPr>
          <w:rFonts w:hint="eastAsia" w:hAnsi="仿宋"/>
          <w:sz w:val="32"/>
          <w:szCs w:val="32"/>
          <w:highlight w:val="none"/>
          <w:lang w:val="en-US" w:eastAsia="zh-CN"/>
        </w:rPr>
        <w:t>（一）经核查在绩效目标管理方面存在绩效目标预期产出和效益不够明确、三级指标设置不合理、绩效指标值设置不合理等问题，绩效自评工作方面存在部分项目绩效自评表三级指标赋值不明确不合理。例如：</w:t>
      </w:r>
    </w:p>
    <w:p w14:paraId="3F14DED8">
      <w:pPr>
        <w:spacing w:line="579" w:lineRule="exact"/>
        <w:ind w:firstLine="670" w:firstLineChars="200"/>
        <w:rPr>
          <w:rFonts w:hint="eastAsia" w:hAnsi="仿宋"/>
          <w:sz w:val="32"/>
          <w:szCs w:val="32"/>
          <w:highlight w:val="none"/>
          <w:lang w:val="en-US" w:eastAsia="zh-CN"/>
        </w:rPr>
      </w:pPr>
      <w:r>
        <w:rPr>
          <w:rFonts w:hint="eastAsia" w:hAnsi="仿宋"/>
          <w:sz w:val="32"/>
          <w:szCs w:val="32"/>
          <w:highlight w:val="none"/>
          <w:lang w:val="en-US" w:eastAsia="zh-CN"/>
        </w:rPr>
        <w:t>1、数量指标的三级指标“融创海世界雪乐园1家”描述不清晰，传达信息不准确，应设置为“奖励4A级景区一家”；</w:t>
      </w:r>
    </w:p>
    <w:p w14:paraId="2AF1AB51">
      <w:pPr>
        <w:spacing w:line="579" w:lineRule="exact"/>
        <w:ind w:firstLine="670" w:firstLineChars="200"/>
        <w:rPr>
          <w:rFonts w:hint="eastAsia" w:hAnsi="仿宋"/>
          <w:sz w:val="32"/>
          <w:szCs w:val="32"/>
          <w:highlight w:val="none"/>
          <w:lang w:val="en-US" w:eastAsia="zh-CN"/>
        </w:rPr>
      </w:pPr>
      <w:r>
        <w:rPr>
          <w:rFonts w:hint="eastAsia" w:hAnsi="仿宋"/>
          <w:sz w:val="32"/>
          <w:szCs w:val="32"/>
          <w:highlight w:val="none"/>
          <w:lang w:val="en-US" w:eastAsia="zh-CN"/>
        </w:rPr>
        <w:t>2、效益指标三级指标“为景区带来更多客流量及收入”指标值设为“融创海世界雪乐园接待游客85.05万人次，实现营业收入14,303.85万元”，指标名称与指标值逻辑不连贯，指标名称的表述意在通过项目的实施提高客流量和收入而指标值的描述意在景区将达到的客流量和收入未体现项目的实施对景区的提升。此项目的经济效益应重点体现通过项目实施提升景区等级从而吸引更多游客，带动相关产业产值增长。原指标值的描述却未体现增长情况。</w:t>
      </w:r>
    </w:p>
    <w:p w14:paraId="43BB0C88">
      <w:pPr>
        <w:spacing w:line="579" w:lineRule="exact"/>
        <w:ind w:firstLine="670" w:firstLineChars="200"/>
        <w:rPr>
          <w:rFonts w:hint="eastAsia" w:hAnsi="仿宋"/>
          <w:sz w:val="32"/>
          <w:szCs w:val="32"/>
          <w:highlight w:val="none"/>
          <w:lang w:val="en-US" w:eastAsia="zh-CN"/>
        </w:rPr>
      </w:pPr>
      <w:r>
        <w:rPr>
          <w:rFonts w:hint="eastAsia" w:hAnsi="仿宋"/>
          <w:sz w:val="32"/>
          <w:szCs w:val="32"/>
          <w:highlight w:val="none"/>
          <w:lang w:val="en-US" w:eastAsia="zh-CN"/>
        </w:rPr>
        <w:t>3、绩效指标设置时，效益指标指标值设置均为“长期”文字定性描述，不利体现效益的实现情况也不利对效益指标进行衡量。</w:t>
      </w:r>
    </w:p>
    <w:p w14:paraId="5AAABAE0">
      <w:pPr>
        <w:pStyle w:val="50"/>
        <w:numPr>
          <w:ilvl w:val="0"/>
          <w:numId w:val="0"/>
        </w:numPr>
        <w:ind w:firstLine="670" w:firstLineChars="200"/>
        <w:rPr>
          <w:rFonts w:hint="eastAsia" w:hAnsi="仿宋"/>
          <w:sz w:val="32"/>
          <w:szCs w:val="32"/>
          <w:highlight w:val="none"/>
          <w:lang w:val="en-US" w:eastAsia="zh-CN"/>
        </w:rPr>
      </w:pPr>
      <w:r>
        <w:rPr>
          <w:rFonts w:hint="eastAsia" w:ascii="仿宋" w:hAnsi="仿宋" w:eastAsia="仿宋" w:cs="仿宋"/>
          <w:sz w:val="32"/>
          <w:szCs w:val="32"/>
          <w:highlight w:val="none"/>
          <w:lang w:val="en-US" w:eastAsia="zh-CN"/>
        </w:rPr>
        <w:t>（二）由于项目实施过程中，场馆内部改造不断，表演场地更换导致部分演出未达预期效果，游客出游体验受到影响。</w:t>
      </w:r>
    </w:p>
    <w:p w14:paraId="36FC2421">
      <w:pPr>
        <w:spacing w:line="579" w:lineRule="exact"/>
        <w:ind w:firstLine="630" w:firstLineChars="200"/>
        <w:outlineLvl w:val="0"/>
        <w:rPr>
          <w:rFonts w:hint="default" w:ascii="黑体" w:hAnsi="黑体" w:eastAsia="黑体" w:cs="宋体"/>
          <w:szCs w:val="30"/>
          <w:lang w:val="en-US" w:eastAsia="zh-CN"/>
        </w:rPr>
      </w:pPr>
      <w:bookmarkStart w:id="6" w:name="_Toc6605"/>
      <w:r>
        <w:rPr>
          <w:rFonts w:hint="eastAsia" w:ascii="黑体" w:hAnsi="黑体" w:eastAsia="黑体" w:cs="宋体"/>
          <w:szCs w:val="30"/>
          <w:lang w:val="en-US" w:eastAsia="zh-CN"/>
        </w:rPr>
        <w:t>四、建议</w:t>
      </w:r>
      <w:bookmarkEnd w:id="6"/>
    </w:p>
    <w:p w14:paraId="7E303769">
      <w:pPr>
        <w:spacing w:line="579" w:lineRule="exact"/>
        <w:ind w:firstLine="670" w:firstLineChars="200"/>
        <w:rPr>
          <w:rFonts w:hint="eastAsia" w:hAnsi="仿宋"/>
          <w:sz w:val="32"/>
          <w:szCs w:val="32"/>
          <w:highlight w:val="none"/>
          <w:lang w:val="en-US" w:eastAsia="zh-CN"/>
        </w:rPr>
      </w:pPr>
      <w:r>
        <w:rPr>
          <w:rFonts w:hint="eastAsia" w:hAnsi="仿宋"/>
          <w:sz w:val="32"/>
          <w:szCs w:val="32"/>
          <w:highlight w:val="none"/>
          <w:lang w:val="en-US" w:eastAsia="zh-CN"/>
        </w:rPr>
        <w:t>（一）建议强化绩效目标管理，在编制项目绩效目标申报表时，细化、量化、具体化项目年度目标任务，突出重点，绩效指标应指向明确、与项目支出内容、范围紧密相关，且指标值要符合客观实际，以此增强预算编制的科学性、规范性，提高财政资金使用效益，便于衡量考评绩效目标的实现程度。落实绩效自评工作，在撰写自评报告时，结合项目、资金实际执行情况。保证自评表与自评报告内容的一致性。</w:t>
      </w:r>
    </w:p>
    <w:p w14:paraId="64D0AB22">
      <w:pPr>
        <w:spacing w:line="579" w:lineRule="exact"/>
        <w:ind w:firstLine="670" w:firstLineChars="200"/>
        <w:rPr>
          <w:rFonts w:hint="eastAsia" w:hAnsi="仿宋"/>
          <w:sz w:val="32"/>
          <w:szCs w:val="32"/>
          <w:highlight w:val="none"/>
          <w:lang w:val="en-US" w:eastAsia="zh-CN"/>
        </w:rPr>
      </w:pPr>
      <w:r>
        <w:rPr>
          <w:rFonts w:hint="eastAsia" w:ascii="仿宋" w:hAnsi="仿宋" w:eastAsia="仿宋" w:cs="仿宋"/>
          <w:sz w:val="32"/>
          <w:szCs w:val="32"/>
          <w:highlight w:val="none"/>
          <w:lang w:val="en-US" w:eastAsia="zh-CN"/>
        </w:rPr>
        <w:t>（二）建议加强对项目的跟踪，依托景区经营数据跟踪与游客反馈，形成“跟踪监测到改进”的循环，不断实现服务的快速迭代。同时加强景区的安全环境卫生，营造富有感染力且具有个性化的情景，让游客感受不一样的服务，提升游客体验。为同类景区提供经验借鉴与能力输送，发挥项目的引领示范作用，打造地区的新名片。</w:t>
      </w:r>
    </w:p>
    <w:p w14:paraId="0CEF73BE">
      <w:pPr>
        <w:spacing w:line="579" w:lineRule="exact"/>
        <w:ind w:firstLine="630" w:firstLineChars="200"/>
        <w:outlineLvl w:val="0"/>
        <w:rPr>
          <w:rFonts w:hint="default" w:ascii="黑体" w:hAnsi="黑体" w:eastAsia="黑体" w:cs="宋体"/>
          <w:szCs w:val="30"/>
          <w:lang w:val="en-US" w:eastAsia="zh-CN"/>
        </w:rPr>
      </w:pPr>
      <w:bookmarkStart w:id="7" w:name="_Toc20948"/>
      <w:r>
        <w:rPr>
          <w:rFonts w:hint="eastAsia" w:ascii="黑体" w:hAnsi="黑体" w:eastAsia="黑体" w:cs="宋体"/>
          <w:szCs w:val="30"/>
          <w:lang w:val="en-US" w:eastAsia="zh-CN"/>
        </w:rPr>
        <w:t>五、其它需说明的情况</w:t>
      </w:r>
      <w:bookmarkEnd w:id="7"/>
    </w:p>
    <w:p w14:paraId="4E90A15E">
      <w:pPr>
        <w:spacing w:line="579" w:lineRule="exact"/>
        <w:ind w:firstLine="630" w:firstLineChars="200"/>
        <w:rPr>
          <w:rFonts w:hint="default" w:hAnsi="仿宋"/>
          <w:szCs w:val="30"/>
          <w:lang w:val="en-US" w:eastAsia="zh-CN"/>
        </w:rPr>
        <w:sectPr>
          <w:footerReference r:id="rId10" w:type="default"/>
          <w:footerReference r:id="rId11" w:type="even"/>
          <w:pgSz w:w="11906" w:h="16838"/>
          <w:pgMar w:top="2098" w:right="1474" w:bottom="1985" w:left="1588" w:header="851" w:footer="1474" w:gutter="0"/>
          <w:pgBorders>
            <w:top w:val="none" w:sz="0" w:space="0"/>
            <w:left w:val="none" w:sz="0" w:space="0"/>
            <w:bottom w:val="none" w:sz="0" w:space="0"/>
            <w:right w:val="none" w:sz="0" w:space="0"/>
          </w:pgBorders>
          <w:pgNumType w:fmt="upperRoman" w:start="1"/>
          <w:cols w:space="425" w:num="1"/>
          <w:docGrid w:type="linesAndChars" w:linePitch="579" w:charSpace="3247"/>
        </w:sectPr>
      </w:pPr>
      <w:r>
        <w:rPr>
          <w:rFonts w:hint="eastAsia" w:hAnsi="仿宋"/>
          <w:szCs w:val="30"/>
          <w:lang w:val="en-US" w:eastAsia="zh-CN"/>
        </w:rPr>
        <w:t>无</w:t>
      </w:r>
    </w:p>
    <w:p w14:paraId="380484FC">
      <w:pPr>
        <w:overflowPunct w:val="0"/>
        <w:spacing w:line="579" w:lineRule="exact"/>
        <w:jc w:val="center"/>
        <w:outlineLvl w:val="0"/>
        <w:rPr>
          <w:rFonts w:hint="eastAsia" w:ascii="方正小标宋简体" w:eastAsia="方正小标宋简体"/>
          <w:sz w:val="44"/>
          <w:szCs w:val="44"/>
          <w:highlight w:val="none"/>
          <w:lang w:val="en-US" w:eastAsia="zh-CN"/>
        </w:rPr>
      </w:pPr>
      <w:bookmarkStart w:id="8" w:name="_Toc8508"/>
      <w:r>
        <w:rPr>
          <w:rFonts w:hint="eastAsia" w:ascii="方正小标宋简体" w:eastAsia="方正小标宋简体"/>
          <w:sz w:val="44"/>
          <w:szCs w:val="44"/>
          <w:highlight w:val="none"/>
          <w:lang w:val="en-US" w:eastAsia="zh-CN"/>
        </w:rPr>
        <w:t>4A级旅游景区创建奖励资金</w:t>
      </w:r>
      <w:bookmarkEnd w:id="8"/>
    </w:p>
    <w:p w14:paraId="16F10F1F">
      <w:pPr>
        <w:overflowPunct w:val="0"/>
        <w:spacing w:line="579" w:lineRule="exact"/>
        <w:jc w:val="center"/>
        <w:outlineLvl w:val="0"/>
        <w:rPr>
          <w:rFonts w:hint="eastAsia" w:ascii="方正小标宋简体" w:eastAsia="方正小标宋简体"/>
          <w:sz w:val="44"/>
          <w:szCs w:val="44"/>
          <w:highlight w:val="none"/>
        </w:rPr>
      </w:pPr>
      <w:bookmarkStart w:id="9" w:name="_Toc24891"/>
      <w:r>
        <w:rPr>
          <w:rFonts w:hint="eastAsia" w:ascii="方正小标宋简体" w:eastAsia="方正小标宋简体"/>
          <w:sz w:val="44"/>
          <w:szCs w:val="44"/>
          <w:highlight w:val="none"/>
          <w:lang w:val="en-US" w:eastAsia="zh-CN"/>
        </w:rPr>
        <w:t>项目支出</w:t>
      </w:r>
      <w:r>
        <w:rPr>
          <w:rFonts w:hint="eastAsia" w:ascii="方正小标宋简体" w:eastAsia="方正小标宋简体"/>
          <w:sz w:val="44"/>
          <w:szCs w:val="44"/>
          <w:highlight w:val="none"/>
        </w:rPr>
        <w:t>绩效评价报告</w:t>
      </w:r>
      <w:bookmarkEnd w:id="9"/>
    </w:p>
    <w:p w14:paraId="6468CA91">
      <w:pPr>
        <w:spacing w:line="579" w:lineRule="exact"/>
        <w:rPr>
          <w:rFonts w:hAnsi="仿宋"/>
          <w:sz w:val="36"/>
          <w:szCs w:val="36"/>
        </w:rPr>
      </w:pPr>
    </w:p>
    <w:p w14:paraId="725135B1">
      <w:pPr>
        <w:spacing w:line="579" w:lineRule="exact"/>
        <w:ind w:firstLine="670" w:firstLineChars="200"/>
        <w:rPr>
          <w:rFonts w:hAnsi="仿宋"/>
          <w:sz w:val="32"/>
          <w:szCs w:val="32"/>
          <w:highlight w:val="none"/>
        </w:rPr>
      </w:pPr>
      <w:r>
        <w:rPr>
          <w:rFonts w:hint="eastAsia" w:hAnsi="仿宋"/>
          <w:sz w:val="32"/>
          <w:szCs w:val="32"/>
          <w:highlight w:val="none"/>
        </w:rPr>
        <w:t>根据昆明市</w:t>
      </w:r>
      <w:r>
        <w:rPr>
          <w:rFonts w:hint="eastAsia" w:hAnsi="仿宋"/>
          <w:sz w:val="32"/>
          <w:szCs w:val="32"/>
          <w:highlight w:val="none"/>
          <w:lang w:val="en-US" w:eastAsia="zh-CN"/>
        </w:rPr>
        <w:t>西山区</w:t>
      </w:r>
      <w:r>
        <w:rPr>
          <w:rFonts w:hint="eastAsia" w:hAnsi="仿宋"/>
          <w:sz w:val="32"/>
          <w:szCs w:val="32"/>
          <w:highlight w:val="none"/>
        </w:rPr>
        <w:t>财政局《关于开展西山区2024年度项目支出财政重点绩效评价工作的通知》</w:t>
      </w:r>
      <w:r>
        <w:rPr>
          <w:rFonts w:hint="eastAsia" w:hAnsi="仿宋"/>
          <w:sz w:val="32"/>
          <w:szCs w:val="32"/>
          <w:highlight w:val="none"/>
          <w:lang w:eastAsia="zh-CN"/>
        </w:rPr>
        <w:t>（</w:t>
      </w:r>
      <w:r>
        <w:rPr>
          <w:rFonts w:hint="eastAsia" w:hAnsi="仿宋"/>
          <w:sz w:val="32"/>
          <w:szCs w:val="32"/>
          <w:highlight w:val="none"/>
        </w:rPr>
        <w:t>西财评绩〔20</w:t>
      </w:r>
      <w:r>
        <w:rPr>
          <w:rFonts w:hint="eastAsia" w:hAnsi="仿宋"/>
          <w:sz w:val="32"/>
          <w:szCs w:val="32"/>
          <w:highlight w:val="none"/>
          <w:lang w:val="en-US" w:eastAsia="zh-CN"/>
        </w:rPr>
        <w:t>25</w:t>
      </w:r>
      <w:r>
        <w:rPr>
          <w:rFonts w:hint="eastAsia" w:hAnsi="仿宋"/>
          <w:sz w:val="32"/>
          <w:szCs w:val="32"/>
          <w:highlight w:val="none"/>
        </w:rPr>
        <w:t>〕1</w:t>
      </w:r>
      <w:r>
        <w:rPr>
          <w:rFonts w:hint="eastAsia" w:hAnsi="仿宋"/>
          <w:sz w:val="32"/>
          <w:szCs w:val="32"/>
          <w:highlight w:val="none"/>
          <w:lang w:val="en-US" w:eastAsia="zh-CN"/>
        </w:rPr>
        <w:t>6</w:t>
      </w:r>
      <w:r>
        <w:rPr>
          <w:rFonts w:hint="eastAsia" w:hAnsi="仿宋"/>
          <w:sz w:val="32"/>
          <w:szCs w:val="32"/>
          <w:highlight w:val="none"/>
        </w:rPr>
        <w:t>号</w:t>
      </w:r>
      <w:r>
        <w:rPr>
          <w:rFonts w:hint="eastAsia" w:hAnsi="仿宋"/>
          <w:sz w:val="32"/>
          <w:szCs w:val="32"/>
          <w:highlight w:val="none"/>
          <w:lang w:eastAsia="zh-CN"/>
        </w:rPr>
        <w:t>）</w:t>
      </w:r>
      <w:r>
        <w:rPr>
          <w:rFonts w:hint="eastAsia" w:hAnsi="仿宋"/>
          <w:sz w:val="32"/>
          <w:szCs w:val="32"/>
          <w:highlight w:val="none"/>
        </w:rPr>
        <w:t>结合财政部《项目支出绩效评价管理办法》（财预〔2020〕10号）、《中共云南省委</w:t>
      </w:r>
      <w:r>
        <w:rPr>
          <w:rFonts w:hint="eastAsia" w:hAnsi="仿宋"/>
          <w:sz w:val="32"/>
          <w:szCs w:val="32"/>
          <w:highlight w:val="none"/>
          <w:lang w:val="en-US" w:eastAsia="zh-CN"/>
        </w:rPr>
        <w:t>、</w:t>
      </w:r>
      <w:r>
        <w:rPr>
          <w:rFonts w:hint="eastAsia" w:hAnsi="仿宋"/>
          <w:sz w:val="32"/>
          <w:szCs w:val="32"/>
          <w:highlight w:val="none"/>
        </w:rPr>
        <w:t>云南省政府关于全面实施预算绩效管理的实施意见》（云发〔2019〕11号）</w:t>
      </w:r>
      <w:r>
        <w:rPr>
          <w:rFonts w:hint="eastAsia" w:hAnsi="仿宋"/>
          <w:sz w:val="32"/>
          <w:szCs w:val="32"/>
          <w:highlight w:val="none"/>
          <w:lang w:eastAsia="zh-CN"/>
        </w:rPr>
        <w:t>、</w:t>
      </w:r>
      <w:r>
        <w:rPr>
          <w:rFonts w:hint="eastAsia" w:hAnsi="仿宋"/>
          <w:sz w:val="32"/>
          <w:szCs w:val="32"/>
          <w:highlight w:val="none"/>
        </w:rPr>
        <w:t>《云南省财政厅关于印发&lt;云南省项目支出绩效评价管理办法&gt;的通知》（云财绩〔2020〕11号）</w:t>
      </w:r>
      <w:r>
        <w:rPr>
          <w:rFonts w:hint="eastAsia" w:hAnsi="仿宋"/>
          <w:sz w:val="32"/>
          <w:szCs w:val="32"/>
          <w:highlight w:val="none"/>
          <w:lang w:eastAsia="zh-CN"/>
        </w:rPr>
        <w:t>、中共昆明市西山区委、昆明市西山区人民政府关于印发《全面实施预算绩效管理的实施意见的通知》（西发〔2020〕3号）</w:t>
      </w:r>
      <w:r>
        <w:rPr>
          <w:rFonts w:hint="eastAsia" w:hAnsi="仿宋"/>
          <w:sz w:val="32"/>
          <w:szCs w:val="32"/>
          <w:highlight w:val="none"/>
          <w:lang w:val="en-US" w:eastAsia="zh-CN"/>
        </w:rPr>
        <w:t>等文件</w:t>
      </w:r>
      <w:r>
        <w:rPr>
          <w:rFonts w:hint="eastAsia" w:hAnsi="仿宋"/>
          <w:sz w:val="32"/>
          <w:szCs w:val="32"/>
          <w:highlight w:val="none"/>
        </w:rPr>
        <w:t>的要求，</w:t>
      </w:r>
      <w:r>
        <w:rPr>
          <w:rFonts w:hint="eastAsia" w:hAnsi="仿宋"/>
          <w:sz w:val="32"/>
          <w:szCs w:val="32"/>
          <w:highlight w:val="none"/>
          <w:lang w:eastAsia="zh-CN"/>
        </w:rPr>
        <w:t>云南谛祥会计师事务所（普通合伙）</w:t>
      </w:r>
      <w:r>
        <w:rPr>
          <w:rFonts w:hint="eastAsia" w:hAnsi="仿宋"/>
          <w:sz w:val="32"/>
          <w:szCs w:val="32"/>
          <w:highlight w:val="none"/>
        </w:rPr>
        <w:t>接受</w:t>
      </w:r>
      <w:r>
        <w:rPr>
          <w:rFonts w:hint="eastAsia" w:hAnsi="仿宋"/>
          <w:sz w:val="32"/>
          <w:szCs w:val="32"/>
          <w:highlight w:val="none"/>
          <w:lang w:val="en-US" w:eastAsia="zh-CN"/>
        </w:rPr>
        <w:t>昆明</w:t>
      </w:r>
      <w:r>
        <w:rPr>
          <w:rFonts w:hint="eastAsia" w:hAnsi="仿宋"/>
          <w:sz w:val="32"/>
          <w:szCs w:val="32"/>
          <w:highlight w:val="none"/>
        </w:rPr>
        <w:t>市</w:t>
      </w:r>
      <w:r>
        <w:rPr>
          <w:rFonts w:hint="eastAsia" w:hAnsi="仿宋"/>
          <w:sz w:val="32"/>
          <w:szCs w:val="32"/>
          <w:highlight w:val="none"/>
          <w:lang w:val="en-US" w:eastAsia="zh-CN"/>
        </w:rPr>
        <w:t>西山区</w:t>
      </w:r>
      <w:r>
        <w:rPr>
          <w:rFonts w:hint="eastAsia" w:hAnsi="仿宋"/>
          <w:sz w:val="32"/>
          <w:szCs w:val="32"/>
          <w:highlight w:val="none"/>
        </w:rPr>
        <w:t>财政局委托，于20</w:t>
      </w:r>
      <w:r>
        <w:rPr>
          <w:rFonts w:hint="eastAsia" w:hAnsi="仿宋"/>
          <w:sz w:val="32"/>
          <w:szCs w:val="32"/>
          <w:highlight w:val="none"/>
          <w:lang w:val="en-US" w:eastAsia="zh-CN"/>
        </w:rPr>
        <w:t>25</w:t>
      </w:r>
      <w:r>
        <w:rPr>
          <w:rFonts w:hint="eastAsia" w:hAnsi="仿宋"/>
          <w:sz w:val="32"/>
          <w:szCs w:val="32"/>
          <w:highlight w:val="none"/>
        </w:rPr>
        <w:t>年</w:t>
      </w:r>
      <w:r>
        <w:rPr>
          <w:rFonts w:hint="eastAsia" w:hAnsi="仿宋"/>
          <w:sz w:val="32"/>
          <w:szCs w:val="32"/>
          <w:highlight w:val="none"/>
          <w:lang w:val="en-US" w:eastAsia="zh-CN"/>
        </w:rPr>
        <w:t>9</w:t>
      </w:r>
      <w:r>
        <w:rPr>
          <w:rFonts w:hint="eastAsia" w:hAnsi="仿宋"/>
          <w:sz w:val="32"/>
          <w:szCs w:val="32"/>
          <w:highlight w:val="none"/>
        </w:rPr>
        <w:t>月至</w:t>
      </w:r>
      <w:r>
        <w:rPr>
          <w:rFonts w:hint="eastAsia" w:hAnsi="仿宋"/>
          <w:sz w:val="32"/>
          <w:szCs w:val="32"/>
          <w:highlight w:val="none"/>
          <w:lang w:val="en-US" w:eastAsia="zh-CN"/>
        </w:rPr>
        <w:t>2025</w:t>
      </w:r>
      <w:r>
        <w:rPr>
          <w:rFonts w:hint="eastAsia" w:hAnsi="仿宋"/>
          <w:sz w:val="32"/>
          <w:szCs w:val="32"/>
          <w:highlight w:val="none"/>
        </w:rPr>
        <w:t>年</w:t>
      </w:r>
      <w:r>
        <w:rPr>
          <w:rFonts w:hint="eastAsia" w:hAnsi="仿宋"/>
          <w:sz w:val="32"/>
          <w:szCs w:val="32"/>
          <w:highlight w:val="none"/>
          <w:lang w:val="en-US" w:eastAsia="zh-CN"/>
        </w:rPr>
        <w:t>10</w:t>
      </w:r>
      <w:r>
        <w:rPr>
          <w:rFonts w:hint="eastAsia" w:hAnsi="仿宋"/>
          <w:sz w:val="32"/>
          <w:szCs w:val="32"/>
          <w:highlight w:val="none"/>
        </w:rPr>
        <w:t>月对</w:t>
      </w:r>
      <w:r>
        <w:rPr>
          <w:rFonts w:hint="eastAsia" w:hAnsi="仿宋"/>
          <w:sz w:val="32"/>
          <w:szCs w:val="32"/>
          <w:highlight w:val="none"/>
          <w:lang w:eastAsia="zh-CN"/>
        </w:rPr>
        <w:t>“4A级旅游景区创建奖励资金”</w:t>
      </w:r>
      <w:r>
        <w:rPr>
          <w:rFonts w:hint="eastAsia" w:hAnsi="仿宋"/>
          <w:sz w:val="32"/>
          <w:szCs w:val="32"/>
          <w:highlight w:val="none"/>
          <w:lang w:val="en-US" w:eastAsia="zh-CN"/>
        </w:rPr>
        <w:t>项目</w:t>
      </w:r>
      <w:r>
        <w:rPr>
          <w:rFonts w:hint="eastAsia" w:hAnsi="仿宋"/>
          <w:sz w:val="32"/>
          <w:szCs w:val="32"/>
          <w:highlight w:val="none"/>
        </w:rPr>
        <w:t>开展绩效评价。现将评价情况报告如下：</w:t>
      </w:r>
    </w:p>
    <w:p w14:paraId="07EF761A">
      <w:pPr>
        <w:spacing w:line="579" w:lineRule="exact"/>
        <w:ind w:firstLine="630" w:firstLineChars="200"/>
        <w:outlineLvl w:val="0"/>
        <w:rPr>
          <w:rFonts w:ascii="黑体" w:hAnsi="黑体" w:eastAsia="黑体" w:cs="宋体"/>
          <w:szCs w:val="30"/>
        </w:rPr>
      </w:pPr>
      <w:bookmarkStart w:id="10" w:name="_Toc6279"/>
      <w:bookmarkStart w:id="11" w:name="_Toc30823"/>
      <w:r>
        <w:rPr>
          <w:rFonts w:hint="eastAsia" w:ascii="黑体" w:hAnsi="黑体" w:eastAsia="黑体" w:cs="宋体"/>
          <w:szCs w:val="30"/>
        </w:rPr>
        <w:t>一、基本情况</w:t>
      </w:r>
      <w:bookmarkEnd w:id="10"/>
      <w:bookmarkEnd w:id="11"/>
    </w:p>
    <w:p w14:paraId="3836575C">
      <w:pPr>
        <w:spacing w:line="579" w:lineRule="exact"/>
        <w:ind w:firstLine="630" w:firstLineChars="200"/>
        <w:outlineLvl w:val="1"/>
        <w:rPr>
          <w:rFonts w:hint="eastAsia" w:ascii="楷体" w:hAnsi="楷体" w:eastAsia="楷体"/>
          <w:szCs w:val="30"/>
        </w:rPr>
      </w:pPr>
      <w:bookmarkStart w:id="12" w:name="_Toc18168"/>
      <w:bookmarkStart w:id="13" w:name="_Toc8336"/>
      <w:r>
        <w:rPr>
          <w:rFonts w:hint="eastAsia" w:ascii="楷体" w:hAnsi="楷体" w:eastAsia="楷体"/>
          <w:szCs w:val="30"/>
        </w:rPr>
        <w:t>（一）项目概况</w:t>
      </w:r>
      <w:bookmarkEnd w:id="12"/>
      <w:bookmarkEnd w:id="13"/>
    </w:p>
    <w:p w14:paraId="6FCE68E5">
      <w:pPr>
        <w:spacing w:line="579" w:lineRule="exact"/>
        <w:ind w:firstLine="670" w:firstLineChars="200"/>
        <w:rPr>
          <w:rFonts w:hint="default" w:hAnsi="仿宋"/>
          <w:sz w:val="32"/>
          <w:szCs w:val="32"/>
          <w:lang w:val="en-US" w:eastAsia="zh-CN"/>
        </w:rPr>
      </w:pPr>
      <w:r>
        <w:rPr>
          <w:rFonts w:hint="eastAsia" w:hAnsi="仿宋"/>
          <w:sz w:val="32"/>
          <w:szCs w:val="32"/>
          <w:lang w:val="en-US" w:eastAsia="zh-CN"/>
        </w:rPr>
        <w:t>根据《云南省人民政府关于印发2023年推动经济稳进提质政策措施的通知》（云政发〔2023〕2号）文件，第（十五）条：大力提升旅游业服务能力和水平。主动适应市场需求变化，从省级层面策划实施一批旅游转型升级大型项目，加大知名旅游企业招商，推动旅游与健康、体育、文化、生态、教育、互联网以及现代农业等融合发展。对成功创建国家5A级、4A级景区的市场主体分别给予300万元、100万元奖励；按照文件精神，昆明市西山区文化和旅游局对申报单位的资质进行审查，并进入“阳光云财一网通”填写初审意见，推荐昆明融创海世界雪乐园景区创建4A级旅游景区。</w:t>
      </w:r>
      <w:r>
        <w:rPr>
          <w:rFonts w:hint="eastAsia" w:hAnsi="仿宋"/>
          <w:sz w:val="32"/>
          <w:szCs w:val="32"/>
          <w:highlight w:val="none"/>
          <w:lang w:val="en-US" w:eastAsia="zh-CN"/>
        </w:rPr>
        <w:t>依照《云南省财政厅云南省文化和旅游厅关于下达2023年4A级旅游景区创建奖补资金的通知》（云财教〔2023〕330号）下达100.00万元，资金到位率100%，全部用于4A景区创建。</w:t>
      </w:r>
    </w:p>
    <w:p w14:paraId="77760EA7">
      <w:pPr>
        <w:spacing w:line="579" w:lineRule="exact"/>
        <w:ind w:firstLine="630" w:firstLineChars="200"/>
        <w:outlineLvl w:val="1"/>
        <w:rPr>
          <w:rFonts w:ascii="楷体" w:hAnsi="楷体" w:eastAsia="楷体"/>
          <w:szCs w:val="30"/>
        </w:rPr>
      </w:pPr>
      <w:bookmarkStart w:id="14" w:name="_Toc10203"/>
      <w:bookmarkStart w:id="15" w:name="_Toc20502"/>
      <w:r>
        <w:rPr>
          <w:rFonts w:hint="eastAsia" w:ascii="楷体" w:hAnsi="楷体" w:eastAsia="楷体"/>
          <w:szCs w:val="30"/>
          <w:lang w:eastAsia="zh-CN"/>
        </w:rPr>
        <w:t>（</w:t>
      </w:r>
      <w:r>
        <w:rPr>
          <w:rFonts w:hint="eastAsia" w:ascii="楷体" w:hAnsi="楷体" w:eastAsia="楷体"/>
          <w:szCs w:val="30"/>
          <w:lang w:val="en-US" w:eastAsia="zh-CN"/>
        </w:rPr>
        <w:t>二</w:t>
      </w:r>
      <w:r>
        <w:rPr>
          <w:rFonts w:hint="eastAsia" w:ascii="楷体" w:hAnsi="楷体" w:eastAsia="楷体"/>
          <w:szCs w:val="30"/>
          <w:lang w:eastAsia="zh-CN"/>
        </w:rPr>
        <w:t>）</w:t>
      </w:r>
      <w:r>
        <w:rPr>
          <w:rFonts w:hint="eastAsia" w:ascii="楷体" w:hAnsi="楷体" w:eastAsia="楷体"/>
          <w:szCs w:val="30"/>
          <w:lang w:val="en-US" w:eastAsia="zh-CN"/>
        </w:rPr>
        <w:t>资金到位</w:t>
      </w:r>
      <w:r>
        <w:rPr>
          <w:rFonts w:hint="eastAsia" w:ascii="楷体" w:hAnsi="楷体" w:eastAsia="楷体"/>
          <w:szCs w:val="30"/>
        </w:rPr>
        <w:t>及使用情况</w:t>
      </w:r>
      <w:bookmarkEnd w:id="14"/>
      <w:bookmarkEnd w:id="15"/>
    </w:p>
    <w:p w14:paraId="3B35A0D6">
      <w:pPr>
        <w:spacing w:line="579" w:lineRule="exact"/>
        <w:ind w:firstLine="630" w:firstLineChars="200"/>
        <w:rPr>
          <w:rFonts w:hAnsi="仿宋"/>
          <w:szCs w:val="30"/>
          <w:highlight w:val="none"/>
        </w:rPr>
      </w:pPr>
      <w:r>
        <w:rPr>
          <w:rFonts w:hint="eastAsia" w:hAnsi="仿宋"/>
          <w:szCs w:val="30"/>
          <w:highlight w:val="none"/>
          <w:lang w:val="en-US" w:eastAsia="zh-CN"/>
        </w:rPr>
        <w:t>1.资金到位</w:t>
      </w:r>
      <w:r>
        <w:rPr>
          <w:rFonts w:hint="eastAsia" w:hAnsi="仿宋"/>
          <w:szCs w:val="30"/>
          <w:highlight w:val="none"/>
        </w:rPr>
        <w:t>情况</w:t>
      </w:r>
    </w:p>
    <w:p w14:paraId="024992EE">
      <w:pPr>
        <w:spacing w:line="579" w:lineRule="exact"/>
        <w:ind w:firstLine="670" w:firstLineChars="200"/>
        <w:rPr>
          <w:rFonts w:hint="default" w:hAnsi="仿宋"/>
          <w:szCs w:val="30"/>
          <w:highlight w:val="none"/>
          <w:lang w:val="en-US" w:eastAsia="zh-CN"/>
        </w:rPr>
      </w:pPr>
      <w:r>
        <w:rPr>
          <w:rFonts w:hint="eastAsia" w:hAnsi="仿宋" w:cs="Times New Roman"/>
          <w:kern w:val="30"/>
          <w:sz w:val="32"/>
          <w:szCs w:val="32"/>
          <w:lang w:val="en-US" w:eastAsia="zh-CN" w:bidi="ar-SA"/>
        </w:rPr>
        <w:t>昆明市西山区文化和旅游局行政办公会议纪要2024年第4次会议：（九）旅游发展科关于拨付昆明融创主题娱乐管理有限公司2023年4A级旅游景区昆明融创海世界雪乐园创建奖补资金的请示。根据《昆明市财政局昆明市文化和旅游局关于下达2023年4A级旅游景区创建奖补资金的通知》(昆财教〔2023〕231号)，下达西山区昆明融创主题娱乐管理有限公司2023年创建昆明融创海世界雪乐园4A级旅游景区奖补资金100.00万元。会议同意拨付西山区昆明融创主题娱乐管理有限公司2023年创建昆明融创海世界雪乐园4A级旅游景区创建奖补资金100.00万元（大写：壹佰万元整）。资金到位率100%。</w:t>
      </w:r>
    </w:p>
    <w:p w14:paraId="544A44F5">
      <w:pPr>
        <w:spacing w:line="579" w:lineRule="exact"/>
        <w:ind w:firstLine="630" w:firstLineChars="200"/>
        <w:rPr>
          <w:rFonts w:hint="eastAsia" w:ascii="仿宋" w:hAnsi="仿宋" w:eastAsia="仿宋" w:cs="Times New Roman"/>
          <w:kern w:val="30"/>
          <w:sz w:val="30"/>
          <w:szCs w:val="30"/>
          <w:highlight w:val="none"/>
          <w:lang w:val="en-US" w:eastAsia="zh-CN" w:bidi="ar-SA"/>
        </w:rPr>
      </w:pPr>
      <w:r>
        <w:rPr>
          <w:rFonts w:hint="eastAsia" w:hAnsi="仿宋" w:cs="Times New Roman"/>
          <w:kern w:val="30"/>
          <w:sz w:val="30"/>
          <w:szCs w:val="30"/>
          <w:highlight w:val="none"/>
          <w:lang w:val="en-US" w:eastAsia="zh-CN" w:bidi="ar-SA"/>
        </w:rPr>
        <w:t>2</w:t>
      </w:r>
      <w:r>
        <w:rPr>
          <w:rFonts w:hint="eastAsia" w:ascii="仿宋" w:hAnsi="仿宋" w:eastAsia="仿宋" w:cs="Times New Roman"/>
          <w:kern w:val="30"/>
          <w:sz w:val="30"/>
          <w:szCs w:val="30"/>
          <w:highlight w:val="none"/>
          <w:lang w:val="en-US" w:eastAsia="zh-CN" w:bidi="ar-SA"/>
        </w:rPr>
        <w:t>.资金使用情况</w:t>
      </w:r>
    </w:p>
    <w:p w14:paraId="68FEBFD8">
      <w:pPr>
        <w:spacing w:line="579" w:lineRule="exact"/>
        <w:ind w:firstLine="630" w:firstLineChars="200"/>
        <w:rPr>
          <w:rFonts w:hint="default" w:ascii="仿宋" w:hAnsi="仿宋" w:eastAsia="仿宋" w:cs="Times New Roman"/>
          <w:kern w:val="30"/>
          <w:sz w:val="30"/>
          <w:szCs w:val="30"/>
          <w:highlight w:val="none"/>
          <w:lang w:val="en-US" w:eastAsia="zh-CN" w:bidi="ar-SA"/>
        </w:rPr>
      </w:pPr>
      <w:r>
        <w:rPr>
          <w:rFonts w:hint="eastAsia" w:hAnsi="仿宋" w:cs="Times New Roman"/>
          <w:kern w:val="30"/>
          <w:sz w:val="30"/>
          <w:szCs w:val="30"/>
          <w:highlight w:val="none"/>
          <w:lang w:val="en-US" w:eastAsia="zh-CN" w:bidi="ar-SA"/>
        </w:rPr>
        <w:t>于</w:t>
      </w:r>
      <w:r>
        <w:rPr>
          <w:rFonts w:hint="eastAsia" w:ascii="仿宋" w:hAnsi="仿宋" w:eastAsia="仿宋" w:cs="Times New Roman"/>
          <w:kern w:val="30"/>
          <w:sz w:val="30"/>
          <w:szCs w:val="30"/>
          <w:highlight w:val="none"/>
          <w:lang w:val="en-US" w:eastAsia="zh-CN" w:bidi="ar-SA"/>
        </w:rPr>
        <w:t>202</w:t>
      </w:r>
      <w:r>
        <w:rPr>
          <w:rFonts w:hint="eastAsia" w:hAnsi="仿宋" w:cs="Times New Roman"/>
          <w:kern w:val="30"/>
          <w:sz w:val="30"/>
          <w:szCs w:val="30"/>
          <w:highlight w:val="none"/>
          <w:lang w:val="en-US" w:eastAsia="zh-CN" w:bidi="ar-SA"/>
        </w:rPr>
        <w:t>4</w:t>
      </w:r>
      <w:r>
        <w:rPr>
          <w:rFonts w:hint="eastAsia" w:ascii="仿宋" w:hAnsi="仿宋" w:eastAsia="仿宋" w:cs="Times New Roman"/>
          <w:kern w:val="30"/>
          <w:sz w:val="30"/>
          <w:szCs w:val="30"/>
          <w:highlight w:val="none"/>
          <w:lang w:val="en-US" w:eastAsia="zh-CN" w:bidi="ar-SA"/>
        </w:rPr>
        <w:t>年</w:t>
      </w:r>
      <w:r>
        <w:rPr>
          <w:rFonts w:hint="eastAsia" w:hAnsi="仿宋" w:cs="Times New Roman"/>
          <w:kern w:val="30"/>
          <w:sz w:val="30"/>
          <w:szCs w:val="30"/>
          <w:highlight w:val="none"/>
          <w:lang w:val="en-US" w:eastAsia="zh-CN" w:bidi="ar-SA"/>
        </w:rPr>
        <w:t>4</w:t>
      </w:r>
      <w:r>
        <w:rPr>
          <w:rFonts w:hint="eastAsia" w:ascii="仿宋" w:hAnsi="仿宋" w:eastAsia="仿宋" w:cs="Times New Roman"/>
          <w:kern w:val="30"/>
          <w:sz w:val="30"/>
          <w:szCs w:val="30"/>
          <w:highlight w:val="none"/>
          <w:lang w:val="en-US" w:eastAsia="zh-CN" w:bidi="ar-SA"/>
        </w:rPr>
        <w:t>月</w:t>
      </w:r>
      <w:r>
        <w:rPr>
          <w:rFonts w:hint="eastAsia" w:hAnsi="仿宋" w:cs="Times New Roman"/>
          <w:kern w:val="30"/>
          <w:sz w:val="30"/>
          <w:szCs w:val="30"/>
          <w:highlight w:val="none"/>
          <w:lang w:val="en-US" w:eastAsia="zh-CN" w:bidi="ar-SA"/>
        </w:rPr>
        <w:t>10</w:t>
      </w:r>
      <w:r>
        <w:rPr>
          <w:rFonts w:hint="eastAsia" w:ascii="仿宋" w:hAnsi="仿宋" w:eastAsia="仿宋" w:cs="Times New Roman"/>
          <w:kern w:val="30"/>
          <w:sz w:val="30"/>
          <w:szCs w:val="30"/>
          <w:highlight w:val="none"/>
          <w:lang w:val="en-US" w:eastAsia="zh-CN" w:bidi="ar-SA"/>
        </w:rPr>
        <w:t>日，</w:t>
      </w:r>
      <w:r>
        <w:rPr>
          <w:rFonts w:hint="eastAsia" w:hAnsi="仿宋" w:cs="Times New Roman"/>
          <w:kern w:val="30"/>
          <w:sz w:val="30"/>
          <w:szCs w:val="30"/>
          <w:highlight w:val="none"/>
          <w:lang w:val="en-US" w:eastAsia="zh-CN" w:bidi="ar-SA"/>
        </w:rPr>
        <w:t>累计支出100.00万元，资金使用率为100%，全部用于</w:t>
      </w:r>
      <w:r>
        <w:rPr>
          <w:rFonts w:hint="eastAsia" w:hAnsi="仿宋" w:cs="Times New Roman"/>
          <w:kern w:val="30"/>
          <w:sz w:val="32"/>
          <w:szCs w:val="32"/>
          <w:lang w:val="en-US" w:eastAsia="zh-CN" w:bidi="ar-SA"/>
        </w:rPr>
        <w:t>4A级旅游景区创建项目</w:t>
      </w:r>
      <w:r>
        <w:rPr>
          <w:rFonts w:hint="eastAsia" w:hAnsi="仿宋" w:cs="Times New Roman"/>
          <w:kern w:val="30"/>
          <w:sz w:val="30"/>
          <w:szCs w:val="30"/>
          <w:lang w:val="en-US" w:eastAsia="zh-CN" w:bidi="ar-SA"/>
        </w:rPr>
        <w:t>。</w:t>
      </w:r>
    </w:p>
    <w:p w14:paraId="75048018">
      <w:pPr>
        <w:spacing w:line="579" w:lineRule="exact"/>
        <w:ind w:firstLine="630" w:firstLineChars="200"/>
        <w:outlineLvl w:val="1"/>
        <w:rPr>
          <w:rFonts w:hint="default" w:ascii="楷体" w:hAnsi="楷体" w:eastAsia="楷体"/>
          <w:szCs w:val="30"/>
          <w:lang w:val="en-US" w:eastAsia="zh-CN"/>
        </w:rPr>
      </w:pPr>
      <w:bookmarkStart w:id="16" w:name="_Toc7575"/>
      <w:bookmarkStart w:id="17" w:name="_Toc796"/>
      <w:r>
        <w:rPr>
          <w:rFonts w:hint="eastAsia" w:ascii="楷体" w:hAnsi="楷体" w:eastAsia="楷体"/>
          <w:szCs w:val="30"/>
          <w:lang w:val="en-US" w:eastAsia="zh-CN"/>
        </w:rPr>
        <w:t>（三）实施内容</w:t>
      </w:r>
      <w:bookmarkEnd w:id="16"/>
      <w:bookmarkEnd w:id="17"/>
    </w:p>
    <w:p w14:paraId="12D0BFBA">
      <w:pPr>
        <w:spacing w:line="579" w:lineRule="exact"/>
        <w:ind w:firstLine="670" w:firstLineChars="200"/>
        <w:outlineLvl w:val="9"/>
        <w:rPr>
          <w:rFonts w:hint="default" w:hAnsi="仿宋"/>
          <w:szCs w:val="30"/>
          <w:lang w:val="en-US" w:eastAsia="zh-CN"/>
        </w:rPr>
      </w:pPr>
      <w:r>
        <w:rPr>
          <w:rFonts w:hint="eastAsia" w:hAnsi="仿宋"/>
          <w:sz w:val="32"/>
          <w:szCs w:val="32"/>
          <w:lang w:val="en-US" w:eastAsia="zh-CN"/>
        </w:rPr>
        <w:t>根据《云南省人民政府关于印发2023年推动经济稳进提质政策措施的通知》（云政发〔2023〕2号）文件相关精神，对成功创建国家5A级、4A级景区的市场主体分别给予300万元、100万元奖励”，云南省文化和旅游厅按照申报、审核、公示、拨付的工作流程，对2023年成功创建国家4A级旅游景区的经营主体实施奖励。期间西山区文化和旅游局依照《服务质量与环境质量评分细则》、《景观质量评分细则》对景区进行各项评定项目打分。依照《游客意见评分细则》由评定人员在景区工作人员的陪同下向游客即时发放即时回收《旅游景区游客意见调查表》，调查游客对景区的满意情况，统计调查数据后计算得分。经综合评定后推荐</w:t>
      </w:r>
      <w:r>
        <w:rPr>
          <w:rFonts w:hint="eastAsia" w:hAnsi="仿宋" w:cs="Times New Roman"/>
          <w:kern w:val="30"/>
          <w:sz w:val="32"/>
          <w:szCs w:val="32"/>
          <w:lang w:val="en-US" w:eastAsia="zh-CN" w:bidi="ar-SA"/>
        </w:rPr>
        <w:t>昆明融创海世界雪乐园创建4A级景区。其余主要实施</w:t>
      </w:r>
      <w:r>
        <w:rPr>
          <w:rFonts w:hint="eastAsia" w:hAnsi="仿宋"/>
          <w:szCs w:val="30"/>
          <w:lang w:val="en-US" w:eastAsia="zh-CN"/>
        </w:rPr>
        <w:t>内容如下：</w:t>
      </w:r>
    </w:p>
    <w:p w14:paraId="59896B8C">
      <w:pPr>
        <w:shd w:val="clear"/>
        <w:spacing w:line="579" w:lineRule="exact"/>
        <w:ind w:firstLine="630" w:firstLineChars="200"/>
        <w:outlineLvl w:val="9"/>
        <w:rPr>
          <w:rFonts w:hint="eastAsia" w:hAnsi="仿宋"/>
          <w:szCs w:val="30"/>
          <w:highlight w:val="none"/>
          <w:lang w:val="en-US" w:eastAsia="zh-CN"/>
        </w:rPr>
      </w:pPr>
      <w:r>
        <w:rPr>
          <w:rFonts w:hint="eastAsia" w:hAnsi="仿宋"/>
          <w:szCs w:val="30"/>
          <w:highlight w:val="none"/>
          <w:lang w:val="en-US" w:eastAsia="zh-CN"/>
        </w:rPr>
        <w:t>1、经营主体申报</w:t>
      </w:r>
    </w:p>
    <w:p w14:paraId="1FBF1248">
      <w:pPr>
        <w:shd w:val="clear"/>
        <w:spacing w:line="579" w:lineRule="exact"/>
        <w:ind w:firstLine="630" w:firstLineChars="200"/>
        <w:outlineLvl w:val="9"/>
        <w:rPr>
          <w:rFonts w:hint="eastAsia" w:hAnsi="仿宋"/>
          <w:szCs w:val="30"/>
          <w:highlight w:val="none"/>
          <w:lang w:val="en-US" w:eastAsia="zh-CN"/>
        </w:rPr>
      </w:pPr>
      <w:r>
        <w:rPr>
          <w:rFonts w:hint="eastAsia" w:hAnsi="仿宋"/>
          <w:szCs w:val="30"/>
          <w:highlight w:val="none"/>
          <w:lang w:val="en-US" w:eastAsia="zh-CN"/>
        </w:rPr>
        <w:t>经营主体根据注册地行政区域，在规定时间内通过“阳光云财一网通”（http://czt.yn.gov.cn/ygyc/）网站下载《云南省4A级旅游景区创建奖励申报表》，填写并提交有关申报资料。</w:t>
      </w:r>
    </w:p>
    <w:p w14:paraId="3F9BD4B7">
      <w:pPr>
        <w:shd w:val="clear"/>
        <w:spacing w:line="579" w:lineRule="exact"/>
        <w:ind w:firstLine="630" w:firstLineChars="200"/>
        <w:outlineLvl w:val="9"/>
        <w:rPr>
          <w:rFonts w:hint="eastAsia" w:hAnsi="仿宋"/>
          <w:szCs w:val="30"/>
          <w:highlight w:val="none"/>
          <w:lang w:val="en-US" w:eastAsia="zh-CN"/>
        </w:rPr>
      </w:pPr>
      <w:r>
        <w:rPr>
          <w:rFonts w:hint="eastAsia" w:hAnsi="仿宋"/>
          <w:szCs w:val="30"/>
          <w:highlight w:val="none"/>
          <w:lang w:val="en-US" w:eastAsia="zh-CN"/>
        </w:rPr>
        <w:t>申报时间：2023年11月21日至24日。</w:t>
      </w:r>
    </w:p>
    <w:p w14:paraId="639DA606">
      <w:pPr>
        <w:shd w:val="clear"/>
        <w:spacing w:line="579" w:lineRule="exact"/>
        <w:ind w:firstLine="630" w:firstLineChars="200"/>
        <w:outlineLvl w:val="9"/>
        <w:rPr>
          <w:rFonts w:hint="eastAsia" w:hAnsi="仿宋"/>
          <w:szCs w:val="30"/>
          <w:highlight w:val="none"/>
          <w:lang w:val="en-US" w:eastAsia="zh-CN"/>
        </w:rPr>
      </w:pPr>
      <w:r>
        <w:rPr>
          <w:rFonts w:hint="eastAsia" w:hAnsi="仿宋"/>
          <w:szCs w:val="30"/>
          <w:highlight w:val="none"/>
          <w:lang w:val="en-US" w:eastAsia="zh-CN"/>
        </w:rPr>
        <w:t>2、县（市、区）推荐</w:t>
      </w:r>
    </w:p>
    <w:p w14:paraId="40554E4A">
      <w:pPr>
        <w:shd w:val="clear"/>
        <w:spacing w:line="579" w:lineRule="exact"/>
        <w:ind w:firstLine="630" w:firstLineChars="200"/>
        <w:outlineLvl w:val="9"/>
        <w:rPr>
          <w:rFonts w:hint="eastAsia" w:hAnsi="仿宋"/>
          <w:szCs w:val="30"/>
          <w:highlight w:val="none"/>
          <w:lang w:val="en-US" w:eastAsia="zh-CN"/>
        </w:rPr>
      </w:pPr>
      <w:r>
        <w:rPr>
          <w:rFonts w:hint="eastAsia" w:hAnsi="仿宋"/>
          <w:szCs w:val="30"/>
          <w:highlight w:val="none"/>
          <w:lang w:val="en-US" w:eastAsia="zh-CN"/>
        </w:rPr>
        <w:t>县（市、区）文化和旅游局对申报单位的资质进行审查，并进入“阳光云财一网通”填写初审意见。</w:t>
      </w:r>
    </w:p>
    <w:p w14:paraId="0AAAF62A">
      <w:pPr>
        <w:shd w:val="clear"/>
        <w:spacing w:line="579" w:lineRule="exact"/>
        <w:ind w:firstLine="630" w:firstLineChars="200"/>
        <w:outlineLvl w:val="9"/>
        <w:rPr>
          <w:rFonts w:hint="eastAsia" w:hAnsi="仿宋"/>
          <w:szCs w:val="30"/>
          <w:highlight w:val="none"/>
          <w:lang w:val="en-US" w:eastAsia="zh-CN"/>
        </w:rPr>
      </w:pPr>
      <w:r>
        <w:rPr>
          <w:rFonts w:hint="eastAsia" w:hAnsi="仿宋"/>
          <w:szCs w:val="30"/>
          <w:highlight w:val="none"/>
          <w:lang w:val="en-US" w:eastAsia="zh-CN"/>
        </w:rPr>
        <w:t>完成时间：2023年11月25日。</w:t>
      </w:r>
    </w:p>
    <w:p w14:paraId="7ED98B8C">
      <w:pPr>
        <w:shd w:val="clear"/>
        <w:spacing w:line="579" w:lineRule="exact"/>
        <w:ind w:firstLine="630" w:firstLineChars="200"/>
        <w:outlineLvl w:val="9"/>
        <w:rPr>
          <w:rFonts w:hint="eastAsia" w:hAnsi="仿宋"/>
          <w:szCs w:val="30"/>
          <w:highlight w:val="none"/>
          <w:lang w:val="en-US" w:eastAsia="zh-CN"/>
        </w:rPr>
      </w:pPr>
      <w:r>
        <w:rPr>
          <w:rFonts w:hint="eastAsia" w:hAnsi="仿宋"/>
          <w:szCs w:val="30"/>
          <w:highlight w:val="none"/>
          <w:lang w:val="en-US" w:eastAsia="zh-CN"/>
        </w:rPr>
        <w:t>3、州（市）初评</w:t>
      </w:r>
    </w:p>
    <w:p w14:paraId="46EA0E0C">
      <w:pPr>
        <w:shd w:val="clear"/>
        <w:spacing w:line="579" w:lineRule="exact"/>
        <w:ind w:firstLine="630" w:firstLineChars="200"/>
        <w:outlineLvl w:val="9"/>
        <w:rPr>
          <w:rFonts w:hint="eastAsia" w:hAnsi="仿宋"/>
          <w:szCs w:val="30"/>
          <w:highlight w:val="none"/>
          <w:lang w:val="en-US" w:eastAsia="zh-CN"/>
        </w:rPr>
      </w:pPr>
      <w:r>
        <w:rPr>
          <w:rFonts w:hint="eastAsia" w:hAnsi="仿宋"/>
          <w:szCs w:val="30"/>
          <w:highlight w:val="none"/>
          <w:lang w:val="en-US" w:eastAsia="zh-CN"/>
        </w:rPr>
        <w:t>州（市）文化和旅游局按照《旅游景区质量等级管理办法》要求，对照《旅游景区质量等级的划分与评定》（GB/T 17775-2003）出具初评意见，并进入“阳光云财一网通”填写州（市）初评意见。</w:t>
      </w:r>
    </w:p>
    <w:p w14:paraId="6C8E9959">
      <w:pPr>
        <w:shd w:val="clear"/>
        <w:spacing w:line="579" w:lineRule="exact"/>
        <w:ind w:firstLine="630" w:firstLineChars="200"/>
        <w:outlineLvl w:val="9"/>
        <w:rPr>
          <w:rFonts w:hint="eastAsia" w:hAnsi="仿宋"/>
          <w:szCs w:val="30"/>
          <w:highlight w:val="none"/>
          <w:lang w:val="en-US" w:eastAsia="zh-CN"/>
        </w:rPr>
      </w:pPr>
      <w:r>
        <w:rPr>
          <w:rFonts w:hint="eastAsia" w:hAnsi="仿宋"/>
          <w:szCs w:val="30"/>
          <w:highlight w:val="none"/>
          <w:lang w:val="en-US" w:eastAsia="zh-CN"/>
        </w:rPr>
        <w:t>申报单位通过省级复评后，通知其下载并打印《云南省4A级旅游景区创建奖励申报表》，在指定位置加盖鲜章、法定代表人签字，由县（市、区）及州（市）文化和旅游局加盖鲜章后将纸质版申报表报送省文化和旅游厅。</w:t>
      </w:r>
    </w:p>
    <w:p w14:paraId="1F7A360A">
      <w:pPr>
        <w:shd w:val="clear"/>
        <w:spacing w:line="579" w:lineRule="exact"/>
        <w:ind w:firstLine="630" w:firstLineChars="200"/>
        <w:outlineLvl w:val="9"/>
        <w:rPr>
          <w:rFonts w:hint="eastAsia" w:hAnsi="仿宋"/>
          <w:szCs w:val="30"/>
          <w:highlight w:val="none"/>
          <w:lang w:val="en-US" w:eastAsia="zh-CN"/>
        </w:rPr>
      </w:pPr>
      <w:r>
        <w:rPr>
          <w:rFonts w:hint="eastAsia" w:hAnsi="仿宋"/>
          <w:szCs w:val="30"/>
          <w:highlight w:val="none"/>
          <w:lang w:val="en-US" w:eastAsia="zh-CN"/>
        </w:rPr>
        <w:t>完成时间：2023年11月26日。</w:t>
      </w:r>
    </w:p>
    <w:p w14:paraId="31257571">
      <w:pPr>
        <w:shd w:val="clear"/>
        <w:spacing w:line="579" w:lineRule="exact"/>
        <w:ind w:firstLine="630" w:firstLineChars="200"/>
        <w:outlineLvl w:val="9"/>
        <w:rPr>
          <w:rFonts w:hint="eastAsia" w:hAnsi="仿宋"/>
          <w:szCs w:val="30"/>
          <w:highlight w:val="none"/>
          <w:lang w:val="en-US" w:eastAsia="zh-CN"/>
        </w:rPr>
      </w:pPr>
      <w:r>
        <w:rPr>
          <w:rFonts w:hint="eastAsia" w:hAnsi="仿宋"/>
          <w:szCs w:val="30"/>
          <w:highlight w:val="none"/>
          <w:lang w:val="en-US" w:eastAsia="zh-CN"/>
        </w:rPr>
        <w:t>4、省级复审</w:t>
      </w:r>
    </w:p>
    <w:p w14:paraId="4564DE6E">
      <w:pPr>
        <w:shd w:val="clear"/>
        <w:spacing w:line="579" w:lineRule="exact"/>
        <w:ind w:firstLine="630" w:firstLineChars="200"/>
        <w:outlineLvl w:val="9"/>
        <w:rPr>
          <w:rFonts w:hint="eastAsia" w:hAnsi="仿宋"/>
          <w:szCs w:val="30"/>
          <w:highlight w:val="none"/>
          <w:lang w:val="en-US" w:eastAsia="zh-CN"/>
        </w:rPr>
      </w:pPr>
      <w:r>
        <w:rPr>
          <w:rFonts w:hint="eastAsia" w:hAnsi="仿宋"/>
          <w:szCs w:val="30"/>
          <w:highlight w:val="none"/>
          <w:lang w:val="en-US" w:eastAsia="zh-CN"/>
        </w:rPr>
        <w:t>省文化和旅游厅组织专家对通过州（市）初评的申报单位进行复审，出具复审建议。</w:t>
      </w:r>
    </w:p>
    <w:p w14:paraId="2952D267">
      <w:pPr>
        <w:shd w:val="clear"/>
        <w:spacing w:line="579" w:lineRule="exact"/>
        <w:ind w:firstLine="630" w:firstLineChars="200"/>
        <w:outlineLvl w:val="9"/>
        <w:rPr>
          <w:rFonts w:hint="eastAsia" w:hAnsi="仿宋"/>
          <w:szCs w:val="30"/>
          <w:highlight w:val="none"/>
          <w:lang w:val="en-US" w:eastAsia="zh-CN"/>
        </w:rPr>
      </w:pPr>
      <w:r>
        <w:rPr>
          <w:rFonts w:hint="eastAsia" w:hAnsi="仿宋"/>
          <w:szCs w:val="30"/>
          <w:highlight w:val="none"/>
          <w:lang w:val="en-US" w:eastAsia="zh-CN"/>
        </w:rPr>
        <w:t>完成时间：2023年11月27日至28日。</w:t>
      </w:r>
    </w:p>
    <w:p w14:paraId="31BB85B2">
      <w:pPr>
        <w:shd w:val="clear"/>
        <w:spacing w:line="579" w:lineRule="exact"/>
        <w:ind w:firstLine="630" w:firstLineChars="200"/>
        <w:outlineLvl w:val="9"/>
        <w:rPr>
          <w:rFonts w:hint="eastAsia" w:hAnsi="仿宋"/>
          <w:szCs w:val="30"/>
          <w:highlight w:val="none"/>
          <w:lang w:val="en-US" w:eastAsia="zh-CN"/>
        </w:rPr>
      </w:pPr>
      <w:r>
        <w:rPr>
          <w:rFonts w:hint="eastAsia" w:hAnsi="仿宋"/>
          <w:szCs w:val="30"/>
          <w:highlight w:val="none"/>
          <w:lang w:val="en-US" w:eastAsia="zh-CN"/>
        </w:rPr>
        <w:t>5、合规性审查</w:t>
      </w:r>
    </w:p>
    <w:p w14:paraId="037F58B0">
      <w:pPr>
        <w:shd w:val="clear"/>
        <w:spacing w:line="579" w:lineRule="exact"/>
        <w:ind w:firstLine="630" w:firstLineChars="200"/>
        <w:outlineLvl w:val="9"/>
        <w:rPr>
          <w:rFonts w:hint="eastAsia" w:hAnsi="仿宋"/>
          <w:szCs w:val="30"/>
          <w:highlight w:val="none"/>
          <w:lang w:val="en-US" w:eastAsia="zh-CN"/>
        </w:rPr>
      </w:pPr>
      <w:r>
        <w:rPr>
          <w:rFonts w:hint="eastAsia" w:hAnsi="仿宋"/>
          <w:szCs w:val="30"/>
          <w:highlight w:val="none"/>
          <w:lang w:val="en-US" w:eastAsia="zh-CN"/>
        </w:rPr>
        <w:t>依据省级复审建议，就通过复审的申报单位自2023年1月1日至申报之日止是否受到罚款以上行政处罚，申报单位及法定代表人是否被认定为严重失信主体，是否依法纳税，是否被列入各州、市“红黑榜”的“黑榜”名单和“全省重点监管名单”及是否有其他法律法规规定不适宜奖补的情形向省市场监督管理局、省发展改革委员会、省税务局等部门征询合规性审查意见，有上述任一情形不具备奖励资格，最终形成《云南省4A级旅游景区创建奖励措施拟奖励名单》。</w:t>
      </w:r>
    </w:p>
    <w:p w14:paraId="073BF980">
      <w:pPr>
        <w:shd w:val="clear"/>
        <w:spacing w:line="579" w:lineRule="exact"/>
        <w:ind w:firstLine="630" w:firstLineChars="200"/>
        <w:outlineLvl w:val="9"/>
        <w:rPr>
          <w:rFonts w:hint="eastAsia" w:hAnsi="仿宋"/>
          <w:szCs w:val="30"/>
          <w:highlight w:val="none"/>
          <w:lang w:val="en-US" w:eastAsia="zh-CN"/>
        </w:rPr>
      </w:pPr>
      <w:r>
        <w:rPr>
          <w:rFonts w:hint="eastAsia" w:hAnsi="仿宋"/>
          <w:szCs w:val="30"/>
          <w:highlight w:val="none"/>
          <w:lang w:val="en-US" w:eastAsia="zh-CN"/>
        </w:rPr>
        <w:t>完成时间：2023年11月30日。</w:t>
      </w:r>
    </w:p>
    <w:p w14:paraId="227D4A4D">
      <w:pPr>
        <w:shd w:val="clear"/>
        <w:spacing w:line="579" w:lineRule="exact"/>
        <w:ind w:firstLine="630" w:firstLineChars="200"/>
        <w:outlineLvl w:val="9"/>
        <w:rPr>
          <w:rFonts w:hint="eastAsia" w:hAnsi="仿宋"/>
          <w:szCs w:val="30"/>
          <w:highlight w:val="none"/>
          <w:lang w:val="en-US" w:eastAsia="zh-CN"/>
        </w:rPr>
      </w:pPr>
      <w:r>
        <w:rPr>
          <w:rFonts w:hint="eastAsia" w:hAnsi="仿宋"/>
          <w:szCs w:val="30"/>
          <w:highlight w:val="none"/>
          <w:lang w:val="en-US" w:eastAsia="zh-CN"/>
        </w:rPr>
        <w:t>6、公示及拨付</w:t>
      </w:r>
    </w:p>
    <w:p w14:paraId="04228493">
      <w:pPr>
        <w:shd w:val="clear"/>
        <w:spacing w:line="579" w:lineRule="exact"/>
        <w:ind w:firstLine="630" w:firstLineChars="200"/>
        <w:jc w:val="both"/>
        <w:outlineLvl w:val="9"/>
        <w:rPr>
          <w:rFonts w:hint="eastAsia" w:hAnsi="仿宋"/>
          <w:szCs w:val="30"/>
          <w:highlight w:val="none"/>
          <w:lang w:val="en-US" w:eastAsia="zh-CN"/>
        </w:rPr>
      </w:pPr>
      <w:r>
        <w:rPr>
          <w:rFonts w:hint="eastAsia" w:hAnsi="仿宋"/>
          <w:szCs w:val="30"/>
          <w:highlight w:val="none"/>
          <w:lang w:val="en-US" w:eastAsia="zh-CN"/>
        </w:rPr>
        <w:t>省文化和旅游厅对符合等级评定要求的拟奖励经营主体名单进行审定后，在云南省文化和旅游厅官网、“阳光云财一网通”平台向社会公示，设立举报电话，接受公众监督。公示期满后，省文化和旅游厅根据公示结果提出资金奖励方案，会同省财政厅按流程拨付至相关经营主体，并于资金下达后3个工作日内，在“阳光云财一网通”对资金安排情况进行公开。</w:t>
      </w:r>
    </w:p>
    <w:p w14:paraId="37471C77">
      <w:pPr>
        <w:shd w:val="clear"/>
        <w:spacing w:line="579" w:lineRule="exact"/>
        <w:ind w:firstLine="630" w:firstLineChars="200"/>
        <w:outlineLvl w:val="9"/>
        <w:rPr>
          <w:rFonts w:hint="eastAsia" w:hAnsi="仿宋"/>
          <w:szCs w:val="30"/>
          <w:highlight w:val="none"/>
          <w:lang w:val="en-US" w:eastAsia="zh-CN"/>
        </w:rPr>
      </w:pPr>
      <w:r>
        <w:rPr>
          <w:rFonts w:hint="eastAsia" w:hAnsi="仿宋"/>
          <w:szCs w:val="30"/>
          <w:highlight w:val="none"/>
          <w:lang w:val="en-US" w:eastAsia="zh-CN"/>
        </w:rPr>
        <w:t>完成时间：2023年12月31日。</w:t>
      </w:r>
    </w:p>
    <w:p w14:paraId="55E4F223">
      <w:pPr>
        <w:shd w:val="clear"/>
        <w:spacing w:line="579" w:lineRule="exact"/>
        <w:ind w:firstLine="630" w:firstLineChars="200"/>
        <w:outlineLvl w:val="9"/>
        <w:rPr>
          <w:rFonts w:hint="eastAsia" w:hAnsi="仿宋"/>
          <w:szCs w:val="30"/>
          <w:highlight w:val="none"/>
          <w:lang w:val="en-US" w:eastAsia="zh-CN"/>
        </w:rPr>
      </w:pPr>
      <w:r>
        <w:rPr>
          <w:rFonts w:hint="eastAsia" w:hAnsi="仿宋"/>
          <w:szCs w:val="30"/>
          <w:highlight w:val="none"/>
          <w:lang w:val="en-US" w:eastAsia="zh-CN"/>
        </w:rPr>
        <w:t>其间，为4A级旅游景区的创建景区主要对景区硬件设施改造及维护，包括海世界调水机房除锈刷漆，桥架更换，风管更换，屋顶钢结构除锈刷漆，通风改造；海世界白鲸吊装口门、医疗平台吊机更换；海世界雨林区电路改造；七氟丙烷充装检测；屋面采光顶漏水维修项目；污水环保排放改造；结构漏水维修；海豚池漏水维修项目；海豚池后场防水改造。</w:t>
      </w:r>
    </w:p>
    <w:p w14:paraId="7ABBEC4A">
      <w:pPr>
        <w:pStyle w:val="7"/>
        <w:ind w:firstLine="670" w:firstLineChars="200"/>
        <w:jc w:val="both"/>
        <w:rPr>
          <w:rFonts w:hint="default" w:hAnsi="仿宋"/>
          <w:szCs w:val="30"/>
          <w:highlight w:val="none"/>
          <w:lang w:val="en-US" w:eastAsia="zh-CN"/>
        </w:rPr>
      </w:pPr>
      <w:r>
        <w:rPr>
          <w:rFonts w:hint="eastAsia" w:ascii="仿宋" w:hAnsi="仿宋" w:eastAsia="仿宋" w:cs="仿宋"/>
          <w:color w:val="auto"/>
          <w:kern w:val="2"/>
          <w:sz w:val="32"/>
          <w:szCs w:val="32"/>
          <w:lang w:val="en-US" w:eastAsia="zh-CN" w:bidi="ar-SA"/>
        </w:rPr>
        <w:t>经上述步骤后，2023年11月20日云南省文化和旅游厅公示:根据《旅游景区质量等级的划分与评定》（GB/T 17775-2003）国家标准和《旅游景区质量等级管理办法》要求，经各州（市）文化和旅游局初评、推荐，省文化和旅游厅按程序组织开展了2023年国家4A级旅游景区评定工作，昆明融创海世界雪乐园旅游景区等23家景区达到国家4A级旅游景区的标准，拟确定为云南省2023年国家4A级旅游景区。</w:t>
      </w:r>
    </w:p>
    <w:p w14:paraId="2A642C52">
      <w:pPr>
        <w:spacing w:line="579" w:lineRule="exact"/>
        <w:ind w:firstLine="630" w:firstLineChars="200"/>
        <w:outlineLvl w:val="1"/>
        <w:rPr>
          <w:rFonts w:hint="default" w:ascii="楷体" w:hAnsi="楷体" w:eastAsia="楷体"/>
          <w:szCs w:val="30"/>
          <w:highlight w:val="none"/>
          <w:lang w:val="en-US" w:eastAsia="zh-CN"/>
        </w:rPr>
      </w:pPr>
      <w:bookmarkStart w:id="18" w:name="_Toc7123"/>
      <w:bookmarkStart w:id="19" w:name="_Toc14521"/>
      <w:r>
        <w:rPr>
          <w:rFonts w:hint="eastAsia" w:ascii="楷体" w:hAnsi="楷体" w:eastAsia="楷体"/>
          <w:szCs w:val="30"/>
          <w:highlight w:val="none"/>
        </w:rPr>
        <w:t>（</w:t>
      </w:r>
      <w:r>
        <w:rPr>
          <w:rFonts w:hint="eastAsia" w:ascii="楷体" w:hAnsi="楷体" w:eastAsia="楷体"/>
          <w:szCs w:val="30"/>
          <w:highlight w:val="none"/>
          <w:lang w:val="en-US" w:eastAsia="zh-CN"/>
        </w:rPr>
        <w:t>四</w:t>
      </w:r>
      <w:r>
        <w:rPr>
          <w:rFonts w:hint="eastAsia" w:ascii="楷体" w:hAnsi="楷体" w:eastAsia="楷体"/>
          <w:szCs w:val="30"/>
          <w:highlight w:val="none"/>
        </w:rPr>
        <w:t>）绩效目标</w:t>
      </w:r>
      <w:r>
        <w:rPr>
          <w:rFonts w:hint="eastAsia" w:ascii="楷体" w:hAnsi="楷体" w:eastAsia="楷体"/>
          <w:szCs w:val="30"/>
          <w:highlight w:val="none"/>
          <w:lang w:val="en-US" w:eastAsia="zh-CN"/>
        </w:rPr>
        <w:t>设立情况</w:t>
      </w:r>
      <w:bookmarkEnd w:id="18"/>
      <w:bookmarkEnd w:id="19"/>
    </w:p>
    <w:p w14:paraId="5CAE3549">
      <w:pPr>
        <w:spacing w:line="579" w:lineRule="exact"/>
        <w:ind w:firstLine="670" w:firstLineChars="200"/>
        <w:rPr>
          <w:rFonts w:hAnsi="仿宋"/>
          <w:sz w:val="32"/>
          <w:szCs w:val="32"/>
          <w:highlight w:val="none"/>
        </w:rPr>
      </w:pPr>
      <w:bookmarkStart w:id="20" w:name="_Hlk525314309"/>
      <w:r>
        <w:rPr>
          <w:rFonts w:hint="eastAsia" w:hAnsi="仿宋"/>
          <w:sz w:val="32"/>
          <w:szCs w:val="32"/>
          <w:highlight w:val="none"/>
        </w:rPr>
        <w:t>1.</w:t>
      </w:r>
      <w:r>
        <w:rPr>
          <w:rFonts w:hint="eastAsia" w:hAnsi="仿宋"/>
          <w:sz w:val="32"/>
          <w:szCs w:val="32"/>
          <w:highlight w:val="none"/>
          <w:lang w:val="en-US" w:eastAsia="zh-CN"/>
        </w:rPr>
        <w:t>下达</w:t>
      </w:r>
      <w:r>
        <w:rPr>
          <w:rFonts w:hint="eastAsia" w:hAnsi="仿宋"/>
          <w:sz w:val="32"/>
          <w:szCs w:val="32"/>
          <w:highlight w:val="none"/>
        </w:rPr>
        <w:t>绩效目标和绩效指标情况</w:t>
      </w:r>
    </w:p>
    <w:p w14:paraId="470FB872">
      <w:pPr>
        <w:numPr>
          <w:ilvl w:val="0"/>
          <w:numId w:val="0"/>
        </w:numPr>
        <w:spacing w:line="579" w:lineRule="exact"/>
        <w:ind w:firstLine="670" w:firstLineChars="200"/>
        <w:rPr>
          <w:rFonts w:hint="eastAsia" w:hAnsi="仿宋"/>
          <w:sz w:val="32"/>
          <w:szCs w:val="32"/>
          <w:highlight w:val="none"/>
          <w:lang w:val="en-US" w:eastAsia="zh-CN"/>
        </w:rPr>
      </w:pPr>
      <w:r>
        <w:rPr>
          <w:rFonts w:hint="eastAsia" w:hAnsi="仿宋"/>
          <w:sz w:val="32"/>
          <w:szCs w:val="32"/>
          <w:highlight w:val="none"/>
          <w:lang w:val="en-US" w:eastAsia="zh-CN"/>
        </w:rPr>
        <w:t>（1）绩效目标</w:t>
      </w:r>
    </w:p>
    <w:p w14:paraId="7F823B57">
      <w:pPr>
        <w:numPr>
          <w:ilvl w:val="0"/>
          <w:numId w:val="0"/>
        </w:numPr>
        <w:spacing w:line="579" w:lineRule="exact"/>
        <w:ind w:firstLine="670" w:firstLineChars="200"/>
        <w:rPr>
          <w:rFonts w:hint="eastAsia" w:hAnsi="仿宋"/>
          <w:sz w:val="32"/>
          <w:szCs w:val="32"/>
          <w:highlight w:val="none"/>
          <w:lang w:val="en-US" w:eastAsia="zh-CN"/>
        </w:rPr>
      </w:pPr>
      <w:r>
        <w:rPr>
          <w:rFonts w:hint="eastAsia" w:hAnsi="仿宋"/>
          <w:sz w:val="32"/>
          <w:szCs w:val="32"/>
          <w:highlight w:val="none"/>
          <w:lang w:val="en-US" w:eastAsia="zh-CN"/>
        </w:rPr>
        <w:t>完成4A级旅游景区的创建。</w:t>
      </w:r>
    </w:p>
    <w:p w14:paraId="26BD34D5">
      <w:pPr>
        <w:numPr>
          <w:ilvl w:val="0"/>
          <w:numId w:val="0"/>
        </w:numPr>
        <w:spacing w:line="579" w:lineRule="exact"/>
        <w:ind w:firstLine="670" w:firstLineChars="200"/>
        <w:rPr>
          <w:rFonts w:hint="eastAsia" w:hAnsi="仿宋" w:cs="Times New Roman"/>
          <w:sz w:val="32"/>
          <w:szCs w:val="32"/>
          <w:highlight w:val="none"/>
          <w:lang w:val="en-US" w:eastAsia="zh-CN"/>
        </w:rPr>
      </w:pPr>
      <w:r>
        <w:rPr>
          <w:rFonts w:hint="eastAsia" w:hAnsi="仿宋" w:cs="Times New Roman"/>
          <w:sz w:val="32"/>
          <w:szCs w:val="32"/>
          <w:highlight w:val="none"/>
          <w:lang w:val="en-US" w:eastAsia="zh-CN"/>
        </w:rPr>
        <w:t>（2）绩效指标</w:t>
      </w:r>
    </w:p>
    <w:p w14:paraId="59A6A8ED">
      <w:pPr>
        <w:ind w:firstLine="504"/>
        <w:jc w:val="center"/>
        <w:rPr>
          <w:rFonts w:ascii="黑体" w:hAnsi="黑体" w:eastAsia="黑体" w:cs="黑体"/>
          <w:spacing w:val="6"/>
          <w:sz w:val="24"/>
          <w:highlight w:val="none"/>
        </w:rPr>
      </w:pPr>
      <w:r>
        <w:rPr>
          <w:rFonts w:hint="eastAsia" w:ascii="黑体" w:hAnsi="黑体" w:eastAsia="黑体" w:cs="黑体"/>
          <w:spacing w:val="6"/>
          <w:sz w:val="24"/>
          <w:highlight w:val="none"/>
        </w:rPr>
        <w:t>表</w:t>
      </w:r>
      <w:r>
        <w:rPr>
          <w:rFonts w:hint="eastAsia" w:ascii="黑体" w:hAnsi="黑体" w:eastAsia="黑体" w:cs="黑体"/>
          <w:spacing w:val="6"/>
          <w:sz w:val="24"/>
          <w:highlight w:val="none"/>
          <w:lang w:val="en-US" w:eastAsia="zh-CN"/>
        </w:rPr>
        <w:t>1</w:t>
      </w:r>
      <w:r>
        <w:rPr>
          <w:rFonts w:hint="eastAsia" w:ascii="黑体" w:hAnsi="黑体" w:eastAsia="黑体" w:cs="黑体"/>
          <w:spacing w:val="6"/>
          <w:sz w:val="24"/>
          <w:highlight w:val="none"/>
        </w:rPr>
        <w:t xml:space="preserve"> 项目绩效目绩效</w:t>
      </w:r>
      <w:r>
        <w:rPr>
          <w:rFonts w:hint="eastAsia" w:ascii="黑体" w:hAnsi="黑体" w:eastAsia="黑体" w:cs="黑体"/>
          <w:spacing w:val="6"/>
          <w:sz w:val="24"/>
          <w:highlight w:val="none"/>
          <w:lang w:val="en-US" w:eastAsia="zh-CN"/>
        </w:rPr>
        <w:t>指标</w:t>
      </w:r>
      <w:r>
        <w:rPr>
          <w:rFonts w:hint="eastAsia" w:ascii="黑体" w:hAnsi="黑体" w:eastAsia="黑体" w:cs="黑体"/>
          <w:spacing w:val="6"/>
          <w:sz w:val="24"/>
          <w:highlight w:val="none"/>
        </w:rPr>
        <w:t>表</w:t>
      </w:r>
    </w:p>
    <w:tbl>
      <w:tblPr>
        <w:tblStyle w:val="17"/>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1173"/>
        <w:gridCol w:w="2823"/>
        <w:gridCol w:w="736"/>
        <w:gridCol w:w="2659"/>
        <w:gridCol w:w="854"/>
      </w:tblGrid>
      <w:tr w14:paraId="71357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2653"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F5089">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绩效指标</w:t>
            </w:r>
          </w:p>
        </w:tc>
        <w:tc>
          <w:tcPr>
            <w:tcW w:w="2346"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3E488">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年度指标值</w:t>
            </w:r>
          </w:p>
        </w:tc>
      </w:tr>
      <w:tr w14:paraId="66224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447" w:type="pct"/>
            <w:tcBorders>
              <w:top w:val="single" w:color="000000" w:sz="4" w:space="0"/>
              <w:left w:val="single" w:color="000000" w:sz="4" w:space="0"/>
              <w:bottom w:val="single" w:color="000000" w:sz="4" w:space="0"/>
              <w:right w:val="nil"/>
            </w:tcBorders>
            <w:shd w:val="clear" w:color="auto" w:fill="auto"/>
            <w:noWrap w:val="0"/>
            <w:vAlign w:val="center"/>
          </w:tcPr>
          <w:p w14:paraId="3FD9CE38">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一级指标</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D16DC9">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二级指标</w:t>
            </w: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977D31">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三级</w:t>
            </w:r>
          </w:p>
          <w:p w14:paraId="74D6993D">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870AB2">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指标</w:t>
            </w:r>
          </w:p>
          <w:p w14:paraId="5556F070">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性质</w:t>
            </w: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773D8">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指标值</w:t>
            </w:r>
          </w:p>
        </w:tc>
        <w:tc>
          <w:tcPr>
            <w:tcW w:w="471"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899B9AC">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度量</w:t>
            </w:r>
          </w:p>
          <w:p w14:paraId="4F45D2F1">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单位</w:t>
            </w:r>
          </w:p>
        </w:tc>
      </w:tr>
      <w:tr w14:paraId="2A95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exact"/>
          <w:jc w:val="center"/>
        </w:trPr>
        <w:tc>
          <w:tcPr>
            <w:tcW w:w="447"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2F830">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产出指标</w:t>
            </w:r>
          </w:p>
        </w:tc>
        <w:tc>
          <w:tcPr>
            <w:tcW w:w="647" w:type="pct"/>
            <w:tcBorders>
              <w:top w:val="single" w:color="000000" w:sz="4" w:space="0"/>
              <w:left w:val="single" w:color="000000" w:sz="4" w:space="0"/>
              <w:bottom w:val="nil"/>
              <w:right w:val="single" w:color="000000" w:sz="4" w:space="0"/>
            </w:tcBorders>
            <w:shd w:val="clear" w:color="auto" w:fill="auto"/>
            <w:noWrap w:val="0"/>
            <w:vAlign w:val="center"/>
          </w:tcPr>
          <w:p w14:paraId="5BE38F57">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数量指标</w:t>
            </w: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1D899B">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left"/>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融创海世界雪乐园1家</w:t>
            </w:r>
          </w:p>
        </w:tc>
        <w:tc>
          <w:tcPr>
            <w:tcW w:w="406" w:type="pct"/>
            <w:vMerge w:val="restart"/>
            <w:tcBorders>
              <w:top w:val="single" w:color="000000" w:sz="4" w:space="0"/>
              <w:left w:val="single" w:color="000000" w:sz="4" w:space="0"/>
              <w:bottom w:val="nil"/>
              <w:right w:val="single" w:color="000000" w:sz="4" w:space="0"/>
            </w:tcBorders>
            <w:shd w:val="clear" w:color="auto" w:fill="auto"/>
            <w:noWrap w:val="0"/>
            <w:vAlign w:val="center"/>
          </w:tcPr>
          <w:p w14:paraId="5B6AA5F8">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w:t>
            </w: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0DAE54">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3618FC">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家</w:t>
            </w:r>
          </w:p>
        </w:tc>
      </w:tr>
      <w:tr w14:paraId="462C8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exact"/>
          <w:jc w:val="center"/>
        </w:trPr>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B17B98">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647" w:type="pct"/>
            <w:tcBorders>
              <w:top w:val="single" w:color="000000" w:sz="4" w:space="0"/>
              <w:left w:val="single" w:color="000000" w:sz="4" w:space="0"/>
              <w:bottom w:val="nil"/>
              <w:right w:val="single" w:color="000000" w:sz="4" w:space="0"/>
            </w:tcBorders>
            <w:shd w:val="clear" w:color="auto" w:fill="auto"/>
            <w:noWrap w:val="0"/>
            <w:vAlign w:val="center"/>
          </w:tcPr>
          <w:p w14:paraId="635A2DB2">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质量指标</w:t>
            </w: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926A22">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left"/>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融创海世界雪乐园优化提升，改造升级</w:t>
            </w:r>
          </w:p>
        </w:tc>
        <w:tc>
          <w:tcPr>
            <w:tcW w:w="406" w:type="pct"/>
            <w:vMerge w:val="continue"/>
            <w:tcBorders>
              <w:top w:val="single" w:color="000000" w:sz="4" w:space="0"/>
              <w:left w:val="single" w:color="000000" w:sz="4" w:space="0"/>
              <w:bottom w:val="nil"/>
              <w:right w:val="single" w:color="000000" w:sz="4" w:space="0"/>
            </w:tcBorders>
            <w:shd w:val="clear" w:color="auto" w:fill="auto"/>
            <w:noWrap w:val="0"/>
            <w:vAlign w:val="center"/>
          </w:tcPr>
          <w:p w14:paraId="4D9DC057">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9D99E">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A94E2">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家</w:t>
            </w:r>
          </w:p>
        </w:tc>
      </w:tr>
      <w:tr w14:paraId="094C8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exact"/>
          <w:jc w:val="center"/>
        </w:trPr>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21B77">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647" w:type="pct"/>
            <w:tcBorders>
              <w:top w:val="single" w:color="000000" w:sz="4" w:space="0"/>
              <w:left w:val="single" w:color="000000" w:sz="4" w:space="0"/>
              <w:bottom w:val="nil"/>
              <w:right w:val="single" w:color="000000" w:sz="4" w:space="0"/>
            </w:tcBorders>
            <w:shd w:val="clear" w:color="auto" w:fill="auto"/>
            <w:noWrap w:val="0"/>
            <w:vAlign w:val="center"/>
          </w:tcPr>
          <w:p w14:paraId="78CAFA3C">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时效指标</w:t>
            </w: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4DF112">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left"/>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1年内完成</w:t>
            </w:r>
          </w:p>
        </w:tc>
        <w:tc>
          <w:tcPr>
            <w:tcW w:w="406" w:type="pct"/>
            <w:vMerge w:val="continue"/>
            <w:tcBorders>
              <w:top w:val="single" w:color="000000" w:sz="4" w:space="0"/>
              <w:left w:val="single" w:color="000000" w:sz="4" w:space="0"/>
              <w:bottom w:val="nil"/>
              <w:right w:val="single" w:color="000000" w:sz="4" w:space="0"/>
            </w:tcBorders>
            <w:shd w:val="clear" w:color="auto" w:fill="auto"/>
            <w:noWrap w:val="0"/>
            <w:vAlign w:val="center"/>
          </w:tcPr>
          <w:p w14:paraId="56A5ABA8">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B1B2EA">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37D27">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年</w:t>
            </w:r>
          </w:p>
        </w:tc>
      </w:tr>
      <w:tr w14:paraId="2FA37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exact"/>
          <w:jc w:val="center"/>
        </w:trPr>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DAAF4D">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4C222">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成本指标</w:t>
            </w: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CA9FB">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left"/>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景区内部设施及外部环境优化费用，申报材料设计费</w:t>
            </w:r>
          </w:p>
        </w:tc>
        <w:tc>
          <w:tcPr>
            <w:tcW w:w="406" w:type="pct"/>
            <w:vMerge w:val="continue"/>
            <w:tcBorders>
              <w:top w:val="single" w:color="000000" w:sz="4" w:space="0"/>
              <w:left w:val="single" w:color="000000" w:sz="4" w:space="0"/>
              <w:bottom w:val="nil"/>
              <w:right w:val="single" w:color="000000" w:sz="4" w:space="0"/>
            </w:tcBorders>
            <w:shd w:val="clear" w:color="auto" w:fill="auto"/>
            <w:noWrap w:val="0"/>
            <w:vAlign w:val="center"/>
          </w:tcPr>
          <w:p w14:paraId="69B5464B">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9136D">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9E7608">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万元</w:t>
            </w:r>
          </w:p>
        </w:tc>
      </w:tr>
      <w:tr w14:paraId="5CE29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exact"/>
          <w:jc w:val="center"/>
        </w:trPr>
        <w:tc>
          <w:tcPr>
            <w:tcW w:w="447"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65F89">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效益指标</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EA1F12">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经济效益指标</w:t>
            </w: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A232AC">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left"/>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为景区带来更多客流量及收入</w:t>
            </w:r>
          </w:p>
        </w:tc>
        <w:tc>
          <w:tcPr>
            <w:tcW w:w="406" w:type="pct"/>
            <w:vMerge w:val="continue"/>
            <w:tcBorders>
              <w:top w:val="single" w:color="000000" w:sz="4" w:space="0"/>
              <w:left w:val="single" w:color="000000" w:sz="4" w:space="0"/>
              <w:bottom w:val="nil"/>
              <w:right w:val="single" w:color="000000" w:sz="4" w:space="0"/>
            </w:tcBorders>
            <w:shd w:val="clear" w:color="auto" w:fill="auto"/>
            <w:noWrap w:val="0"/>
            <w:vAlign w:val="center"/>
          </w:tcPr>
          <w:p w14:paraId="4DE002CD">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A3C94">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融创海世界</w:t>
            </w:r>
            <w:r>
              <w:rPr>
                <w:rFonts w:hint="eastAsia" w:ascii="仿宋" w:hAnsi="仿宋" w:eastAsia="仿宋" w:cs="仿宋"/>
                <w:i w:val="0"/>
                <w:color w:val="000000"/>
                <w:sz w:val="21"/>
                <w:szCs w:val="21"/>
                <w:u w:val="none"/>
                <w:lang w:val="en-US" w:eastAsia="zh-CN"/>
              </w:rPr>
              <w:t>雪乐园</w:t>
            </w:r>
            <w:r>
              <w:rPr>
                <w:rFonts w:hint="eastAsia" w:ascii="仿宋" w:hAnsi="仿宋" w:eastAsia="仿宋" w:cs="仿宋"/>
                <w:i w:val="0"/>
                <w:color w:val="000000"/>
                <w:sz w:val="21"/>
                <w:szCs w:val="21"/>
                <w:u w:val="none"/>
              </w:rPr>
              <w:t>接待游客85.05万人次，实现营业收入14303.85万元</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80034">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万人；万元</w:t>
            </w:r>
          </w:p>
        </w:tc>
      </w:tr>
      <w:tr w14:paraId="5F020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exact"/>
          <w:jc w:val="center"/>
        </w:trPr>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5536BD">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815A7">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社会效益指标</w:t>
            </w: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54D01A">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left"/>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扩大景区知名度及影响力</w:t>
            </w:r>
          </w:p>
        </w:tc>
        <w:tc>
          <w:tcPr>
            <w:tcW w:w="406" w:type="pct"/>
            <w:vMerge w:val="continue"/>
            <w:tcBorders>
              <w:top w:val="single" w:color="000000" w:sz="4" w:space="0"/>
              <w:left w:val="single" w:color="000000" w:sz="4" w:space="0"/>
              <w:bottom w:val="nil"/>
              <w:right w:val="single" w:color="000000" w:sz="4" w:space="0"/>
            </w:tcBorders>
            <w:shd w:val="clear" w:color="auto" w:fill="auto"/>
            <w:noWrap w:val="0"/>
            <w:vAlign w:val="center"/>
          </w:tcPr>
          <w:p w14:paraId="798AF00D">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EF7C9E">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lang w:val="en-US" w:eastAsia="zh-CN"/>
              </w:rPr>
              <w:t>长期</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82102">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lang w:val="en-US" w:eastAsia="zh-CN"/>
              </w:rPr>
              <w:t>长期</w:t>
            </w:r>
          </w:p>
        </w:tc>
      </w:tr>
      <w:tr w14:paraId="10AD4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exact"/>
          <w:jc w:val="center"/>
        </w:trPr>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4E121">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874F73">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生态效益指标</w:t>
            </w: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C11F2D">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left"/>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景区自发保护提升外部绿化</w:t>
            </w:r>
          </w:p>
        </w:tc>
        <w:tc>
          <w:tcPr>
            <w:tcW w:w="406" w:type="pct"/>
            <w:vMerge w:val="continue"/>
            <w:tcBorders>
              <w:top w:val="single" w:color="000000" w:sz="4" w:space="0"/>
              <w:left w:val="single" w:color="000000" w:sz="4" w:space="0"/>
              <w:bottom w:val="nil"/>
              <w:right w:val="single" w:color="000000" w:sz="4" w:space="0"/>
            </w:tcBorders>
            <w:shd w:val="clear" w:color="auto" w:fill="auto"/>
            <w:noWrap w:val="0"/>
            <w:vAlign w:val="center"/>
          </w:tcPr>
          <w:p w14:paraId="4CADDC6C">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EAFDA1">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lang w:val="en-US" w:eastAsia="zh-CN"/>
              </w:rPr>
              <w:t>长期</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E14D7">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lang w:val="en-US" w:eastAsia="zh-CN"/>
              </w:rPr>
              <w:t>长期</w:t>
            </w:r>
          </w:p>
        </w:tc>
      </w:tr>
      <w:tr w14:paraId="6F5C3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exact"/>
          <w:jc w:val="center"/>
        </w:trPr>
        <w:tc>
          <w:tcPr>
            <w:tcW w:w="447" w:type="pct"/>
            <w:vMerge w:val="continue"/>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C316A56">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647" w:type="pct"/>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55E031F2">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可持续影响指标</w:t>
            </w:r>
          </w:p>
        </w:tc>
        <w:tc>
          <w:tcPr>
            <w:tcW w:w="1558" w:type="pct"/>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119292D2">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left"/>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收到奖补资金起企业持续经营并保持4A景区标准</w:t>
            </w:r>
          </w:p>
        </w:tc>
        <w:tc>
          <w:tcPr>
            <w:tcW w:w="406" w:type="pct"/>
            <w:vMerge w:val="continue"/>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6DAD1E82">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468" w:type="pct"/>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84AC798">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长期</w:t>
            </w:r>
          </w:p>
        </w:tc>
        <w:tc>
          <w:tcPr>
            <w:tcW w:w="471" w:type="pct"/>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D5C75CB">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lang w:val="en-US" w:eastAsia="zh-CN"/>
              </w:rPr>
              <w:t>长期</w:t>
            </w:r>
          </w:p>
        </w:tc>
      </w:tr>
      <w:tr w14:paraId="4A13D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jc w:val="center"/>
        </w:trPr>
        <w:tc>
          <w:tcPr>
            <w:tcW w:w="44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2A771FD">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满意度指标</w:t>
            </w:r>
          </w:p>
        </w:tc>
        <w:tc>
          <w:tcPr>
            <w:tcW w:w="64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7AD7BC8">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服务对象</w:t>
            </w:r>
          </w:p>
          <w:p w14:paraId="19FEF4BA">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满意度指标等</w:t>
            </w:r>
          </w:p>
        </w:tc>
        <w:tc>
          <w:tcPr>
            <w:tcW w:w="155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B87572B">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left"/>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被奖补企业对政策实施满意度100%</w:t>
            </w:r>
          </w:p>
        </w:tc>
        <w:tc>
          <w:tcPr>
            <w:tcW w:w="40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AE5561E">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rPr>
            </w:pPr>
          </w:p>
        </w:tc>
        <w:tc>
          <w:tcPr>
            <w:tcW w:w="146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AED2F09">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100</w:t>
            </w:r>
          </w:p>
        </w:tc>
        <w:tc>
          <w:tcPr>
            <w:tcW w:w="47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23EFF40">
            <w:pPr>
              <w:keepNext w:val="0"/>
              <w:keepLines w:val="0"/>
              <w:pageBreakBefore w:val="0"/>
              <w:pBdr>
                <w:top w:val="none" w:color="auto" w:sz="0" w:space="0"/>
                <w:bottom w:val="none" w:color="auto" w:sz="0" w:space="0"/>
              </w:pBdr>
              <w:kinsoku/>
              <w:wordWrap/>
              <w:overflowPunct/>
              <w:topLinePunct w:val="0"/>
              <w:autoSpaceDE/>
              <w:autoSpaceDN/>
              <w:bidi w:val="0"/>
              <w:adjustRightInd/>
              <w:snapToGrid/>
              <w:spacing w:after="0" w:line="240" w:lineRule="exact"/>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w:t>
            </w:r>
          </w:p>
        </w:tc>
      </w:tr>
    </w:tbl>
    <w:p w14:paraId="4180D83A">
      <w:pPr>
        <w:keepNext w:val="0"/>
        <w:keepLines w:val="0"/>
        <w:pageBreakBefore w:val="0"/>
        <w:widowControl w:val="0"/>
        <w:kinsoku/>
        <w:wordWrap/>
        <w:overflowPunct/>
        <w:topLinePunct w:val="0"/>
        <w:autoSpaceDE/>
        <w:autoSpaceDN/>
        <w:bidi w:val="0"/>
        <w:adjustRightInd/>
        <w:snapToGrid/>
        <w:spacing w:line="579" w:lineRule="exact"/>
        <w:ind w:firstLine="670" w:firstLineChars="200"/>
        <w:textAlignment w:val="auto"/>
        <w:rPr>
          <w:rFonts w:hAnsi="仿宋"/>
          <w:sz w:val="32"/>
          <w:szCs w:val="32"/>
          <w:highlight w:val="none"/>
        </w:rPr>
      </w:pPr>
      <w:r>
        <w:rPr>
          <w:rFonts w:hint="eastAsia" w:hAnsi="仿宋"/>
          <w:sz w:val="32"/>
          <w:szCs w:val="32"/>
          <w:highlight w:val="none"/>
        </w:rPr>
        <w:t>2.绩效评价调整后的绩效目标和绩效指标情况</w:t>
      </w:r>
    </w:p>
    <w:bookmarkEnd w:id="20"/>
    <w:p w14:paraId="099A71FD">
      <w:pPr>
        <w:keepNext w:val="0"/>
        <w:keepLines w:val="0"/>
        <w:pageBreakBefore w:val="0"/>
        <w:widowControl w:val="0"/>
        <w:kinsoku/>
        <w:wordWrap/>
        <w:overflowPunct/>
        <w:topLinePunct w:val="0"/>
        <w:autoSpaceDE/>
        <w:autoSpaceDN/>
        <w:bidi w:val="0"/>
        <w:adjustRightInd/>
        <w:snapToGrid/>
        <w:spacing w:line="579" w:lineRule="exact"/>
        <w:ind w:firstLine="670" w:firstLineChars="200"/>
        <w:textAlignment w:val="auto"/>
        <w:rPr>
          <w:rFonts w:hint="default"/>
          <w:lang w:val="en-US" w:eastAsia="zh-CN"/>
        </w:rPr>
      </w:pPr>
      <w:r>
        <w:rPr>
          <w:rFonts w:hint="eastAsia" w:hAnsi="仿宋"/>
          <w:sz w:val="32"/>
          <w:szCs w:val="32"/>
          <w:highlight w:val="none"/>
        </w:rPr>
        <w:t>结合《云南省人民政府关于印发2023年推动经济稳进提质政策措施的通知》（云政发〔2023〕2号）</w:t>
      </w:r>
      <w:r>
        <w:rPr>
          <w:rFonts w:hint="eastAsia" w:hAnsi="仿宋"/>
          <w:sz w:val="32"/>
          <w:szCs w:val="32"/>
          <w:highlight w:val="none"/>
          <w:lang w:eastAsia="zh-CN"/>
        </w:rPr>
        <w:t>、云南省4A级旅游景区创建奖励措施实施方案等相关内容和要求，通过对</w:t>
      </w:r>
      <w:r>
        <w:rPr>
          <w:rFonts w:hint="eastAsia" w:hAnsi="仿宋"/>
          <w:sz w:val="32"/>
          <w:szCs w:val="32"/>
          <w:highlight w:val="none"/>
          <w:lang w:val="en-US" w:eastAsia="zh-CN"/>
        </w:rPr>
        <w:t>绩效</w:t>
      </w:r>
      <w:r>
        <w:rPr>
          <w:rFonts w:hint="eastAsia" w:hAnsi="仿宋"/>
          <w:sz w:val="32"/>
          <w:szCs w:val="32"/>
          <w:highlight w:val="none"/>
          <w:lang w:eastAsia="zh-CN"/>
        </w:rPr>
        <w:t>目标的分析，</w:t>
      </w:r>
      <w:r>
        <w:rPr>
          <w:rFonts w:hint="eastAsia" w:hAnsi="仿宋"/>
          <w:sz w:val="32"/>
          <w:szCs w:val="32"/>
          <w:highlight w:val="none"/>
          <w:lang w:val="en-US" w:eastAsia="zh-CN"/>
        </w:rPr>
        <w:t>效益</w:t>
      </w:r>
      <w:r>
        <w:rPr>
          <w:rFonts w:hint="eastAsia" w:hAnsi="仿宋"/>
          <w:sz w:val="32"/>
          <w:szCs w:val="32"/>
          <w:highlight w:val="none"/>
          <w:lang w:eastAsia="zh-CN"/>
        </w:rPr>
        <w:t>主要考核</w:t>
      </w:r>
      <w:r>
        <w:rPr>
          <w:rFonts w:hint="eastAsia" w:hAnsi="仿宋"/>
          <w:sz w:val="32"/>
          <w:szCs w:val="32"/>
          <w:highlight w:val="none"/>
          <w:lang w:val="en-US" w:eastAsia="zh-CN"/>
        </w:rPr>
        <w:t>对地区知名度、美誉度的提升，带动相关产业产值增长，</w:t>
      </w:r>
      <w:r>
        <w:rPr>
          <w:rFonts w:hint="eastAsia" w:hAnsi="仿宋"/>
          <w:sz w:val="32"/>
          <w:szCs w:val="32"/>
          <w:highlight w:val="none"/>
          <w:lang w:eastAsia="zh-CN"/>
        </w:rPr>
        <w:t>社会群众满意度。</w:t>
      </w:r>
    </w:p>
    <w:p w14:paraId="54DC1E10">
      <w:pPr>
        <w:spacing w:line="579" w:lineRule="exact"/>
        <w:ind w:firstLine="630" w:firstLineChars="200"/>
        <w:outlineLvl w:val="1"/>
        <w:rPr>
          <w:rFonts w:hint="default" w:ascii="楷体" w:hAnsi="楷体" w:eastAsia="楷体"/>
          <w:szCs w:val="30"/>
          <w:highlight w:val="none"/>
          <w:lang w:val="en-US" w:eastAsia="zh-CN"/>
        </w:rPr>
      </w:pPr>
      <w:bookmarkStart w:id="21" w:name="_Toc9605"/>
      <w:bookmarkStart w:id="22" w:name="_Toc21698"/>
      <w:r>
        <w:rPr>
          <w:rFonts w:hint="eastAsia" w:ascii="楷体" w:hAnsi="楷体" w:eastAsia="楷体"/>
          <w:szCs w:val="30"/>
          <w:highlight w:val="none"/>
        </w:rPr>
        <w:t>（</w:t>
      </w:r>
      <w:r>
        <w:rPr>
          <w:rFonts w:hint="eastAsia" w:ascii="楷体" w:hAnsi="楷体" w:eastAsia="楷体"/>
          <w:szCs w:val="30"/>
          <w:highlight w:val="none"/>
          <w:lang w:val="en-US" w:eastAsia="zh-CN"/>
        </w:rPr>
        <w:t>五</w:t>
      </w:r>
      <w:r>
        <w:rPr>
          <w:rFonts w:hint="eastAsia" w:ascii="楷体" w:hAnsi="楷体" w:eastAsia="楷体"/>
          <w:szCs w:val="30"/>
          <w:highlight w:val="none"/>
        </w:rPr>
        <w:t>）组织管理情况</w:t>
      </w:r>
      <w:bookmarkEnd w:id="21"/>
    </w:p>
    <w:p w14:paraId="02A2C707">
      <w:pPr>
        <w:keepNext w:val="0"/>
        <w:keepLines w:val="0"/>
        <w:pageBreakBefore w:val="0"/>
        <w:widowControl w:val="0"/>
        <w:kinsoku/>
        <w:wordWrap/>
        <w:overflowPunct/>
        <w:topLinePunct w:val="0"/>
        <w:autoSpaceDE/>
        <w:autoSpaceDN/>
        <w:bidi w:val="0"/>
        <w:adjustRightInd/>
        <w:snapToGrid/>
        <w:spacing w:line="579" w:lineRule="exact"/>
        <w:ind w:firstLine="670" w:firstLineChars="200"/>
        <w:textAlignment w:val="auto"/>
        <w:rPr>
          <w:rFonts w:hint="eastAsia" w:hAnsi="仿宋"/>
          <w:sz w:val="32"/>
          <w:szCs w:val="32"/>
          <w:highlight w:val="none"/>
          <w:lang w:val="en-US" w:eastAsia="zh-CN"/>
        </w:rPr>
      </w:pPr>
      <w:r>
        <w:rPr>
          <w:rFonts w:hint="eastAsia" w:hAnsi="仿宋"/>
          <w:sz w:val="32"/>
          <w:szCs w:val="32"/>
          <w:highlight w:val="none"/>
          <w:lang w:val="en-US" w:eastAsia="zh-CN"/>
        </w:rPr>
        <w:t>为统筹做好4A级旅游景区创建奖励资金的申报与实施工作，昆明市西山区文化和旅游局统筹管理，制定年度工作计划，分解工作任务、推进项目进程等。按照相关法律法规及内控制度要求负责资金使用的监督检查、跟踪问效等。西山区文化和旅游局与财政局共同对资金使用情况进行监督管理和全过程绩效管理等。</w:t>
      </w:r>
    </w:p>
    <w:p w14:paraId="6949E586">
      <w:pPr>
        <w:spacing w:line="579" w:lineRule="exact"/>
        <w:ind w:firstLine="630" w:firstLineChars="200"/>
        <w:outlineLvl w:val="0"/>
        <w:rPr>
          <w:rFonts w:ascii="黑体" w:hAnsi="宋体" w:eastAsia="黑体" w:cs="宋体"/>
          <w:szCs w:val="30"/>
        </w:rPr>
      </w:pPr>
      <w:bookmarkStart w:id="23" w:name="_Toc4445"/>
      <w:r>
        <w:rPr>
          <w:rFonts w:hint="eastAsia" w:ascii="黑体" w:hAnsi="宋体" w:eastAsia="黑体" w:cs="宋体"/>
          <w:szCs w:val="30"/>
          <w:lang w:val="en-US" w:eastAsia="zh-CN"/>
        </w:rPr>
        <w:t>二</w:t>
      </w:r>
      <w:r>
        <w:rPr>
          <w:rFonts w:hint="eastAsia" w:ascii="黑体" w:hAnsi="宋体" w:eastAsia="黑体" w:cs="宋体"/>
          <w:szCs w:val="30"/>
        </w:rPr>
        <w:t>、绩效评价工作开展情况</w:t>
      </w:r>
      <w:bookmarkEnd w:id="22"/>
      <w:bookmarkEnd w:id="23"/>
    </w:p>
    <w:p w14:paraId="7E81638E">
      <w:pPr>
        <w:spacing w:line="579" w:lineRule="exact"/>
        <w:ind w:firstLine="670" w:firstLineChars="200"/>
        <w:outlineLvl w:val="1"/>
        <w:rPr>
          <w:rFonts w:hint="default" w:ascii="楷体" w:hAnsi="楷体" w:eastAsia="楷体"/>
          <w:sz w:val="32"/>
          <w:szCs w:val="32"/>
          <w:highlight w:val="none"/>
          <w:lang w:val="en-US" w:eastAsia="zh-CN"/>
        </w:rPr>
      </w:pPr>
      <w:bookmarkStart w:id="24" w:name="_Toc26046"/>
      <w:bookmarkStart w:id="25" w:name="_Toc20748"/>
      <w:r>
        <w:rPr>
          <w:rFonts w:hint="eastAsia" w:ascii="楷体" w:hAnsi="楷体" w:eastAsia="楷体"/>
          <w:sz w:val="32"/>
          <w:szCs w:val="32"/>
          <w:highlight w:val="none"/>
        </w:rPr>
        <w:t>（一）绩效评价</w:t>
      </w:r>
      <w:r>
        <w:rPr>
          <w:rFonts w:hint="eastAsia" w:ascii="楷体" w:hAnsi="楷体" w:eastAsia="楷体"/>
          <w:sz w:val="32"/>
          <w:szCs w:val="32"/>
          <w:highlight w:val="none"/>
          <w:lang w:val="en-US" w:eastAsia="zh-CN"/>
        </w:rPr>
        <w:t>目的、对象和范围</w:t>
      </w:r>
      <w:bookmarkEnd w:id="24"/>
      <w:bookmarkEnd w:id="25"/>
    </w:p>
    <w:p w14:paraId="55DF6C3D">
      <w:pPr>
        <w:spacing w:line="579" w:lineRule="exact"/>
        <w:ind w:firstLine="670" w:firstLineChars="200"/>
        <w:rPr>
          <w:rFonts w:hint="eastAsia" w:hAnsi="仿宋"/>
          <w:sz w:val="32"/>
          <w:szCs w:val="32"/>
          <w:highlight w:val="none"/>
          <w:lang w:val="en-US" w:eastAsia="zh-CN"/>
        </w:rPr>
      </w:pPr>
      <w:r>
        <w:rPr>
          <w:rFonts w:hint="eastAsia" w:hAnsi="仿宋"/>
          <w:sz w:val="32"/>
          <w:szCs w:val="32"/>
          <w:highlight w:val="none"/>
          <w:lang w:val="en-US" w:eastAsia="zh-CN"/>
        </w:rPr>
        <w:t>1.绩效评价的目的</w:t>
      </w:r>
    </w:p>
    <w:p w14:paraId="2F36F091">
      <w:pPr>
        <w:spacing w:line="579" w:lineRule="exact"/>
        <w:ind w:firstLine="670" w:firstLineChars="200"/>
        <w:rPr>
          <w:rFonts w:hint="default" w:hAnsi="仿宋"/>
          <w:sz w:val="32"/>
          <w:szCs w:val="32"/>
          <w:lang w:val="en-US" w:eastAsia="zh-CN"/>
        </w:rPr>
      </w:pPr>
      <w:r>
        <w:rPr>
          <w:rFonts w:hint="default" w:hAnsi="仿宋"/>
          <w:sz w:val="32"/>
          <w:szCs w:val="32"/>
          <w:lang w:val="en-US" w:eastAsia="zh-CN"/>
        </w:rPr>
        <w:t>本次绩效评价围绕项目决策合理性、管理过程是否规范、产出目标是否完成以及效益目标是否实现等方面的内容，重点关注项目</w:t>
      </w:r>
      <w:r>
        <w:rPr>
          <w:rFonts w:hint="eastAsia" w:hAnsi="仿宋"/>
          <w:sz w:val="32"/>
          <w:szCs w:val="32"/>
          <w:lang w:val="en-US" w:eastAsia="zh-CN"/>
        </w:rPr>
        <w:t>是否按时按质完成、是否产生预期效益、</w:t>
      </w:r>
      <w:r>
        <w:rPr>
          <w:rFonts w:hint="eastAsia" w:hAnsi="仿宋"/>
          <w:sz w:val="32"/>
          <w:szCs w:val="32"/>
          <w:highlight w:val="none"/>
          <w:lang w:val="en-US" w:eastAsia="zh-CN"/>
        </w:rPr>
        <w:t>资金使用是否规范等</w:t>
      </w:r>
      <w:r>
        <w:rPr>
          <w:rFonts w:hint="default" w:hAnsi="仿宋"/>
          <w:sz w:val="32"/>
          <w:szCs w:val="32"/>
          <w:highlight w:val="none"/>
          <w:lang w:val="en-US" w:eastAsia="zh-CN"/>
        </w:rPr>
        <w:t>。为进一步规范财政资金运行和预算绩效管理，推动部门有效履职，优化资源配置和财政支出结构，强化支出责任，提高财</w:t>
      </w:r>
      <w:r>
        <w:rPr>
          <w:rFonts w:hint="default" w:hAnsi="仿宋"/>
          <w:sz w:val="32"/>
          <w:szCs w:val="32"/>
          <w:lang w:val="en-US" w:eastAsia="zh-CN"/>
        </w:rPr>
        <w:t>政资金使用效益提供支撑。</w:t>
      </w:r>
    </w:p>
    <w:p w14:paraId="362D8FCA">
      <w:pPr>
        <w:spacing w:line="579" w:lineRule="exact"/>
        <w:ind w:firstLine="670" w:firstLineChars="200"/>
        <w:rPr>
          <w:rFonts w:hint="default" w:hAnsi="仿宋"/>
          <w:sz w:val="32"/>
          <w:szCs w:val="32"/>
          <w:highlight w:val="none"/>
          <w:lang w:val="en-US" w:eastAsia="zh-CN"/>
        </w:rPr>
      </w:pPr>
      <w:r>
        <w:rPr>
          <w:rFonts w:hint="eastAsia" w:hAnsi="仿宋"/>
          <w:sz w:val="32"/>
          <w:szCs w:val="32"/>
          <w:highlight w:val="none"/>
          <w:lang w:val="en-US" w:eastAsia="zh-CN"/>
        </w:rPr>
        <w:t>2.绩效评价对象和范围</w:t>
      </w:r>
    </w:p>
    <w:p w14:paraId="5CEEDC9A">
      <w:pPr>
        <w:spacing w:line="579" w:lineRule="exact"/>
        <w:ind w:firstLine="670" w:firstLineChars="200"/>
        <w:rPr>
          <w:rFonts w:hint="eastAsia" w:hAnsi="仿宋"/>
          <w:sz w:val="32"/>
          <w:szCs w:val="32"/>
          <w:highlight w:val="none"/>
          <w:lang w:val="en-US" w:eastAsia="zh-CN"/>
        </w:rPr>
      </w:pPr>
      <w:r>
        <w:rPr>
          <w:rFonts w:hint="eastAsia" w:hAnsi="仿宋"/>
          <w:sz w:val="32"/>
          <w:szCs w:val="32"/>
          <w:highlight w:val="none"/>
          <w:lang w:val="en-US" w:eastAsia="zh-CN"/>
        </w:rPr>
        <w:t>（1）评价对象</w:t>
      </w:r>
    </w:p>
    <w:p w14:paraId="54E3836F">
      <w:pPr>
        <w:spacing w:line="579" w:lineRule="exact"/>
        <w:ind w:firstLine="670" w:firstLineChars="200"/>
        <w:rPr>
          <w:rFonts w:hint="default" w:hAnsi="仿宋"/>
          <w:sz w:val="32"/>
          <w:szCs w:val="32"/>
          <w:highlight w:val="none"/>
          <w:lang w:val="en-US" w:eastAsia="zh-CN"/>
        </w:rPr>
      </w:pPr>
      <w:r>
        <w:rPr>
          <w:rFonts w:hint="eastAsia" w:hAnsi="仿宋"/>
          <w:sz w:val="32"/>
          <w:szCs w:val="32"/>
          <w:highlight w:val="none"/>
          <w:lang w:val="en-US" w:eastAsia="zh-CN"/>
        </w:rPr>
        <w:t>根据项目立项、项目管理、资金管理、绩效目标实现情况，对昆明市西山区文化和旅游局的实施管理情况进行评价。</w:t>
      </w:r>
    </w:p>
    <w:p w14:paraId="111F7283">
      <w:pPr>
        <w:spacing w:line="579" w:lineRule="exact"/>
        <w:ind w:firstLine="670" w:firstLineChars="200"/>
        <w:rPr>
          <w:rFonts w:hint="default" w:hAnsi="仿宋"/>
          <w:sz w:val="32"/>
          <w:szCs w:val="32"/>
          <w:highlight w:val="none"/>
          <w:lang w:val="en-US" w:eastAsia="zh-CN"/>
        </w:rPr>
      </w:pPr>
      <w:r>
        <w:rPr>
          <w:rFonts w:hint="eastAsia" w:hAnsi="仿宋"/>
          <w:sz w:val="32"/>
          <w:szCs w:val="32"/>
          <w:highlight w:val="none"/>
          <w:lang w:val="en-US" w:eastAsia="zh-CN"/>
        </w:rPr>
        <w:t>（2）评价范围</w:t>
      </w:r>
    </w:p>
    <w:p w14:paraId="064BB0EE">
      <w:pPr>
        <w:spacing w:line="579" w:lineRule="exact"/>
        <w:ind w:firstLine="670" w:firstLineChars="200"/>
        <w:rPr>
          <w:rFonts w:hint="default" w:hAnsi="仿宋"/>
          <w:sz w:val="32"/>
          <w:szCs w:val="32"/>
          <w:highlight w:val="none"/>
          <w:lang w:val="en-US" w:eastAsia="zh-CN"/>
        </w:rPr>
      </w:pPr>
      <w:r>
        <w:rPr>
          <w:rFonts w:hint="eastAsia" w:hAnsi="仿宋"/>
          <w:sz w:val="32"/>
          <w:szCs w:val="32"/>
          <w:highlight w:val="none"/>
          <w:lang w:val="en-US" w:eastAsia="zh-CN"/>
        </w:rPr>
        <w:t>2024年度。</w:t>
      </w:r>
    </w:p>
    <w:p w14:paraId="77A8960F">
      <w:pPr>
        <w:spacing w:line="579" w:lineRule="exact"/>
        <w:ind w:firstLine="630" w:firstLineChars="200"/>
        <w:outlineLvl w:val="1"/>
        <w:rPr>
          <w:rFonts w:hint="eastAsia" w:hAnsi="仿宋" w:eastAsia="仿宋"/>
          <w:szCs w:val="30"/>
          <w:lang w:eastAsia="zh-CN"/>
        </w:rPr>
      </w:pPr>
      <w:bookmarkStart w:id="26" w:name="_Toc24816"/>
      <w:bookmarkStart w:id="27" w:name="_Toc18639"/>
      <w:r>
        <w:rPr>
          <w:rFonts w:hint="eastAsia" w:ascii="楷体" w:hAnsi="楷体" w:eastAsia="楷体"/>
          <w:szCs w:val="30"/>
          <w:lang w:eastAsia="zh-CN"/>
        </w:rPr>
        <w:t>（</w:t>
      </w:r>
      <w:r>
        <w:rPr>
          <w:rFonts w:hint="eastAsia" w:ascii="楷体" w:hAnsi="楷体" w:eastAsia="楷体"/>
          <w:szCs w:val="30"/>
          <w:lang w:val="en-US" w:eastAsia="zh-CN"/>
        </w:rPr>
        <w:t>二</w:t>
      </w:r>
      <w:r>
        <w:rPr>
          <w:rFonts w:hint="eastAsia" w:ascii="楷体" w:hAnsi="楷体" w:eastAsia="楷体"/>
          <w:szCs w:val="30"/>
          <w:lang w:eastAsia="zh-CN"/>
        </w:rPr>
        <w:t>）</w:t>
      </w:r>
      <w:r>
        <w:rPr>
          <w:rFonts w:hint="eastAsia" w:ascii="楷体" w:hAnsi="楷体" w:eastAsia="楷体"/>
          <w:szCs w:val="30"/>
        </w:rPr>
        <w:t>绩效评价原则</w:t>
      </w:r>
      <w:bookmarkEnd w:id="26"/>
      <w:bookmarkEnd w:id="27"/>
    </w:p>
    <w:p w14:paraId="2EBE0E29">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1.公平性原则。公平公正是绩效评价工作的前提，坚持公平的原则才能客观真实的反映绩效评价结果。运用科学合理的方法，按照规范的程序，对项目绩效进行客观、公正的反映。</w:t>
      </w:r>
    </w:p>
    <w:p w14:paraId="5CC9E996">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2.客观性原则。绩效评价应当把考核标准与绩效目标联系起来，过程中应标准明确、方法科学、制度严格、态度认真，确保评价依据数据的客观准确，不同抽样点评价标准一致。</w:t>
      </w:r>
    </w:p>
    <w:p w14:paraId="46C504BE">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3.可行性原则。绩效评价标准应客观反映被评价单位的部门履职情况，评价的数据来源应具备客观性，评价标准应得到被评价单位的认可。</w:t>
      </w:r>
    </w:p>
    <w:p w14:paraId="24808791">
      <w:pPr>
        <w:spacing w:line="579" w:lineRule="exact"/>
        <w:ind w:firstLine="670" w:firstLineChars="200"/>
        <w:rPr>
          <w:rFonts w:hint="eastAsia" w:hAnsi="仿宋"/>
          <w:sz w:val="32"/>
          <w:szCs w:val="32"/>
        </w:rPr>
      </w:pPr>
      <w:r>
        <w:rPr>
          <w:rFonts w:hint="eastAsia" w:hAnsi="仿宋"/>
          <w:sz w:val="32"/>
          <w:szCs w:val="32"/>
          <w:lang w:val="en-US" w:eastAsia="zh-CN"/>
        </w:rPr>
        <w:t>4.公开性原则。绩效评价过程中评价内容、评价标准、评价结果应对被评价单位公开，避免评价结论出现误判</w:t>
      </w:r>
      <w:r>
        <w:rPr>
          <w:rFonts w:hint="eastAsia" w:hAnsi="仿宋"/>
          <w:sz w:val="32"/>
          <w:szCs w:val="32"/>
        </w:rPr>
        <w:t>。</w:t>
      </w:r>
    </w:p>
    <w:p w14:paraId="3D8073D2">
      <w:pPr>
        <w:spacing w:line="579" w:lineRule="exact"/>
        <w:ind w:firstLine="632"/>
        <w:outlineLvl w:val="1"/>
        <w:rPr>
          <w:rFonts w:hint="eastAsia" w:ascii="楷体" w:hAnsi="楷体" w:eastAsia="楷体"/>
          <w:szCs w:val="30"/>
        </w:rPr>
      </w:pPr>
      <w:bookmarkStart w:id="28" w:name="_Toc18223"/>
      <w:bookmarkStart w:id="29" w:name="_Toc302"/>
      <w:r>
        <w:rPr>
          <w:rFonts w:hint="eastAsia" w:ascii="楷体" w:hAnsi="楷体" w:eastAsia="楷体"/>
          <w:szCs w:val="30"/>
        </w:rPr>
        <w:t>（三）绩效评价依据</w:t>
      </w:r>
      <w:bookmarkEnd w:id="28"/>
      <w:bookmarkEnd w:id="29"/>
    </w:p>
    <w:p w14:paraId="5AC9B77A">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1.财政部《项目支出绩效评价管理办法》（财预〔2020〕10号）；</w:t>
      </w:r>
    </w:p>
    <w:p w14:paraId="6865DF8C">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2.《云南省项目支出绩效评价管理办法》（云财绩〔2020〕11号）；</w:t>
      </w:r>
    </w:p>
    <w:p w14:paraId="7C50C39C">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3.《中共昆明市委、昆明市人民政府关于全面实施预算绩效管理的实施意见》（昆发〔2019〕12号）；</w:t>
      </w:r>
    </w:p>
    <w:p w14:paraId="4E384ED1">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4.《云南省4A级旅游景区创建奖励措施实施方案》；</w:t>
      </w:r>
    </w:p>
    <w:p w14:paraId="66C28D88">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5.《云南省财政厅 云南省文化和旅游厅关于下达2023年4A级旅游景区创建奖补资金的通知》（云财教〔2023〕330号）</w:t>
      </w:r>
    </w:p>
    <w:p w14:paraId="50538F5B">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6.《云南省人民政府关于印发2023年推动经济稳进提质政策措施的通知》（云政发〔2023〕2号）</w:t>
      </w:r>
    </w:p>
    <w:p w14:paraId="14EDBFC0">
      <w:pPr>
        <w:spacing w:line="579" w:lineRule="exact"/>
        <w:ind w:firstLine="670" w:firstLineChars="200"/>
        <w:rPr>
          <w:rFonts w:hint="default" w:hAnsi="仿宋"/>
          <w:szCs w:val="30"/>
          <w:lang w:val="en-US" w:eastAsia="zh-CN"/>
        </w:rPr>
      </w:pPr>
      <w:r>
        <w:rPr>
          <w:rFonts w:hint="eastAsia" w:hAnsi="仿宋"/>
          <w:sz w:val="32"/>
          <w:szCs w:val="32"/>
          <w:lang w:val="en-US" w:eastAsia="zh-CN"/>
        </w:rPr>
        <w:t>7.其他项目相关资料。</w:t>
      </w:r>
    </w:p>
    <w:p w14:paraId="42DFA513">
      <w:pPr>
        <w:spacing w:line="579" w:lineRule="exact"/>
        <w:ind w:firstLine="632"/>
        <w:outlineLvl w:val="1"/>
        <w:rPr>
          <w:rFonts w:hint="eastAsia" w:ascii="楷体" w:hAnsi="楷体" w:eastAsia="楷体"/>
          <w:szCs w:val="30"/>
        </w:rPr>
      </w:pPr>
      <w:bookmarkStart w:id="30" w:name="_Toc15559"/>
      <w:bookmarkStart w:id="31" w:name="_Toc22053"/>
      <w:r>
        <w:rPr>
          <w:rFonts w:hint="eastAsia" w:ascii="楷体" w:hAnsi="楷体" w:eastAsia="楷体"/>
          <w:szCs w:val="30"/>
        </w:rPr>
        <w:t>（</w:t>
      </w:r>
      <w:r>
        <w:rPr>
          <w:rFonts w:hint="eastAsia" w:ascii="楷体" w:hAnsi="楷体" w:eastAsia="楷体"/>
          <w:szCs w:val="30"/>
          <w:lang w:val="en-US" w:eastAsia="zh-CN"/>
        </w:rPr>
        <w:t>四</w:t>
      </w:r>
      <w:r>
        <w:rPr>
          <w:rFonts w:hint="eastAsia" w:ascii="楷体" w:hAnsi="楷体" w:eastAsia="楷体"/>
          <w:szCs w:val="30"/>
        </w:rPr>
        <w:t>）</w:t>
      </w:r>
      <w:r>
        <w:rPr>
          <w:rFonts w:hint="eastAsia" w:ascii="楷体" w:hAnsi="楷体" w:eastAsia="楷体"/>
          <w:szCs w:val="30"/>
          <w:lang w:val="en-US" w:eastAsia="zh-CN"/>
        </w:rPr>
        <w:t>绩效</w:t>
      </w:r>
      <w:r>
        <w:rPr>
          <w:rFonts w:hint="eastAsia" w:ascii="楷体" w:hAnsi="楷体" w:eastAsia="楷体"/>
          <w:szCs w:val="30"/>
        </w:rPr>
        <w:t>评价方法</w:t>
      </w:r>
      <w:bookmarkEnd w:id="30"/>
      <w:bookmarkEnd w:id="31"/>
    </w:p>
    <w:p w14:paraId="10D76FF1">
      <w:pPr>
        <w:spacing w:line="579" w:lineRule="exact"/>
        <w:ind w:firstLine="670" w:firstLineChars="200"/>
        <w:rPr>
          <w:rFonts w:hint="eastAsia" w:hAnsi="仿宋"/>
          <w:sz w:val="32"/>
          <w:szCs w:val="32"/>
        </w:rPr>
      </w:pPr>
      <w:r>
        <w:rPr>
          <w:rFonts w:hint="eastAsia" w:hAnsi="仿宋"/>
          <w:sz w:val="32"/>
          <w:szCs w:val="32"/>
        </w:rPr>
        <w:t>绩效评价主要采取的方法包括成本效益分析法、比较法、因素分析法、最低成本法、公众评判法等。结合本次绩效评价项目的具体情况，为确保本次绩效评价工作的真实可靠，采用定量与定性相结合、审阅自评相结合，对收集的相关基础资料、各种技术经济数据，在归集、整理、分析的基础上，结合项目特点确定评价方法。具体如下：</w:t>
      </w:r>
    </w:p>
    <w:p w14:paraId="5B7AE76B">
      <w:pPr>
        <w:spacing w:line="579" w:lineRule="exact"/>
        <w:ind w:firstLine="670" w:firstLineChars="200"/>
        <w:rPr>
          <w:rFonts w:hint="eastAsia" w:hAnsi="仿宋"/>
          <w:sz w:val="32"/>
          <w:szCs w:val="32"/>
        </w:rPr>
      </w:pPr>
      <w:r>
        <w:rPr>
          <w:rFonts w:hint="eastAsia" w:hAnsi="仿宋"/>
          <w:sz w:val="32"/>
          <w:szCs w:val="32"/>
          <w:lang w:val="en-US" w:eastAsia="zh-CN"/>
        </w:rPr>
        <w:t>1.</w:t>
      </w:r>
      <w:r>
        <w:rPr>
          <w:rFonts w:hint="eastAsia" w:hAnsi="仿宋"/>
          <w:sz w:val="32"/>
          <w:szCs w:val="32"/>
        </w:rPr>
        <w:t>评价方法</w:t>
      </w:r>
    </w:p>
    <w:p w14:paraId="0DE10085">
      <w:pPr>
        <w:spacing w:line="579" w:lineRule="exact"/>
        <w:ind w:firstLine="670" w:firstLineChars="200"/>
        <w:rPr>
          <w:rFonts w:hint="eastAsia" w:hAnsi="仿宋"/>
          <w:sz w:val="32"/>
          <w:szCs w:val="32"/>
        </w:rPr>
      </w:pPr>
      <w:r>
        <w:rPr>
          <w:rFonts w:hint="eastAsia" w:hAnsi="仿宋"/>
          <w:sz w:val="32"/>
          <w:szCs w:val="32"/>
        </w:rPr>
        <w:t>本次评价采用比较法、因素分析法和公众评判法等方法对项目的整体情况进行综合评价。包括将实际执行情况与</w:t>
      </w:r>
      <w:r>
        <w:rPr>
          <w:rFonts w:hint="eastAsia" w:hAnsi="仿宋"/>
          <w:sz w:val="32"/>
          <w:szCs w:val="32"/>
          <w:lang w:val="en-US" w:eastAsia="zh-CN"/>
        </w:rPr>
        <w:t>计划</w:t>
      </w:r>
      <w:r>
        <w:rPr>
          <w:rFonts w:hint="eastAsia" w:hAnsi="仿宋"/>
          <w:sz w:val="32"/>
          <w:szCs w:val="32"/>
        </w:rPr>
        <w:t>绩效目标进行比较分析，在评价中综合分析政策执行外部环境、内部控制等因素对绩效目标完成情况的影响，同时通过公众问卷和抽样调查等公众评判法</w:t>
      </w:r>
      <w:r>
        <w:rPr>
          <w:rFonts w:hint="eastAsia" w:hAnsi="仿宋"/>
          <w:sz w:val="32"/>
          <w:szCs w:val="32"/>
          <w:lang w:val="en-US" w:eastAsia="zh-CN"/>
        </w:rPr>
        <w:t>进行评价</w:t>
      </w:r>
      <w:r>
        <w:rPr>
          <w:rFonts w:hint="eastAsia" w:hAnsi="仿宋"/>
          <w:sz w:val="32"/>
          <w:szCs w:val="32"/>
        </w:rPr>
        <w:t>，实地了解预算资金执行情况，社会公众满意度情况。</w:t>
      </w:r>
    </w:p>
    <w:p w14:paraId="087F0780">
      <w:pPr>
        <w:spacing w:line="579" w:lineRule="exact"/>
        <w:ind w:firstLine="670" w:firstLineChars="200"/>
        <w:rPr>
          <w:rFonts w:hint="eastAsia" w:hAnsi="仿宋"/>
          <w:sz w:val="32"/>
          <w:szCs w:val="32"/>
        </w:rPr>
      </w:pPr>
      <w:r>
        <w:rPr>
          <w:rFonts w:hint="eastAsia" w:hAnsi="仿宋"/>
          <w:sz w:val="32"/>
          <w:szCs w:val="32"/>
          <w:lang w:val="en-US" w:eastAsia="zh-CN"/>
        </w:rPr>
        <w:t>2.</w:t>
      </w:r>
      <w:r>
        <w:rPr>
          <w:rFonts w:hint="eastAsia" w:hAnsi="仿宋"/>
          <w:sz w:val="32"/>
          <w:szCs w:val="32"/>
        </w:rPr>
        <w:t>评价方式</w:t>
      </w:r>
    </w:p>
    <w:p w14:paraId="5E13498F">
      <w:pPr>
        <w:spacing w:line="579" w:lineRule="exact"/>
        <w:ind w:firstLine="670" w:firstLineChars="200"/>
        <w:rPr>
          <w:rFonts w:hint="eastAsia" w:hAnsi="仿宋"/>
          <w:sz w:val="32"/>
          <w:szCs w:val="32"/>
        </w:rPr>
      </w:pPr>
      <w:r>
        <w:rPr>
          <w:rFonts w:hint="eastAsia" w:hAnsi="仿宋"/>
          <w:sz w:val="32"/>
          <w:szCs w:val="32"/>
        </w:rPr>
        <w:t>资料审阅。从被评价部门收集与项目预算、管理、绩效相关的评价数据，形成绩效评价的基础资料，并对基础资料的真实性、可靠性进行审阅。具体为包括对实施单位上报的自评报告进行认真审阅，核实项目单位自评工作是否按要求完成，评价完成的效益和质量；收集绩效评价的基础数据，对项目实施单位资金使用情况表进行审阅，对异常的资金使用通过实地调查、原始凭证查阅等进行核实；收集项目绩效的相关资料并结合问卷调查、访谈结果对项目绩效进行客观评价。</w:t>
      </w:r>
    </w:p>
    <w:p w14:paraId="0B3CCD8B">
      <w:pPr>
        <w:spacing w:line="579" w:lineRule="exact"/>
        <w:ind w:firstLine="670" w:firstLineChars="200"/>
        <w:rPr>
          <w:rFonts w:hint="eastAsia" w:hAnsi="仿宋"/>
          <w:sz w:val="32"/>
          <w:szCs w:val="32"/>
        </w:rPr>
      </w:pPr>
      <w:r>
        <w:rPr>
          <w:rFonts w:hint="eastAsia" w:hAnsi="仿宋"/>
          <w:sz w:val="32"/>
          <w:szCs w:val="32"/>
          <w:lang w:val="en-US" w:eastAsia="zh-CN"/>
        </w:rPr>
        <w:t>沟通</w:t>
      </w:r>
      <w:r>
        <w:rPr>
          <w:rFonts w:hint="eastAsia" w:hAnsi="仿宋"/>
          <w:sz w:val="32"/>
          <w:szCs w:val="32"/>
        </w:rPr>
        <w:t>调研。通过调研，进一步了解部门职能职责、项目实施及绩效目标申报和实现情况，结合项目特点制定适用的评价指标体系。</w:t>
      </w:r>
    </w:p>
    <w:p w14:paraId="04CE0BC9">
      <w:pPr>
        <w:spacing w:line="579" w:lineRule="exact"/>
        <w:ind w:firstLine="670" w:firstLineChars="200"/>
        <w:rPr>
          <w:rFonts w:hint="eastAsia" w:hAnsi="仿宋"/>
          <w:sz w:val="32"/>
          <w:szCs w:val="32"/>
        </w:rPr>
      </w:pPr>
      <w:r>
        <w:rPr>
          <w:rFonts w:hint="eastAsia" w:hAnsi="仿宋"/>
          <w:sz w:val="32"/>
          <w:szCs w:val="32"/>
        </w:rPr>
        <w:t>实地评价。绩效评价工作组根据分工，采用资料收集</w:t>
      </w:r>
      <w:r>
        <w:rPr>
          <w:rFonts w:hint="eastAsia" w:hAnsi="仿宋"/>
          <w:sz w:val="32"/>
          <w:szCs w:val="32"/>
          <w:lang w:eastAsia="zh-CN"/>
        </w:rPr>
        <w:t>、</w:t>
      </w:r>
      <w:r>
        <w:rPr>
          <w:rFonts w:hint="eastAsia" w:hAnsi="仿宋"/>
          <w:sz w:val="32"/>
          <w:szCs w:val="32"/>
        </w:rPr>
        <w:t>案卷研究、问卷调查等方式，组织开展实地评价。在绩效评价实施过程中，根据评价对象的具体情况，收集评价数据、资料；同时发放调查问卷调查项目的公众满意度、管理人员意见以及评价相关的信息。</w:t>
      </w:r>
    </w:p>
    <w:p w14:paraId="0AF53642">
      <w:pPr>
        <w:spacing w:line="579" w:lineRule="exact"/>
        <w:ind w:firstLine="630" w:firstLineChars="200"/>
        <w:outlineLvl w:val="1"/>
        <w:rPr>
          <w:rFonts w:ascii="楷体" w:hAnsi="楷体" w:eastAsia="楷体"/>
          <w:szCs w:val="30"/>
        </w:rPr>
      </w:pPr>
      <w:bookmarkStart w:id="32" w:name="_Toc5002"/>
      <w:bookmarkStart w:id="33" w:name="_Toc1501"/>
      <w:r>
        <w:rPr>
          <w:rFonts w:hint="eastAsia" w:ascii="楷体" w:hAnsi="楷体" w:eastAsia="楷体"/>
          <w:szCs w:val="30"/>
        </w:rPr>
        <w:t>（</w:t>
      </w:r>
      <w:r>
        <w:rPr>
          <w:rFonts w:hint="eastAsia" w:ascii="楷体" w:hAnsi="楷体" w:eastAsia="楷体"/>
          <w:szCs w:val="30"/>
          <w:lang w:val="en-US" w:eastAsia="zh-CN"/>
        </w:rPr>
        <w:t>五</w:t>
      </w:r>
      <w:r>
        <w:rPr>
          <w:rFonts w:hint="eastAsia" w:ascii="楷体" w:hAnsi="楷体" w:eastAsia="楷体"/>
          <w:szCs w:val="30"/>
        </w:rPr>
        <w:t>）评价指标体系</w:t>
      </w:r>
      <w:bookmarkEnd w:id="32"/>
      <w:bookmarkEnd w:id="33"/>
    </w:p>
    <w:p w14:paraId="43888A9C">
      <w:pPr>
        <w:spacing w:line="579" w:lineRule="exact"/>
        <w:ind w:firstLine="670" w:firstLineChars="200"/>
        <w:rPr>
          <w:rFonts w:hAnsi="仿宋"/>
          <w:sz w:val="32"/>
          <w:szCs w:val="32"/>
        </w:rPr>
      </w:pPr>
      <w:r>
        <w:rPr>
          <w:rFonts w:hint="eastAsia" w:hAnsi="仿宋"/>
          <w:sz w:val="32"/>
          <w:szCs w:val="32"/>
        </w:rPr>
        <w:t>1.指标体系</w:t>
      </w:r>
    </w:p>
    <w:p w14:paraId="0EC92B35">
      <w:pPr>
        <w:spacing w:line="579" w:lineRule="exact"/>
        <w:ind w:firstLine="670" w:firstLineChars="200"/>
        <w:rPr>
          <w:rFonts w:hAnsi="仿宋"/>
          <w:sz w:val="32"/>
          <w:szCs w:val="32"/>
        </w:rPr>
      </w:pPr>
      <w:r>
        <w:rPr>
          <w:rFonts w:hint="eastAsia" w:hAnsi="仿宋"/>
          <w:sz w:val="32"/>
          <w:szCs w:val="32"/>
        </w:rPr>
        <w:t>本次绩效评价，针对项目设置绩效评价指标体系，设计思路是：本次对项目的绩效评价从项目的设立、执行、产出及效果的全过程的绩效评价，一级指标即共性指标，反映项目评价的通用要素，适合所有的项目评价。即:</w:t>
      </w:r>
      <w:r>
        <w:rPr>
          <w:rFonts w:hint="eastAsia" w:hAnsi="仿宋"/>
          <w:sz w:val="32"/>
          <w:szCs w:val="32"/>
          <w:lang w:val="en-US" w:eastAsia="zh-CN"/>
        </w:rPr>
        <w:t>决策</w:t>
      </w:r>
      <w:r>
        <w:rPr>
          <w:rFonts w:hint="eastAsia" w:hAnsi="仿宋"/>
          <w:sz w:val="32"/>
          <w:szCs w:val="32"/>
        </w:rPr>
        <w:t>、过程、产出、效果4个一级指标。在此基础上，根据项目自身特性进行细化，分解明确项目立项、资金投入、</w:t>
      </w:r>
      <w:r>
        <w:rPr>
          <w:rFonts w:hint="eastAsia" w:hAnsi="仿宋"/>
          <w:sz w:val="32"/>
          <w:szCs w:val="32"/>
          <w:lang w:val="en-US" w:eastAsia="zh-CN"/>
        </w:rPr>
        <w:t>业务</w:t>
      </w:r>
      <w:r>
        <w:rPr>
          <w:rFonts w:hint="eastAsia" w:hAnsi="仿宋"/>
          <w:sz w:val="32"/>
          <w:szCs w:val="32"/>
        </w:rPr>
        <w:t>管理、</w:t>
      </w:r>
      <w:r>
        <w:rPr>
          <w:rFonts w:hint="eastAsia" w:hAnsi="仿宋"/>
          <w:sz w:val="32"/>
          <w:szCs w:val="32"/>
          <w:lang w:val="en-US" w:eastAsia="zh-CN"/>
        </w:rPr>
        <w:t>财务管理、</w:t>
      </w:r>
      <w:r>
        <w:rPr>
          <w:rFonts w:hint="eastAsia" w:hAnsi="仿宋"/>
          <w:sz w:val="32"/>
          <w:szCs w:val="32"/>
        </w:rPr>
        <w:t>产出数量、</w:t>
      </w:r>
      <w:r>
        <w:rPr>
          <w:rFonts w:hint="eastAsia" w:hAnsi="仿宋"/>
          <w:sz w:val="32"/>
          <w:szCs w:val="32"/>
          <w:lang w:val="en-US" w:eastAsia="zh-CN"/>
        </w:rPr>
        <w:t>产出时效、产出质量、产出成本、</w:t>
      </w:r>
      <w:r>
        <w:rPr>
          <w:rFonts w:hint="eastAsia" w:hAnsi="仿宋"/>
          <w:sz w:val="32"/>
          <w:szCs w:val="32"/>
        </w:rPr>
        <w:t>社会效益、</w:t>
      </w:r>
      <w:r>
        <w:rPr>
          <w:rFonts w:hint="eastAsia" w:hAnsi="仿宋"/>
          <w:sz w:val="32"/>
          <w:szCs w:val="32"/>
          <w:lang w:val="en-US" w:eastAsia="zh-CN"/>
        </w:rPr>
        <w:t>经济效益、</w:t>
      </w:r>
      <w:r>
        <w:rPr>
          <w:rFonts w:hint="eastAsia" w:hAnsi="仿宋"/>
          <w:sz w:val="32"/>
          <w:szCs w:val="32"/>
        </w:rPr>
        <w:t>满意度1</w:t>
      </w:r>
      <w:r>
        <w:rPr>
          <w:rFonts w:hint="eastAsia" w:hAnsi="仿宋"/>
          <w:sz w:val="32"/>
          <w:szCs w:val="32"/>
          <w:lang w:val="en-US" w:eastAsia="zh-CN"/>
        </w:rPr>
        <w:t>1</w:t>
      </w:r>
      <w:r>
        <w:rPr>
          <w:rFonts w:hint="eastAsia" w:hAnsi="仿宋"/>
          <w:sz w:val="32"/>
          <w:szCs w:val="32"/>
        </w:rPr>
        <w:t>个二级指标，在此基础上细化分解为</w:t>
      </w:r>
      <w:r>
        <w:rPr>
          <w:rFonts w:hint="eastAsia" w:hAnsi="仿宋"/>
          <w:sz w:val="32"/>
          <w:szCs w:val="32"/>
          <w:lang w:val="en-US" w:eastAsia="zh-CN"/>
        </w:rPr>
        <w:t>18</w:t>
      </w:r>
      <w:r>
        <w:rPr>
          <w:rFonts w:hint="eastAsia" w:hAnsi="仿宋"/>
          <w:sz w:val="32"/>
          <w:szCs w:val="32"/>
        </w:rPr>
        <w:t>个三级指标。</w:t>
      </w:r>
    </w:p>
    <w:p w14:paraId="5995B33E">
      <w:pPr>
        <w:spacing w:line="579" w:lineRule="exact"/>
        <w:ind w:firstLine="670" w:firstLineChars="200"/>
        <w:rPr>
          <w:rFonts w:hAnsi="仿宋"/>
          <w:sz w:val="32"/>
          <w:szCs w:val="32"/>
        </w:rPr>
      </w:pPr>
      <w:r>
        <w:rPr>
          <w:rFonts w:hint="eastAsia" w:hAnsi="仿宋"/>
          <w:sz w:val="32"/>
          <w:szCs w:val="32"/>
        </w:rPr>
        <w:t>2.指标权重</w:t>
      </w:r>
    </w:p>
    <w:p w14:paraId="63A124B4">
      <w:pPr>
        <w:spacing w:line="579" w:lineRule="exact"/>
        <w:ind w:firstLine="670" w:firstLineChars="200"/>
        <w:rPr>
          <w:rFonts w:hAnsi="仿宋"/>
          <w:sz w:val="32"/>
          <w:szCs w:val="32"/>
        </w:rPr>
      </w:pPr>
      <w:r>
        <w:rPr>
          <w:rFonts w:hint="eastAsia" w:hAnsi="仿宋"/>
          <w:sz w:val="32"/>
          <w:szCs w:val="32"/>
          <w:lang w:val="en-US" w:eastAsia="zh-CN"/>
        </w:rPr>
        <w:t>项目已经完成，决策</w:t>
      </w:r>
      <w:r>
        <w:rPr>
          <w:rFonts w:hint="eastAsia" w:hAnsi="仿宋"/>
          <w:sz w:val="32"/>
          <w:szCs w:val="32"/>
        </w:rPr>
        <w:t>指标权重为</w:t>
      </w:r>
      <w:r>
        <w:rPr>
          <w:rFonts w:hint="eastAsia" w:hAnsi="仿宋"/>
          <w:sz w:val="32"/>
          <w:szCs w:val="32"/>
          <w:lang w:val="en-US" w:eastAsia="zh-CN"/>
        </w:rPr>
        <w:t>10</w:t>
      </w:r>
      <w:r>
        <w:rPr>
          <w:rFonts w:hint="eastAsia" w:hAnsi="仿宋"/>
          <w:sz w:val="32"/>
          <w:szCs w:val="32"/>
        </w:rPr>
        <w:t>%；过程指标权重为</w:t>
      </w:r>
      <w:r>
        <w:rPr>
          <w:rFonts w:hint="eastAsia" w:hAnsi="仿宋"/>
          <w:sz w:val="32"/>
          <w:szCs w:val="32"/>
          <w:lang w:val="en-US" w:eastAsia="zh-CN"/>
        </w:rPr>
        <w:t>34</w:t>
      </w:r>
      <w:r>
        <w:rPr>
          <w:rFonts w:hint="eastAsia" w:hAnsi="仿宋"/>
          <w:sz w:val="32"/>
          <w:szCs w:val="32"/>
        </w:rPr>
        <w:t>%；产出指标权重为</w:t>
      </w:r>
      <w:r>
        <w:rPr>
          <w:rFonts w:hint="eastAsia" w:hAnsi="仿宋"/>
          <w:sz w:val="32"/>
          <w:szCs w:val="32"/>
          <w:lang w:val="en-US" w:eastAsia="zh-CN"/>
        </w:rPr>
        <w:t>34</w:t>
      </w:r>
      <w:r>
        <w:rPr>
          <w:rFonts w:hint="eastAsia" w:hAnsi="仿宋"/>
          <w:sz w:val="32"/>
          <w:szCs w:val="32"/>
        </w:rPr>
        <w:t>%；效果指标权重为</w:t>
      </w:r>
      <w:r>
        <w:rPr>
          <w:rFonts w:hint="eastAsia" w:hAnsi="仿宋"/>
          <w:sz w:val="32"/>
          <w:szCs w:val="32"/>
          <w:lang w:val="en-US" w:eastAsia="zh-CN"/>
        </w:rPr>
        <w:t>22</w:t>
      </w:r>
      <w:r>
        <w:rPr>
          <w:rFonts w:hint="eastAsia" w:hAnsi="仿宋"/>
          <w:sz w:val="32"/>
          <w:szCs w:val="32"/>
        </w:rPr>
        <w:t>%</w:t>
      </w:r>
      <w:r>
        <w:rPr>
          <w:rFonts w:hAnsi="仿宋"/>
          <w:sz w:val="32"/>
          <w:szCs w:val="32"/>
        </w:rPr>
        <w:t>。</w:t>
      </w:r>
    </w:p>
    <w:p w14:paraId="5DDCD15E">
      <w:pPr>
        <w:spacing w:line="579" w:lineRule="exact"/>
        <w:ind w:firstLine="670" w:firstLineChars="200"/>
        <w:rPr>
          <w:rFonts w:hint="eastAsia" w:hAnsi="仿宋"/>
          <w:sz w:val="32"/>
          <w:szCs w:val="32"/>
        </w:rPr>
      </w:pPr>
      <w:r>
        <w:rPr>
          <w:rFonts w:hint="eastAsia" w:hAnsi="仿宋"/>
          <w:sz w:val="32"/>
          <w:szCs w:val="32"/>
        </w:rPr>
        <w:t>“决策”指标由“项目立项、资金投入”</w:t>
      </w:r>
      <w:r>
        <w:rPr>
          <w:rFonts w:hint="eastAsia" w:hAnsi="仿宋"/>
          <w:sz w:val="32"/>
          <w:szCs w:val="32"/>
          <w:lang w:val="en-US" w:eastAsia="zh-CN"/>
        </w:rPr>
        <w:t>2</w:t>
      </w:r>
      <w:r>
        <w:rPr>
          <w:rFonts w:hint="eastAsia" w:hAnsi="仿宋"/>
          <w:sz w:val="32"/>
          <w:szCs w:val="32"/>
        </w:rPr>
        <w:t>个二级指标构成，同时将</w:t>
      </w:r>
      <w:r>
        <w:rPr>
          <w:rFonts w:hint="eastAsia" w:hAnsi="仿宋"/>
          <w:sz w:val="32"/>
          <w:szCs w:val="32"/>
          <w:lang w:val="en-US" w:eastAsia="zh-CN"/>
        </w:rPr>
        <w:t>2</w:t>
      </w:r>
      <w:r>
        <w:rPr>
          <w:rFonts w:hint="eastAsia" w:hAnsi="仿宋"/>
          <w:sz w:val="32"/>
          <w:szCs w:val="32"/>
        </w:rPr>
        <w:t>个二级指标细化为</w:t>
      </w:r>
      <w:r>
        <w:rPr>
          <w:rFonts w:hint="eastAsia" w:hAnsi="仿宋"/>
          <w:sz w:val="32"/>
          <w:szCs w:val="32"/>
          <w:lang w:val="en-US" w:eastAsia="zh-CN"/>
        </w:rPr>
        <w:t>5</w:t>
      </w:r>
      <w:r>
        <w:rPr>
          <w:rFonts w:hint="eastAsia" w:hAnsi="仿宋"/>
          <w:sz w:val="32"/>
          <w:szCs w:val="32"/>
        </w:rPr>
        <w:t>个三级指标。考核项目立项程序规范性、绩效目标合理性、绩效指标明确性、</w:t>
      </w:r>
      <w:r>
        <w:rPr>
          <w:rFonts w:hint="eastAsia" w:hAnsi="仿宋"/>
          <w:sz w:val="32"/>
          <w:szCs w:val="32"/>
          <w:lang w:val="en-US" w:eastAsia="zh-CN"/>
        </w:rPr>
        <w:t>资金到位率</w:t>
      </w:r>
      <w:r>
        <w:rPr>
          <w:rFonts w:hint="eastAsia" w:hAnsi="仿宋"/>
          <w:sz w:val="32"/>
          <w:szCs w:val="32"/>
        </w:rPr>
        <w:t>以及</w:t>
      </w:r>
      <w:r>
        <w:rPr>
          <w:rFonts w:hint="eastAsia" w:hAnsi="仿宋"/>
          <w:sz w:val="32"/>
          <w:szCs w:val="32"/>
          <w:lang w:val="en-US" w:eastAsia="zh-CN"/>
        </w:rPr>
        <w:t>资金到位及时率</w:t>
      </w:r>
      <w:r>
        <w:rPr>
          <w:rFonts w:hint="eastAsia" w:hAnsi="仿宋"/>
          <w:sz w:val="32"/>
          <w:szCs w:val="32"/>
        </w:rPr>
        <w:t>。</w:t>
      </w:r>
    </w:p>
    <w:p w14:paraId="30497036">
      <w:pPr>
        <w:spacing w:line="579" w:lineRule="exact"/>
        <w:ind w:firstLine="670" w:firstLineChars="200"/>
        <w:rPr>
          <w:rFonts w:hint="eastAsia" w:hAnsi="仿宋"/>
          <w:sz w:val="32"/>
          <w:szCs w:val="32"/>
        </w:rPr>
      </w:pPr>
      <w:r>
        <w:rPr>
          <w:rFonts w:hint="eastAsia" w:hAnsi="仿宋"/>
          <w:sz w:val="32"/>
          <w:szCs w:val="32"/>
        </w:rPr>
        <w:t>“过程”指标由“</w:t>
      </w:r>
      <w:r>
        <w:rPr>
          <w:rFonts w:hint="eastAsia" w:hAnsi="仿宋"/>
          <w:sz w:val="32"/>
          <w:szCs w:val="32"/>
          <w:lang w:val="en-US" w:eastAsia="zh-CN"/>
        </w:rPr>
        <w:t>业务</w:t>
      </w:r>
      <w:r>
        <w:rPr>
          <w:rFonts w:hint="eastAsia" w:hAnsi="仿宋"/>
          <w:sz w:val="32"/>
          <w:szCs w:val="32"/>
        </w:rPr>
        <w:t>管理、</w:t>
      </w:r>
      <w:r>
        <w:rPr>
          <w:rFonts w:hint="eastAsia" w:hAnsi="仿宋"/>
          <w:sz w:val="32"/>
          <w:szCs w:val="32"/>
          <w:lang w:val="en-US" w:eastAsia="zh-CN"/>
        </w:rPr>
        <w:t>财务</w:t>
      </w:r>
      <w:r>
        <w:rPr>
          <w:rFonts w:hint="eastAsia" w:hAnsi="仿宋"/>
          <w:sz w:val="32"/>
          <w:szCs w:val="32"/>
        </w:rPr>
        <w:t>管理”</w:t>
      </w:r>
      <w:r>
        <w:rPr>
          <w:rFonts w:hint="eastAsia" w:hAnsi="仿宋"/>
          <w:sz w:val="32"/>
          <w:szCs w:val="32"/>
          <w:lang w:val="en-US" w:eastAsia="zh-CN"/>
        </w:rPr>
        <w:t>2</w:t>
      </w:r>
      <w:r>
        <w:rPr>
          <w:rFonts w:hint="eastAsia" w:hAnsi="仿宋"/>
          <w:sz w:val="32"/>
          <w:szCs w:val="32"/>
        </w:rPr>
        <w:t>个二级指标构成，同时将</w:t>
      </w:r>
      <w:r>
        <w:rPr>
          <w:rFonts w:hint="eastAsia" w:hAnsi="仿宋"/>
          <w:sz w:val="32"/>
          <w:szCs w:val="32"/>
          <w:lang w:val="en-US" w:eastAsia="zh-CN"/>
        </w:rPr>
        <w:t>2</w:t>
      </w:r>
      <w:r>
        <w:rPr>
          <w:rFonts w:hint="eastAsia" w:hAnsi="仿宋"/>
          <w:sz w:val="32"/>
          <w:szCs w:val="32"/>
        </w:rPr>
        <w:t>个二级指标分解为</w:t>
      </w:r>
      <w:r>
        <w:rPr>
          <w:rFonts w:hint="eastAsia" w:hAnsi="仿宋"/>
          <w:sz w:val="32"/>
          <w:szCs w:val="32"/>
          <w:lang w:val="en-US" w:eastAsia="zh-CN"/>
        </w:rPr>
        <w:t>6</w:t>
      </w:r>
      <w:r>
        <w:rPr>
          <w:rFonts w:hint="eastAsia" w:hAnsi="仿宋"/>
          <w:sz w:val="32"/>
          <w:szCs w:val="32"/>
        </w:rPr>
        <w:t>个三级指标。主要考核</w:t>
      </w:r>
      <w:r>
        <w:rPr>
          <w:rFonts w:hint="eastAsia" w:hAnsi="仿宋"/>
          <w:sz w:val="32"/>
          <w:szCs w:val="32"/>
          <w:lang w:val="en-US" w:eastAsia="zh-CN"/>
        </w:rPr>
        <w:t>项目管理制度健全性、制度执行有效性、项目质量可控性、财务管理制度健全性、资金使用合规性、财务监控有效性</w:t>
      </w:r>
      <w:r>
        <w:rPr>
          <w:rFonts w:hint="eastAsia" w:hAnsi="仿宋"/>
          <w:sz w:val="32"/>
          <w:szCs w:val="32"/>
        </w:rPr>
        <w:t>。</w:t>
      </w:r>
    </w:p>
    <w:p w14:paraId="42FD949D">
      <w:pPr>
        <w:spacing w:line="579" w:lineRule="exact"/>
        <w:ind w:firstLine="670" w:firstLineChars="200"/>
        <w:rPr>
          <w:rFonts w:hint="eastAsia" w:hAnsi="仿宋"/>
          <w:sz w:val="32"/>
          <w:szCs w:val="32"/>
        </w:rPr>
      </w:pPr>
      <w:r>
        <w:rPr>
          <w:rFonts w:hint="eastAsia" w:hAnsi="仿宋"/>
          <w:sz w:val="32"/>
          <w:szCs w:val="32"/>
        </w:rPr>
        <w:t>“产出”指标由“产出数量、产出</w:t>
      </w:r>
      <w:r>
        <w:rPr>
          <w:rFonts w:hint="eastAsia" w:hAnsi="仿宋"/>
          <w:sz w:val="32"/>
          <w:szCs w:val="32"/>
          <w:lang w:val="en-US" w:eastAsia="zh-CN"/>
        </w:rPr>
        <w:t>时效、产出质量、产出成本</w:t>
      </w:r>
      <w:r>
        <w:rPr>
          <w:rFonts w:hint="eastAsia" w:hAnsi="仿宋"/>
          <w:sz w:val="32"/>
          <w:szCs w:val="32"/>
        </w:rPr>
        <w:t>”</w:t>
      </w:r>
      <w:r>
        <w:rPr>
          <w:rFonts w:hint="eastAsia" w:hAnsi="仿宋"/>
          <w:sz w:val="32"/>
          <w:szCs w:val="32"/>
          <w:lang w:val="en-US" w:eastAsia="zh-CN"/>
        </w:rPr>
        <w:t>4</w:t>
      </w:r>
      <w:r>
        <w:rPr>
          <w:rFonts w:hint="eastAsia" w:hAnsi="仿宋"/>
          <w:sz w:val="32"/>
          <w:szCs w:val="32"/>
        </w:rPr>
        <w:t>个二级指标构成，同时将</w:t>
      </w:r>
      <w:r>
        <w:rPr>
          <w:rFonts w:hint="eastAsia" w:hAnsi="仿宋"/>
          <w:sz w:val="32"/>
          <w:szCs w:val="32"/>
          <w:lang w:val="en-US" w:eastAsia="zh-CN"/>
        </w:rPr>
        <w:t>2</w:t>
      </w:r>
      <w:r>
        <w:rPr>
          <w:rFonts w:hint="eastAsia" w:hAnsi="仿宋"/>
          <w:sz w:val="32"/>
          <w:szCs w:val="32"/>
        </w:rPr>
        <w:t>个二级指标分解为</w:t>
      </w:r>
      <w:r>
        <w:rPr>
          <w:rFonts w:hint="eastAsia" w:hAnsi="仿宋"/>
          <w:sz w:val="32"/>
          <w:szCs w:val="32"/>
          <w:lang w:val="en-US" w:eastAsia="zh-CN"/>
        </w:rPr>
        <w:t>4</w:t>
      </w:r>
      <w:r>
        <w:rPr>
          <w:rFonts w:hint="eastAsia" w:hAnsi="仿宋"/>
          <w:sz w:val="32"/>
          <w:szCs w:val="32"/>
        </w:rPr>
        <w:t>个三级指标，主要</w:t>
      </w:r>
      <w:r>
        <w:rPr>
          <w:rFonts w:hint="eastAsia" w:hAnsi="仿宋"/>
          <w:sz w:val="32"/>
          <w:szCs w:val="32"/>
          <w:lang w:val="en-US" w:eastAsia="zh-CN"/>
        </w:rPr>
        <w:t>考核项目实际完成情况，完成及时性、项目完成质量、项目完成成本</w:t>
      </w:r>
      <w:r>
        <w:rPr>
          <w:rFonts w:hint="eastAsia" w:hAnsi="仿宋"/>
          <w:sz w:val="32"/>
          <w:szCs w:val="32"/>
        </w:rPr>
        <w:t>。</w:t>
      </w:r>
    </w:p>
    <w:p w14:paraId="4FC6D972">
      <w:pPr>
        <w:spacing w:line="579" w:lineRule="exact"/>
        <w:ind w:firstLine="670" w:firstLineChars="200"/>
        <w:rPr>
          <w:rFonts w:hint="eastAsia" w:hAnsi="仿宋"/>
          <w:sz w:val="32"/>
          <w:szCs w:val="32"/>
        </w:rPr>
      </w:pPr>
      <w:r>
        <w:rPr>
          <w:rFonts w:hint="eastAsia" w:hAnsi="仿宋"/>
          <w:sz w:val="32"/>
          <w:szCs w:val="32"/>
        </w:rPr>
        <w:t>“效益”指标由</w:t>
      </w:r>
      <w:r>
        <w:rPr>
          <w:rFonts w:hint="eastAsia" w:hAnsi="仿宋"/>
          <w:sz w:val="32"/>
          <w:szCs w:val="32"/>
          <w:lang w:eastAsia="zh-CN"/>
        </w:rPr>
        <w:t>“</w:t>
      </w:r>
      <w:r>
        <w:rPr>
          <w:rFonts w:hint="eastAsia" w:hAnsi="仿宋"/>
          <w:sz w:val="32"/>
          <w:szCs w:val="32"/>
        </w:rPr>
        <w:t>社会效益、</w:t>
      </w:r>
      <w:r>
        <w:rPr>
          <w:rFonts w:hint="eastAsia" w:hAnsi="仿宋"/>
          <w:sz w:val="32"/>
          <w:szCs w:val="32"/>
          <w:lang w:val="en-US" w:eastAsia="zh-CN"/>
        </w:rPr>
        <w:t>经济效益、</w:t>
      </w:r>
      <w:r>
        <w:rPr>
          <w:rFonts w:hint="eastAsia" w:hAnsi="仿宋"/>
          <w:sz w:val="32"/>
          <w:szCs w:val="32"/>
        </w:rPr>
        <w:t>满意度”</w:t>
      </w:r>
      <w:r>
        <w:rPr>
          <w:rFonts w:hint="eastAsia" w:hAnsi="仿宋"/>
          <w:sz w:val="32"/>
          <w:szCs w:val="32"/>
          <w:lang w:val="en-US" w:eastAsia="zh-CN"/>
        </w:rPr>
        <w:t>3</w:t>
      </w:r>
      <w:r>
        <w:rPr>
          <w:rFonts w:hint="eastAsia" w:hAnsi="仿宋"/>
          <w:sz w:val="32"/>
          <w:szCs w:val="32"/>
        </w:rPr>
        <w:t>个二级指标构成，同时将</w:t>
      </w:r>
      <w:r>
        <w:rPr>
          <w:rFonts w:hint="eastAsia" w:hAnsi="仿宋"/>
          <w:sz w:val="32"/>
          <w:szCs w:val="32"/>
          <w:lang w:val="en-US" w:eastAsia="zh-CN"/>
        </w:rPr>
        <w:t>3</w:t>
      </w:r>
      <w:r>
        <w:rPr>
          <w:rFonts w:hint="eastAsia" w:hAnsi="仿宋"/>
          <w:sz w:val="32"/>
          <w:szCs w:val="32"/>
        </w:rPr>
        <w:t>个二级指标细化为</w:t>
      </w:r>
      <w:r>
        <w:rPr>
          <w:rFonts w:hint="eastAsia" w:hAnsi="仿宋"/>
          <w:sz w:val="32"/>
          <w:szCs w:val="32"/>
          <w:lang w:val="en-US" w:eastAsia="zh-CN"/>
        </w:rPr>
        <w:t>3</w:t>
      </w:r>
      <w:r>
        <w:rPr>
          <w:rFonts w:hint="eastAsia" w:hAnsi="仿宋"/>
          <w:sz w:val="32"/>
          <w:szCs w:val="32"/>
        </w:rPr>
        <w:t>个三级指标，主要考核提升所在地区知名度、美誉度</w:t>
      </w:r>
      <w:r>
        <w:rPr>
          <w:rFonts w:hint="eastAsia" w:hAnsi="仿宋"/>
          <w:sz w:val="32"/>
          <w:szCs w:val="32"/>
          <w:lang w:eastAsia="zh-CN"/>
        </w:rPr>
        <w:t>，带动相关产业产值增长，群众满意度</w:t>
      </w:r>
      <w:r>
        <w:rPr>
          <w:rFonts w:hint="eastAsia" w:hAnsi="仿宋"/>
          <w:sz w:val="32"/>
          <w:szCs w:val="32"/>
        </w:rPr>
        <w:t>。</w:t>
      </w:r>
    </w:p>
    <w:p w14:paraId="4E1662F5">
      <w:pPr>
        <w:spacing w:line="579" w:lineRule="exact"/>
        <w:ind w:firstLine="632"/>
        <w:outlineLvl w:val="1"/>
        <w:rPr>
          <w:rFonts w:hint="eastAsia" w:ascii="楷体" w:hAnsi="楷体" w:eastAsia="楷体"/>
          <w:szCs w:val="30"/>
          <w:lang w:val="en-US" w:eastAsia="zh-CN"/>
        </w:rPr>
      </w:pPr>
      <w:bookmarkStart w:id="34" w:name="_Toc81575277"/>
      <w:bookmarkStart w:id="35" w:name="_Toc15303"/>
      <w:bookmarkStart w:id="36" w:name="_Toc2955"/>
      <w:bookmarkStart w:id="37" w:name="_Toc81575278"/>
      <w:r>
        <w:rPr>
          <w:rFonts w:hint="eastAsia" w:ascii="楷体" w:hAnsi="楷体" w:eastAsia="楷体"/>
          <w:szCs w:val="30"/>
        </w:rPr>
        <w:t>（</w:t>
      </w:r>
      <w:r>
        <w:rPr>
          <w:rFonts w:hint="eastAsia" w:ascii="楷体" w:hAnsi="楷体" w:eastAsia="楷体"/>
          <w:szCs w:val="30"/>
          <w:lang w:val="en-US" w:eastAsia="zh-CN"/>
        </w:rPr>
        <w:t>六</w:t>
      </w:r>
      <w:r>
        <w:rPr>
          <w:rFonts w:hint="eastAsia" w:ascii="楷体" w:hAnsi="楷体" w:eastAsia="楷体"/>
          <w:szCs w:val="30"/>
        </w:rPr>
        <w:t>）</w:t>
      </w:r>
      <w:bookmarkStart w:id="38" w:name="_Toc11427721"/>
      <w:bookmarkStart w:id="39" w:name="_Toc80023565"/>
      <w:r>
        <w:rPr>
          <w:rFonts w:hint="eastAsia" w:ascii="楷体" w:hAnsi="楷体" w:eastAsia="楷体"/>
          <w:szCs w:val="30"/>
          <w:lang w:val="en-US" w:eastAsia="zh-CN"/>
        </w:rPr>
        <w:t>绩效</w:t>
      </w:r>
      <w:r>
        <w:rPr>
          <w:rFonts w:hint="eastAsia" w:ascii="楷体" w:hAnsi="楷体" w:eastAsia="楷体"/>
          <w:szCs w:val="30"/>
        </w:rPr>
        <w:t>评价</w:t>
      </w:r>
      <w:bookmarkEnd w:id="34"/>
      <w:bookmarkEnd w:id="38"/>
      <w:bookmarkEnd w:id="39"/>
      <w:r>
        <w:rPr>
          <w:rFonts w:hint="eastAsia" w:ascii="楷体" w:hAnsi="楷体" w:eastAsia="楷体"/>
          <w:szCs w:val="30"/>
          <w:lang w:val="en-US" w:eastAsia="zh-CN"/>
        </w:rPr>
        <w:t>抽样</w:t>
      </w:r>
      <w:bookmarkEnd w:id="35"/>
      <w:bookmarkEnd w:id="36"/>
    </w:p>
    <w:p w14:paraId="23437ACD">
      <w:pPr>
        <w:spacing w:line="579" w:lineRule="exact"/>
        <w:ind w:firstLine="670" w:firstLineChars="200"/>
        <w:rPr>
          <w:rFonts w:hint="default" w:hAnsi="仿宋" w:eastAsia="仿宋"/>
          <w:sz w:val="32"/>
          <w:szCs w:val="32"/>
          <w:lang w:val="en-US" w:eastAsia="zh-CN"/>
        </w:rPr>
      </w:pPr>
      <w:r>
        <w:rPr>
          <w:rFonts w:hint="eastAsia" w:hAnsi="仿宋"/>
          <w:sz w:val="32"/>
          <w:szCs w:val="32"/>
          <w:lang w:val="en-US" w:eastAsia="zh-CN"/>
        </w:rPr>
        <w:t>本次4A级旅游景区创建奖励资金绩效评价采取100%抽样的方式，对项目进行评价。</w:t>
      </w:r>
    </w:p>
    <w:bookmarkEnd w:id="37"/>
    <w:p w14:paraId="789BE481">
      <w:pPr>
        <w:spacing w:line="579" w:lineRule="exact"/>
        <w:ind w:firstLine="630" w:firstLineChars="200"/>
        <w:outlineLvl w:val="0"/>
        <w:rPr>
          <w:rFonts w:ascii="黑体" w:hAnsi="宋体" w:eastAsia="黑体" w:cs="宋体"/>
          <w:szCs w:val="30"/>
        </w:rPr>
      </w:pPr>
      <w:bookmarkStart w:id="40" w:name="_Toc1492"/>
      <w:bookmarkStart w:id="41" w:name="_Toc6150"/>
      <w:r>
        <w:rPr>
          <w:rFonts w:hint="eastAsia" w:ascii="黑体" w:hAnsi="宋体" w:eastAsia="黑体" w:cs="宋体"/>
          <w:szCs w:val="30"/>
          <w:lang w:val="en-US" w:eastAsia="zh-CN"/>
        </w:rPr>
        <w:t>三</w:t>
      </w:r>
      <w:r>
        <w:rPr>
          <w:rFonts w:hint="eastAsia" w:ascii="黑体" w:hAnsi="宋体" w:eastAsia="黑体" w:cs="宋体"/>
          <w:szCs w:val="30"/>
        </w:rPr>
        <w:t>、</w:t>
      </w:r>
      <w:r>
        <w:rPr>
          <w:rFonts w:hint="eastAsia" w:ascii="黑体" w:hAnsi="黑体" w:eastAsia="黑体"/>
          <w:lang w:val="en-US" w:eastAsia="zh-CN"/>
        </w:rPr>
        <w:t>绩效评价</w:t>
      </w:r>
      <w:r>
        <w:rPr>
          <w:rFonts w:hint="eastAsia" w:ascii="黑体" w:hAnsi="黑体" w:eastAsia="黑体"/>
        </w:rPr>
        <w:t>结论</w:t>
      </w:r>
      <w:bookmarkEnd w:id="40"/>
      <w:bookmarkEnd w:id="41"/>
    </w:p>
    <w:p w14:paraId="6C048683">
      <w:pPr>
        <w:spacing w:line="579" w:lineRule="exact"/>
        <w:ind w:firstLine="630" w:firstLineChars="200"/>
        <w:outlineLvl w:val="1"/>
        <w:rPr>
          <w:rFonts w:ascii="楷体" w:hAnsi="楷体" w:eastAsia="楷体"/>
          <w:szCs w:val="30"/>
        </w:rPr>
      </w:pPr>
      <w:bookmarkStart w:id="42" w:name="_Toc25029"/>
      <w:bookmarkStart w:id="43" w:name="_Toc10886"/>
      <w:r>
        <w:rPr>
          <w:rFonts w:hint="eastAsia" w:ascii="楷体" w:hAnsi="楷体" w:eastAsia="楷体"/>
          <w:szCs w:val="30"/>
        </w:rPr>
        <w:t>（一）绩效评价综合结论</w:t>
      </w:r>
      <w:bookmarkEnd w:id="42"/>
      <w:bookmarkEnd w:id="43"/>
    </w:p>
    <w:p w14:paraId="4BAC42F7">
      <w:pPr>
        <w:spacing w:line="579" w:lineRule="exact"/>
        <w:ind w:firstLine="670" w:firstLineChars="200"/>
        <w:rPr>
          <w:rFonts w:hint="eastAsia" w:hAnsi="仿宋"/>
          <w:szCs w:val="30"/>
          <w:highlight w:val="none"/>
        </w:rPr>
      </w:pPr>
      <w:bookmarkStart w:id="44" w:name="_Hlk525314439"/>
      <w:r>
        <w:rPr>
          <w:rFonts w:hint="eastAsia" w:hAnsi="仿宋"/>
          <w:sz w:val="32"/>
          <w:szCs w:val="32"/>
          <w:highlight w:val="none"/>
          <w:lang w:eastAsia="zh-CN"/>
        </w:rPr>
        <w:t>4A级旅游景区创建奖励资金项目</w:t>
      </w:r>
      <w:r>
        <w:rPr>
          <w:rFonts w:hint="eastAsia" w:hAnsi="仿宋"/>
          <w:sz w:val="32"/>
          <w:szCs w:val="32"/>
          <w:highlight w:val="none"/>
        </w:rPr>
        <w:t>绩效评价得分</w:t>
      </w:r>
      <w:r>
        <w:rPr>
          <w:rFonts w:hint="eastAsia" w:hAnsi="仿宋"/>
          <w:sz w:val="32"/>
          <w:szCs w:val="32"/>
          <w:highlight w:val="none"/>
          <w:lang w:val="en-US" w:eastAsia="zh-CN"/>
        </w:rPr>
        <w:t>94.45</w:t>
      </w:r>
      <w:r>
        <w:rPr>
          <w:rFonts w:hint="eastAsia" w:hAnsi="仿宋"/>
          <w:sz w:val="32"/>
          <w:szCs w:val="32"/>
          <w:highlight w:val="none"/>
        </w:rPr>
        <w:t>分，评价等级为“</w:t>
      </w:r>
      <w:r>
        <w:rPr>
          <w:rFonts w:hint="eastAsia" w:hAnsi="仿宋"/>
          <w:sz w:val="32"/>
          <w:szCs w:val="32"/>
          <w:highlight w:val="none"/>
          <w:lang w:val="en-US" w:eastAsia="zh-CN"/>
        </w:rPr>
        <w:t>优</w:t>
      </w:r>
      <w:r>
        <w:rPr>
          <w:rFonts w:hint="eastAsia" w:hAnsi="仿宋"/>
          <w:sz w:val="32"/>
          <w:szCs w:val="32"/>
          <w:highlight w:val="none"/>
        </w:rPr>
        <w:t>”。一级指标具体得分情况详见下表：</w:t>
      </w:r>
    </w:p>
    <w:p w14:paraId="1B9537BE">
      <w:pPr>
        <w:jc w:val="center"/>
        <w:rPr>
          <w:rFonts w:ascii="黑体" w:hAnsi="黑体" w:eastAsia="黑体" w:cs="宋体"/>
          <w:bCs/>
          <w:sz w:val="24"/>
          <w:szCs w:val="24"/>
        </w:rPr>
      </w:pPr>
      <w:r>
        <w:rPr>
          <w:rFonts w:hint="eastAsia" w:ascii="黑体" w:hAnsi="黑体" w:eastAsia="黑体" w:cs="宋体"/>
          <w:bCs/>
          <w:sz w:val="24"/>
          <w:szCs w:val="24"/>
        </w:rPr>
        <w:t>表</w:t>
      </w:r>
      <w:r>
        <w:rPr>
          <w:rFonts w:hint="eastAsia" w:ascii="黑体" w:hAnsi="黑体" w:eastAsia="黑体" w:cs="宋体"/>
          <w:bCs/>
          <w:sz w:val="24"/>
          <w:szCs w:val="24"/>
          <w:lang w:val="en-US" w:eastAsia="zh-CN"/>
        </w:rPr>
        <w:t xml:space="preserve">2 </w:t>
      </w:r>
      <w:r>
        <w:rPr>
          <w:rFonts w:hint="eastAsia" w:ascii="黑体" w:hAnsi="黑体" w:eastAsia="黑体" w:cs="宋体"/>
          <w:bCs/>
          <w:sz w:val="24"/>
          <w:szCs w:val="24"/>
        </w:rPr>
        <w:t>绩效评价得分情况表</w:t>
      </w:r>
    </w:p>
    <w:tbl>
      <w:tblPr>
        <w:tblStyle w:val="17"/>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212"/>
        <w:gridCol w:w="2211"/>
        <w:gridCol w:w="2211"/>
        <w:gridCol w:w="2211"/>
      </w:tblGrid>
      <w:tr w14:paraId="635BD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3" w:hRule="atLeast"/>
          <w:tblHeader/>
          <w:jc w:val="center"/>
        </w:trPr>
        <w:tc>
          <w:tcPr>
            <w:tcW w:w="2212" w:type="dxa"/>
            <w:tcBorders>
              <w:top w:val="single" w:color="auto" w:sz="4" w:space="0"/>
            </w:tcBorders>
            <w:vAlign w:val="center"/>
          </w:tcPr>
          <w:p w14:paraId="453715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一级指标</w:t>
            </w:r>
          </w:p>
        </w:tc>
        <w:tc>
          <w:tcPr>
            <w:tcW w:w="2211" w:type="dxa"/>
            <w:tcBorders>
              <w:top w:val="single" w:color="auto" w:sz="4" w:space="0"/>
            </w:tcBorders>
            <w:vAlign w:val="center"/>
          </w:tcPr>
          <w:p w14:paraId="5D7673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指标分值</w:t>
            </w:r>
          </w:p>
        </w:tc>
        <w:tc>
          <w:tcPr>
            <w:tcW w:w="2211" w:type="dxa"/>
            <w:tcBorders>
              <w:top w:val="single" w:color="auto" w:sz="4" w:space="0"/>
            </w:tcBorders>
            <w:vAlign w:val="center"/>
          </w:tcPr>
          <w:p w14:paraId="0E5B13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评价得分</w:t>
            </w:r>
          </w:p>
        </w:tc>
        <w:tc>
          <w:tcPr>
            <w:tcW w:w="2211" w:type="dxa"/>
            <w:tcBorders>
              <w:top w:val="single" w:color="auto" w:sz="4" w:space="0"/>
            </w:tcBorders>
            <w:vAlign w:val="center"/>
          </w:tcPr>
          <w:p w14:paraId="44713A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得分率</w:t>
            </w:r>
          </w:p>
        </w:tc>
      </w:tr>
      <w:tr w14:paraId="0503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2212" w:type="dxa"/>
            <w:vAlign w:val="center"/>
          </w:tcPr>
          <w:p w14:paraId="32E8F1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hAnsi="仿宋" w:eastAsia="仿宋" w:cs="宋体"/>
                <w:bCs/>
                <w:spacing w:val="6"/>
                <w:sz w:val="21"/>
                <w:highlight w:val="none"/>
                <w:lang w:val="en-US" w:eastAsia="zh-CN"/>
              </w:rPr>
            </w:pPr>
            <w:r>
              <w:rPr>
                <w:rFonts w:hint="eastAsia" w:ascii="仿宋" w:hAnsi="仿宋" w:eastAsia="仿宋" w:cs="仿宋"/>
                <w:i w:val="0"/>
                <w:iCs w:val="0"/>
                <w:color w:val="000000"/>
                <w:kern w:val="0"/>
                <w:sz w:val="21"/>
                <w:szCs w:val="21"/>
                <w:u w:val="none"/>
                <w:lang w:val="en-US" w:eastAsia="zh-CN" w:bidi="ar"/>
              </w:rPr>
              <w:t>决策</w:t>
            </w:r>
          </w:p>
        </w:tc>
        <w:tc>
          <w:tcPr>
            <w:tcW w:w="2211" w:type="dxa"/>
            <w:vAlign w:val="center"/>
          </w:tcPr>
          <w:p w14:paraId="674730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cs="宋体"/>
                <w:bCs/>
                <w:spacing w:val="6"/>
                <w:sz w:val="21"/>
                <w:highlight w:val="none"/>
                <w:lang w:val="en-US"/>
              </w:rPr>
            </w:pPr>
            <w:r>
              <w:rPr>
                <w:rFonts w:hint="eastAsia" w:ascii="仿宋" w:hAnsi="仿宋" w:eastAsia="仿宋" w:cs="仿宋"/>
                <w:i w:val="0"/>
                <w:iCs w:val="0"/>
                <w:color w:val="000000"/>
                <w:kern w:val="0"/>
                <w:sz w:val="21"/>
                <w:szCs w:val="21"/>
                <w:u w:val="none"/>
                <w:lang w:val="en-US" w:eastAsia="zh-CN" w:bidi="ar"/>
              </w:rPr>
              <w:t>1</w:t>
            </w:r>
            <w:r>
              <w:rPr>
                <w:rFonts w:hint="eastAsia" w:hAnsi="仿宋" w:cs="仿宋"/>
                <w:i w:val="0"/>
                <w:iCs w:val="0"/>
                <w:color w:val="000000"/>
                <w:kern w:val="0"/>
                <w:sz w:val="21"/>
                <w:szCs w:val="21"/>
                <w:u w:val="none"/>
                <w:lang w:val="en-US" w:eastAsia="zh-CN" w:bidi="ar"/>
              </w:rPr>
              <w:t>1</w:t>
            </w:r>
          </w:p>
        </w:tc>
        <w:tc>
          <w:tcPr>
            <w:tcW w:w="2211" w:type="dxa"/>
            <w:vAlign w:val="center"/>
          </w:tcPr>
          <w:p w14:paraId="231B6E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10.20</w:t>
            </w:r>
          </w:p>
        </w:tc>
        <w:tc>
          <w:tcPr>
            <w:tcW w:w="2211" w:type="dxa"/>
            <w:vAlign w:val="center"/>
          </w:tcPr>
          <w:p w14:paraId="5E77C9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Cs/>
                <w:spacing w:val="6"/>
                <w:sz w:val="21"/>
                <w:highlight w:val="none"/>
              </w:rPr>
            </w:pPr>
            <w:r>
              <w:rPr>
                <w:rFonts w:hint="eastAsia" w:hAnsi="仿宋" w:cs="仿宋"/>
                <w:i w:val="0"/>
                <w:iCs w:val="0"/>
                <w:color w:val="000000"/>
                <w:kern w:val="0"/>
                <w:sz w:val="21"/>
                <w:szCs w:val="21"/>
                <w:u w:val="none"/>
                <w:lang w:val="en-US" w:eastAsia="zh-CN" w:bidi="ar"/>
              </w:rPr>
              <w:t>92.73</w:t>
            </w:r>
            <w:r>
              <w:rPr>
                <w:rFonts w:hint="eastAsia" w:ascii="仿宋" w:hAnsi="仿宋" w:eastAsia="仿宋" w:cs="仿宋"/>
                <w:i w:val="0"/>
                <w:iCs w:val="0"/>
                <w:color w:val="000000"/>
                <w:kern w:val="0"/>
                <w:sz w:val="21"/>
                <w:szCs w:val="21"/>
                <w:u w:val="none"/>
                <w:lang w:val="en-US" w:eastAsia="zh-CN" w:bidi="ar"/>
              </w:rPr>
              <w:t>%</w:t>
            </w:r>
          </w:p>
        </w:tc>
      </w:tr>
      <w:tr w14:paraId="023D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2" w:hRule="atLeast"/>
          <w:jc w:val="center"/>
        </w:trPr>
        <w:tc>
          <w:tcPr>
            <w:tcW w:w="2212" w:type="dxa"/>
            <w:vAlign w:val="center"/>
          </w:tcPr>
          <w:p w14:paraId="005DD4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Cs/>
                <w:spacing w:val="6"/>
                <w:sz w:val="21"/>
                <w:highlight w:val="none"/>
              </w:rPr>
            </w:pPr>
            <w:r>
              <w:rPr>
                <w:rFonts w:hint="eastAsia" w:ascii="仿宋" w:hAnsi="仿宋" w:eastAsia="仿宋" w:cs="仿宋"/>
                <w:i w:val="0"/>
                <w:iCs w:val="0"/>
                <w:color w:val="000000"/>
                <w:kern w:val="0"/>
                <w:sz w:val="21"/>
                <w:szCs w:val="21"/>
                <w:u w:val="none"/>
                <w:lang w:val="en-US" w:eastAsia="zh-CN" w:bidi="ar"/>
              </w:rPr>
              <w:t>过程</w:t>
            </w:r>
          </w:p>
        </w:tc>
        <w:tc>
          <w:tcPr>
            <w:tcW w:w="2211" w:type="dxa"/>
            <w:vAlign w:val="center"/>
          </w:tcPr>
          <w:p w14:paraId="265EFA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cs="宋体"/>
                <w:bCs/>
                <w:spacing w:val="6"/>
                <w:sz w:val="21"/>
                <w:highlight w:val="none"/>
                <w:lang w:val="en-US"/>
              </w:rPr>
            </w:pPr>
            <w:r>
              <w:rPr>
                <w:rFonts w:hint="eastAsia" w:hAnsi="仿宋" w:cs="仿宋"/>
                <w:i w:val="0"/>
                <w:iCs w:val="0"/>
                <w:color w:val="000000"/>
                <w:kern w:val="0"/>
                <w:sz w:val="21"/>
                <w:szCs w:val="21"/>
                <w:u w:val="none"/>
                <w:lang w:val="en-US" w:eastAsia="zh-CN" w:bidi="ar"/>
              </w:rPr>
              <w:t>33</w:t>
            </w:r>
          </w:p>
        </w:tc>
        <w:tc>
          <w:tcPr>
            <w:tcW w:w="2211" w:type="dxa"/>
            <w:vAlign w:val="center"/>
          </w:tcPr>
          <w:p w14:paraId="3E5139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eastAsia="仿宋" w:cs="宋体"/>
                <w:bCs/>
                <w:spacing w:val="6"/>
                <w:sz w:val="21"/>
                <w:highlight w:val="none"/>
                <w:lang w:val="en-US" w:eastAsia="zh-CN"/>
              </w:rPr>
            </w:pPr>
            <w:r>
              <w:rPr>
                <w:rFonts w:hint="eastAsia" w:hAnsi="仿宋" w:cs="仿宋"/>
                <w:i w:val="0"/>
                <w:iCs w:val="0"/>
                <w:color w:val="000000"/>
                <w:kern w:val="0"/>
                <w:sz w:val="21"/>
                <w:szCs w:val="21"/>
                <w:u w:val="none"/>
                <w:lang w:val="en-US" w:eastAsia="zh-CN" w:bidi="ar"/>
              </w:rPr>
              <w:t>33</w:t>
            </w:r>
          </w:p>
        </w:tc>
        <w:tc>
          <w:tcPr>
            <w:tcW w:w="2211" w:type="dxa"/>
            <w:vAlign w:val="center"/>
          </w:tcPr>
          <w:p w14:paraId="532F92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cs="宋体"/>
                <w:bCs/>
                <w:spacing w:val="6"/>
                <w:sz w:val="21"/>
                <w:highlight w:val="none"/>
                <w:lang w:val="en-US"/>
              </w:rPr>
            </w:pPr>
            <w:r>
              <w:rPr>
                <w:rFonts w:hint="eastAsia" w:hAnsi="仿宋" w:cs="仿宋"/>
                <w:i w:val="0"/>
                <w:iCs w:val="0"/>
                <w:color w:val="000000"/>
                <w:kern w:val="0"/>
                <w:sz w:val="21"/>
                <w:szCs w:val="21"/>
                <w:u w:val="none"/>
                <w:lang w:val="en-US" w:eastAsia="zh-CN" w:bidi="ar"/>
              </w:rPr>
              <w:t>100%</w:t>
            </w:r>
          </w:p>
        </w:tc>
      </w:tr>
      <w:tr w14:paraId="08FD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1" w:hRule="atLeast"/>
          <w:jc w:val="center"/>
        </w:trPr>
        <w:tc>
          <w:tcPr>
            <w:tcW w:w="2212" w:type="dxa"/>
            <w:vAlign w:val="center"/>
          </w:tcPr>
          <w:p w14:paraId="5DA627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Cs/>
                <w:spacing w:val="6"/>
                <w:sz w:val="21"/>
                <w:highlight w:val="none"/>
              </w:rPr>
            </w:pPr>
            <w:r>
              <w:rPr>
                <w:rFonts w:hint="eastAsia" w:ascii="仿宋" w:hAnsi="仿宋" w:eastAsia="仿宋" w:cs="仿宋"/>
                <w:i w:val="0"/>
                <w:iCs w:val="0"/>
                <w:color w:val="000000"/>
                <w:kern w:val="0"/>
                <w:sz w:val="21"/>
                <w:szCs w:val="21"/>
                <w:u w:val="none"/>
                <w:lang w:val="en-US" w:eastAsia="zh-CN" w:bidi="ar"/>
              </w:rPr>
              <w:t>产出</w:t>
            </w:r>
          </w:p>
        </w:tc>
        <w:tc>
          <w:tcPr>
            <w:tcW w:w="2211" w:type="dxa"/>
            <w:vAlign w:val="center"/>
          </w:tcPr>
          <w:p w14:paraId="745E8B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32</w:t>
            </w:r>
          </w:p>
        </w:tc>
        <w:tc>
          <w:tcPr>
            <w:tcW w:w="2211" w:type="dxa"/>
            <w:vAlign w:val="center"/>
          </w:tcPr>
          <w:p w14:paraId="383DA0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32</w:t>
            </w:r>
          </w:p>
        </w:tc>
        <w:tc>
          <w:tcPr>
            <w:tcW w:w="2211" w:type="dxa"/>
            <w:vAlign w:val="center"/>
          </w:tcPr>
          <w:p w14:paraId="298F09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Cs/>
                <w:spacing w:val="6"/>
                <w:sz w:val="21"/>
                <w:highlight w:val="none"/>
              </w:rPr>
            </w:pPr>
            <w:r>
              <w:rPr>
                <w:rFonts w:hint="eastAsia" w:hAnsi="仿宋" w:cs="仿宋"/>
                <w:i w:val="0"/>
                <w:iCs w:val="0"/>
                <w:color w:val="000000"/>
                <w:kern w:val="0"/>
                <w:sz w:val="21"/>
                <w:szCs w:val="21"/>
                <w:u w:val="none"/>
                <w:lang w:val="en-US" w:eastAsia="zh-CN" w:bidi="ar"/>
              </w:rPr>
              <w:t>100</w:t>
            </w:r>
            <w:r>
              <w:rPr>
                <w:rFonts w:hint="eastAsia" w:ascii="仿宋" w:hAnsi="仿宋" w:eastAsia="仿宋" w:cs="仿宋"/>
                <w:i w:val="0"/>
                <w:iCs w:val="0"/>
                <w:color w:val="000000"/>
                <w:kern w:val="0"/>
                <w:sz w:val="21"/>
                <w:szCs w:val="21"/>
                <w:u w:val="none"/>
                <w:lang w:val="en-US" w:eastAsia="zh-CN" w:bidi="ar"/>
              </w:rPr>
              <w:t>%</w:t>
            </w:r>
          </w:p>
        </w:tc>
      </w:tr>
      <w:tr w14:paraId="3ADB1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2212" w:type="dxa"/>
            <w:vAlign w:val="center"/>
          </w:tcPr>
          <w:p w14:paraId="67E0E1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Cs/>
                <w:spacing w:val="6"/>
                <w:sz w:val="21"/>
                <w:highlight w:val="none"/>
              </w:rPr>
            </w:pPr>
            <w:r>
              <w:rPr>
                <w:rFonts w:hint="eastAsia" w:ascii="仿宋" w:hAnsi="仿宋" w:eastAsia="仿宋" w:cs="仿宋"/>
                <w:i w:val="0"/>
                <w:iCs w:val="0"/>
                <w:color w:val="000000"/>
                <w:kern w:val="0"/>
                <w:sz w:val="21"/>
                <w:szCs w:val="21"/>
                <w:u w:val="none"/>
                <w:lang w:val="en-US" w:eastAsia="zh-CN" w:bidi="ar"/>
              </w:rPr>
              <w:t>效果</w:t>
            </w:r>
          </w:p>
        </w:tc>
        <w:tc>
          <w:tcPr>
            <w:tcW w:w="2211" w:type="dxa"/>
            <w:vAlign w:val="center"/>
          </w:tcPr>
          <w:p w14:paraId="039616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24</w:t>
            </w:r>
          </w:p>
        </w:tc>
        <w:tc>
          <w:tcPr>
            <w:tcW w:w="2211" w:type="dxa"/>
            <w:vAlign w:val="center"/>
          </w:tcPr>
          <w:p w14:paraId="5A02A8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eastAsia="仿宋" w:cs="宋体"/>
                <w:bCs/>
                <w:spacing w:val="6"/>
                <w:sz w:val="21"/>
                <w:highlight w:val="none"/>
                <w:lang w:val="en-US" w:eastAsia="zh-CN"/>
              </w:rPr>
            </w:pPr>
            <w:r>
              <w:rPr>
                <w:rFonts w:hint="eastAsia" w:hAnsi="仿宋" w:cs="仿宋"/>
                <w:i w:val="0"/>
                <w:iCs w:val="0"/>
                <w:color w:val="000000"/>
                <w:kern w:val="0"/>
                <w:sz w:val="21"/>
                <w:szCs w:val="21"/>
                <w:u w:val="none"/>
                <w:lang w:val="en-US" w:eastAsia="zh-CN" w:bidi="ar"/>
              </w:rPr>
              <w:t>19.25</w:t>
            </w:r>
          </w:p>
        </w:tc>
        <w:tc>
          <w:tcPr>
            <w:tcW w:w="2211" w:type="dxa"/>
            <w:vAlign w:val="center"/>
          </w:tcPr>
          <w:p w14:paraId="55C723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Cs/>
                <w:spacing w:val="6"/>
                <w:sz w:val="21"/>
                <w:highlight w:val="none"/>
              </w:rPr>
            </w:pPr>
            <w:r>
              <w:rPr>
                <w:rFonts w:hint="eastAsia" w:hAnsi="仿宋" w:cs="仿宋"/>
                <w:i w:val="0"/>
                <w:iCs w:val="0"/>
                <w:color w:val="000000"/>
                <w:kern w:val="0"/>
                <w:sz w:val="21"/>
                <w:szCs w:val="21"/>
                <w:u w:val="none"/>
                <w:lang w:val="en-US" w:eastAsia="zh-CN" w:bidi="ar"/>
              </w:rPr>
              <w:t>80.21</w:t>
            </w:r>
            <w:r>
              <w:rPr>
                <w:rFonts w:hint="eastAsia" w:ascii="仿宋" w:hAnsi="仿宋" w:eastAsia="仿宋" w:cs="仿宋"/>
                <w:i w:val="0"/>
                <w:iCs w:val="0"/>
                <w:color w:val="000000"/>
                <w:kern w:val="0"/>
                <w:sz w:val="21"/>
                <w:szCs w:val="21"/>
                <w:u w:val="none"/>
                <w:lang w:val="en-US" w:eastAsia="zh-CN" w:bidi="ar"/>
              </w:rPr>
              <w:t>%</w:t>
            </w:r>
          </w:p>
        </w:tc>
      </w:tr>
      <w:tr w14:paraId="14D4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2" w:hRule="atLeast"/>
          <w:jc w:val="center"/>
        </w:trPr>
        <w:tc>
          <w:tcPr>
            <w:tcW w:w="2212" w:type="dxa"/>
            <w:vAlign w:val="center"/>
          </w:tcPr>
          <w:p w14:paraId="2D4967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合</w:t>
            </w:r>
            <w:r>
              <w:rPr>
                <w:rStyle w:val="45"/>
                <w:lang w:val="en-US" w:eastAsia="zh-CN" w:bidi="ar"/>
              </w:rPr>
              <w:t xml:space="preserve"> 计</w:t>
            </w:r>
          </w:p>
        </w:tc>
        <w:tc>
          <w:tcPr>
            <w:tcW w:w="2211" w:type="dxa"/>
            <w:vAlign w:val="center"/>
          </w:tcPr>
          <w:p w14:paraId="61473B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100</w:t>
            </w:r>
          </w:p>
        </w:tc>
        <w:tc>
          <w:tcPr>
            <w:tcW w:w="2211" w:type="dxa"/>
            <w:vAlign w:val="center"/>
          </w:tcPr>
          <w:p w14:paraId="55CACC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eastAsia="仿宋" w:cs="宋体"/>
                <w:b/>
                <w:bCs/>
                <w:spacing w:val="6"/>
                <w:sz w:val="21"/>
                <w:highlight w:val="none"/>
                <w:lang w:val="en-US" w:eastAsia="zh-CN"/>
              </w:rPr>
            </w:pPr>
            <w:r>
              <w:rPr>
                <w:rFonts w:hint="eastAsia" w:hAnsi="仿宋" w:cs="宋体"/>
                <w:b/>
                <w:bCs/>
                <w:spacing w:val="6"/>
                <w:sz w:val="21"/>
                <w:highlight w:val="none"/>
                <w:lang w:val="en-US" w:eastAsia="zh-CN"/>
              </w:rPr>
              <w:t>94.45</w:t>
            </w:r>
          </w:p>
        </w:tc>
        <w:tc>
          <w:tcPr>
            <w:tcW w:w="2211" w:type="dxa"/>
            <w:vAlign w:val="center"/>
          </w:tcPr>
          <w:p w14:paraId="45BD3C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
                <w:bCs/>
                <w:spacing w:val="6"/>
                <w:sz w:val="21"/>
                <w:highlight w:val="none"/>
              </w:rPr>
            </w:pPr>
            <w:r>
              <w:rPr>
                <w:rFonts w:hint="eastAsia" w:hAnsi="仿宋" w:cs="宋体"/>
                <w:b/>
                <w:bCs/>
                <w:spacing w:val="6"/>
                <w:sz w:val="21"/>
                <w:highlight w:val="none"/>
                <w:lang w:val="en-US" w:eastAsia="zh-CN"/>
              </w:rPr>
              <w:t>94.45</w:t>
            </w:r>
            <w:r>
              <w:rPr>
                <w:rFonts w:hint="eastAsia" w:ascii="仿宋" w:hAnsi="仿宋" w:eastAsia="仿宋" w:cs="仿宋"/>
                <w:b/>
                <w:bCs/>
                <w:i w:val="0"/>
                <w:iCs w:val="0"/>
                <w:color w:val="000000"/>
                <w:kern w:val="0"/>
                <w:sz w:val="21"/>
                <w:szCs w:val="21"/>
                <w:u w:val="none"/>
                <w:lang w:val="en-US" w:eastAsia="zh-CN" w:bidi="ar"/>
              </w:rPr>
              <w:t>%</w:t>
            </w:r>
          </w:p>
        </w:tc>
      </w:tr>
    </w:tbl>
    <w:p w14:paraId="1901CB34">
      <w:pPr>
        <w:spacing w:line="579" w:lineRule="exact"/>
        <w:ind w:firstLine="670" w:firstLineChars="200"/>
        <w:rPr>
          <w:rFonts w:hint="eastAsia" w:hAnsi="仿宋"/>
          <w:sz w:val="32"/>
          <w:szCs w:val="32"/>
          <w:highlight w:val="none"/>
          <w:lang w:val="en-US" w:eastAsia="zh-CN"/>
        </w:rPr>
      </w:pPr>
      <w:r>
        <w:rPr>
          <w:rFonts w:hint="eastAsia" w:hAnsi="仿宋"/>
          <w:sz w:val="32"/>
          <w:szCs w:val="32"/>
          <w:highlight w:val="none"/>
          <w:lang w:val="en-US" w:eastAsia="zh-CN"/>
        </w:rPr>
        <w:t>整体来看，4A级旅游景区创建奖励资金项目</w:t>
      </w:r>
      <w:r>
        <w:rPr>
          <w:rFonts w:hint="eastAsia" w:hAnsi="仿宋"/>
          <w:sz w:val="32"/>
          <w:szCs w:val="32"/>
          <w:highlight w:val="none"/>
          <w:lang w:eastAsia="zh-CN"/>
        </w:rPr>
        <w:t>，符合《云南省人民政府关于印发2023年推动经济稳进提质政策措施的通知》（云政发〔2023〕2号）</w:t>
      </w:r>
      <w:r>
        <w:rPr>
          <w:rFonts w:hint="eastAsia" w:hAnsi="仿宋"/>
          <w:sz w:val="32"/>
          <w:szCs w:val="32"/>
          <w:highlight w:val="none"/>
          <w:lang w:val="en-US" w:eastAsia="zh-CN"/>
        </w:rPr>
        <w:t>文件精神</w:t>
      </w:r>
      <w:r>
        <w:rPr>
          <w:rFonts w:hint="eastAsia" w:hAnsi="仿宋"/>
          <w:sz w:val="32"/>
          <w:szCs w:val="32"/>
          <w:highlight w:val="none"/>
          <w:lang w:eastAsia="zh-CN"/>
        </w:rPr>
        <w:t>，立项依据充分、程序规范</w:t>
      </w:r>
      <w:r>
        <w:rPr>
          <w:rFonts w:hint="eastAsia" w:hAnsi="仿宋"/>
          <w:sz w:val="32"/>
          <w:szCs w:val="32"/>
          <w:highlight w:val="none"/>
          <w:lang w:val="en-US" w:eastAsia="zh-CN"/>
        </w:rPr>
        <w:t>。</w:t>
      </w:r>
    </w:p>
    <w:p w14:paraId="73442C39">
      <w:pPr>
        <w:spacing w:line="579" w:lineRule="exact"/>
        <w:ind w:firstLine="670" w:firstLineChars="200"/>
        <w:rPr>
          <w:rFonts w:hint="default" w:hAnsi="仿宋"/>
          <w:sz w:val="32"/>
          <w:szCs w:val="32"/>
          <w:highlight w:val="none"/>
          <w:lang w:val="en-US" w:eastAsia="zh-CN"/>
        </w:rPr>
      </w:pPr>
      <w:r>
        <w:rPr>
          <w:rFonts w:hint="eastAsia" w:hAnsi="仿宋"/>
          <w:sz w:val="32"/>
          <w:szCs w:val="32"/>
          <w:highlight w:val="none"/>
          <w:lang w:val="en-US" w:eastAsia="zh-CN"/>
        </w:rPr>
        <w:t>4A级旅游景区创建奖励资金使用具备完整的审批程序和手续，未发现挤占、挪用专项资金的情况。为保障项目顺利实施，执行《云南省4A级旅游景区创建奖励措施实施方案》保障措施：全省各级文化和旅游部门要高度重视此项工作，通过当地政府门户网站或主流媒体对政策进行广泛宣传，积极扩大奖励措施的企业知晓率和参与度。对多头申报、套取、骗取奖励资金，挪用资金用于理财等套利行为，相关行政管理部门将依法取消政策支持，追回奖励资金，予以通报，列入严重违法失信企业名单，三年内不得申报行业发展各类资金，不得享受相关企业优惠政策，并按有关规定追究相关法律责任。以此保障项目的实施。</w:t>
      </w:r>
    </w:p>
    <w:p w14:paraId="4FDF6D6E">
      <w:pPr>
        <w:spacing w:line="579" w:lineRule="exact"/>
        <w:ind w:firstLine="670" w:firstLineChars="200"/>
        <w:rPr>
          <w:rFonts w:hint="default" w:hAnsi="仿宋"/>
          <w:szCs w:val="30"/>
          <w:highlight w:val="none"/>
          <w:lang w:val="en-US" w:eastAsia="zh-CN"/>
        </w:rPr>
      </w:pPr>
      <w:r>
        <w:rPr>
          <w:rFonts w:hint="eastAsia" w:hAnsi="仿宋"/>
          <w:sz w:val="32"/>
          <w:szCs w:val="32"/>
          <w:highlight w:val="none"/>
          <w:lang w:val="en-US" w:eastAsia="zh-CN"/>
        </w:rPr>
        <w:t>通过项目实施，对提升昆明市西山区的知名度美誉度具有重要作用，同时对相关产业产值的增长也具有一定作用但资金有限，产生的效益也是有限的。</w:t>
      </w:r>
    </w:p>
    <w:bookmarkEnd w:id="44"/>
    <w:p w14:paraId="7148ED4E">
      <w:pPr>
        <w:spacing w:line="579" w:lineRule="exact"/>
        <w:ind w:firstLine="630" w:firstLineChars="200"/>
        <w:outlineLvl w:val="1"/>
        <w:rPr>
          <w:rFonts w:ascii="楷体" w:hAnsi="楷体" w:eastAsia="楷体"/>
          <w:szCs w:val="30"/>
        </w:rPr>
      </w:pPr>
      <w:bookmarkStart w:id="45" w:name="_Toc4731"/>
      <w:bookmarkStart w:id="46" w:name="_Toc8128"/>
      <w:r>
        <w:rPr>
          <w:rFonts w:hint="eastAsia" w:ascii="楷体" w:hAnsi="楷体" w:eastAsia="楷体"/>
          <w:szCs w:val="30"/>
        </w:rPr>
        <w:t>（二）绩效目标实现情况</w:t>
      </w:r>
      <w:bookmarkEnd w:id="45"/>
      <w:bookmarkEnd w:id="46"/>
    </w:p>
    <w:p w14:paraId="634070EE">
      <w:pPr>
        <w:ind w:firstLine="630"/>
        <w:rPr>
          <w:rFonts w:hint="eastAsia" w:ascii="黑体" w:hAnsi="黑体" w:eastAsia="黑体" w:cs="宋体"/>
          <w:bCs/>
          <w:sz w:val="32"/>
          <w:szCs w:val="32"/>
        </w:rPr>
      </w:pPr>
      <w:bookmarkStart w:id="47" w:name="_Hlk525314457"/>
      <w:r>
        <w:rPr>
          <w:rFonts w:hint="eastAsia" w:hAnsi="仿宋"/>
          <w:sz w:val="32"/>
          <w:szCs w:val="32"/>
          <w:highlight w:val="none"/>
        </w:rPr>
        <w:t>根据评价情况，</w:t>
      </w:r>
      <w:r>
        <w:rPr>
          <w:rFonts w:hint="eastAsia" w:hAnsi="仿宋"/>
          <w:sz w:val="32"/>
          <w:szCs w:val="32"/>
          <w:lang w:eastAsia="zh-CN"/>
        </w:rPr>
        <w:t>4A级旅游景区创建奖励资金项目</w:t>
      </w:r>
      <w:r>
        <w:rPr>
          <w:rFonts w:hint="eastAsia" w:hAnsi="仿宋"/>
          <w:sz w:val="32"/>
          <w:szCs w:val="32"/>
          <w:highlight w:val="none"/>
          <w:lang w:eastAsia="zh-CN"/>
        </w:rPr>
        <w:t>部分</w:t>
      </w:r>
      <w:r>
        <w:rPr>
          <w:rFonts w:hint="eastAsia" w:hAnsi="仿宋"/>
          <w:sz w:val="32"/>
          <w:szCs w:val="32"/>
          <w:highlight w:val="none"/>
        </w:rPr>
        <w:t>绩效目标未实现，</w:t>
      </w:r>
      <w:bookmarkStart w:id="48" w:name="_Hlk26007902"/>
      <w:r>
        <w:rPr>
          <w:rFonts w:hint="eastAsia" w:hAnsi="仿宋"/>
          <w:sz w:val="32"/>
          <w:szCs w:val="32"/>
          <w:highlight w:val="none"/>
          <w:lang w:val="en-US" w:eastAsia="zh-CN"/>
        </w:rPr>
        <w:t>18</w:t>
      </w:r>
      <w:r>
        <w:rPr>
          <w:rFonts w:hint="eastAsia" w:hAnsi="仿宋"/>
          <w:sz w:val="32"/>
          <w:szCs w:val="32"/>
          <w:highlight w:val="none"/>
        </w:rPr>
        <w:t>项具体绩效指标有</w:t>
      </w:r>
      <w:r>
        <w:rPr>
          <w:rFonts w:hint="eastAsia" w:hAnsi="仿宋"/>
          <w:sz w:val="32"/>
          <w:szCs w:val="32"/>
          <w:highlight w:val="none"/>
          <w:lang w:val="en-US" w:eastAsia="zh-CN"/>
        </w:rPr>
        <w:t>14</w:t>
      </w:r>
      <w:r>
        <w:rPr>
          <w:rFonts w:hint="eastAsia" w:hAnsi="仿宋"/>
          <w:sz w:val="32"/>
          <w:szCs w:val="32"/>
          <w:highlight w:val="none"/>
        </w:rPr>
        <w:t>项</w:t>
      </w:r>
      <w:r>
        <w:rPr>
          <w:rFonts w:hint="eastAsia" w:hAnsi="仿宋"/>
          <w:sz w:val="32"/>
          <w:szCs w:val="32"/>
          <w:highlight w:val="none"/>
          <w:lang w:val="en-US" w:eastAsia="zh-CN"/>
        </w:rPr>
        <w:t>完成</w:t>
      </w:r>
      <w:r>
        <w:rPr>
          <w:rFonts w:hint="eastAsia" w:hAnsi="仿宋"/>
          <w:sz w:val="32"/>
          <w:szCs w:val="32"/>
          <w:highlight w:val="none"/>
        </w:rPr>
        <w:t>,</w:t>
      </w:r>
      <w:bookmarkEnd w:id="48"/>
      <w:r>
        <w:rPr>
          <w:rFonts w:hint="eastAsia" w:hAnsi="仿宋"/>
          <w:sz w:val="32"/>
          <w:szCs w:val="32"/>
          <w:highlight w:val="none"/>
          <w:lang w:val="en-US" w:eastAsia="zh-CN"/>
        </w:rPr>
        <w:t>4项指标部分未实现，</w:t>
      </w:r>
      <w:r>
        <w:rPr>
          <w:rFonts w:hint="eastAsia" w:hAnsi="仿宋"/>
          <w:sz w:val="32"/>
          <w:szCs w:val="32"/>
          <w:highlight w:val="none"/>
        </w:rPr>
        <w:t>各指标完成情况详见下表：</w:t>
      </w:r>
    </w:p>
    <w:p w14:paraId="4D318A41">
      <w:pPr>
        <w:ind w:firstLine="630"/>
        <w:jc w:val="center"/>
        <w:rPr>
          <w:rFonts w:hint="eastAsia" w:ascii="黑体" w:hAnsi="黑体" w:eastAsia="黑体" w:cs="宋体"/>
          <w:bCs/>
          <w:sz w:val="24"/>
          <w:szCs w:val="24"/>
        </w:rPr>
      </w:pPr>
    </w:p>
    <w:p w14:paraId="505F6151">
      <w:pPr>
        <w:ind w:firstLine="630"/>
        <w:jc w:val="center"/>
        <w:rPr>
          <w:rFonts w:hint="eastAsia" w:ascii="黑体" w:hAnsi="黑体" w:eastAsia="黑体" w:cs="宋体"/>
          <w:bCs/>
          <w:sz w:val="24"/>
          <w:szCs w:val="24"/>
        </w:rPr>
      </w:pPr>
      <w:r>
        <w:rPr>
          <w:rFonts w:hint="eastAsia" w:ascii="黑体" w:hAnsi="黑体" w:eastAsia="黑体" w:cs="宋体"/>
          <w:bCs/>
          <w:sz w:val="24"/>
          <w:szCs w:val="24"/>
        </w:rPr>
        <w:t>表</w:t>
      </w:r>
      <w:r>
        <w:rPr>
          <w:rFonts w:hint="eastAsia" w:ascii="黑体" w:hAnsi="黑体" w:eastAsia="黑体" w:cs="宋体"/>
          <w:bCs/>
          <w:sz w:val="24"/>
          <w:szCs w:val="24"/>
          <w:lang w:val="en-US" w:eastAsia="zh-CN"/>
        </w:rPr>
        <w:t xml:space="preserve">3 </w:t>
      </w:r>
      <w:r>
        <w:rPr>
          <w:rFonts w:hint="eastAsia" w:ascii="黑体" w:hAnsi="黑体" w:eastAsia="黑体" w:cs="宋体"/>
          <w:bCs/>
          <w:sz w:val="24"/>
          <w:szCs w:val="24"/>
        </w:rPr>
        <w:t>绩效指标完成情况表</w:t>
      </w:r>
    </w:p>
    <w:bookmarkEnd w:id="47"/>
    <w:tbl>
      <w:tblPr>
        <w:tblStyle w:val="17"/>
        <w:tblW w:w="5426" w:type="pct"/>
        <w:tblInd w:w="-23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7"/>
        <w:gridCol w:w="669"/>
        <w:gridCol w:w="736"/>
        <w:gridCol w:w="2427"/>
        <w:gridCol w:w="955"/>
        <w:gridCol w:w="4418"/>
      </w:tblGrid>
      <w:tr w14:paraId="70A98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2E70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指标</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18F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指标</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3197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42D5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指标解释</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3365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指标实现情况</w:t>
            </w:r>
          </w:p>
        </w:tc>
        <w:tc>
          <w:tcPr>
            <w:tcW w:w="2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FD55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完成情况说明</w:t>
            </w:r>
          </w:p>
        </w:tc>
      </w:tr>
      <w:tr w14:paraId="2DD75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32B1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决策</w:t>
            </w: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03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立项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15E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项目立项规范性</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1C3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项目的申请、设立过程是否符合相关要求，用以反映和考核项目立项的规范情况。</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00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w:t>
            </w:r>
          </w:p>
        </w:tc>
        <w:tc>
          <w:tcPr>
            <w:tcW w:w="2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2BF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西山区文化和旅游局已按规定的程序申请设立，所提交的文件、材料符合相关要求，事前已经过必要的集体决策。</w:t>
            </w:r>
          </w:p>
        </w:tc>
      </w:tr>
      <w:tr w14:paraId="034CD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74730D0">
            <w:pPr>
              <w:jc w:val="center"/>
              <w:rPr>
                <w:rFonts w:hint="eastAsia" w:ascii="宋体" w:hAnsi="宋体" w:eastAsia="宋体" w:cs="宋体"/>
                <w:i w:val="0"/>
                <w:iCs w:val="0"/>
                <w:color w:val="000000"/>
                <w:sz w:val="18"/>
                <w:szCs w:val="18"/>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6CC1B">
            <w:pPr>
              <w:jc w:val="cente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9F7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绩效目标合理性</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BDA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项目所设定的绩效目标是否依据充分，是否符合客观实际，用以反映和考核项目绩效目标与项目实施的相符情况。</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50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w:t>
            </w:r>
          </w:p>
        </w:tc>
        <w:tc>
          <w:tcPr>
            <w:tcW w:w="2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2EE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山区文化和旅游局项目所设定的绩效目标符合国家相关法律法规、国民经济发展规划和党委政府决策，与项目实施单位或委托单位职责密切相关，项目为促进事业发展所必需，项目预期产出效益和效果符合正常的业绩水平。</w:t>
            </w:r>
          </w:p>
        </w:tc>
      </w:tr>
      <w:tr w14:paraId="55580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32346BC">
            <w:pPr>
              <w:jc w:val="center"/>
              <w:rPr>
                <w:rFonts w:hint="eastAsia" w:ascii="宋体" w:hAnsi="宋体" w:eastAsia="宋体" w:cs="宋体"/>
                <w:i w:val="0"/>
                <w:iCs w:val="0"/>
                <w:color w:val="000000"/>
                <w:sz w:val="18"/>
                <w:szCs w:val="18"/>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A476E">
            <w:pPr>
              <w:jc w:val="cente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1C5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绩效指标明确性</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185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依据绩效目标设定的绩效指标是否清晰、细化、可衡量等，用以反映和考核项目绩效目标的明细化情况。</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1C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部分完成</w:t>
            </w:r>
          </w:p>
        </w:tc>
        <w:tc>
          <w:tcPr>
            <w:tcW w:w="2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BD7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西山区文化和旅游局将项目绩效目标细化分解为具体的绩效指标，项目与项目年度任务数或计划数相相对应，与预算确定的项目投资额或资金量相匹配。但效益指标不易衡量。</w:t>
            </w:r>
          </w:p>
        </w:tc>
      </w:tr>
      <w:tr w14:paraId="7950A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B70927C">
            <w:pPr>
              <w:jc w:val="center"/>
              <w:rPr>
                <w:rFonts w:hint="eastAsia" w:ascii="宋体" w:hAnsi="宋体" w:eastAsia="宋体" w:cs="宋体"/>
                <w:i w:val="0"/>
                <w:iCs w:val="0"/>
                <w:color w:val="000000"/>
                <w:sz w:val="18"/>
                <w:szCs w:val="18"/>
                <w:u w:val="none"/>
              </w:rPr>
            </w:pP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A3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投入</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344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资金到位率</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F25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实际到位资金与计划投入资金的比率，用以反映和考核资金落实情况对项目实施的总体保障程度。</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9E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w:t>
            </w:r>
          </w:p>
        </w:tc>
        <w:tc>
          <w:tcPr>
            <w:tcW w:w="2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78B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昆明市财政局昆明市文化和旅游局关于下达2023年4A级旅游景区创建奖补资金的通知》(昆财教〔2023〕231号)，下达西山区昆明融创主题娱乐管理有限公司2023年创建昆明融创海世界雪乐园4A级旅游景区创建奖补资金100.00万元，资金到位率100%。</w:t>
            </w:r>
          </w:p>
        </w:tc>
      </w:tr>
      <w:tr w14:paraId="42512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C9BA3D2">
            <w:pPr>
              <w:jc w:val="center"/>
              <w:rPr>
                <w:rFonts w:hint="eastAsia" w:ascii="宋体" w:hAnsi="宋体" w:eastAsia="宋体" w:cs="宋体"/>
                <w:i w:val="0"/>
                <w:iCs w:val="0"/>
                <w:color w:val="000000"/>
                <w:sz w:val="18"/>
                <w:szCs w:val="18"/>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E529A">
            <w:pPr>
              <w:jc w:val="cente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E5A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到位及时率</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F41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及时到位资金与应到位资金的比率，用以反映和考核项目资金落实的及时性程度。</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6F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w:t>
            </w:r>
          </w:p>
        </w:tc>
        <w:tc>
          <w:tcPr>
            <w:tcW w:w="2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E9A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明市西山区文化和旅游局行政办公会议纪要2024年第4次会议：（九）旅游发展科关于拨付昆明融创主题娱乐管理有限公司2023年4A级旅游景区昆明融创海世界雪乐园创建奖补资金的请示，会议同意拨付西山区昆明融创主题娱乐管理有限公司2023年创建昆明融创海世界雪乐园4A级旅游景区创建奖补资金100.00万元（大写：壹佰万元整）。已于2024年4月10日全部支付，资金到位及时率100%。</w:t>
            </w:r>
          </w:p>
        </w:tc>
      </w:tr>
      <w:tr w14:paraId="3E5B9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2AA5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过程</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13D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管理</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4BB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管理制度健全性</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CE0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项目实施单位的业务管理制度是否健全，用以反映和考核业务管理制度对项目顺利实施的保障情况。</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07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w:t>
            </w:r>
          </w:p>
        </w:tc>
        <w:tc>
          <w:tcPr>
            <w:tcW w:w="2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0B1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昆明市西山区文化和旅游局执行《云南省4A级旅游景区创建奖励措施实施方案》保障措施，《旅游景区质量等级管理办法》（国家旅游局局令第 23 号）业务管理制度合法、合规、完整。</w:t>
            </w:r>
          </w:p>
        </w:tc>
      </w:tr>
      <w:tr w14:paraId="24DC2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0F6B0A1">
            <w:pPr>
              <w:jc w:val="center"/>
              <w:rPr>
                <w:rFonts w:hint="eastAsia" w:ascii="宋体" w:hAnsi="宋体" w:eastAsia="宋体" w:cs="宋体"/>
                <w:i w:val="0"/>
                <w:iCs w:val="0"/>
                <w:color w:val="000000"/>
                <w:sz w:val="18"/>
                <w:szCs w:val="18"/>
                <w:u w:val="none"/>
              </w:rPr>
            </w:pP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97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管理</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C79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制度执行有效性</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B92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项目实施是否符合相关业务管理规定，用以反映和考核业务管理制度的有效执行情况。</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FC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w:t>
            </w:r>
          </w:p>
        </w:tc>
        <w:tc>
          <w:tcPr>
            <w:tcW w:w="2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1BA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西山区文化和旅游局遵守相关法律法规和业务管理规定；暂无项目调整及支出调整手续；有项目合同书、验收单等证明材料并归档；已配备项目实施的人员、场地、信息支撑等。</w:t>
            </w:r>
          </w:p>
        </w:tc>
      </w:tr>
      <w:tr w14:paraId="64082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948A460">
            <w:pPr>
              <w:jc w:val="center"/>
              <w:rPr>
                <w:rFonts w:hint="eastAsia" w:ascii="宋体" w:hAnsi="宋体" w:eastAsia="宋体" w:cs="宋体"/>
                <w:i w:val="0"/>
                <w:iCs w:val="0"/>
                <w:color w:val="000000"/>
                <w:sz w:val="18"/>
                <w:szCs w:val="18"/>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5B787">
            <w:pPr>
              <w:jc w:val="cente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2F5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项目质量可控性</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E5C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项目实施单位是否为达到项目质量要求而采取了必需的措施,用以反映和考核项目实施单位对项目质量的控制情况。</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30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w:t>
            </w:r>
          </w:p>
        </w:tc>
        <w:tc>
          <w:tcPr>
            <w:tcW w:w="2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A2E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西山区文化和旅游局对项目具有相应质量要求或标准，并采取了相应的项目质量检查、验收等必需的控制措施或手段。</w:t>
            </w:r>
          </w:p>
        </w:tc>
      </w:tr>
      <w:tr w14:paraId="10CFA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64DC1E9">
            <w:pPr>
              <w:jc w:val="center"/>
              <w:rPr>
                <w:rFonts w:hint="eastAsia" w:ascii="宋体" w:hAnsi="宋体" w:eastAsia="宋体" w:cs="宋体"/>
                <w:i w:val="0"/>
                <w:iCs w:val="0"/>
                <w:color w:val="000000"/>
                <w:sz w:val="18"/>
                <w:szCs w:val="18"/>
                <w:u w:val="none"/>
              </w:rPr>
            </w:pP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71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管理</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E31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管理制度健全性</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2B8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项目实施单位的财务制度是否健全，用以反映和考核财务管理制度对资金规范、安全运行的保障情况。</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1CE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w:t>
            </w:r>
          </w:p>
        </w:tc>
        <w:tc>
          <w:tcPr>
            <w:tcW w:w="2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E82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昆明市文化和旅游局执行《云南省旅游发展专项资金管理暂行办法》业务管理制度合法、合规、完整。</w:t>
            </w:r>
          </w:p>
        </w:tc>
      </w:tr>
      <w:tr w14:paraId="0798A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2BF472B">
            <w:pPr>
              <w:jc w:val="center"/>
              <w:rPr>
                <w:rFonts w:hint="eastAsia" w:ascii="宋体" w:hAnsi="宋体" w:eastAsia="宋体" w:cs="宋体"/>
                <w:i w:val="0"/>
                <w:iCs w:val="0"/>
                <w:color w:val="000000"/>
                <w:sz w:val="18"/>
                <w:szCs w:val="18"/>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B9A6B">
            <w:pPr>
              <w:jc w:val="cente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744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资金使用合规性</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A04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项目资金使用是否符合相关的财务管理制度规定，用以反映和考核项目资金的规范运行情况。</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64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w:t>
            </w:r>
          </w:p>
        </w:tc>
        <w:tc>
          <w:tcPr>
            <w:tcW w:w="2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86F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《云南省财政厅 云南省文化和旅游厅关于下达2023年4A级旅游景区创建奖补资金的通知》（云财教〔2023〕330号），经昆明市西山区文化和旅游局行政办公会议纪要2024年第4次会议同意支付4A级旅游景区创建奖励资金。符合项目资金文件规定的用途；不存在截留、挤占、挪用、虚列支出等情况。</w:t>
            </w:r>
          </w:p>
        </w:tc>
      </w:tr>
      <w:tr w14:paraId="1EB2C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F7E7769">
            <w:pPr>
              <w:jc w:val="center"/>
              <w:rPr>
                <w:rFonts w:hint="eastAsia" w:ascii="宋体" w:hAnsi="宋体" w:eastAsia="宋体" w:cs="宋体"/>
                <w:i w:val="0"/>
                <w:iCs w:val="0"/>
                <w:color w:val="000000"/>
                <w:sz w:val="18"/>
                <w:szCs w:val="18"/>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53E1A">
            <w:pPr>
              <w:jc w:val="cente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80B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财务监控有效性</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C42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项目实施单位是否为保障资金的安全、规范运行而采取了必要的监控措施，用以反映和考核项目实施单位对资金运行的控制情况。</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34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w:t>
            </w:r>
          </w:p>
        </w:tc>
        <w:tc>
          <w:tcPr>
            <w:tcW w:w="2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7BC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根据云南省旅游发展专项资金管理暂行办法，西山区文化和旅游局合规支付4A级旅游景区创建奖励资金。并收集原始凭证进行记账。</w:t>
            </w:r>
          </w:p>
        </w:tc>
      </w:tr>
      <w:tr w14:paraId="4AC66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A6DF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A53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产出数量</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89B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实际完成率</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C7C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项目实施的实际产出数与计划产出数的比率，用以反映和考核项目产出数量目标的实现程度。</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138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w:t>
            </w:r>
          </w:p>
        </w:tc>
        <w:tc>
          <w:tcPr>
            <w:tcW w:w="2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92F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明市西山区文化和旅游局推荐昆明融创海世界雪乐园创建4A级旅游景区，2023年11月20日经云南省文化和旅游厅公示融创海世界雪乐园4A旅游景区创建成功。项目开展海世界调水机房除锈刷漆，桥架更换，风管更换，屋顶钢结构除锈刷漆，通风改造；海世界白鲸吊装口门、医疗平台吊机更换；海世界雨林区电路改造；七氟丙烷充装检测；屋面采光顶漏水维修；污水环保排放改造；结构漏水维修；海豚池漏水维修；海豚池后场防水改造。硬件设施改造维护如期完成并交付即实际完成率100%</w:t>
            </w:r>
          </w:p>
        </w:tc>
      </w:tr>
      <w:tr w14:paraId="51760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0E50A88">
            <w:pPr>
              <w:jc w:val="center"/>
              <w:rPr>
                <w:rFonts w:hint="eastAsia" w:ascii="宋体" w:hAnsi="宋体" w:eastAsia="宋体" w:cs="宋体"/>
                <w:i w:val="0"/>
                <w:iCs w:val="0"/>
                <w:color w:val="000000"/>
                <w:sz w:val="18"/>
                <w:szCs w:val="18"/>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F19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产出时效</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F23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完成及时率</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7B5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项目实际提前完成时间与计划完成时间的比率，用以反映和考核项目产出时效目标的实现程度。</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8D7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w:t>
            </w:r>
          </w:p>
        </w:tc>
        <w:tc>
          <w:tcPr>
            <w:tcW w:w="2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0E1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2023年11月20日公示昆明融创海世界雪乐园成为4A级旅游景区，《云南省4A级旅游景区创建奖励措施实施方案》计划于2023年12月31日完成。完成及时率&gt;=0。</w:t>
            </w:r>
          </w:p>
        </w:tc>
      </w:tr>
      <w:tr w14:paraId="54B80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1618EE7">
            <w:pPr>
              <w:jc w:val="center"/>
              <w:rPr>
                <w:rFonts w:hint="eastAsia" w:ascii="宋体" w:hAnsi="宋体" w:eastAsia="宋体" w:cs="宋体"/>
                <w:i w:val="0"/>
                <w:iCs w:val="0"/>
                <w:color w:val="000000"/>
                <w:sz w:val="18"/>
                <w:szCs w:val="18"/>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DCD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产出质量</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FB9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质量达标率</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534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项目完成的质量达标产出数与实际产出数的比率，用以反映和考核项目产出质量目标的实现程度。</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A7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w:t>
            </w:r>
          </w:p>
        </w:tc>
        <w:tc>
          <w:tcPr>
            <w:tcW w:w="2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C39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昆明市西山区文化和旅游局推荐的昆明融创海世界雪乐园已达到4A级旅游景的标准。质量达标率100%</w:t>
            </w:r>
          </w:p>
        </w:tc>
      </w:tr>
      <w:tr w14:paraId="68A07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34C8C50">
            <w:pPr>
              <w:jc w:val="center"/>
              <w:rPr>
                <w:rFonts w:hint="eastAsia" w:ascii="宋体" w:hAnsi="宋体" w:eastAsia="宋体" w:cs="宋体"/>
                <w:i w:val="0"/>
                <w:iCs w:val="0"/>
                <w:color w:val="000000"/>
                <w:sz w:val="18"/>
                <w:szCs w:val="18"/>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D65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产出成本</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61A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成本节约率</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091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完成项目计划工作目标的实际节约成本与计划成本的比率，用以反映和考核项目的成本节约程度。</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1C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w:t>
            </w:r>
          </w:p>
        </w:tc>
        <w:tc>
          <w:tcPr>
            <w:tcW w:w="2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DEB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昆明市西山区文化和旅游局根据《云南省财政厅 云南省文化和旅游厅关于下达2023年4A级旅游景区创建奖补资金的通知》（云财教〔2023〕330号）经集体会议决定已支付经营主体昆明融创主题娱乐管理有限公司100万元。根据奖励标准，预算100万元。故成本节约率为0</w:t>
            </w:r>
          </w:p>
        </w:tc>
      </w:tr>
      <w:tr w14:paraId="02FB4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6C47B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效果</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174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5E2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提升所在地区知名度、美誉度</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B45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通过创建4A级旅游景区的成功创建，对所在地区知名度和美誉度的提升作用。</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C8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部分完成</w:t>
            </w:r>
          </w:p>
        </w:tc>
        <w:tc>
          <w:tcPr>
            <w:tcW w:w="2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A32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根据问卷调查结果汇总情况，满意度为80.50%</w:t>
            </w:r>
          </w:p>
        </w:tc>
      </w:tr>
      <w:tr w14:paraId="474C7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9D27692">
            <w:pPr>
              <w:jc w:val="center"/>
              <w:rPr>
                <w:rFonts w:hint="eastAsia" w:ascii="宋体" w:hAnsi="宋体" w:eastAsia="宋体" w:cs="宋体"/>
                <w:i w:val="0"/>
                <w:iCs w:val="0"/>
                <w:color w:val="000000"/>
                <w:sz w:val="18"/>
                <w:szCs w:val="18"/>
                <w:u w:val="none"/>
              </w:rPr>
            </w:pPr>
          </w:p>
        </w:tc>
        <w:tc>
          <w:tcPr>
            <w:tcW w:w="340" w:type="pct"/>
            <w:tcBorders>
              <w:top w:val="single" w:color="000000" w:sz="4" w:space="0"/>
              <w:left w:val="single" w:color="000000" w:sz="4" w:space="0"/>
              <w:bottom w:val="single" w:color="auto" w:sz="4" w:space="0"/>
              <w:right w:val="single" w:color="000000" w:sz="4" w:space="0"/>
            </w:tcBorders>
            <w:shd w:val="clear" w:color="auto" w:fill="auto"/>
            <w:vAlign w:val="center"/>
          </w:tcPr>
          <w:p w14:paraId="08EFC2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w:t>
            </w:r>
          </w:p>
        </w:tc>
        <w:tc>
          <w:tcPr>
            <w:tcW w:w="374" w:type="pct"/>
            <w:tcBorders>
              <w:top w:val="single" w:color="000000" w:sz="4" w:space="0"/>
              <w:left w:val="single" w:color="000000" w:sz="4" w:space="0"/>
              <w:bottom w:val="single" w:color="auto" w:sz="4" w:space="0"/>
              <w:right w:val="single" w:color="000000" w:sz="4" w:space="0"/>
            </w:tcBorders>
            <w:shd w:val="clear" w:color="auto" w:fill="auto"/>
            <w:vAlign w:val="center"/>
          </w:tcPr>
          <w:p w14:paraId="3C55C1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带动相关产业产值增长</w:t>
            </w:r>
          </w:p>
        </w:tc>
        <w:tc>
          <w:tcPr>
            <w:tcW w:w="1234" w:type="pct"/>
            <w:tcBorders>
              <w:top w:val="single" w:color="000000" w:sz="4" w:space="0"/>
              <w:left w:val="single" w:color="000000" w:sz="4" w:space="0"/>
              <w:bottom w:val="single" w:color="000000" w:sz="4" w:space="0"/>
              <w:right w:val="nil"/>
            </w:tcBorders>
            <w:shd w:val="clear" w:color="auto" w:fill="auto"/>
            <w:vAlign w:val="center"/>
          </w:tcPr>
          <w:p w14:paraId="4826FC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因景区升级带动的住宿、餐饮、交通、购物等相关产业的产值增长。</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77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部分完成</w:t>
            </w:r>
          </w:p>
        </w:tc>
        <w:tc>
          <w:tcPr>
            <w:tcW w:w="2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A10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根据问卷调查结果汇总情况，满意度为79.50%</w:t>
            </w:r>
          </w:p>
        </w:tc>
      </w:tr>
      <w:tr w14:paraId="59E01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18" w:type="pct"/>
            <w:vMerge w:val="continue"/>
            <w:tcBorders>
              <w:top w:val="single" w:color="000000" w:sz="4" w:space="0"/>
              <w:left w:val="single" w:color="000000" w:sz="4" w:space="0"/>
              <w:bottom w:val="single" w:color="000000" w:sz="4" w:space="0"/>
              <w:right w:val="single" w:color="auto" w:sz="4" w:space="0"/>
            </w:tcBorders>
            <w:shd w:val="clear" w:color="auto" w:fill="auto"/>
            <w:noWrap/>
            <w:textDirection w:val="tbRlV"/>
            <w:vAlign w:val="center"/>
          </w:tcPr>
          <w:p w14:paraId="463217B8">
            <w:pPr>
              <w:jc w:val="center"/>
              <w:rPr>
                <w:rFonts w:hint="eastAsia" w:ascii="宋体" w:hAnsi="宋体" w:eastAsia="宋体" w:cs="宋体"/>
                <w:i w:val="0"/>
                <w:iCs w:val="0"/>
                <w:color w:val="000000"/>
                <w:sz w:val="18"/>
                <w:szCs w:val="18"/>
                <w:u w:val="none"/>
              </w:rPr>
            </w:pPr>
          </w:p>
        </w:tc>
        <w:tc>
          <w:tcPr>
            <w:tcW w:w="340" w:type="pct"/>
            <w:tcBorders>
              <w:top w:val="single" w:color="auto" w:sz="4" w:space="0"/>
              <w:left w:val="single" w:color="auto" w:sz="4" w:space="0"/>
              <w:bottom w:val="single" w:color="auto" w:sz="4" w:space="0"/>
              <w:right w:val="single" w:color="auto" w:sz="4" w:space="0"/>
            </w:tcBorders>
            <w:shd w:val="clear" w:color="auto" w:fill="auto"/>
            <w:vAlign w:val="center"/>
          </w:tcPr>
          <w:p w14:paraId="5F3F5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14:paraId="7897CF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群众满意度（10分）</w:t>
            </w:r>
          </w:p>
        </w:tc>
        <w:tc>
          <w:tcPr>
            <w:tcW w:w="1234" w:type="pct"/>
            <w:tcBorders>
              <w:top w:val="single" w:color="000000" w:sz="4" w:space="0"/>
              <w:left w:val="single" w:color="auto" w:sz="4" w:space="0"/>
              <w:bottom w:val="single" w:color="000000" w:sz="4" w:space="0"/>
              <w:right w:val="single" w:color="000000" w:sz="4" w:space="0"/>
            </w:tcBorders>
            <w:shd w:val="clear" w:color="auto" w:fill="auto"/>
            <w:vAlign w:val="center"/>
          </w:tcPr>
          <w:p w14:paraId="6C35E6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社会公众的服务对象对部门履职效果的满意程度。</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9C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部分完成</w:t>
            </w:r>
          </w:p>
        </w:tc>
        <w:tc>
          <w:tcPr>
            <w:tcW w:w="2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706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根据问卷调查结果汇总情况，满意度为80.50%</w:t>
            </w:r>
          </w:p>
        </w:tc>
      </w:tr>
    </w:tbl>
    <w:p w14:paraId="1C4598F1">
      <w:pPr>
        <w:spacing w:line="579" w:lineRule="exact"/>
        <w:ind w:firstLine="630" w:firstLineChars="200"/>
        <w:outlineLvl w:val="0"/>
        <w:rPr>
          <w:rFonts w:ascii="黑体" w:hAnsi="宋体" w:eastAsia="黑体" w:cs="宋体"/>
          <w:szCs w:val="30"/>
        </w:rPr>
      </w:pPr>
      <w:bookmarkStart w:id="49" w:name="_Toc12317"/>
      <w:bookmarkStart w:id="50" w:name="_Toc26222"/>
      <w:r>
        <w:rPr>
          <w:rFonts w:hint="eastAsia" w:ascii="黑体" w:hAnsi="宋体" w:eastAsia="黑体" w:cs="宋体"/>
          <w:szCs w:val="30"/>
          <w:lang w:val="en-US" w:eastAsia="zh-CN"/>
        </w:rPr>
        <w:t>四</w:t>
      </w:r>
      <w:r>
        <w:rPr>
          <w:rFonts w:hint="eastAsia" w:ascii="黑体" w:hAnsi="宋体" w:eastAsia="黑体" w:cs="宋体"/>
          <w:szCs w:val="30"/>
        </w:rPr>
        <w:t>、绩效评价情况分析</w:t>
      </w:r>
      <w:bookmarkEnd w:id="49"/>
      <w:bookmarkEnd w:id="50"/>
    </w:p>
    <w:p w14:paraId="4EFDAE4F">
      <w:pPr>
        <w:spacing w:line="579" w:lineRule="exact"/>
        <w:ind w:firstLine="630" w:firstLineChars="200"/>
        <w:outlineLvl w:val="1"/>
        <w:rPr>
          <w:rFonts w:ascii="楷体" w:hAnsi="楷体" w:eastAsia="楷体"/>
          <w:szCs w:val="30"/>
        </w:rPr>
      </w:pPr>
      <w:bookmarkStart w:id="51" w:name="_Toc23893"/>
      <w:bookmarkStart w:id="52" w:name="_Toc3150"/>
      <w:r>
        <w:rPr>
          <w:rFonts w:hint="eastAsia" w:ascii="楷体" w:hAnsi="楷体" w:eastAsia="楷体"/>
          <w:szCs w:val="30"/>
        </w:rPr>
        <w:t>（一）</w:t>
      </w:r>
      <w:r>
        <w:rPr>
          <w:rFonts w:hint="eastAsia" w:ascii="楷体" w:hAnsi="楷体" w:eastAsia="楷体"/>
          <w:szCs w:val="30"/>
          <w:lang w:val="en-US" w:eastAsia="zh-CN"/>
        </w:rPr>
        <w:t>项目决策</w:t>
      </w:r>
      <w:r>
        <w:rPr>
          <w:rFonts w:hint="eastAsia" w:ascii="楷体" w:hAnsi="楷体" w:eastAsia="楷体"/>
          <w:szCs w:val="30"/>
        </w:rPr>
        <w:t>情况</w:t>
      </w:r>
      <w:bookmarkEnd w:id="51"/>
      <w:bookmarkEnd w:id="52"/>
    </w:p>
    <w:p w14:paraId="6A32D53B">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default" w:ascii="仿宋" w:hAnsi="仿宋" w:eastAsia="仿宋" w:cs="仿宋"/>
          <w:b/>
          <w:bCs/>
          <w:sz w:val="32"/>
          <w:szCs w:val="32"/>
          <w:lang w:val="en-US" w:eastAsia="zh-CN"/>
        </w:rPr>
      </w:pPr>
      <w:r>
        <w:rPr>
          <w:rFonts w:hint="eastAsia" w:ascii="仿宋" w:hAnsi="仿宋" w:eastAsia="仿宋" w:cs="仿宋"/>
          <w:b w:val="0"/>
          <w:bCs w:val="0"/>
          <w:color w:val="auto"/>
          <w:sz w:val="32"/>
          <w:szCs w:val="32"/>
          <w:lang w:val="en-US" w:eastAsia="zh-CN"/>
        </w:rPr>
        <w:t>决策指标从项目立项（项目立项规范性、绩效目标合理性、绩效指标明确性）、资金落实（资金到位率、到位及时率）两个方面进行评价。决策指标满分1</w:t>
      </w:r>
      <w:r>
        <w:rPr>
          <w:rFonts w:hint="eastAsia" w:hAnsi="仿宋" w:cs="仿宋"/>
          <w:b w:val="0"/>
          <w:bCs w:val="0"/>
          <w:color w:val="auto"/>
          <w:sz w:val="32"/>
          <w:szCs w:val="32"/>
          <w:lang w:val="en-US" w:eastAsia="zh-CN"/>
        </w:rPr>
        <w:t>1</w:t>
      </w:r>
      <w:r>
        <w:rPr>
          <w:rFonts w:hint="eastAsia" w:ascii="仿宋" w:hAnsi="仿宋" w:eastAsia="仿宋" w:cs="仿宋"/>
          <w:b w:val="0"/>
          <w:bCs w:val="0"/>
          <w:color w:val="auto"/>
          <w:sz w:val="32"/>
          <w:szCs w:val="32"/>
          <w:lang w:val="en-US" w:eastAsia="zh-CN"/>
        </w:rPr>
        <w:t>.00分，实际得分</w:t>
      </w:r>
      <w:r>
        <w:rPr>
          <w:rFonts w:hint="eastAsia" w:hAnsi="仿宋" w:cs="仿宋"/>
          <w:b w:val="0"/>
          <w:bCs w:val="0"/>
          <w:color w:val="auto"/>
          <w:sz w:val="32"/>
          <w:szCs w:val="32"/>
          <w:lang w:val="en-US" w:eastAsia="zh-CN"/>
        </w:rPr>
        <w:t>10.2</w:t>
      </w:r>
      <w:r>
        <w:rPr>
          <w:rFonts w:hint="eastAsia" w:ascii="仿宋" w:hAnsi="仿宋" w:eastAsia="仿宋" w:cs="仿宋"/>
          <w:b w:val="0"/>
          <w:bCs w:val="0"/>
          <w:color w:val="auto"/>
          <w:sz w:val="32"/>
          <w:szCs w:val="32"/>
          <w:lang w:val="en-US" w:eastAsia="zh-CN"/>
        </w:rPr>
        <w:t>0分，得分率为</w:t>
      </w:r>
      <w:r>
        <w:rPr>
          <w:rFonts w:hint="eastAsia" w:hAnsi="仿宋" w:cs="仿宋"/>
          <w:b w:val="0"/>
          <w:bCs w:val="0"/>
          <w:color w:val="auto"/>
          <w:sz w:val="32"/>
          <w:szCs w:val="32"/>
          <w:lang w:val="en-US" w:eastAsia="zh-CN"/>
        </w:rPr>
        <w:t>92.73</w:t>
      </w:r>
      <w:r>
        <w:rPr>
          <w:rFonts w:hint="eastAsia" w:ascii="仿宋" w:hAnsi="仿宋" w:eastAsia="仿宋" w:cs="仿宋"/>
          <w:b w:val="0"/>
          <w:bCs w:val="0"/>
          <w:color w:val="auto"/>
          <w:sz w:val="32"/>
          <w:szCs w:val="32"/>
          <w:lang w:val="en-US" w:eastAsia="zh-CN"/>
        </w:rPr>
        <w:t>%，具体分析如下：</w:t>
      </w:r>
    </w:p>
    <w:p w14:paraId="06E19EF3">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1、项目立项规范性</w:t>
      </w:r>
    </w:p>
    <w:p w14:paraId="4845140F">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根据《云南省人民政府关于印发2023年推动经济稳进提质政策措施的通知》（云政发〔2023〕2号）为</w:t>
      </w:r>
      <w:r>
        <w:rPr>
          <w:rFonts w:hint="eastAsia" w:ascii="仿宋" w:hAnsi="仿宋" w:eastAsia="仿宋" w:cs="仿宋"/>
          <w:sz w:val="32"/>
          <w:szCs w:val="32"/>
        </w:rPr>
        <w:t>大力提升旅游业服务能力和水平</w:t>
      </w:r>
      <w:r>
        <w:rPr>
          <w:rFonts w:hint="eastAsia" w:ascii="仿宋" w:hAnsi="仿宋" w:eastAsia="仿宋" w:cs="仿宋"/>
          <w:sz w:val="32"/>
          <w:szCs w:val="32"/>
          <w:lang w:eastAsia="zh-CN"/>
        </w:rPr>
        <w:t>，</w:t>
      </w:r>
      <w:r>
        <w:rPr>
          <w:rFonts w:hint="eastAsia" w:ascii="仿宋" w:hAnsi="仿宋" w:eastAsia="仿宋" w:cs="仿宋"/>
          <w:sz w:val="32"/>
          <w:szCs w:val="32"/>
        </w:rPr>
        <w:t>对成功创建国家5A级、4A级景区的市场主体分别给予300万元、100万元奖励</w:t>
      </w:r>
      <w:r>
        <w:rPr>
          <w:rFonts w:hint="eastAsia" w:ascii="仿宋" w:hAnsi="仿宋" w:eastAsia="仿宋" w:cs="仿宋"/>
          <w:sz w:val="32"/>
          <w:szCs w:val="32"/>
          <w:lang w:eastAsia="zh-CN"/>
        </w:rPr>
        <w:t>。西山区文化和旅游局，已按规定的程序申请设立所提交的文件、材料符合相关要求，事前已经过必要的集体决策</w:t>
      </w:r>
      <w:r>
        <w:rPr>
          <w:rFonts w:hint="eastAsia" w:hAnsi="仿宋" w:cs="仿宋"/>
          <w:sz w:val="32"/>
          <w:szCs w:val="32"/>
          <w:lang w:eastAsia="zh-CN"/>
        </w:rPr>
        <w:t>，</w:t>
      </w:r>
      <w:r>
        <w:rPr>
          <w:rFonts w:hint="eastAsia" w:hAnsi="仿宋" w:cs="仿宋"/>
          <w:sz w:val="32"/>
          <w:szCs w:val="32"/>
          <w:lang w:val="en-US" w:eastAsia="zh-CN"/>
        </w:rPr>
        <w:t>得分2.00分</w:t>
      </w:r>
      <w:r>
        <w:rPr>
          <w:rFonts w:hint="eastAsia" w:ascii="仿宋" w:hAnsi="仿宋" w:eastAsia="仿宋" w:cs="仿宋"/>
          <w:sz w:val="32"/>
          <w:szCs w:val="32"/>
          <w:lang w:eastAsia="zh-CN"/>
        </w:rPr>
        <w:t>。</w:t>
      </w:r>
    </w:p>
    <w:p w14:paraId="29F7BA1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2、</w:t>
      </w:r>
      <w:r>
        <w:rPr>
          <w:rFonts w:hint="eastAsia" w:ascii="仿宋" w:hAnsi="仿宋" w:eastAsia="仿宋" w:cs="仿宋"/>
          <w:sz w:val="32"/>
          <w:szCs w:val="32"/>
          <w:lang w:val="en-US" w:eastAsia="zh-CN"/>
        </w:rPr>
        <w:t>绩效目标合理性</w:t>
      </w:r>
    </w:p>
    <w:p w14:paraId="590AB4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西山区文化和旅游局对项目进行了自评，项目所设定的绩效目标符合国家相关法律法规、国民经济发展规划和党委政府决策，与项目实施单位或委托单位职责密切相关，项目为促进事业发展所必需，项目预期产出效益和效果符合正常的业绩水平</w:t>
      </w:r>
      <w:r>
        <w:rPr>
          <w:rFonts w:hint="eastAsia" w:hAnsi="仿宋" w:cs="仿宋"/>
          <w:kern w:val="2"/>
          <w:sz w:val="32"/>
          <w:szCs w:val="32"/>
          <w:lang w:val="en-US" w:eastAsia="zh-CN" w:bidi="ar-SA"/>
        </w:rPr>
        <w:t>，得分2.00分</w:t>
      </w:r>
      <w:r>
        <w:rPr>
          <w:rFonts w:hint="eastAsia" w:ascii="仿宋" w:hAnsi="仿宋" w:eastAsia="仿宋" w:cs="仿宋"/>
          <w:kern w:val="2"/>
          <w:sz w:val="32"/>
          <w:szCs w:val="32"/>
          <w:lang w:val="en-US" w:eastAsia="zh-CN" w:bidi="ar-SA"/>
        </w:rPr>
        <w:t>。</w:t>
      </w:r>
    </w:p>
    <w:p w14:paraId="757BC2F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3、</w:t>
      </w:r>
      <w:r>
        <w:rPr>
          <w:rFonts w:hint="eastAsia" w:ascii="仿宋" w:hAnsi="仿宋" w:eastAsia="仿宋" w:cs="仿宋"/>
          <w:sz w:val="32"/>
          <w:szCs w:val="32"/>
          <w:lang w:val="en-US" w:eastAsia="zh-CN"/>
        </w:rPr>
        <w:t>绩效指标明确性</w:t>
      </w:r>
    </w:p>
    <w:p w14:paraId="7EB8FB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西山区文化和旅游局将项目绩效目标细化分解为具体的绩效指标，项目与项目年度任务数或计划数相对应，与预算确定的项目投资额或资金量相匹配。</w:t>
      </w:r>
      <w:r>
        <w:rPr>
          <w:rFonts w:hint="eastAsia" w:hAnsi="仿宋" w:cs="仿宋"/>
          <w:sz w:val="32"/>
          <w:szCs w:val="32"/>
          <w:lang w:val="en-US" w:eastAsia="zh-CN"/>
        </w:rPr>
        <w:t>但</w:t>
      </w:r>
      <w:r>
        <w:rPr>
          <w:rFonts w:hint="eastAsia" w:ascii="仿宋" w:hAnsi="仿宋" w:eastAsia="仿宋" w:cs="仿宋"/>
          <w:sz w:val="32"/>
          <w:szCs w:val="32"/>
          <w:lang w:val="en-US" w:eastAsia="zh-CN"/>
        </w:rPr>
        <w:t>效益指标不易衡量扣0.</w:t>
      </w:r>
      <w:r>
        <w:rPr>
          <w:rFonts w:hint="eastAsia" w:hAnsi="仿宋" w:cs="仿宋"/>
          <w:sz w:val="32"/>
          <w:szCs w:val="32"/>
          <w:lang w:val="en-US" w:eastAsia="zh-CN"/>
        </w:rPr>
        <w:t>80</w:t>
      </w:r>
      <w:r>
        <w:rPr>
          <w:rFonts w:hint="eastAsia" w:ascii="仿宋" w:hAnsi="仿宋" w:eastAsia="仿宋" w:cs="仿宋"/>
          <w:sz w:val="32"/>
          <w:szCs w:val="32"/>
          <w:lang w:val="en-US" w:eastAsia="zh-CN"/>
        </w:rPr>
        <w:t>分</w:t>
      </w:r>
      <w:r>
        <w:rPr>
          <w:rFonts w:hint="eastAsia" w:hAnsi="仿宋" w:cs="仿宋"/>
          <w:sz w:val="32"/>
          <w:szCs w:val="32"/>
          <w:lang w:val="en-US" w:eastAsia="zh-CN"/>
        </w:rPr>
        <w:t>，得分2.20分。</w:t>
      </w:r>
    </w:p>
    <w:p w14:paraId="1D74E5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4、资金到位率</w:t>
      </w:r>
    </w:p>
    <w:p w14:paraId="471C72E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根据《昆明市财政局昆明市文化和旅游局关于下达2023年4A级旅游景区创建奖补资金的通知》(昆财教〔2023〕231号)下达4A级旅游景区创建奖补资金100.00万元。资金到位率100%</w:t>
      </w:r>
      <w:r>
        <w:rPr>
          <w:rFonts w:hint="eastAsia" w:hAnsi="仿宋" w:cs="仿宋"/>
          <w:sz w:val="32"/>
          <w:szCs w:val="32"/>
          <w:lang w:val="en-US" w:eastAsia="zh-CN"/>
        </w:rPr>
        <w:t>，得分2.00分</w:t>
      </w:r>
      <w:r>
        <w:rPr>
          <w:rFonts w:hint="eastAsia" w:ascii="仿宋" w:hAnsi="仿宋" w:eastAsia="仿宋" w:cs="仿宋"/>
          <w:sz w:val="32"/>
          <w:szCs w:val="32"/>
          <w:lang w:val="en-US" w:eastAsia="zh-CN"/>
        </w:rPr>
        <w:t>。</w:t>
      </w:r>
    </w:p>
    <w:p w14:paraId="60F710E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5、资金到位及时率</w:t>
      </w:r>
    </w:p>
    <w:p w14:paraId="26EA0F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公示完成后，2023年12月31日，按计划时间下达资金，资金到位及时率100%</w:t>
      </w:r>
      <w:r>
        <w:rPr>
          <w:rFonts w:hint="eastAsia" w:hAnsi="仿宋" w:cs="仿宋"/>
          <w:sz w:val="32"/>
          <w:szCs w:val="32"/>
          <w:lang w:val="en-US" w:eastAsia="zh-CN"/>
        </w:rPr>
        <w:t>，得分2.00分</w:t>
      </w:r>
      <w:r>
        <w:rPr>
          <w:rFonts w:hint="eastAsia" w:ascii="仿宋" w:hAnsi="仿宋" w:eastAsia="仿宋" w:cs="仿宋"/>
          <w:sz w:val="32"/>
          <w:szCs w:val="32"/>
          <w:lang w:val="en-US" w:eastAsia="zh-CN"/>
        </w:rPr>
        <w:t>。</w:t>
      </w:r>
    </w:p>
    <w:p w14:paraId="43479206">
      <w:pPr>
        <w:spacing w:line="579" w:lineRule="exact"/>
        <w:ind w:firstLine="630" w:firstLineChars="200"/>
        <w:outlineLvl w:val="1"/>
        <w:rPr>
          <w:rFonts w:hint="default" w:ascii="楷体" w:hAnsi="楷体" w:eastAsia="楷体"/>
          <w:szCs w:val="30"/>
          <w:lang w:val="en-US" w:eastAsia="zh-CN"/>
        </w:rPr>
      </w:pPr>
      <w:bookmarkStart w:id="53" w:name="_Toc7629"/>
      <w:r>
        <w:rPr>
          <w:rFonts w:hint="eastAsia" w:ascii="楷体" w:hAnsi="楷体" w:eastAsia="楷体"/>
          <w:szCs w:val="30"/>
          <w:lang w:eastAsia="zh-CN"/>
        </w:rPr>
        <w:t>（二）</w:t>
      </w:r>
      <w:r>
        <w:rPr>
          <w:rFonts w:hint="eastAsia" w:ascii="楷体" w:hAnsi="楷体" w:eastAsia="楷体"/>
          <w:szCs w:val="30"/>
          <w:lang w:val="en-US" w:eastAsia="zh-CN"/>
        </w:rPr>
        <w:t>过程情况分析</w:t>
      </w:r>
      <w:bookmarkEnd w:id="53"/>
    </w:p>
    <w:p w14:paraId="4AC3F35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7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过程指标从业务管理（管理制度健全性、制度执行有效性、项目质量可控性）、财务管理（管理制度健全性、资金使用合规性、财务监控有效性）两个方面进行评价。过程指标满分3</w:t>
      </w:r>
      <w:r>
        <w:rPr>
          <w:rFonts w:hint="eastAsia" w:hAnsi="仿宋" w:cs="仿宋"/>
          <w:b w:val="0"/>
          <w:bCs w:val="0"/>
          <w:color w:val="auto"/>
          <w:sz w:val="32"/>
          <w:szCs w:val="32"/>
          <w:lang w:val="en-US" w:eastAsia="zh-CN"/>
        </w:rPr>
        <w:t>3</w:t>
      </w:r>
      <w:r>
        <w:rPr>
          <w:rFonts w:hint="eastAsia" w:ascii="仿宋" w:hAnsi="仿宋" w:eastAsia="仿宋" w:cs="仿宋"/>
          <w:b w:val="0"/>
          <w:bCs w:val="0"/>
          <w:color w:val="auto"/>
          <w:sz w:val="32"/>
          <w:szCs w:val="32"/>
          <w:lang w:val="en-US" w:eastAsia="zh-CN"/>
        </w:rPr>
        <w:t>.00分，实际得分3</w:t>
      </w:r>
      <w:r>
        <w:rPr>
          <w:rFonts w:hint="eastAsia" w:hAnsi="仿宋" w:cs="仿宋"/>
          <w:b w:val="0"/>
          <w:bCs w:val="0"/>
          <w:color w:val="auto"/>
          <w:sz w:val="32"/>
          <w:szCs w:val="32"/>
          <w:lang w:val="en-US" w:eastAsia="zh-CN"/>
        </w:rPr>
        <w:t>3.00</w:t>
      </w:r>
      <w:r>
        <w:rPr>
          <w:rFonts w:hint="eastAsia" w:ascii="仿宋" w:hAnsi="仿宋" w:eastAsia="仿宋" w:cs="仿宋"/>
          <w:b w:val="0"/>
          <w:bCs w:val="0"/>
          <w:color w:val="auto"/>
          <w:sz w:val="32"/>
          <w:szCs w:val="32"/>
          <w:lang w:val="en-US" w:eastAsia="zh-CN"/>
        </w:rPr>
        <w:t>分，得分率为100%，具体分析如下：</w:t>
      </w:r>
    </w:p>
    <w:p w14:paraId="63D7448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7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w:t>
      </w:r>
      <w:r>
        <w:rPr>
          <w:rFonts w:hint="eastAsia" w:ascii="仿宋" w:hAnsi="仿宋" w:eastAsia="仿宋" w:cs="仿宋"/>
          <w:b w:val="0"/>
          <w:bCs w:val="0"/>
          <w:color w:val="auto"/>
          <w:sz w:val="32"/>
          <w:szCs w:val="32"/>
          <w:lang w:val="en-US" w:eastAsia="zh-CN"/>
        </w:rPr>
        <w:t>业务管理制度健全性</w:t>
      </w:r>
    </w:p>
    <w:p w14:paraId="48342D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7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昆明市西山文化和旅游局执行《云南省4A级旅游景区创建奖励措施实施方案》保障措施，《旅游景区质量等级管理办法》（国家旅游局局令第 23 号）业务管理制度合法、合规、完整</w:t>
      </w:r>
      <w:r>
        <w:rPr>
          <w:rFonts w:hint="eastAsia" w:hAnsi="仿宋" w:cs="仿宋"/>
          <w:b w:val="0"/>
          <w:bCs w:val="0"/>
          <w:color w:val="auto"/>
          <w:kern w:val="2"/>
          <w:sz w:val="32"/>
          <w:szCs w:val="32"/>
          <w:lang w:val="en-US" w:eastAsia="zh-CN" w:bidi="ar-SA"/>
        </w:rPr>
        <w:t>，得分5.00分</w:t>
      </w:r>
      <w:r>
        <w:rPr>
          <w:rFonts w:hint="eastAsia" w:ascii="仿宋" w:hAnsi="仿宋" w:eastAsia="仿宋" w:cs="仿宋"/>
          <w:b w:val="0"/>
          <w:bCs w:val="0"/>
          <w:color w:val="auto"/>
          <w:kern w:val="2"/>
          <w:sz w:val="32"/>
          <w:szCs w:val="32"/>
          <w:lang w:val="en-US" w:eastAsia="zh-CN" w:bidi="ar-SA"/>
        </w:rPr>
        <w:t>。</w:t>
      </w:r>
    </w:p>
    <w:p w14:paraId="2A5341F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7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2、</w:t>
      </w:r>
      <w:r>
        <w:rPr>
          <w:rFonts w:hint="eastAsia" w:ascii="仿宋" w:hAnsi="仿宋" w:eastAsia="仿宋" w:cs="仿宋"/>
          <w:b w:val="0"/>
          <w:bCs w:val="0"/>
          <w:color w:val="auto"/>
          <w:sz w:val="32"/>
          <w:szCs w:val="32"/>
          <w:lang w:val="en-US" w:eastAsia="zh-CN"/>
        </w:rPr>
        <w:t>制度执行有效性</w:t>
      </w:r>
    </w:p>
    <w:p w14:paraId="13A018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7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西山区文化和旅游局遵守相关法律法规和业务管理规定；暂无项目调整及支出调整手续；有项目合同书、验收单等证明材料并归档；已配备项目实施的人员、场地、信息支撑等</w:t>
      </w:r>
      <w:r>
        <w:rPr>
          <w:rFonts w:hint="eastAsia" w:hAnsi="仿宋" w:cs="仿宋"/>
          <w:b w:val="0"/>
          <w:bCs w:val="0"/>
          <w:color w:val="auto"/>
          <w:kern w:val="2"/>
          <w:sz w:val="32"/>
          <w:szCs w:val="32"/>
          <w:lang w:val="en-US" w:eastAsia="zh-CN" w:bidi="ar-SA"/>
        </w:rPr>
        <w:t>，得分6.00分</w:t>
      </w:r>
      <w:r>
        <w:rPr>
          <w:rFonts w:hint="eastAsia" w:ascii="仿宋" w:hAnsi="仿宋" w:eastAsia="仿宋" w:cs="仿宋"/>
          <w:b w:val="0"/>
          <w:bCs w:val="0"/>
          <w:color w:val="auto"/>
          <w:kern w:val="2"/>
          <w:sz w:val="32"/>
          <w:szCs w:val="32"/>
          <w:lang w:val="en-US" w:eastAsia="zh-CN" w:bidi="ar-SA"/>
        </w:rPr>
        <w:t>。</w:t>
      </w:r>
    </w:p>
    <w:p w14:paraId="51E51C1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7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3、</w:t>
      </w:r>
      <w:r>
        <w:rPr>
          <w:rFonts w:hint="eastAsia" w:ascii="仿宋" w:hAnsi="仿宋" w:eastAsia="仿宋" w:cs="仿宋"/>
          <w:b w:val="0"/>
          <w:bCs w:val="0"/>
          <w:color w:val="auto"/>
          <w:sz w:val="32"/>
          <w:szCs w:val="32"/>
          <w:lang w:val="en-US" w:eastAsia="zh-CN"/>
        </w:rPr>
        <w:t>项目质量可控性</w:t>
      </w:r>
    </w:p>
    <w:p w14:paraId="4EA4164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7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西山区文化和旅游局执行《旅游景区质量等级的划分与评定》国家标准（GB/T17775—2003），对项目具有相应质量要求或标准，并采取了相应的项目质量检查、验收等必需的控制措施或手段</w:t>
      </w:r>
      <w:r>
        <w:rPr>
          <w:rFonts w:hint="eastAsia" w:hAnsi="仿宋" w:cs="仿宋"/>
          <w:b w:val="0"/>
          <w:bCs w:val="0"/>
          <w:color w:val="auto"/>
          <w:kern w:val="2"/>
          <w:sz w:val="32"/>
          <w:szCs w:val="32"/>
          <w:lang w:val="en-US" w:eastAsia="zh-CN" w:bidi="ar-SA"/>
        </w:rPr>
        <w:t>，得分5.00分</w:t>
      </w:r>
      <w:r>
        <w:rPr>
          <w:rFonts w:hint="eastAsia" w:ascii="仿宋" w:hAnsi="仿宋" w:eastAsia="仿宋" w:cs="仿宋"/>
          <w:b w:val="0"/>
          <w:bCs w:val="0"/>
          <w:color w:val="auto"/>
          <w:kern w:val="2"/>
          <w:sz w:val="32"/>
          <w:szCs w:val="32"/>
          <w:lang w:val="en-US" w:eastAsia="zh-CN" w:bidi="ar-SA"/>
        </w:rPr>
        <w:t>。</w:t>
      </w:r>
    </w:p>
    <w:p w14:paraId="1B54190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7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4、</w:t>
      </w:r>
      <w:r>
        <w:rPr>
          <w:rFonts w:hint="eastAsia" w:ascii="仿宋" w:hAnsi="仿宋" w:eastAsia="仿宋" w:cs="仿宋"/>
          <w:b w:val="0"/>
          <w:bCs w:val="0"/>
          <w:color w:val="auto"/>
          <w:sz w:val="32"/>
          <w:szCs w:val="32"/>
          <w:lang w:val="en-US" w:eastAsia="zh-CN"/>
        </w:rPr>
        <w:t>财务管理制度健全性</w:t>
      </w:r>
    </w:p>
    <w:p w14:paraId="5460D5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7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昆明市文化和旅游局执行《云南省旅游发展专项资金管理暂行办法》业务管理制度合法、合规、完整</w:t>
      </w:r>
      <w:r>
        <w:rPr>
          <w:rFonts w:hint="eastAsia" w:hAnsi="仿宋" w:cs="仿宋"/>
          <w:b w:val="0"/>
          <w:bCs w:val="0"/>
          <w:color w:val="auto"/>
          <w:kern w:val="2"/>
          <w:sz w:val="32"/>
          <w:szCs w:val="32"/>
          <w:lang w:val="en-US" w:eastAsia="zh-CN" w:bidi="ar-SA"/>
        </w:rPr>
        <w:t>，得5.00分</w:t>
      </w:r>
      <w:r>
        <w:rPr>
          <w:rFonts w:hint="eastAsia" w:ascii="仿宋" w:hAnsi="仿宋" w:eastAsia="仿宋" w:cs="仿宋"/>
          <w:b w:val="0"/>
          <w:bCs w:val="0"/>
          <w:color w:val="auto"/>
          <w:kern w:val="2"/>
          <w:sz w:val="32"/>
          <w:szCs w:val="32"/>
          <w:lang w:val="en-US" w:eastAsia="zh-CN" w:bidi="ar-SA"/>
        </w:rPr>
        <w:t>。</w:t>
      </w:r>
    </w:p>
    <w:p w14:paraId="636733A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7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5、</w:t>
      </w:r>
      <w:r>
        <w:rPr>
          <w:rFonts w:hint="eastAsia" w:ascii="仿宋" w:hAnsi="仿宋" w:eastAsia="仿宋" w:cs="仿宋"/>
          <w:b w:val="0"/>
          <w:bCs w:val="0"/>
          <w:color w:val="auto"/>
          <w:sz w:val="32"/>
          <w:szCs w:val="32"/>
          <w:lang w:val="en-US" w:eastAsia="zh-CN"/>
        </w:rPr>
        <w:t>资金使用合规性</w:t>
      </w:r>
    </w:p>
    <w:p w14:paraId="7488A37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7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根据《云南省财政厅 云南省文化和旅游厅关于下达2023年4A级旅游景区创建奖补资金的通知》（云财教〔2023〕330号），经昆明市西山区文化和旅游局行政办公会议纪要2024年第4次会议同意支付4A级旅游景区创建奖励资金。符合项目资金文件规定的用途；不存在截留、挤占、挪用、虚列支出等情况</w:t>
      </w:r>
      <w:r>
        <w:rPr>
          <w:rFonts w:hint="eastAsia" w:hAnsi="仿宋" w:cs="仿宋"/>
          <w:b w:val="0"/>
          <w:bCs w:val="0"/>
          <w:color w:val="auto"/>
          <w:kern w:val="2"/>
          <w:sz w:val="32"/>
          <w:szCs w:val="32"/>
          <w:lang w:val="en-US" w:eastAsia="zh-CN" w:bidi="ar-SA"/>
        </w:rPr>
        <w:t>，得分6.00分</w:t>
      </w:r>
      <w:r>
        <w:rPr>
          <w:rFonts w:hint="eastAsia" w:ascii="仿宋" w:hAnsi="仿宋" w:eastAsia="仿宋" w:cs="仿宋"/>
          <w:b w:val="0"/>
          <w:bCs w:val="0"/>
          <w:color w:val="auto"/>
          <w:kern w:val="2"/>
          <w:sz w:val="32"/>
          <w:szCs w:val="32"/>
          <w:lang w:val="en-US" w:eastAsia="zh-CN" w:bidi="ar-SA"/>
        </w:rPr>
        <w:t>。</w:t>
      </w:r>
    </w:p>
    <w:p w14:paraId="61A364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7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6、</w:t>
      </w:r>
      <w:r>
        <w:rPr>
          <w:rFonts w:hint="eastAsia" w:ascii="仿宋" w:hAnsi="仿宋" w:eastAsia="仿宋" w:cs="仿宋"/>
          <w:b w:val="0"/>
          <w:bCs w:val="0"/>
          <w:color w:val="auto"/>
          <w:sz w:val="32"/>
          <w:szCs w:val="32"/>
          <w:lang w:val="en-US" w:eastAsia="zh-CN"/>
        </w:rPr>
        <w:t>财务监控有效性</w:t>
      </w:r>
    </w:p>
    <w:p w14:paraId="4F62F8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7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西山区文化和旅游局</w:t>
      </w:r>
      <w:r>
        <w:rPr>
          <w:rFonts w:hint="eastAsia" w:hAnsi="仿宋" w:cs="仿宋"/>
          <w:b w:val="0"/>
          <w:bCs w:val="0"/>
          <w:color w:val="auto"/>
          <w:sz w:val="32"/>
          <w:szCs w:val="32"/>
          <w:lang w:val="en-US" w:eastAsia="zh-CN"/>
        </w:rPr>
        <w:t>经集体决策</w:t>
      </w:r>
      <w:r>
        <w:rPr>
          <w:rFonts w:hint="eastAsia" w:ascii="仿宋" w:hAnsi="仿宋" w:eastAsia="仿宋" w:cs="仿宋"/>
          <w:b w:val="0"/>
          <w:bCs w:val="0"/>
          <w:color w:val="auto"/>
          <w:sz w:val="32"/>
          <w:szCs w:val="32"/>
          <w:lang w:val="en-US" w:eastAsia="zh-CN"/>
        </w:rPr>
        <w:t>合规支付4A级旅游景区创建奖励资金。并收集原始凭证进行记账</w:t>
      </w:r>
      <w:r>
        <w:rPr>
          <w:rFonts w:hint="eastAsia" w:hAnsi="仿宋" w:cs="仿宋"/>
          <w:b w:val="0"/>
          <w:bCs w:val="0"/>
          <w:color w:val="auto"/>
          <w:sz w:val="32"/>
          <w:szCs w:val="32"/>
          <w:lang w:val="en-US" w:eastAsia="zh-CN"/>
        </w:rPr>
        <w:t>，得分6.00分</w:t>
      </w:r>
      <w:r>
        <w:rPr>
          <w:rFonts w:hint="eastAsia" w:ascii="仿宋" w:hAnsi="仿宋" w:eastAsia="仿宋" w:cs="仿宋"/>
          <w:b w:val="0"/>
          <w:bCs w:val="0"/>
          <w:color w:val="auto"/>
          <w:sz w:val="32"/>
          <w:szCs w:val="32"/>
          <w:lang w:val="en-US" w:eastAsia="zh-CN"/>
        </w:rPr>
        <w:t>。</w:t>
      </w:r>
    </w:p>
    <w:p w14:paraId="4ADB1C77">
      <w:pPr>
        <w:spacing w:line="579" w:lineRule="exact"/>
        <w:ind w:firstLine="630" w:firstLineChars="200"/>
        <w:outlineLvl w:val="1"/>
        <w:rPr>
          <w:rFonts w:hint="default" w:ascii="楷体" w:hAnsi="楷体" w:eastAsia="楷体"/>
          <w:szCs w:val="30"/>
          <w:lang w:val="en-US" w:eastAsia="zh-CN"/>
        </w:rPr>
      </w:pPr>
      <w:bookmarkStart w:id="54" w:name="_Toc13450"/>
      <w:r>
        <w:rPr>
          <w:rFonts w:hint="eastAsia" w:ascii="楷体" w:hAnsi="楷体" w:eastAsia="楷体"/>
          <w:szCs w:val="30"/>
          <w:lang w:val="en-US" w:eastAsia="zh-CN"/>
        </w:rPr>
        <w:t>（三）产出情况分析</w:t>
      </w:r>
      <w:bookmarkEnd w:id="54"/>
    </w:p>
    <w:p w14:paraId="14E13F1D">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项目产出从实际完成率、完成及时率、质量达标率、成本节约率四个方面进行评价。过程指标基准分3</w:t>
      </w:r>
      <w:r>
        <w:rPr>
          <w:rFonts w:hint="eastAsia" w:hAnsi="仿宋" w:cs="仿宋"/>
          <w:sz w:val="32"/>
          <w:szCs w:val="32"/>
          <w:lang w:val="en-US" w:eastAsia="zh-CN"/>
        </w:rPr>
        <w:t>2</w:t>
      </w:r>
      <w:r>
        <w:rPr>
          <w:rFonts w:hint="eastAsia" w:ascii="仿宋" w:hAnsi="仿宋" w:eastAsia="仿宋" w:cs="仿宋"/>
          <w:sz w:val="32"/>
          <w:szCs w:val="32"/>
          <w:lang w:val="en-US" w:eastAsia="zh-CN"/>
        </w:rPr>
        <w:t>.00分，实际得分3</w:t>
      </w:r>
      <w:r>
        <w:rPr>
          <w:rFonts w:hint="eastAsia" w:hAnsi="仿宋" w:cs="仿宋"/>
          <w:sz w:val="32"/>
          <w:szCs w:val="32"/>
          <w:lang w:val="en-US" w:eastAsia="zh-CN"/>
        </w:rPr>
        <w:t>2.00</w:t>
      </w:r>
      <w:r>
        <w:rPr>
          <w:rFonts w:hint="eastAsia" w:ascii="仿宋" w:hAnsi="仿宋" w:eastAsia="仿宋" w:cs="仿宋"/>
          <w:sz w:val="32"/>
          <w:szCs w:val="32"/>
          <w:lang w:val="en-US" w:eastAsia="zh-CN"/>
        </w:rPr>
        <w:t>分，得分率为100%，具体分析如下：</w:t>
      </w:r>
    </w:p>
    <w:p w14:paraId="2A7ED133">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实际完成率</w:t>
      </w:r>
    </w:p>
    <w:p w14:paraId="4318B3B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昆明市西山区文化和旅游局推荐昆明融创海世界雪乐园创建4A级旅游景区，2023年11月20日经云南省文化和旅游厅公示，融创海世界雪乐园4A旅游景区创建成功。</w:t>
      </w:r>
      <w:r>
        <w:rPr>
          <w:rFonts w:hint="eastAsia" w:hAnsi="仿宋" w:cs="仿宋"/>
          <w:sz w:val="32"/>
          <w:szCs w:val="32"/>
          <w:lang w:val="en-US" w:eastAsia="zh-CN"/>
        </w:rPr>
        <w:t>昆明融创海世界雪乐园景区结合工作推进情况，紧扣提升服务质量，完善旅游设施为主旨，开展海世界调水机房除锈刷漆，桥架更换，风管更换，屋顶钢结构除锈刷漆，通风改造；海世界白鲸吊装口门、医疗平台吊机更换；海世界雨林区电路改造；七氟丙烷充装检测；屋面采光顶漏水维修；污水环保排放改造；结构漏水维修；海豚池漏水维修；海豚池后场防水改造。硬件设施改造维护如期完成并交付，</w:t>
      </w:r>
      <w:r>
        <w:rPr>
          <w:rFonts w:hint="eastAsia" w:ascii="仿宋" w:hAnsi="仿宋" w:eastAsia="仿宋" w:cs="仿宋"/>
          <w:sz w:val="32"/>
          <w:szCs w:val="32"/>
          <w:lang w:val="en-US" w:eastAsia="zh-CN"/>
        </w:rPr>
        <w:t>即实际完成率100%</w:t>
      </w:r>
      <w:r>
        <w:rPr>
          <w:rFonts w:hint="eastAsia" w:hAnsi="仿宋" w:cs="仿宋"/>
          <w:sz w:val="32"/>
          <w:szCs w:val="32"/>
          <w:lang w:val="en-US" w:eastAsia="zh-CN"/>
        </w:rPr>
        <w:t>，得分8.00分</w:t>
      </w:r>
      <w:r>
        <w:rPr>
          <w:rFonts w:hint="eastAsia" w:ascii="仿宋" w:hAnsi="仿宋" w:eastAsia="仿宋" w:cs="仿宋"/>
          <w:sz w:val="32"/>
          <w:szCs w:val="32"/>
          <w:lang w:val="en-US" w:eastAsia="zh-CN"/>
        </w:rPr>
        <w:t>。</w:t>
      </w:r>
    </w:p>
    <w:p w14:paraId="67FAE587">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2、完成及时率</w:t>
      </w:r>
    </w:p>
    <w:p w14:paraId="4C34E718">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2023年11月20日公示昆明融创海世界雪乐园成为4A级旅游景区，《云南省4A级旅游景区创建奖励措施实施方案》计划于2023年12月31日完成。已于期限内完成，完成及时率&gt;=0</w:t>
      </w:r>
      <w:r>
        <w:rPr>
          <w:rFonts w:hint="eastAsia" w:hAnsi="仿宋" w:cs="仿宋"/>
          <w:sz w:val="32"/>
          <w:szCs w:val="32"/>
          <w:lang w:val="en-US" w:eastAsia="zh-CN"/>
        </w:rPr>
        <w:t>，得分8.00分</w:t>
      </w:r>
      <w:r>
        <w:rPr>
          <w:rFonts w:hint="eastAsia" w:ascii="仿宋" w:hAnsi="仿宋" w:eastAsia="仿宋" w:cs="仿宋"/>
          <w:sz w:val="32"/>
          <w:szCs w:val="32"/>
          <w:lang w:val="en-US" w:eastAsia="zh-CN"/>
        </w:rPr>
        <w:t>。</w:t>
      </w:r>
    </w:p>
    <w:p w14:paraId="0B1CD056">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3、质量达标率</w:t>
      </w:r>
    </w:p>
    <w:p w14:paraId="50D86CE7">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根据《旅游景区质量等级的划分与评定》国家标准（GB/T17775—2003）昆明市西山区文化和旅游局推荐的昆明融创海世界雪乐园已达到4A级旅游景的标准，质量达标率100%</w:t>
      </w:r>
      <w:r>
        <w:rPr>
          <w:rFonts w:hint="eastAsia" w:hAnsi="仿宋" w:cs="仿宋"/>
          <w:sz w:val="32"/>
          <w:szCs w:val="32"/>
          <w:lang w:val="en-US" w:eastAsia="zh-CN"/>
        </w:rPr>
        <w:t>，得分8.00分</w:t>
      </w:r>
      <w:r>
        <w:rPr>
          <w:rFonts w:hint="eastAsia" w:ascii="仿宋" w:hAnsi="仿宋" w:eastAsia="仿宋" w:cs="仿宋"/>
          <w:sz w:val="32"/>
          <w:szCs w:val="32"/>
          <w:lang w:val="en-US" w:eastAsia="zh-CN"/>
        </w:rPr>
        <w:t>。</w:t>
      </w:r>
    </w:p>
    <w:p w14:paraId="5EC5600D">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4、成本节约率</w:t>
      </w:r>
    </w:p>
    <w:p w14:paraId="2F22CE10">
      <w:pPr>
        <w:pStyle w:val="4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经集体会议决定，支付</w:t>
      </w:r>
      <w:r>
        <w:rPr>
          <w:rFonts w:hint="eastAsia" w:ascii="仿宋" w:hAnsi="仿宋" w:eastAsia="仿宋" w:cs="仿宋"/>
          <w:sz w:val="32"/>
          <w:szCs w:val="32"/>
          <w:lang w:val="en-US" w:eastAsia="zh-CN"/>
        </w:rPr>
        <w:t>昆明融创海世界雪乐园</w:t>
      </w:r>
      <w:r>
        <w:rPr>
          <w:rFonts w:hint="eastAsia" w:ascii="仿宋" w:hAnsi="仿宋" w:eastAsia="仿宋" w:cs="仿宋"/>
          <w:b w:val="0"/>
          <w:bCs w:val="0"/>
          <w:color w:val="auto"/>
          <w:kern w:val="2"/>
          <w:sz w:val="32"/>
          <w:szCs w:val="32"/>
          <w:highlight w:val="none"/>
          <w:lang w:val="en-US" w:eastAsia="zh-CN" w:bidi="ar-SA"/>
        </w:rPr>
        <w:t>经营主体昆明融创主题娱乐管理有限公司100万元。根据奖励标准，预算100万元。故成本节约率为0，得分8.00分。</w:t>
      </w:r>
    </w:p>
    <w:p w14:paraId="50669028">
      <w:pPr>
        <w:spacing w:line="579" w:lineRule="exact"/>
        <w:ind w:firstLine="630" w:firstLineChars="200"/>
        <w:outlineLvl w:val="1"/>
        <w:rPr>
          <w:rFonts w:hint="default" w:ascii="楷体" w:hAnsi="楷体" w:eastAsia="楷体"/>
          <w:szCs w:val="30"/>
          <w:lang w:val="en-US" w:eastAsia="zh-CN"/>
        </w:rPr>
      </w:pPr>
      <w:bookmarkStart w:id="55" w:name="_Toc20693"/>
      <w:r>
        <w:rPr>
          <w:rFonts w:hint="eastAsia" w:ascii="楷体" w:hAnsi="楷体" w:eastAsia="楷体"/>
          <w:szCs w:val="30"/>
          <w:lang w:val="en-US" w:eastAsia="zh-CN"/>
        </w:rPr>
        <w:t>（四）效益及满意度情况分析</w:t>
      </w:r>
      <w:bookmarkEnd w:id="55"/>
    </w:p>
    <w:p w14:paraId="17F9DE98">
      <w:pPr>
        <w:pStyle w:val="50"/>
        <w:ind w:firstLine="67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本项目效益从社会效益、经济效益、群众满意度四个方面进行评价。效益指标基准分24.00分，实际得分19.25分，得分率80.21%，具体分析如下：</w:t>
      </w:r>
    </w:p>
    <w:p w14:paraId="3E07459D">
      <w:pPr>
        <w:pStyle w:val="50"/>
        <w:numPr>
          <w:ilvl w:val="0"/>
          <w:numId w:val="0"/>
        </w:numPr>
        <w:ind w:firstLine="67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w:t>
      </w:r>
      <w:r>
        <w:rPr>
          <w:rFonts w:hint="eastAsia" w:ascii="仿宋" w:hAnsi="仿宋" w:eastAsia="仿宋" w:cs="仿宋"/>
          <w:b w:val="0"/>
          <w:bCs w:val="0"/>
          <w:color w:val="auto"/>
          <w:sz w:val="32"/>
          <w:szCs w:val="32"/>
          <w:lang w:val="en-US" w:eastAsia="zh-CN"/>
        </w:rPr>
        <w:t>社会效益</w:t>
      </w:r>
    </w:p>
    <w:p w14:paraId="7B21AA52">
      <w:pPr>
        <w:pStyle w:val="50"/>
        <w:numPr>
          <w:ilvl w:val="0"/>
          <w:numId w:val="0"/>
        </w:numPr>
        <w:ind w:firstLine="722" w:firstLineChars="200"/>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color w:val="auto"/>
          <w:spacing w:val="13"/>
          <w:sz w:val="32"/>
          <w:szCs w:val="32"/>
          <w:lang w:val="en-US" w:eastAsia="zh-CN"/>
        </w:rPr>
        <w:t>本次收集有效问卷共计40份，根据调查问卷问题综合计算,</w:t>
      </w:r>
      <w:r>
        <w:rPr>
          <w:rFonts w:hint="eastAsia" w:ascii="仿宋" w:hAnsi="仿宋" w:eastAsia="仿宋" w:cs="仿宋"/>
          <w:b w:val="0"/>
          <w:bCs w:val="0"/>
          <w:color w:val="auto"/>
          <w:kern w:val="2"/>
          <w:sz w:val="32"/>
          <w:szCs w:val="32"/>
          <w:lang w:val="en-US" w:eastAsia="zh-CN" w:bidi="ar-SA"/>
        </w:rPr>
        <w:t>通过4A级旅游景区的成功创建，对所在地区知名度和美誉度提升作用的满意度为80.50%，扣1.36分，得分5.64分。</w:t>
      </w:r>
    </w:p>
    <w:p w14:paraId="25BE0C6E">
      <w:pPr>
        <w:pStyle w:val="50"/>
        <w:numPr>
          <w:ilvl w:val="0"/>
          <w:numId w:val="0"/>
        </w:numPr>
        <w:ind w:firstLine="67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2、</w:t>
      </w:r>
      <w:r>
        <w:rPr>
          <w:rFonts w:hint="eastAsia" w:ascii="仿宋" w:hAnsi="仿宋" w:eastAsia="仿宋" w:cs="仿宋"/>
          <w:b w:val="0"/>
          <w:bCs w:val="0"/>
          <w:color w:val="auto"/>
          <w:sz w:val="32"/>
          <w:szCs w:val="32"/>
          <w:lang w:val="en-US" w:eastAsia="zh-CN"/>
        </w:rPr>
        <w:t>经济效益</w:t>
      </w:r>
    </w:p>
    <w:p w14:paraId="45CF88B5">
      <w:pPr>
        <w:pStyle w:val="50"/>
        <w:numPr>
          <w:ilvl w:val="0"/>
          <w:numId w:val="0"/>
        </w:numPr>
        <w:ind w:firstLine="722" w:firstLineChars="200"/>
        <w:rPr>
          <w:rFonts w:hint="default" w:ascii="仿宋" w:hAnsi="仿宋" w:eastAsia="仿宋" w:cs="仿宋"/>
          <w:b w:val="0"/>
          <w:bCs w:val="0"/>
          <w:color w:val="auto"/>
          <w:sz w:val="32"/>
          <w:szCs w:val="32"/>
          <w:lang w:val="en-US" w:eastAsia="zh-CN"/>
        </w:rPr>
      </w:pPr>
      <w:r>
        <w:rPr>
          <w:rFonts w:hint="eastAsia" w:ascii="仿宋" w:hAnsi="仿宋" w:eastAsia="仿宋" w:cs="仿宋"/>
          <w:color w:val="auto"/>
          <w:spacing w:val="13"/>
          <w:sz w:val="32"/>
          <w:szCs w:val="32"/>
          <w:lang w:val="en-US" w:eastAsia="zh-CN"/>
        </w:rPr>
        <w:t>本次收集有效问卷共计40份，根据调查问卷问题综合计算,</w:t>
      </w:r>
      <w:r>
        <w:rPr>
          <w:rFonts w:hint="eastAsia" w:ascii="仿宋" w:hAnsi="仿宋" w:eastAsia="仿宋" w:cs="仿宋"/>
          <w:b w:val="0"/>
          <w:bCs w:val="0"/>
          <w:color w:val="auto"/>
          <w:sz w:val="32"/>
          <w:szCs w:val="32"/>
          <w:lang w:val="en-US" w:eastAsia="zh-CN"/>
        </w:rPr>
        <w:t>对景区升级带动的住宿、餐饮、交通、购物等相关产业的产值增长的满意度</w:t>
      </w:r>
      <w:r>
        <w:rPr>
          <w:rFonts w:hint="eastAsia" w:ascii="仿宋" w:hAnsi="仿宋" w:eastAsia="仿宋" w:cs="仿宋"/>
          <w:b w:val="0"/>
          <w:bCs w:val="0"/>
          <w:color w:val="auto"/>
          <w:kern w:val="2"/>
          <w:sz w:val="32"/>
          <w:szCs w:val="32"/>
          <w:lang w:val="en-US" w:eastAsia="zh-CN" w:bidi="ar-SA"/>
        </w:rPr>
        <w:t>为79.50%，扣1.43分，得分5.57分。</w:t>
      </w:r>
    </w:p>
    <w:p w14:paraId="2A921705">
      <w:pPr>
        <w:pStyle w:val="50"/>
        <w:numPr>
          <w:ilvl w:val="0"/>
          <w:numId w:val="0"/>
        </w:numPr>
        <w:ind w:firstLine="670" w:firstLineChars="200"/>
        <w:rPr>
          <w:rFonts w:hint="default"/>
          <w:sz w:val="32"/>
          <w:szCs w:val="32"/>
          <w:lang w:val="en-US" w:eastAsia="zh-CN"/>
        </w:rPr>
      </w:pPr>
      <w:r>
        <w:rPr>
          <w:rFonts w:hint="eastAsia" w:ascii="仿宋" w:hAnsi="仿宋" w:eastAsia="仿宋" w:cs="仿宋"/>
          <w:b w:val="0"/>
          <w:bCs w:val="0"/>
          <w:color w:val="auto"/>
          <w:sz w:val="32"/>
          <w:szCs w:val="32"/>
          <w:lang w:val="en-US" w:eastAsia="zh-CN"/>
        </w:rPr>
        <w:t>3、群众满意度</w:t>
      </w:r>
    </w:p>
    <w:p w14:paraId="63A7A71C">
      <w:pPr>
        <w:pStyle w:val="50"/>
        <w:numPr>
          <w:ilvl w:val="0"/>
          <w:numId w:val="0"/>
        </w:numPr>
        <w:ind w:firstLine="670" w:firstLineChars="200"/>
        <w:rPr>
          <w:rFonts w:hint="eastAsia" w:hAnsi="仿宋"/>
          <w:szCs w:val="30"/>
          <w:highlight w:val="none"/>
          <w:lang w:val="en-US" w:eastAsia="zh-CN"/>
        </w:rPr>
      </w:pPr>
      <w:r>
        <w:rPr>
          <w:rFonts w:hint="eastAsia" w:ascii="仿宋" w:hAnsi="仿宋" w:eastAsia="仿宋" w:cs="仿宋"/>
          <w:b w:val="0"/>
          <w:bCs w:val="0"/>
          <w:color w:val="auto"/>
          <w:kern w:val="2"/>
          <w:sz w:val="32"/>
          <w:szCs w:val="32"/>
          <w:highlight w:val="none"/>
          <w:lang w:val="en-US" w:eastAsia="zh-CN" w:bidi="ar-SA"/>
        </w:rPr>
        <w:t>本次绩效评价，针对</w:t>
      </w:r>
      <w:r>
        <w:rPr>
          <w:rFonts w:hint="eastAsia" w:ascii="仿宋" w:hAnsi="仿宋" w:eastAsia="仿宋" w:cs="仿宋"/>
          <w:sz w:val="32"/>
          <w:szCs w:val="32"/>
          <w:highlight w:val="none"/>
          <w:lang w:val="en-US" w:eastAsia="zh-CN"/>
        </w:rPr>
        <w:t>昆明市西山区文化和旅游局4A级旅游景区创建奖励资金项目</w:t>
      </w:r>
      <w:r>
        <w:rPr>
          <w:rFonts w:hint="eastAsia" w:ascii="仿宋" w:hAnsi="仿宋" w:eastAsia="仿宋" w:cs="仿宋"/>
          <w:b w:val="0"/>
          <w:bCs w:val="0"/>
          <w:color w:val="auto"/>
          <w:kern w:val="2"/>
          <w:sz w:val="32"/>
          <w:szCs w:val="32"/>
          <w:highlight w:val="none"/>
          <w:lang w:val="en-US" w:eastAsia="zh-CN" w:bidi="ar-SA"/>
        </w:rPr>
        <w:t>开展满意度调查，共发放调查问卷40份，收回40份，对调查问卷汇总后得出满意度结果为80.50%，扣1.95分，得分8.05分。</w:t>
      </w:r>
    </w:p>
    <w:p w14:paraId="29ECC96A">
      <w:pPr>
        <w:spacing w:line="579" w:lineRule="exact"/>
        <w:ind w:firstLine="630" w:firstLineChars="200"/>
        <w:outlineLvl w:val="0"/>
        <w:rPr>
          <w:rFonts w:ascii="黑体" w:hAnsi="宋体" w:eastAsia="黑体" w:cs="宋体"/>
          <w:szCs w:val="30"/>
          <w:highlight w:val="none"/>
        </w:rPr>
      </w:pPr>
      <w:bookmarkStart w:id="56" w:name="_Toc24485"/>
      <w:bookmarkStart w:id="57" w:name="_Toc19283"/>
      <w:r>
        <w:rPr>
          <w:rFonts w:hint="eastAsia" w:ascii="黑体" w:hAnsi="宋体" w:eastAsia="黑体" w:cs="宋体"/>
          <w:szCs w:val="30"/>
          <w:highlight w:val="none"/>
          <w:lang w:val="en-US" w:eastAsia="zh-CN"/>
        </w:rPr>
        <w:t>五</w:t>
      </w:r>
      <w:r>
        <w:rPr>
          <w:rFonts w:hint="eastAsia" w:ascii="黑体" w:hAnsi="宋体" w:eastAsia="黑体" w:cs="宋体"/>
          <w:szCs w:val="30"/>
          <w:highlight w:val="none"/>
        </w:rPr>
        <w:t>、主要经验及做法</w:t>
      </w:r>
      <w:bookmarkEnd w:id="56"/>
      <w:bookmarkEnd w:id="57"/>
    </w:p>
    <w:p w14:paraId="61D7C581">
      <w:pPr>
        <w:spacing w:line="579" w:lineRule="exact"/>
        <w:ind w:firstLine="630" w:firstLineChars="200"/>
        <w:rPr>
          <w:rFonts w:hint="eastAsia" w:hAnsi="仿宋"/>
          <w:szCs w:val="30"/>
          <w:lang w:val="en-US" w:eastAsia="zh-CN"/>
        </w:rPr>
      </w:pPr>
      <w:r>
        <w:rPr>
          <w:rFonts w:hint="eastAsia" w:hAnsi="仿宋"/>
          <w:szCs w:val="30"/>
          <w:lang w:val="en-US" w:eastAsia="zh-CN"/>
        </w:rPr>
        <w:t>无。</w:t>
      </w:r>
    </w:p>
    <w:p w14:paraId="39A8B223">
      <w:pPr>
        <w:spacing w:line="579" w:lineRule="exact"/>
        <w:ind w:firstLine="630" w:firstLineChars="200"/>
        <w:outlineLvl w:val="0"/>
        <w:rPr>
          <w:rFonts w:hint="eastAsia"/>
        </w:rPr>
      </w:pPr>
      <w:bookmarkStart w:id="58" w:name="_Toc14481"/>
      <w:r>
        <w:rPr>
          <w:rFonts w:hint="eastAsia" w:ascii="黑体" w:hAnsi="宋体" w:eastAsia="黑体" w:cs="宋体"/>
          <w:szCs w:val="30"/>
          <w:highlight w:val="none"/>
          <w:lang w:val="en-US" w:eastAsia="zh-CN"/>
        </w:rPr>
        <w:t>六</w:t>
      </w:r>
      <w:r>
        <w:rPr>
          <w:rFonts w:hint="eastAsia" w:ascii="黑体" w:hAnsi="宋体" w:eastAsia="黑体" w:cs="宋体"/>
          <w:szCs w:val="30"/>
          <w:highlight w:val="none"/>
        </w:rPr>
        <w:t>、</w:t>
      </w:r>
      <w:bookmarkStart w:id="59" w:name="_Hlk525314575"/>
      <w:r>
        <w:rPr>
          <w:rFonts w:hint="eastAsia" w:ascii="黑体" w:hAnsi="宋体" w:eastAsia="黑体" w:cs="宋体"/>
          <w:szCs w:val="30"/>
          <w:highlight w:val="none"/>
          <w:lang w:val="en-US" w:eastAsia="zh-CN"/>
        </w:rPr>
        <w:t>存在问题及原因分析</w:t>
      </w:r>
      <w:bookmarkEnd w:id="58"/>
    </w:p>
    <w:p w14:paraId="6CB1E339">
      <w:pPr>
        <w:pStyle w:val="50"/>
        <w:numPr>
          <w:ilvl w:val="0"/>
          <w:numId w:val="0"/>
        </w:numPr>
        <w:ind w:firstLine="67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（一）经核查在绩效目标管理方面存在绩效目标预期产出和效益不够明确、三级指标设置不合理、绩效指标值设置不合理等问题，绩效自评工作方面存在部分项目绩效自评表三级指标赋值不明确不合理。例如：</w:t>
      </w:r>
    </w:p>
    <w:p w14:paraId="7F61E5D7">
      <w:pPr>
        <w:pStyle w:val="50"/>
        <w:numPr>
          <w:ilvl w:val="0"/>
          <w:numId w:val="0"/>
        </w:numPr>
        <w:ind w:firstLine="67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1、数量指标的三级指标“融创海世界雪乐园1家”描述不清晰，传达信息不准确，应设置为“奖励4A级景区一家”；</w:t>
      </w:r>
    </w:p>
    <w:p w14:paraId="078D081B">
      <w:pPr>
        <w:pStyle w:val="50"/>
        <w:numPr>
          <w:ilvl w:val="0"/>
          <w:numId w:val="0"/>
        </w:numPr>
        <w:ind w:firstLine="67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效益指标三级指标“为景区带来更多客流量及收入”指标值设为“融创海世界雪乐园接待游客85.05万人次，实现营业收入14,303.85万元”，指标名称与指标值逻辑不连贯，指标名称的表述意在通过项目的实施提高客流量和收入而指标值的描述意在景区将达到的客流量和收入未体现项目的实施对景区的提升。此项目的经济效益应重点体现通过项目实施提升景区等级从而吸引更多游客，带动相关产业产值增长。原指标值的描述却未体现增长情况。</w:t>
      </w:r>
    </w:p>
    <w:p w14:paraId="31D0E9E1">
      <w:pPr>
        <w:pStyle w:val="50"/>
        <w:numPr>
          <w:ilvl w:val="0"/>
          <w:numId w:val="0"/>
        </w:numPr>
        <w:ind w:firstLine="670" w:firstLineChars="200"/>
        <w:rPr>
          <w:rFonts w:hint="default"/>
          <w:lang w:val="en-US" w:eastAsia="zh-CN"/>
        </w:rPr>
      </w:pPr>
      <w:r>
        <w:rPr>
          <w:rFonts w:hint="eastAsia" w:ascii="仿宋" w:hAnsi="仿宋" w:eastAsia="仿宋" w:cs="仿宋"/>
          <w:sz w:val="32"/>
          <w:szCs w:val="32"/>
          <w:highlight w:val="none"/>
          <w:lang w:val="en-US" w:eastAsia="zh-CN"/>
        </w:rPr>
        <w:t>3、绩效指标设置时，效益指标指标值设置均为“长期”文字定性描述，不利体现效益的实现情况也不利对效益指标进行衡量。</w:t>
      </w:r>
    </w:p>
    <w:p w14:paraId="586A8A91">
      <w:pPr>
        <w:pStyle w:val="50"/>
        <w:numPr>
          <w:ilvl w:val="0"/>
          <w:numId w:val="0"/>
        </w:numPr>
        <w:ind w:firstLine="67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（二）由于项目实施过程中，场馆内部改造不断，表演场地更换导致部分演出未达预期效果，游客出游体验受到影响。</w:t>
      </w:r>
    </w:p>
    <w:p w14:paraId="1F9AAF4C">
      <w:pPr>
        <w:spacing w:line="579" w:lineRule="exact"/>
        <w:ind w:firstLine="630" w:firstLineChars="200"/>
        <w:outlineLvl w:val="0"/>
        <w:rPr>
          <w:rFonts w:hint="eastAsia"/>
        </w:rPr>
      </w:pPr>
      <w:bookmarkStart w:id="60" w:name="_Toc19561"/>
      <w:r>
        <w:rPr>
          <w:rFonts w:hint="eastAsia" w:ascii="黑体" w:hAnsi="宋体" w:eastAsia="黑体" w:cs="宋体"/>
          <w:szCs w:val="30"/>
          <w:highlight w:val="none"/>
          <w:lang w:val="en-US" w:eastAsia="zh-CN"/>
        </w:rPr>
        <w:t>七</w:t>
      </w:r>
      <w:r>
        <w:rPr>
          <w:rFonts w:hint="eastAsia" w:ascii="黑体" w:hAnsi="宋体" w:eastAsia="黑体" w:cs="宋体"/>
          <w:szCs w:val="30"/>
          <w:highlight w:val="none"/>
        </w:rPr>
        <w:t>、</w:t>
      </w:r>
      <w:r>
        <w:rPr>
          <w:rFonts w:hint="eastAsia" w:ascii="黑体" w:hAnsi="宋体" w:eastAsia="黑体" w:cs="宋体"/>
          <w:szCs w:val="30"/>
          <w:highlight w:val="none"/>
          <w:lang w:val="en-US" w:eastAsia="zh-CN"/>
        </w:rPr>
        <w:t>建议</w:t>
      </w:r>
      <w:bookmarkEnd w:id="60"/>
    </w:p>
    <w:p w14:paraId="794C6A23">
      <w:pPr>
        <w:pStyle w:val="50"/>
        <w:numPr>
          <w:ilvl w:val="0"/>
          <w:numId w:val="0"/>
        </w:numPr>
        <w:ind w:firstLine="67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建议强化绩效目标管理，在编制项目绩效目标申报表时，细化、量化、具体化项目年度目标任务，突出重点，绩效指标应指向明确、与项目支出内容、范围紧密相关，且指标值要符合客观实际，以此增强预算编制的科学性、规范性，提高财政资金使用效益，便于衡量考评绩效目标的实现程度。落实绩效自评工作，在撰写自评报告时，结合项目、资金实际执行情况。保证自评表与自评报告内容的一致性。</w:t>
      </w:r>
    </w:p>
    <w:p w14:paraId="1F60434D">
      <w:pPr>
        <w:pStyle w:val="50"/>
        <w:numPr>
          <w:ilvl w:val="0"/>
          <w:numId w:val="0"/>
        </w:numPr>
        <w:ind w:firstLine="67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建议加强对项目的跟踪，依托景区经营数据跟踪与游客反馈，形成“跟踪监测到改进”的循环，不断实现服务的快速迭代。同时加强景区的安全环境卫生，营造富有感染力且具有个性化的情景，让游客感受不一样的服务，提升游客体验。为同类景区提供经验借鉴与能力输送，发挥项目的引领示范作用，打造地区的新名片。</w:t>
      </w:r>
    </w:p>
    <w:p w14:paraId="767A5E39">
      <w:pPr>
        <w:spacing w:line="579" w:lineRule="exact"/>
        <w:ind w:firstLine="630" w:firstLineChars="200"/>
        <w:outlineLvl w:val="0"/>
        <w:rPr>
          <w:rFonts w:hint="eastAsia" w:ascii="仿宋" w:hAnsi="仿宋" w:eastAsia="仿宋" w:cs="仿宋"/>
          <w:sz w:val="32"/>
          <w:szCs w:val="32"/>
        </w:rPr>
      </w:pPr>
      <w:bookmarkStart w:id="61" w:name="_Toc26876"/>
      <w:r>
        <w:rPr>
          <w:rFonts w:hint="eastAsia" w:ascii="黑体" w:hAnsi="宋体" w:eastAsia="黑体" w:cs="宋体"/>
          <w:szCs w:val="30"/>
          <w:highlight w:val="none"/>
          <w:lang w:val="en-US" w:eastAsia="zh-CN"/>
        </w:rPr>
        <w:t>八</w:t>
      </w:r>
      <w:r>
        <w:rPr>
          <w:rFonts w:hint="eastAsia" w:ascii="黑体" w:hAnsi="宋体" w:eastAsia="黑体" w:cs="宋体"/>
          <w:szCs w:val="30"/>
          <w:highlight w:val="none"/>
        </w:rPr>
        <w:t>、</w:t>
      </w:r>
      <w:r>
        <w:rPr>
          <w:rFonts w:hint="eastAsia" w:ascii="黑体" w:hAnsi="宋体" w:eastAsia="黑体" w:cs="宋体"/>
          <w:szCs w:val="30"/>
          <w:highlight w:val="none"/>
          <w:lang w:val="en-US" w:eastAsia="zh-CN"/>
        </w:rPr>
        <w:t>其他需要说明的情况</w:t>
      </w:r>
      <w:bookmarkEnd w:id="61"/>
    </w:p>
    <w:p w14:paraId="0C01661D">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b/>
          <w:bCs/>
          <w:kern w:val="2"/>
          <w:sz w:val="32"/>
          <w:szCs w:val="32"/>
          <w:lang w:val="en-US" w:eastAsia="zh-CN" w:bidi="ar-SA"/>
        </w:rPr>
      </w:pPr>
      <w:r>
        <w:rPr>
          <w:rFonts w:hint="eastAsia" w:hAnsi="仿宋" w:cs="仿宋"/>
          <w:sz w:val="32"/>
          <w:szCs w:val="32"/>
          <w:lang w:val="en-US" w:eastAsia="zh-CN"/>
        </w:rPr>
        <w:t>无</w:t>
      </w:r>
      <w:r>
        <w:rPr>
          <w:rFonts w:hint="eastAsia" w:ascii="仿宋" w:hAnsi="仿宋" w:eastAsia="仿宋" w:cs="仿宋"/>
          <w:sz w:val="32"/>
          <w:szCs w:val="32"/>
        </w:rPr>
        <w:t>。</w:t>
      </w:r>
    </w:p>
    <w:p w14:paraId="016EB7B6">
      <w:pPr>
        <w:spacing w:line="579" w:lineRule="exact"/>
        <w:rPr>
          <w:rFonts w:hint="eastAsia" w:hAnsi="仿宋"/>
          <w:szCs w:val="30"/>
        </w:rPr>
      </w:pPr>
    </w:p>
    <w:p w14:paraId="3F374214">
      <w:pPr>
        <w:spacing w:line="579" w:lineRule="exact"/>
        <w:ind w:firstLine="630" w:firstLineChars="200"/>
        <w:rPr>
          <w:rFonts w:hAnsi="仿宋"/>
          <w:szCs w:val="30"/>
        </w:rPr>
      </w:pPr>
      <w:r>
        <w:rPr>
          <w:rFonts w:hint="eastAsia" w:hAnsi="仿宋"/>
          <w:szCs w:val="30"/>
        </w:rPr>
        <w:t>附件：1.绩效</w:t>
      </w:r>
      <w:r>
        <w:rPr>
          <w:rFonts w:hint="eastAsia" w:hAnsi="仿宋"/>
          <w:szCs w:val="30"/>
          <w:lang w:val="en-US" w:eastAsia="zh-CN"/>
        </w:rPr>
        <w:t>目标申报</w:t>
      </w:r>
      <w:r>
        <w:rPr>
          <w:rFonts w:hint="eastAsia" w:hAnsi="仿宋"/>
          <w:szCs w:val="30"/>
        </w:rPr>
        <w:t>表</w:t>
      </w:r>
    </w:p>
    <w:p w14:paraId="56E93A21">
      <w:pPr>
        <w:spacing w:line="579" w:lineRule="exact"/>
        <w:ind w:left="1871" w:leftChars="500" w:hanging="296" w:hangingChars="94"/>
        <w:rPr>
          <w:rFonts w:hAnsi="仿宋"/>
          <w:szCs w:val="30"/>
        </w:rPr>
      </w:pPr>
      <w:r>
        <w:rPr>
          <w:rFonts w:hint="eastAsia" w:hAnsi="仿宋"/>
          <w:szCs w:val="30"/>
        </w:rPr>
        <w:t>2</w:t>
      </w:r>
      <w:r>
        <w:rPr>
          <w:rFonts w:hAnsi="仿宋"/>
          <w:szCs w:val="30"/>
        </w:rPr>
        <w:t>.</w:t>
      </w:r>
      <w:bookmarkStart w:id="62" w:name="_Hlk527019547"/>
      <w:r>
        <w:rPr>
          <w:rFonts w:hint="eastAsia" w:hAnsi="仿宋"/>
          <w:szCs w:val="30"/>
        </w:rPr>
        <w:t>绩效评价指标体系及评分表</w:t>
      </w:r>
      <w:bookmarkEnd w:id="62"/>
    </w:p>
    <w:p w14:paraId="13B3024A">
      <w:pPr>
        <w:spacing w:line="579" w:lineRule="exact"/>
        <w:ind w:left="1871" w:leftChars="500" w:hanging="296" w:hangingChars="94"/>
        <w:rPr>
          <w:rFonts w:hAnsi="仿宋"/>
          <w:szCs w:val="30"/>
        </w:rPr>
      </w:pPr>
      <w:r>
        <w:rPr>
          <w:rFonts w:hint="eastAsia" w:hAnsi="仿宋"/>
          <w:szCs w:val="30"/>
        </w:rPr>
        <w:t>3.资金</w:t>
      </w:r>
      <w:r>
        <w:rPr>
          <w:rFonts w:hint="eastAsia" w:hAnsi="仿宋"/>
          <w:szCs w:val="30"/>
          <w:lang w:val="en-US" w:eastAsia="zh-CN"/>
        </w:rPr>
        <w:t>到位及</w:t>
      </w:r>
      <w:r>
        <w:rPr>
          <w:rFonts w:hint="eastAsia" w:hAnsi="仿宋"/>
          <w:szCs w:val="30"/>
        </w:rPr>
        <w:t>使用情况表</w:t>
      </w:r>
    </w:p>
    <w:p w14:paraId="13CCE427">
      <w:pPr>
        <w:spacing w:line="579" w:lineRule="exact"/>
        <w:ind w:firstLine="1575" w:firstLineChars="500"/>
        <w:rPr>
          <w:rFonts w:hint="eastAsia" w:hAnsi="仿宋"/>
          <w:szCs w:val="30"/>
          <w:lang w:val="en-US" w:eastAsia="zh-CN"/>
        </w:rPr>
      </w:pPr>
      <w:r>
        <w:rPr>
          <w:rFonts w:hint="eastAsia" w:hAnsi="仿宋"/>
          <w:szCs w:val="30"/>
        </w:rPr>
        <w:t>4</w:t>
      </w:r>
      <w:r>
        <w:rPr>
          <w:rFonts w:hAnsi="仿宋"/>
          <w:szCs w:val="30"/>
        </w:rPr>
        <w:t>.</w:t>
      </w:r>
      <w:bookmarkStart w:id="63" w:name="_Hlk527019673"/>
      <w:r>
        <w:rPr>
          <w:rFonts w:hint="eastAsia" w:hAnsi="仿宋"/>
          <w:szCs w:val="30"/>
        </w:rPr>
        <w:t>调查问卷结果汇</w:t>
      </w:r>
      <w:bookmarkEnd w:id="59"/>
      <w:bookmarkEnd w:id="63"/>
      <w:r>
        <w:rPr>
          <w:rFonts w:hint="eastAsia" w:hAnsi="仿宋"/>
          <w:szCs w:val="30"/>
          <w:lang w:val="en-US" w:eastAsia="zh-CN"/>
        </w:rPr>
        <w:t>总</w:t>
      </w:r>
    </w:p>
    <w:p w14:paraId="4E87B09D">
      <w:pPr>
        <w:spacing w:line="579" w:lineRule="exact"/>
        <w:ind w:firstLine="1575" w:firstLineChars="500"/>
        <w:rPr>
          <w:rFonts w:hint="eastAsia" w:hAnsi="仿宋"/>
          <w:szCs w:val="30"/>
          <w:lang w:val="en-US" w:eastAsia="zh-CN"/>
        </w:rPr>
      </w:pPr>
      <w:r>
        <w:rPr>
          <w:rFonts w:hint="eastAsia" w:hAnsi="仿宋"/>
          <w:szCs w:val="30"/>
          <w:lang w:val="en-US" w:eastAsia="zh-CN"/>
        </w:rPr>
        <w:t>5.绩效评价报告意见反馈表（财政局）</w:t>
      </w:r>
    </w:p>
    <w:p w14:paraId="52B20103">
      <w:pPr>
        <w:spacing w:line="579" w:lineRule="exact"/>
        <w:ind w:firstLine="1575" w:firstLineChars="500"/>
        <w:rPr>
          <w:rFonts w:hint="default" w:hAnsi="仿宋"/>
          <w:szCs w:val="30"/>
          <w:lang w:val="en-US" w:eastAsia="zh-CN"/>
        </w:rPr>
      </w:pPr>
      <w:r>
        <w:rPr>
          <w:rFonts w:hint="eastAsia" w:hAnsi="仿宋"/>
          <w:szCs w:val="30"/>
          <w:lang w:val="en-US" w:eastAsia="zh-CN"/>
        </w:rPr>
        <w:t>6.绩效评价报告意见反馈表（项目实施单位）</w:t>
      </w:r>
    </w:p>
    <w:p w14:paraId="4D8A481A">
      <w:pPr>
        <w:pStyle w:val="2"/>
      </w:pPr>
    </w:p>
    <w:sectPr>
      <w:headerReference r:id="rId12" w:type="default"/>
      <w:footerReference r:id="rId13" w:type="default"/>
      <w:footerReference r:id="rId14" w:type="even"/>
      <w:pgSz w:w="11906" w:h="16838"/>
      <w:pgMar w:top="2098" w:right="1474" w:bottom="1985" w:left="1588" w:header="964" w:footer="1474" w:gutter="0"/>
      <w:pgBorders>
        <w:top w:val="none" w:sz="0" w:space="0"/>
        <w:left w:val="none" w:sz="0" w:space="0"/>
        <w:bottom w:val="none" w:sz="0" w:space="0"/>
        <w:right w:val="none" w:sz="0" w:space="0"/>
      </w:pgBorders>
      <w:pgNumType w:fmt="decimal" w:start="1"/>
      <w:cols w:space="425" w:num="1"/>
      <w:docGrid w:type="linesAndChars" w:linePitch="579" w:charSpace="32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D9CBD3-81E0-45FE-9892-09EEBA2CA5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5C36B20-94C6-449C-9AB8-1F60380DA23C}"/>
  </w:font>
  <w:font w:name="仿宋">
    <w:panose1 w:val="02010609060101010101"/>
    <w:charset w:val="86"/>
    <w:family w:val="modern"/>
    <w:pitch w:val="default"/>
    <w:sig w:usb0="800002BF" w:usb1="38CF7CFA" w:usb2="00000016" w:usb3="00000000" w:csb0="00040001" w:csb1="00000000"/>
    <w:embedRegular r:id="rId3" w:fontKey="{E114CE11-F7EF-479A-89F6-03C361D241FB}"/>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宋体+FPEF">
    <w:altName w:val="宋体"/>
    <w:panose1 w:val="00000000000000000000"/>
    <w:charset w:val="86"/>
    <w:family w:val="auto"/>
    <w:pitch w:val="default"/>
    <w:sig w:usb0="00000000" w:usb1="00000000" w:usb2="00000010" w:usb3="00000000" w:csb0="00040000" w:csb1="00000000"/>
    <w:embedRegular r:id="rId4" w:fontKey="{A751FAE4-ACBD-4751-A6A1-56C3FA10FA63}"/>
  </w:font>
  <w:font w:name="Arial Narrow">
    <w:panose1 w:val="020B0606020202030204"/>
    <w:charset w:val="00"/>
    <w:family w:val="swiss"/>
    <w:pitch w:val="default"/>
    <w:sig w:usb0="00000287" w:usb1="00000800" w:usb2="00000000" w:usb3="00000000" w:csb0="2000009F" w:csb1="DFD70000"/>
    <w:embedRegular r:id="rId5" w:fontKey="{BF74192F-4CA9-4E24-9DBF-A9816EF9E0FF}"/>
  </w:font>
  <w:font w:name="楷体">
    <w:panose1 w:val="02010609060101010101"/>
    <w:charset w:val="86"/>
    <w:family w:val="modern"/>
    <w:pitch w:val="default"/>
    <w:sig w:usb0="800002BF" w:usb1="38CF7CFA" w:usb2="00000016" w:usb3="00000000" w:csb0="00040001" w:csb1="00000000"/>
    <w:embedRegular r:id="rId6" w:fontKey="{1AD71413-C6C8-4F38-8E62-075CD07D1ED6}"/>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8B369">
    <w:pPr>
      <w:pStyle w:val="11"/>
      <w:jc w:val="center"/>
      <w:rPr>
        <w:rFonts w:ascii="仿宋" w:hAnsi="仿宋" w:eastAsia="仿宋"/>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E9649">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FA56C">
    <w:pPr>
      <w:pStyle w:val="11"/>
      <w:rPr>
        <w:rFonts w:ascii="仿宋" w:hAnsi="仿宋" w:eastAsia="仿宋"/>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EA0EB">
    <w:pPr>
      <w:pStyle w:val="11"/>
      <w:tabs>
        <w:tab w:val="center" w:pos="4422"/>
        <w:tab w:val="clear" w:pos="4153"/>
      </w:tabs>
    </w:pP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1D922">
    <w:pPr>
      <w:pStyle w:val="11"/>
      <w:rPr>
        <w:rFonts w:ascii="仿宋" w:hAnsi="仿宋" w:eastAsia="仿宋"/>
        <w:sz w:val="28"/>
        <w:szCs w:val="28"/>
      </w:rPr>
    </w:pPr>
    <w:r>
      <w:rPr>
        <w:sz w:val="28"/>
      </w:rPr>
      <w:pict>
        <v:shape id="_x0000_s4125" o:spid="_x0000_s412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36F56533">
                <w:pPr>
                  <w:pStyle w:val="11"/>
                </w:pPr>
                <w:r>
                  <w:fldChar w:fldCharType="begin"/>
                </w:r>
                <w:r>
                  <w:instrText xml:space="preserve"> PAGE  \* MERGEFORMAT </w:instrText>
                </w:r>
                <w:r>
                  <w:fldChar w:fldCharType="separate"/>
                </w:r>
                <w:r>
                  <w:t>i</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9D739">
    <w:pPr>
      <w:pStyle w:val="11"/>
      <w:tabs>
        <w:tab w:val="center" w:pos="4422"/>
        <w:tab w:val="clear" w:pos="4153"/>
      </w:tabs>
    </w:pPr>
    <w:r>
      <w:rPr>
        <w:sz w:val="18"/>
      </w:rPr>
      <w:pict>
        <v:shape id="_x0000_s4126" o:spid="_x0000_s412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37F9413A">
                <w:pPr>
                  <w:pStyle w:val="11"/>
                </w:pPr>
                <w:r>
                  <w:fldChar w:fldCharType="begin"/>
                </w:r>
                <w:r>
                  <w:instrText xml:space="preserve"> PAGE  \* MERGEFORMAT </w:instrText>
                </w:r>
                <w:r>
                  <w:fldChar w:fldCharType="separate"/>
                </w:r>
                <w:r>
                  <w:t>ii</w:t>
                </w:r>
                <w:r>
                  <w:fldChar w:fldCharType="end"/>
                </w:r>
              </w:p>
            </w:txbxContent>
          </v:textbox>
        </v:shape>
      </w:pict>
    </w:r>
    <w:r>
      <w:rPr>
        <w:rFonts w:hint="eastAsia"/>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DC265">
    <w:pPr>
      <w:pStyle w:val="11"/>
      <w:rPr>
        <w:rFonts w:ascii="仿宋" w:hAnsi="仿宋" w:eastAsia="仿宋"/>
        <w:sz w:val="28"/>
        <w:szCs w:val="28"/>
      </w:rPr>
    </w:pPr>
    <w:r>
      <w:rPr>
        <w:sz w:val="28"/>
      </w:rPr>
      <w:pict>
        <v:shape id="_x0000_s4133" o:spid="_x0000_s4133"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547D0EFB">
                <w:pPr>
                  <w:pStyle w:val="11"/>
                </w:pPr>
                <w:r>
                  <w:fldChar w:fldCharType="begin"/>
                </w:r>
                <w:r>
                  <w:instrText xml:space="preserve"> PAGE  \* MERGEFORMAT </w:instrText>
                </w:r>
                <w:r>
                  <w:fldChar w:fldCharType="separate"/>
                </w:r>
                <w:r>
                  <w:t>i</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9771B">
    <w:pPr>
      <w:pStyle w:val="11"/>
      <w:rPr>
        <w:rFonts w:ascii="仿宋" w:hAnsi="仿宋" w:eastAsia="仿宋"/>
        <w:sz w:val="28"/>
        <w:szCs w:val="28"/>
      </w:rPr>
    </w:pPr>
    <w:r>
      <w:rPr>
        <w:sz w:val="28"/>
      </w:rPr>
      <w:pict>
        <v:shape id="_x0000_s4134" o:spid="_x0000_s4134"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09C7546">
                <w:pPr>
                  <w:pStyle w:val="11"/>
                </w:pPr>
                <w:r>
                  <w:fldChar w:fldCharType="begin"/>
                </w:r>
                <w:r>
                  <w:instrText xml:space="preserve"> PAGE  \* MERGEFORMAT </w:instrText>
                </w:r>
                <w:r>
                  <w:fldChar w:fldCharType="separate"/>
                </w:r>
                <w:r>
                  <w:t>xxiv</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A14E7">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240" w:lineRule="auto"/>
      <w:jc w:val="right"/>
      <w:textAlignment w:val="auto"/>
      <w:outlineLvl w:val="9"/>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drawing>
        <wp:anchor distT="0" distB="0" distL="114300" distR="114300" simplePos="0" relativeHeight="251659264" behindDoc="0" locked="0" layoutInCell="1" allowOverlap="1">
          <wp:simplePos x="0" y="0"/>
          <wp:positionH relativeFrom="column">
            <wp:posOffset>7620</wp:posOffset>
          </wp:positionH>
          <wp:positionV relativeFrom="paragraph">
            <wp:posOffset>77470</wp:posOffset>
          </wp:positionV>
          <wp:extent cx="345440" cy="345440"/>
          <wp:effectExtent l="0" t="0" r="16510" b="16510"/>
          <wp:wrapNone/>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345440" cy="345440"/>
                  </a:xfrm>
                  <a:prstGeom prst="roundRect">
                    <a:avLst/>
                  </a:prstGeom>
                </pic:spPr>
              </pic:pic>
            </a:graphicData>
          </a:graphic>
        </wp:anchor>
      </w:drawing>
    </w:r>
  </w:p>
  <w:p w14:paraId="1FCDFC65">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240" w:lineRule="auto"/>
      <w:ind w:firstLine="540" w:firstLineChars="300"/>
      <w:jc w:val="right"/>
      <w:textAlignment w:val="auto"/>
      <w:outlineLvl w:val="9"/>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云南谛祥会计师事务所（普通合伙）</w:t>
    </w:r>
  </w:p>
  <w:p w14:paraId="1D4FAA96">
    <w:pPr>
      <w:keepNext w:val="0"/>
      <w:keepLines w:val="0"/>
      <w:pageBreakBefore w:val="0"/>
      <w:widowControl w:val="0"/>
      <w:pBdr>
        <w:top w:val="none" w:color="auto" w:sz="0" w:space="1"/>
        <w:left w:val="none" w:color="auto" w:sz="0" w:space="4"/>
        <w:bottom w:val="single" w:color="auto" w:sz="4" w:space="1"/>
        <w:right w:val="none" w:color="auto" w:sz="0" w:space="4"/>
      </w:pBdr>
      <w:tabs>
        <w:tab w:val="center" w:pos="4153"/>
        <w:tab w:val="right" w:pos="8306"/>
      </w:tabs>
      <w:kinsoku/>
      <w:wordWrap/>
      <w:overflowPunct/>
      <w:topLinePunct w:val="0"/>
      <w:autoSpaceDE/>
      <w:autoSpaceDN/>
      <w:bidi w:val="0"/>
      <w:adjustRightInd/>
      <w:snapToGrid w:val="0"/>
      <w:spacing w:line="240" w:lineRule="auto"/>
      <w:ind w:firstLine="540" w:firstLineChars="300"/>
      <w:jc w:val="right"/>
      <w:textAlignment w:val="auto"/>
      <w:outlineLvl w:val="9"/>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Yun Nan Di Xiang Accounting Firm (General partnership)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374A8">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F9A3D">
    <w:pPr>
      <w:pStyle w:val="12"/>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80027">
    <w:pPr>
      <w:pStyle w:val="12"/>
      <w:keepNext w:val="0"/>
      <w:keepLines w:val="0"/>
      <w:pageBreakBefore w:val="0"/>
      <w:widowControl w:val="0"/>
      <w:pBdr>
        <w:bottom w:val="none" w:color="auto" w:sz="0" w:space="1"/>
      </w:pBdr>
      <w:kinsoku/>
      <w:wordWrap/>
      <w:overflowPunct/>
      <w:topLinePunct w:val="0"/>
      <w:autoSpaceDE/>
      <w:autoSpaceDN/>
      <w:bidi w:val="0"/>
      <w:adjustRightInd/>
      <w:snapToGrid w:val="0"/>
      <w:jc w:val="right"/>
      <w:textAlignment w:val="auto"/>
      <w:rPr>
        <w:rFonts w:hint="eastAsia"/>
        <w:sz w:val="18"/>
        <w:szCs w:val="18"/>
        <w:lang w:val="en-US" w:eastAsia="zh-CN"/>
      </w:rPr>
    </w:pPr>
    <w:r>
      <w:rPr>
        <w:rFonts w:hint="eastAsia" w:eastAsiaTheme="minorEastAsia"/>
        <w:sz w:val="18"/>
        <w:szCs w:val="18"/>
        <w:lang w:eastAsia="zh-CN"/>
      </w:rPr>
      <w:drawing>
        <wp:anchor distT="0" distB="0" distL="114300" distR="114300" simplePos="0" relativeHeight="251664384" behindDoc="0" locked="0" layoutInCell="1" allowOverlap="1">
          <wp:simplePos x="0" y="0"/>
          <wp:positionH relativeFrom="column">
            <wp:posOffset>7620</wp:posOffset>
          </wp:positionH>
          <wp:positionV relativeFrom="paragraph">
            <wp:posOffset>77470</wp:posOffset>
          </wp:positionV>
          <wp:extent cx="345440" cy="345440"/>
          <wp:effectExtent l="0" t="0" r="16510" b="16510"/>
          <wp:wrapNone/>
          <wp:docPr id="8" name="图片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LOGO"/>
                  <pic:cNvPicPr>
                    <a:picLocks noChangeAspect="1"/>
                  </pic:cNvPicPr>
                </pic:nvPicPr>
                <pic:blipFill>
                  <a:blip r:embed="rId1"/>
                  <a:stretch>
                    <a:fillRect/>
                  </a:stretch>
                </pic:blipFill>
                <pic:spPr>
                  <a:xfrm>
                    <a:off x="0" y="0"/>
                    <a:ext cx="345440" cy="345440"/>
                  </a:xfrm>
                  <a:prstGeom prst="roundRect">
                    <a:avLst/>
                  </a:prstGeom>
                </pic:spPr>
              </pic:pic>
            </a:graphicData>
          </a:graphic>
        </wp:anchor>
      </w:drawing>
    </w:r>
  </w:p>
  <w:p w14:paraId="3A568679">
    <w:pPr>
      <w:pStyle w:val="12"/>
      <w:keepNext w:val="0"/>
      <w:keepLines w:val="0"/>
      <w:pageBreakBefore w:val="0"/>
      <w:widowControl w:val="0"/>
      <w:pBdr>
        <w:bottom w:val="none" w:color="auto" w:sz="0" w:space="1"/>
      </w:pBdr>
      <w:kinsoku/>
      <w:wordWrap/>
      <w:overflowPunct/>
      <w:topLinePunct w:val="0"/>
      <w:autoSpaceDE/>
      <w:autoSpaceDN/>
      <w:bidi w:val="0"/>
      <w:adjustRightInd/>
      <w:snapToGrid w:val="0"/>
      <w:ind w:firstLine="540" w:firstLineChars="300"/>
      <w:jc w:val="right"/>
      <w:textAlignment w:val="auto"/>
      <w:rPr>
        <w:rFonts w:hint="eastAsia"/>
        <w:sz w:val="18"/>
        <w:szCs w:val="18"/>
        <w:lang w:val="en-US" w:eastAsia="zh-CN"/>
      </w:rPr>
    </w:pPr>
    <w:r>
      <w:rPr>
        <w:rFonts w:hint="eastAsia"/>
        <w:sz w:val="18"/>
        <w:szCs w:val="18"/>
        <w:lang w:val="en-US" w:eastAsia="zh-CN"/>
      </w:rPr>
      <w:t>云南谛祥会计师事务所（普通合伙）</w:t>
    </w:r>
  </w:p>
  <w:p w14:paraId="14B961AC">
    <w:pPr>
      <w:pStyle w:val="12"/>
      <w:keepNext w:val="0"/>
      <w:keepLines w:val="0"/>
      <w:pageBreakBefore w:val="0"/>
      <w:widowControl w:val="0"/>
      <w:pBdr>
        <w:bottom w:val="single" w:color="auto" w:sz="4" w:space="1"/>
      </w:pBdr>
      <w:kinsoku/>
      <w:wordWrap/>
      <w:overflowPunct/>
      <w:topLinePunct w:val="0"/>
      <w:autoSpaceDE/>
      <w:autoSpaceDN/>
      <w:bidi w:val="0"/>
      <w:adjustRightInd/>
      <w:snapToGrid w:val="0"/>
      <w:ind w:firstLine="540" w:firstLineChars="300"/>
      <w:jc w:val="righ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Yun Nan Di Xiang Accounting Firm (General partnership)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713977"/>
    <w:multiLevelType w:val="singleLevel"/>
    <w:tmpl w:val="7C71397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embedTrueTypeFonts/>
  <w:saveSubsetFonts/>
  <w:bordersDoNotSurroundHeader w:val="0"/>
  <w:bordersDoNotSurroundFooter w:val="0"/>
  <w:documentProtection w:enforcement="0"/>
  <w:defaultTabStop w:val="420"/>
  <w:drawingGridHorizontalSpacing w:val="158"/>
  <w:drawingGridVerticalSpacing w:val="57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VmYmVmNWE3NGRlNTU2ODA3NmZjYWQxNWRlMTZmOWQifQ=="/>
  </w:docVars>
  <w:rsids>
    <w:rsidRoot w:val="00763D8D"/>
    <w:rsid w:val="000027B8"/>
    <w:rsid w:val="00003457"/>
    <w:rsid w:val="000053D4"/>
    <w:rsid w:val="00007F56"/>
    <w:rsid w:val="000101DC"/>
    <w:rsid w:val="000109E6"/>
    <w:rsid w:val="00011162"/>
    <w:rsid w:val="000163D2"/>
    <w:rsid w:val="00017395"/>
    <w:rsid w:val="00020A87"/>
    <w:rsid w:val="00021B6D"/>
    <w:rsid w:val="00022FFA"/>
    <w:rsid w:val="00023438"/>
    <w:rsid w:val="00023D70"/>
    <w:rsid w:val="00023FF0"/>
    <w:rsid w:val="000267F0"/>
    <w:rsid w:val="000302F4"/>
    <w:rsid w:val="00030BA6"/>
    <w:rsid w:val="00032A27"/>
    <w:rsid w:val="00032BAE"/>
    <w:rsid w:val="000377E6"/>
    <w:rsid w:val="00037F46"/>
    <w:rsid w:val="0004014B"/>
    <w:rsid w:val="00043A7F"/>
    <w:rsid w:val="00044EEC"/>
    <w:rsid w:val="00046291"/>
    <w:rsid w:val="00046463"/>
    <w:rsid w:val="00050813"/>
    <w:rsid w:val="000563A3"/>
    <w:rsid w:val="00062BA9"/>
    <w:rsid w:val="00067604"/>
    <w:rsid w:val="00073C73"/>
    <w:rsid w:val="00075831"/>
    <w:rsid w:val="000761D2"/>
    <w:rsid w:val="00077515"/>
    <w:rsid w:val="0008006D"/>
    <w:rsid w:val="0008270C"/>
    <w:rsid w:val="00082DC6"/>
    <w:rsid w:val="000910C9"/>
    <w:rsid w:val="0009125B"/>
    <w:rsid w:val="000913F5"/>
    <w:rsid w:val="000926D7"/>
    <w:rsid w:val="00093656"/>
    <w:rsid w:val="00094C11"/>
    <w:rsid w:val="00095539"/>
    <w:rsid w:val="000A2576"/>
    <w:rsid w:val="000A3ED9"/>
    <w:rsid w:val="000A4562"/>
    <w:rsid w:val="000A60AC"/>
    <w:rsid w:val="000C04DE"/>
    <w:rsid w:val="000C0984"/>
    <w:rsid w:val="000C1909"/>
    <w:rsid w:val="000C29DC"/>
    <w:rsid w:val="000C3CE0"/>
    <w:rsid w:val="000C5033"/>
    <w:rsid w:val="000D71DD"/>
    <w:rsid w:val="000E21D8"/>
    <w:rsid w:val="000E6F75"/>
    <w:rsid w:val="000F1534"/>
    <w:rsid w:val="000F3E60"/>
    <w:rsid w:val="000F46ED"/>
    <w:rsid w:val="000F5FA5"/>
    <w:rsid w:val="000F6595"/>
    <w:rsid w:val="00106A8B"/>
    <w:rsid w:val="001075E2"/>
    <w:rsid w:val="001114F0"/>
    <w:rsid w:val="00114580"/>
    <w:rsid w:val="001146BA"/>
    <w:rsid w:val="00116445"/>
    <w:rsid w:val="00122361"/>
    <w:rsid w:val="0012393D"/>
    <w:rsid w:val="00124FFE"/>
    <w:rsid w:val="00125D9C"/>
    <w:rsid w:val="001308E4"/>
    <w:rsid w:val="00134DC9"/>
    <w:rsid w:val="00142242"/>
    <w:rsid w:val="001439E1"/>
    <w:rsid w:val="001473A6"/>
    <w:rsid w:val="00147856"/>
    <w:rsid w:val="00147F84"/>
    <w:rsid w:val="00150F3E"/>
    <w:rsid w:val="001513E5"/>
    <w:rsid w:val="00152B2B"/>
    <w:rsid w:val="001537D8"/>
    <w:rsid w:val="00153BC6"/>
    <w:rsid w:val="001556BF"/>
    <w:rsid w:val="00155A7C"/>
    <w:rsid w:val="00157E96"/>
    <w:rsid w:val="0016290B"/>
    <w:rsid w:val="00162B90"/>
    <w:rsid w:val="00167E57"/>
    <w:rsid w:val="001702EB"/>
    <w:rsid w:val="001722F7"/>
    <w:rsid w:val="00173C14"/>
    <w:rsid w:val="00175976"/>
    <w:rsid w:val="00177059"/>
    <w:rsid w:val="00180B66"/>
    <w:rsid w:val="00182613"/>
    <w:rsid w:val="001836BB"/>
    <w:rsid w:val="00183D89"/>
    <w:rsid w:val="001844AE"/>
    <w:rsid w:val="00184577"/>
    <w:rsid w:val="00184C8F"/>
    <w:rsid w:val="0018788E"/>
    <w:rsid w:val="001905A5"/>
    <w:rsid w:val="001A2410"/>
    <w:rsid w:val="001A2D6F"/>
    <w:rsid w:val="001A644B"/>
    <w:rsid w:val="001A77EE"/>
    <w:rsid w:val="001A7B0F"/>
    <w:rsid w:val="001B1BDE"/>
    <w:rsid w:val="001B4784"/>
    <w:rsid w:val="001B5EDA"/>
    <w:rsid w:val="001D4E03"/>
    <w:rsid w:val="001D58D7"/>
    <w:rsid w:val="001E07CC"/>
    <w:rsid w:val="001E3BF6"/>
    <w:rsid w:val="001E410D"/>
    <w:rsid w:val="001E6E29"/>
    <w:rsid w:val="001E713D"/>
    <w:rsid w:val="001F1285"/>
    <w:rsid w:val="001F1844"/>
    <w:rsid w:val="001F1E4B"/>
    <w:rsid w:val="001F3638"/>
    <w:rsid w:val="001F46E7"/>
    <w:rsid w:val="001F566D"/>
    <w:rsid w:val="00200263"/>
    <w:rsid w:val="00201C2D"/>
    <w:rsid w:val="002115B2"/>
    <w:rsid w:val="00212FA7"/>
    <w:rsid w:val="00217869"/>
    <w:rsid w:val="0021797F"/>
    <w:rsid w:val="00217AA8"/>
    <w:rsid w:val="00220DFC"/>
    <w:rsid w:val="002229E2"/>
    <w:rsid w:val="0022365E"/>
    <w:rsid w:val="002260C9"/>
    <w:rsid w:val="00226E95"/>
    <w:rsid w:val="00227678"/>
    <w:rsid w:val="00227A48"/>
    <w:rsid w:val="00227EAF"/>
    <w:rsid w:val="00230719"/>
    <w:rsid w:val="00230C67"/>
    <w:rsid w:val="002335C1"/>
    <w:rsid w:val="00235C5D"/>
    <w:rsid w:val="002422DC"/>
    <w:rsid w:val="00243F53"/>
    <w:rsid w:val="00246276"/>
    <w:rsid w:val="00251346"/>
    <w:rsid w:val="00252898"/>
    <w:rsid w:val="002532A4"/>
    <w:rsid w:val="0025396D"/>
    <w:rsid w:val="00254804"/>
    <w:rsid w:val="00254B91"/>
    <w:rsid w:val="002554E5"/>
    <w:rsid w:val="002567E0"/>
    <w:rsid w:val="00256D4E"/>
    <w:rsid w:val="002606F4"/>
    <w:rsid w:val="0026498A"/>
    <w:rsid w:val="00265F34"/>
    <w:rsid w:val="00274648"/>
    <w:rsid w:val="00277ACC"/>
    <w:rsid w:val="00282CC8"/>
    <w:rsid w:val="0028388B"/>
    <w:rsid w:val="00283F38"/>
    <w:rsid w:val="00285265"/>
    <w:rsid w:val="00290595"/>
    <w:rsid w:val="002917E5"/>
    <w:rsid w:val="002920DF"/>
    <w:rsid w:val="0029356B"/>
    <w:rsid w:val="002957FB"/>
    <w:rsid w:val="002A020A"/>
    <w:rsid w:val="002A1DF7"/>
    <w:rsid w:val="002A5AD2"/>
    <w:rsid w:val="002A6EAA"/>
    <w:rsid w:val="002B2CEA"/>
    <w:rsid w:val="002B3F00"/>
    <w:rsid w:val="002B7B5E"/>
    <w:rsid w:val="002C46F4"/>
    <w:rsid w:val="002C555C"/>
    <w:rsid w:val="002D1D67"/>
    <w:rsid w:val="002D3C45"/>
    <w:rsid w:val="002D498A"/>
    <w:rsid w:val="002D55A2"/>
    <w:rsid w:val="002E06C9"/>
    <w:rsid w:val="002E1041"/>
    <w:rsid w:val="002E1500"/>
    <w:rsid w:val="002E280F"/>
    <w:rsid w:val="002E5BDD"/>
    <w:rsid w:val="002E60CA"/>
    <w:rsid w:val="002F4221"/>
    <w:rsid w:val="002F516E"/>
    <w:rsid w:val="002F59F0"/>
    <w:rsid w:val="002F7BE7"/>
    <w:rsid w:val="00301F5D"/>
    <w:rsid w:val="003020B9"/>
    <w:rsid w:val="00307963"/>
    <w:rsid w:val="00307B63"/>
    <w:rsid w:val="003116BB"/>
    <w:rsid w:val="00313C52"/>
    <w:rsid w:val="00321FF5"/>
    <w:rsid w:val="003221CF"/>
    <w:rsid w:val="003270CD"/>
    <w:rsid w:val="003305B8"/>
    <w:rsid w:val="0033130B"/>
    <w:rsid w:val="0033489A"/>
    <w:rsid w:val="0033762E"/>
    <w:rsid w:val="00337718"/>
    <w:rsid w:val="003427D3"/>
    <w:rsid w:val="0034304B"/>
    <w:rsid w:val="00347579"/>
    <w:rsid w:val="00347950"/>
    <w:rsid w:val="00353796"/>
    <w:rsid w:val="003568A8"/>
    <w:rsid w:val="00357576"/>
    <w:rsid w:val="0036565B"/>
    <w:rsid w:val="00365B28"/>
    <w:rsid w:val="00371BB6"/>
    <w:rsid w:val="00371CAA"/>
    <w:rsid w:val="00375AF4"/>
    <w:rsid w:val="003761AE"/>
    <w:rsid w:val="00376534"/>
    <w:rsid w:val="00376A60"/>
    <w:rsid w:val="00377A2E"/>
    <w:rsid w:val="00380118"/>
    <w:rsid w:val="003807BD"/>
    <w:rsid w:val="00381F0D"/>
    <w:rsid w:val="0038336A"/>
    <w:rsid w:val="00384495"/>
    <w:rsid w:val="0038465D"/>
    <w:rsid w:val="003875C8"/>
    <w:rsid w:val="00392745"/>
    <w:rsid w:val="00393295"/>
    <w:rsid w:val="003948E5"/>
    <w:rsid w:val="003A3987"/>
    <w:rsid w:val="003A5711"/>
    <w:rsid w:val="003A6AB4"/>
    <w:rsid w:val="003B2170"/>
    <w:rsid w:val="003B2603"/>
    <w:rsid w:val="003B355C"/>
    <w:rsid w:val="003B5FE1"/>
    <w:rsid w:val="003B643A"/>
    <w:rsid w:val="003B74B5"/>
    <w:rsid w:val="003D112A"/>
    <w:rsid w:val="003D12B5"/>
    <w:rsid w:val="003D2104"/>
    <w:rsid w:val="003D35C0"/>
    <w:rsid w:val="003D6830"/>
    <w:rsid w:val="003E0E49"/>
    <w:rsid w:val="003E28AB"/>
    <w:rsid w:val="003E37CD"/>
    <w:rsid w:val="003F11BD"/>
    <w:rsid w:val="003F1515"/>
    <w:rsid w:val="003F16E7"/>
    <w:rsid w:val="003F1FDD"/>
    <w:rsid w:val="003F402E"/>
    <w:rsid w:val="003F6354"/>
    <w:rsid w:val="00400D06"/>
    <w:rsid w:val="0040199E"/>
    <w:rsid w:val="0040239B"/>
    <w:rsid w:val="00402CE7"/>
    <w:rsid w:val="00405226"/>
    <w:rsid w:val="00405C75"/>
    <w:rsid w:val="00406D6A"/>
    <w:rsid w:val="00407218"/>
    <w:rsid w:val="004107CB"/>
    <w:rsid w:val="00420BEC"/>
    <w:rsid w:val="0042251D"/>
    <w:rsid w:val="00426FE5"/>
    <w:rsid w:val="004272A6"/>
    <w:rsid w:val="0043119F"/>
    <w:rsid w:val="00433CAA"/>
    <w:rsid w:val="00436B3B"/>
    <w:rsid w:val="00437980"/>
    <w:rsid w:val="004401ED"/>
    <w:rsid w:val="00440843"/>
    <w:rsid w:val="00440F20"/>
    <w:rsid w:val="0044349C"/>
    <w:rsid w:val="00452585"/>
    <w:rsid w:val="00452895"/>
    <w:rsid w:val="00453319"/>
    <w:rsid w:val="004542C8"/>
    <w:rsid w:val="004549D1"/>
    <w:rsid w:val="00457099"/>
    <w:rsid w:val="00460E4C"/>
    <w:rsid w:val="00462343"/>
    <w:rsid w:val="00464A91"/>
    <w:rsid w:val="00465B8C"/>
    <w:rsid w:val="00466165"/>
    <w:rsid w:val="004671F2"/>
    <w:rsid w:val="00472258"/>
    <w:rsid w:val="00474787"/>
    <w:rsid w:val="00474A62"/>
    <w:rsid w:val="0048081D"/>
    <w:rsid w:val="0048089A"/>
    <w:rsid w:val="004811D4"/>
    <w:rsid w:val="004839EA"/>
    <w:rsid w:val="00484612"/>
    <w:rsid w:val="004860CD"/>
    <w:rsid w:val="004866EA"/>
    <w:rsid w:val="00490547"/>
    <w:rsid w:val="00493698"/>
    <w:rsid w:val="004949AC"/>
    <w:rsid w:val="00495FB3"/>
    <w:rsid w:val="004A0A75"/>
    <w:rsid w:val="004A3AAE"/>
    <w:rsid w:val="004A3DDB"/>
    <w:rsid w:val="004A4700"/>
    <w:rsid w:val="004A52B5"/>
    <w:rsid w:val="004A711A"/>
    <w:rsid w:val="004B34FB"/>
    <w:rsid w:val="004B448D"/>
    <w:rsid w:val="004C0BC9"/>
    <w:rsid w:val="004C1CCF"/>
    <w:rsid w:val="004C51F5"/>
    <w:rsid w:val="004C5D7B"/>
    <w:rsid w:val="004C5F17"/>
    <w:rsid w:val="004C6BF0"/>
    <w:rsid w:val="004D0D4D"/>
    <w:rsid w:val="004D2649"/>
    <w:rsid w:val="004D31B0"/>
    <w:rsid w:val="004D34AD"/>
    <w:rsid w:val="004D5F2D"/>
    <w:rsid w:val="004D678B"/>
    <w:rsid w:val="004E013B"/>
    <w:rsid w:val="004E0646"/>
    <w:rsid w:val="004E0906"/>
    <w:rsid w:val="004E5E85"/>
    <w:rsid w:val="004F0288"/>
    <w:rsid w:val="004F0B47"/>
    <w:rsid w:val="004F43AA"/>
    <w:rsid w:val="004F47FC"/>
    <w:rsid w:val="004F5DE3"/>
    <w:rsid w:val="004F6CCC"/>
    <w:rsid w:val="00501100"/>
    <w:rsid w:val="005102A2"/>
    <w:rsid w:val="00510BAB"/>
    <w:rsid w:val="00513B3D"/>
    <w:rsid w:val="00514671"/>
    <w:rsid w:val="00515734"/>
    <w:rsid w:val="00522A6C"/>
    <w:rsid w:val="00526431"/>
    <w:rsid w:val="0053063F"/>
    <w:rsid w:val="00532714"/>
    <w:rsid w:val="005344A8"/>
    <w:rsid w:val="00536F5B"/>
    <w:rsid w:val="00542670"/>
    <w:rsid w:val="00545001"/>
    <w:rsid w:val="00550937"/>
    <w:rsid w:val="0055330D"/>
    <w:rsid w:val="005578D6"/>
    <w:rsid w:val="00561795"/>
    <w:rsid w:val="0056186F"/>
    <w:rsid w:val="00562BA8"/>
    <w:rsid w:val="0056376A"/>
    <w:rsid w:val="00564552"/>
    <w:rsid w:val="00566921"/>
    <w:rsid w:val="005671E8"/>
    <w:rsid w:val="00570BF9"/>
    <w:rsid w:val="005750C4"/>
    <w:rsid w:val="00576CB6"/>
    <w:rsid w:val="00576FBF"/>
    <w:rsid w:val="00577548"/>
    <w:rsid w:val="00577FAD"/>
    <w:rsid w:val="00585784"/>
    <w:rsid w:val="00587462"/>
    <w:rsid w:val="00587C8D"/>
    <w:rsid w:val="00591EF2"/>
    <w:rsid w:val="00592198"/>
    <w:rsid w:val="0059320E"/>
    <w:rsid w:val="005953FB"/>
    <w:rsid w:val="00597B52"/>
    <w:rsid w:val="005A2E6F"/>
    <w:rsid w:val="005A3998"/>
    <w:rsid w:val="005A50E5"/>
    <w:rsid w:val="005A7959"/>
    <w:rsid w:val="005B0482"/>
    <w:rsid w:val="005B6066"/>
    <w:rsid w:val="005B70F0"/>
    <w:rsid w:val="005B74AE"/>
    <w:rsid w:val="005C19D7"/>
    <w:rsid w:val="005C2473"/>
    <w:rsid w:val="005C40D3"/>
    <w:rsid w:val="005D06E4"/>
    <w:rsid w:val="005E0F3C"/>
    <w:rsid w:val="005E4ABD"/>
    <w:rsid w:val="005E6172"/>
    <w:rsid w:val="005E718D"/>
    <w:rsid w:val="005F1102"/>
    <w:rsid w:val="006026DD"/>
    <w:rsid w:val="00613763"/>
    <w:rsid w:val="00620526"/>
    <w:rsid w:val="00621602"/>
    <w:rsid w:val="00623AF9"/>
    <w:rsid w:val="006251E6"/>
    <w:rsid w:val="00626208"/>
    <w:rsid w:val="00627439"/>
    <w:rsid w:val="006323C6"/>
    <w:rsid w:val="00634466"/>
    <w:rsid w:val="00636016"/>
    <w:rsid w:val="00643CC5"/>
    <w:rsid w:val="0064402F"/>
    <w:rsid w:val="0064527F"/>
    <w:rsid w:val="0065445B"/>
    <w:rsid w:val="00655674"/>
    <w:rsid w:val="00656020"/>
    <w:rsid w:val="00656A9A"/>
    <w:rsid w:val="00656F7D"/>
    <w:rsid w:val="006571CA"/>
    <w:rsid w:val="00657FEB"/>
    <w:rsid w:val="0066192E"/>
    <w:rsid w:val="006633E2"/>
    <w:rsid w:val="00663BBB"/>
    <w:rsid w:val="00664AE8"/>
    <w:rsid w:val="0066531C"/>
    <w:rsid w:val="00667C12"/>
    <w:rsid w:val="00671269"/>
    <w:rsid w:val="00674DB5"/>
    <w:rsid w:val="00682BA0"/>
    <w:rsid w:val="0068495B"/>
    <w:rsid w:val="00687D46"/>
    <w:rsid w:val="00693295"/>
    <w:rsid w:val="00694B78"/>
    <w:rsid w:val="00694EAF"/>
    <w:rsid w:val="006960BB"/>
    <w:rsid w:val="006A28E5"/>
    <w:rsid w:val="006A2942"/>
    <w:rsid w:val="006A2A32"/>
    <w:rsid w:val="006A5995"/>
    <w:rsid w:val="006A5FFB"/>
    <w:rsid w:val="006A6752"/>
    <w:rsid w:val="006B510D"/>
    <w:rsid w:val="006B5BCF"/>
    <w:rsid w:val="006B610A"/>
    <w:rsid w:val="006B70DE"/>
    <w:rsid w:val="006C0244"/>
    <w:rsid w:val="006C0E35"/>
    <w:rsid w:val="006D012E"/>
    <w:rsid w:val="006D2836"/>
    <w:rsid w:val="006E342B"/>
    <w:rsid w:val="006E36CF"/>
    <w:rsid w:val="006E3A23"/>
    <w:rsid w:val="006E4449"/>
    <w:rsid w:val="006E76CA"/>
    <w:rsid w:val="006E79B8"/>
    <w:rsid w:val="006E7FBA"/>
    <w:rsid w:val="006F09DA"/>
    <w:rsid w:val="006F38A5"/>
    <w:rsid w:val="00701599"/>
    <w:rsid w:val="00703419"/>
    <w:rsid w:val="00704906"/>
    <w:rsid w:val="00704B20"/>
    <w:rsid w:val="0070532D"/>
    <w:rsid w:val="007061AB"/>
    <w:rsid w:val="00706C0E"/>
    <w:rsid w:val="00707272"/>
    <w:rsid w:val="0070727C"/>
    <w:rsid w:val="00711BD6"/>
    <w:rsid w:val="0071646D"/>
    <w:rsid w:val="00723885"/>
    <w:rsid w:val="007258CC"/>
    <w:rsid w:val="0072647A"/>
    <w:rsid w:val="00727017"/>
    <w:rsid w:val="007319A2"/>
    <w:rsid w:val="00733D12"/>
    <w:rsid w:val="00733E02"/>
    <w:rsid w:val="0073677A"/>
    <w:rsid w:val="007412B5"/>
    <w:rsid w:val="00741C0D"/>
    <w:rsid w:val="007431B7"/>
    <w:rsid w:val="00744DB6"/>
    <w:rsid w:val="00746DEF"/>
    <w:rsid w:val="007474F3"/>
    <w:rsid w:val="0075085D"/>
    <w:rsid w:val="00751985"/>
    <w:rsid w:val="00752CA1"/>
    <w:rsid w:val="00753514"/>
    <w:rsid w:val="00754346"/>
    <w:rsid w:val="007622C7"/>
    <w:rsid w:val="00763D8D"/>
    <w:rsid w:val="00763F0B"/>
    <w:rsid w:val="00766A2A"/>
    <w:rsid w:val="00771DBA"/>
    <w:rsid w:val="00774178"/>
    <w:rsid w:val="00774689"/>
    <w:rsid w:val="00775421"/>
    <w:rsid w:val="00780354"/>
    <w:rsid w:val="00780EAF"/>
    <w:rsid w:val="00780F68"/>
    <w:rsid w:val="00783983"/>
    <w:rsid w:val="007854FB"/>
    <w:rsid w:val="00786B54"/>
    <w:rsid w:val="00795893"/>
    <w:rsid w:val="00796558"/>
    <w:rsid w:val="007A0D31"/>
    <w:rsid w:val="007A157F"/>
    <w:rsid w:val="007A1C7C"/>
    <w:rsid w:val="007A2BCD"/>
    <w:rsid w:val="007A58C0"/>
    <w:rsid w:val="007A6474"/>
    <w:rsid w:val="007A7277"/>
    <w:rsid w:val="007B064B"/>
    <w:rsid w:val="007B2D33"/>
    <w:rsid w:val="007B72C4"/>
    <w:rsid w:val="007C023F"/>
    <w:rsid w:val="007C1423"/>
    <w:rsid w:val="007C18CF"/>
    <w:rsid w:val="007C2CA2"/>
    <w:rsid w:val="007C38FA"/>
    <w:rsid w:val="007C3BD4"/>
    <w:rsid w:val="007C3CB2"/>
    <w:rsid w:val="007C7E73"/>
    <w:rsid w:val="007D051F"/>
    <w:rsid w:val="007D0BBA"/>
    <w:rsid w:val="007D2550"/>
    <w:rsid w:val="007D3332"/>
    <w:rsid w:val="007D333C"/>
    <w:rsid w:val="007D360D"/>
    <w:rsid w:val="007D5E47"/>
    <w:rsid w:val="007D6583"/>
    <w:rsid w:val="007D778F"/>
    <w:rsid w:val="007E0FFD"/>
    <w:rsid w:val="007E18FC"/>
    <w:rsid w:val="007E494F"/>
    <w:rsid w:val="007E5BBF"/>
    <w:rsid w:val="007E68BF"/>
    <w:rsid w:val="007F0B94"/>
    <w:rsid w:val="007F26DD"/>
    <w:rsid w:val="007F2884"/>
    <w:rsid w:val="007F2CFD"/>
    <w:rsid w:val="007F3CED"/>
    <w:rsid w:val="008012F3"/>
    <w:rsid w:val="00801696"/>
    <w:rsid w:val="008035C2"/>
    <w:rsid w:val="00803F6D"/>
    <w:rsid w:val="00803FFB"/>
    <w:rsid w:val="00805C6A"/>
    <w:rsid w:val="00807246"/>
    <w:rsid w:val="00812AFF"/>
    <w:rsid w:val="00814803"/>
    <w:rsid w:val="00814C48"/>
    <w:rsid w:val="008162D6"/>
    <w:rsid w:val="008207F7"/>
    <w:rsid w:val="00821495"/>
    <w:rsid w:val="00822129"/>
    <w:rsid w:val="00827365"/>
    <w:rsid w:val="0083033C"/>
    <w:rsid w:val="00832C5F"/>
    <w:rsid w:val="00833991"/>
    <w:rsid w:val="00834B6A"/>
    <w:rsid w:val="008369B8"/>
    <w:rsid w:val="00837E6A"/>
    <w:rsid w:val="0084288D"/>
    <w:rsid w:val="008429AF"/>
    <w:rsid w:val="008444BD"/>
    <w:rsid w:val="00846B79"/>
    <w:rsid w:val="00847259"/>
    <w:rsid w:val="008476D2"/>
    <w:rsid w:val="00851B24"/>
    <w:rsid w:val="00851F54"/>
    <w:rsid w:val="00854621"/>
    <w:rsid w:val="0086105D"/>
    <w:rsid w:val="008625ED"/>
    <w:rsid w:val="00864A1B"/>
    <w:rsid w:val="00866AB0"/>
    <w:rsid w:val="00867F1E"/>
    <w:rsid w:val="008704E6"/>
    <w:rsid w:val="00870D8D"/>
    <w:rsid w:val="008735D5"/>
    <w:rsid w:val="00873D83"/>
    <w:rsid w:val="00873EA1"/>
    <w:rsid w:val="0087571E"/>
    <w:rsid w:val="00877854"/>
    <w:rsid w:val="00882E11"/>
    <w:rsid w:val="00884635"/>
    <w:rsid w:val="00885EF1"/>
    <w:rsid w:val="00886215"/>
    <w:rsid w:val="00890F31"/>
    <w:rsid w:val="008929D8"/>
    <w:rsid w:val="00894CB7"/>
    <w:rsid w:val="00896267"/>
    <w:rsid w:val="00896DBE"/>
    <w:rsid w:val="008A096F"/>
    <w:rsid w:val="008A2CA9"/>
    <w:rsid w:val="008A3471"/>
    <w:rsid w:val="008A5EF0"/>
    <w:rsid w:val="008A658D"/>
    <w:rsid w:val="008B035B"/>
    <w:rsid w:val="008B4790"/>
    <w:rsid w:val="008C134F"/>
    <w:rsid w:val="008C1413"/>
    <w:rsid w:val="008C33C4"/>
    <w:rsid w:val="008C3699"/>
    <w:rsid w:val="008D007F"/>
    <w:rsid w:val="008D4DB3"/>
    <w:rsid w:val="008D5ECA"/>
    <w:rsid w:val="008D6C00"/>
    <w:rsid w:val="008D7D2E"/>
    <w:rsid w:val="008E077D"/>
    <w:rsid w:val="008E0FBB"/>
    <w:rsid w:val="008E30EF"/>
    <w:rsid w:val="008E70EF"/>
    <w:rsid w:val="008F0F5E"/>
    <w:rsid w:val="008F2D6C"/>
    <w:rsid w:val="008F2F92"/>
    <w:rsid w:val="008F689B"/>
    <w:rsid w:val="00901D0E"/>
    <w:rsid w:val="009034E6"/>
    <w:rsid w:val="00903C2E"/>
    <w:rsid w:val="009041C2"/>
    <w:rsid w:val="0090678C"/>
    <w:rsid w:val="00910CE3"/>
    <w:rsid w:val="00914E87"/>
    <w:rsid w:val="00915956"/>
    <w:rsid w:val="00920E07"/>
    <w:rsid w:val="0092374D"/>
    <w:rsid w:val="00923BAA"/>
    <w:rsid w:val="00924970"/>
    <w:rsid w:val="009267F6"/>
    <w:rsid w:val="009317C0"/>
    <w:rsid w:val="009326BF"/>
    <w:rsid w:val="00936024"/>
    <w:rsid w:val="0093787B"/>
    <w:rsid w:val="00937BC1"/>
    <w:rsid w:val="00942C8E"/>
    <w:rsid w:val="0095111A"/>
    <w:rsid w:val="009546AB"/>
    <w:rsid w:val="00954A89"/>
    <w:rsid w:val="00954F31"/>
    <w:rsid w:val="009607A3"/>
    <w:rsid w:val="00961330"/>
    <w:rsid w:val="00961BEE"/>
    <w:rsid w:val="00963095"/>
    <w:rsid w:val="00964F1C"/>
    <w:rsid w:val="00965869"/>
    <w:rsid w:val="0096633E"/>
    <w:rsid w:val="009669C6"/>
    <w:rsid w:val="009672A4"/>
    <w:rsid w:val="00973859"/>
    <w:rsid w:val="00974A70"/>
    <w:rsid w:val="00976E34"/>
    <w:rsid w:val="00982ABB"/>
    <w:rsid w:val="00983C33"/>
    <w:rsid w:val="00983EB5"/>
    <w:rsid w:val="009900E6"/>
    <w:rsid w:val="00990F17"/>
    <w:rsid w:val="009912B5"/>
    <w:rsid w:val="00991437"/>
    <w:rsid w:val="009914DC"/>
    <w:rsid w:val="00993E30"/>
    <w:rsid w:val="009A3DA3"/>
    <w:rsid w:val="009A3DE0"/>
    <w:rsid w:val="009B0758"/>
    <w:rsid w:val="009B2564"/>
    <w:rsid w:val="009B4C1C"/>
    <w:rsid w:val="009C07AA"/>
    <w:rsid w:val="009C3ECB"/>
    <w:rsid w:val="009C5FAB"/>
    <w:rsid w:val="009C6BDC"/>
    <w:rsid w:val="009C6D8D"/>
    <w:rsid w:val="009D25F6"/>
    <w:rsid w:val="009D3B4B"/>
    <w:rsid w:val="009D4D5E"/>
    <w:rsid w:val="009E56D5"/>
    <w:rsid w:val="009E662A"/>
    <w:rsid w:val="009E7A09"/>
    <w:rsid w:val="009F0910"/>
    <w:rsid w:val="009F17BE"/>
    <w:rsid w:val="009F2679"/>
    <w:rsid w:val="009F41F3"/>
    <w:rsid w:val="009F6719"/>
    <w:rsid w:val="00A000D9"/>
    <w:rsid w:val="00A00612"/>
    <w:rsid w:val="00A01AD8"/>
    <w:rsid w:val="00A02D03"/>
    <w:rsid w:val="00A02E94"/>
    <w:rsid w:val="00A057DC"/>
    <w:rsid w:val="00A0725B"/>
    <w:rsid w:val="00A10153"/>
    <w:rsid w:val="00A11EC9"/>
    <w:rsid w:val="00A121FB"/>
    <w:rsid w:val="00A12F69"/>
    <w:rsid w:val="00A17A74"/>
    <w:rsid w:val="00A22A04"/>
    <w:rsid w:val="00A23FCD"/>
    <w:rsid w:val="00A24BDC"/>
    <w:rsid w:val="00A24E49"/>
    <w:rsid w:val="00A25F38"/>
    <w:rsid w:val="00A27411"/>
    <w:rsid w:val="00A27C51"/>
    <w:rsid w:val="00A31048"/>
    <w:rsid w:val="00A33005"/>
    <w:rsid w:val="00A34C99"/>
    <w:rsid w:val="00A36910"/>
    <w:rsid w:val="00A370A6"/>
    <w:rsid w:val="00A375F1"/>
    <w:rsid w:val="00A41B24"/>
    <w:rsid w:val="00A43DC7"/>
    <w:rsid w:val="00A444BF"/>
    <w:rsid w:val="00A47A9A"/>
    <w:rsid w:val="00A5152D"/>
    <w:rsid w:val="00A5630B"/>
    <w:rsid w:val="00A57205"/>
    <w:rsid w:val="00A57436"/>
    <w:rsid w:val="00A605F9"/>
    <w:rsid w:val="00A60E45"/>
    <w:rsid w:val="00A63BA5"/>
    <w:rsid w:val="00A66EE9"/>
    <w:rsid w:val="00A6714F"/>
    <w:rsid w:val="00A7047C"/>
    <w:rsid w:val="00A7287F"/>
    <w:rsid w:val="00A73844"/>
    <w:rsid w:val="00A76165"/>
    <w:rsid w:val="00A77E6F"/>
    <w:rsid w:val="00A80D20"/>
    <w:rsid w:val="00A83F2E"/>
    <w:rsid w:val="00A84FF4"/>
    <w:rsid w:val="00A8504E"/>
    <w:rsid w:val="00A86EA4"/>
    <w:rsid w:val="00A91A3E"/>
    <w:rsid w:val="00A92139"/>
    <w:rsid w:val="00A92FCE"/>
    <w:rsid w:val="00A95E98"/>
    <w:rsid w:val="00AA01D4"/>
    <w:rsid w:val="00AA2D96"/>
    <w:rsid w:val="00AB0EEC"/>
    <w:rsid w:val="00AB312A"/>
    <w:rsid w:val="00AB5B2F"/>
    <w:rsid w:val="00AB738C"/>
    <w:rsid w:val="00AC1118"/>
    <w:rsid w:val="00AC240E"/>
    <w:rsid w:val="00AC318C"/>
    <w:rsid w:val="00AC3F10"/>
    <w:rsid w:val="00AC42D0"/>
    <w:rsid w:val="00AC5A44"/>
    <w:rsid w:val="00AC66C5"/>
    <w:rsid w:val="00AD619D"/>
    <w:rsid w:val="00AD6AB3"/>
    <w:rsid w:val="00AD6DA0"/>
    <w:rsid w:val="00AD712B"/>
    <w:rsid w:val="00AE0A63"/>
    <w:rsid w:val="00AE1D02"/>
    <w:rsid w:val="00AE1EF8"/>
    <w:rsid w:val="00AE4EBF"/>
    <w:rsid w:val="00AF0B62"/>
    <w:rsid w:val="00B020FB"/>
    <w:rsid w:val="00B0556F"/>
    <w:rsid w:val="00B06A9C"/>
    <w:rsid w:val="00B07B88"/>
    <w:rsid w:val="00B10C1D"/>
    <w:rsid w:val="00B16986"/>
    <w:rsid w:val="00B20A9D"/>
    <w:rsid w:val="00B21437"/>
    <w:rsid w:val="00B2516C"/>
    <w:rsid w:val="00B2587E"/>
    <w:rsid w:val="00B300AD"/>
    <w:rsid w:val="00B3120A"/>
    <w:rsid w:val="00B327D2"/>
    <w:rsid w:val="00B35B22"/>
    <w:rsid w:val="00B36265"/>
    <w:rsid w:val="00B45B74"/>
    <w:rsid w:val="00B53412"/>
    <w:rsid w:val="00B54DC6"/>
    <w:rsid w:val="00B55B57"/>
    <w:rsid w:val="00B567D7"/>
    <w:rsid w:val="00B57693"/>
    <w:rsid w:val="00B61B4E"/>
    <w:rsid w:val="00B63EAD"/>
    <w:rsid w:val="00B70DE9"/>
    <w:rsid w:val="00B74E74"/>
    <w:rsid w:val="00B87192"/>
    <w:rsid w:val="00B873B5"/>
    <w:rsid w:val="00B93260"/>
    <w:rsid w:val="00B93F28"/>
    <w:rsid w:val="00B972CB"/>
    <w:rsid w:val="00BA0FD9"/>
    <w:rsid w:val="00BA40D9"/>
    <w:rsid w:val="00BA75F2"/>
    <w:rsid w:val="00BB0BA8"/>
    <w:rsid w:val="00BB2CA7"/>
    <w:rsid w:val="00BB37A8"/>
    <w:rsid w:val="00BB6206"/>
    <w:rsid w:val="00BC66F9"/>
    <w:rsid w:val="00BC6820"/>
    <w:rsid w:val="00BC6C03"/>
    <w:rsid w:val="00BC6F02"/>
    <w:rsid w:val="00BC6F77"/>
    <w:rsid w:val="00BD1031"/>
    <w:rsid w:val="00BD455D"/>
    <w:rsid w:val="00BE1D81"/>
    <w:rsid w:val="00BE2CD8"/>
    <w:rsid w:val="00BE2E79"/>
    <w:rsid w:val="00BE36D4"/>
    <w:rsid w:val="00BF212F"/>
    <w:rsid w:val="00BF373E"/>
    <w:rsid w:val="00BF43FA"/>
    <w:rsid w:val="00BF62F2"/>
    <w:rsid w:val="00BF652B"/>
    <w:rsid w:val="00C02FA4"/>
    <w:rsid w:val="00C045BB"/>
    <w:rsid w:val="00C06CB9"/>
    <w:rsid w:val="00C12325"/>
    <w:rsid w:val="00C12472"/>
    <w:rsid w:val="00C127E3"/>
    <w:rsid w:val="00C12993"/>
    <w:rsid w:val="00C14194"/>
    <w:rsid w:val="00C1562E"/>
    <w:rsid w:val="00C15C47"/>
    <w:rsid w:val="00C1769E"/>
    <w:rsid w:val="00C20FD7"/>
    <w:rsid w:val="00C21C6A"/>
    <w:rsid w:val="00C226BA"/>
    <w:rsid w:val="00C25D38"/>
    <w:rsid w:val="00C30655"/>
    <w:rsid w:val="00C3203F"/>
    <w:rsid w:val="00C322A8"/>
    <w:rsid w:val="00C342E1"/>
    <w:rsid w:val="00C349B8"/>
    <w:rsid w:val="00C377A0"/>
    <w:rsid w:val="00C40B0E"/>
    <w:rsid w:val="00C40B4E"/>
    <w:rsid w:val="00C40CCE"/>
    <w:rsid w:val="00C41346"/>
    <w:rsid w:val="00C4210A"/>
    <w:rsid w:val="00C43BD6"/>
    <w:rsid w:val="00C45B16"/>
    <w:rsid w:val="00C45EBD"/>
    <w:rsid w:val="00C466DC"/>
    <w:rsid w:val="00C468DC"/>
    <w:rsid w:val="00C47B12"/>
    <w:rsid w:val="00C534CE"/>
    <w:rsid w:val="00C5415C"/>
    <w:rsid w:val="00C541D9"/>
    <w:rsid w:val="00C60313"/>
    <w:rsid w:val="00C62615"/>
    <w:rsid w:val="00C6335B"/>
    <w:rsid w:val="00C63F3D"/>
    <w:rsid w:val="00C645D0"/>
    <w:rsid w:val="00C65119"/>
    <w:rsid w:val="00C67B4F"/>
    <w:rsid w:val="00C71AC0"/>
    <w:rsid w:val="00C72787"/>
    <w:rsid w:val="00C74EDF"/>
    <w:rsid w:val="00C80468"/>
    <w:rsid w:val="00C82335"/>
    <w:rsid w:val="00C82510"/>
    <w:rsid w:val="00C83288"/>
    <w:rsid w:val="00C83A49"/>
    <w:rsid w:val="00C846E1"/>
    <w:rsid w:val="00C85B33"/>
    <w:rsid w:val="00C87F34"/>
    <w:rsid w:val="00C90211"/>
    <w:rsid w:val="00C90783"/>
    <w:rsid w:val="00C95C0B"/>
    <w:rsid w:val="00CA0927"/>
    <w:rsid w:val="00CA0E05"/>
    <w:rsid w:val="00CA4623"/>
    <w:rsid w:val="00CA4B6A"/>
    <w:rsid w:val="00CA54F1"/>
    <w:rsid w:val="00CA7A9C"/>
    <w:rsid w:val="00CB007D"/>
    <w:rsid w:val="00CB0544"/>
    <w:rsid w:val="00CB140F"/>
    <w:rsid w:val="00CB545A"/>
    <w:rsid w:val="00CB7BE6"/>
    <w:rsid w:val="00CC1977"/>
    <w:rsid w:val="00CC1F56"/>
    <w:rsid w:val="00CC2185"/>
    <w:rsid w:val="00CC28DD"/>
    <w:rsid w:val="00CC32D9"/>
    <w:rsid w:val="00CC390A"/>
    <w:rsid w:val="00CC4601"/>
    <w:rsid w:val="00CC75A2"/>
    <w:rsid w:val="00CD2162"/>
    <w:rsid w:val="00CD49EF"/>
    <w:rsid w:val="00CE0348"/>
    <w:rsid w:val="00CE423E"/>
    <w:rsid w:val="00CE67AF"/>
    <w:rsid w:val="00D02747"/>
    <w:rsid w:val="00D029A4"/>
    <w:rsid w:val="00D03FFF"/>
    <w:rsid w:val="00D107B7"/>
    <w:rsid w:val="00D1120B"/>
    <w:rsid w:val="00D11B8A"/>
    <w:rsid w:val="00D14664"/>
    <w:rsid w:val="00D175D4"/>
    <w:rsid w:val="00D21782"/>
    <w:rsid w:val="00D226A0"/>
    <w:rsid w:val="00D27175"/>
    <w:rsid w:val="00D304CE"/>
    <w:rsid w:val="00D3157C"/>
    <w:rsid w:val="00D32626"/>
    <w:rsid w:val="00D33323"/>
    <w:rsid w:val="00D33D96"/>
    <w:rsid w:val="00D35671"/>
    <w:rsid w:val="00D364E5"/>
    <w:rsid w:val="00D37658"/>
    <w:rsid w:val="00D41184"/>
    <w:rsid w:val="00D42666"/>
    <w:rsid w:val="00D428E9"/>
    <w:rsid w:val="00D429FE"/>
    <w:rsid w:val="00D434B3"/>
    <w:rsid w:val="00D47CF4"/>
    <w:rsid w:val="00D517DB"/>
    <w:rsid w:val="00D520F7"/>
    <w:rsid w:val="00D5212F"/>
    <w:rsid w:val="00D52D57"/>
    <w:rsid w:val="00D52EB8"/>
    <w:rsid w:val="00D53012"/>
    <w:rsid w:val="00D543E3"/>
    <w:rsid w:val="00D557FA"/>
    <w:rsid w:val="00D56D8A"/>
    <w:rsid w:val="00D60D81"/>
    <w:rsid w:val="00D6208B"/>
    <w:rsid w:val="00D6323D"/>
    <w:rsid w:val="00D65736"/>
    <w:rsid w:val="00D67916"/>
    <w:rsid w:val="00D70277"/>
    <w:rsid w:val="00D7082A"/>
    <w:rsid w:val="00D76498"/>
    <w:rsid w:val="00D84828"/>
    <w:rsid w:val="00D86780"/>
    <w:rsid w:val="00D86E4E"/>
    <w:rsid w:val="00D878B0"/>
    <w:rsid w:val="00D94156"/>
    <w:rsid w:val="00D94439"/>
    <w:rsid w:val="00DA105E"/>
    <w:rsid w:val="00DA15E3"/>
    <w:rsid w:val="00DB2AE7"/>
    <w:rsid w:val="00DB4813"/>
    <w:rsid w:val="00DB6228"/>
    <w:rsid w:val="00DB6967"/>
    <w:rsid w:val="00DB7A9F"/>
    <w:rsid w:val="00DC5F49"/>
    <w:rsid w:val="00DC77D8"/>
    <w:rsid w:val="00DC7BEC"/>
    <w:rsid w:val="00DE073C"/>
    <w:rsid w:val="00DE16E9"/>
    <w:rsid w:val="00DE4365"/>
    <w:rsid w:val="00DE4C6F"/>
    <w:rsid w:val="00E01B46"/>
    <w:rsid w:val="00E05F95"/>
    <w:rsid w:val="00E06324"/>
    <w:rsid w:val="00E109B2"/>
    <w:rsid w:val="00E11C47"/>
    <w:rsid w:val="00E125EB"/>
    <w:rsid w:val="00E1400B"/>
    <w:rsid w:val="00E15547"/>
    <w:rsid w:val="00E17B51"/>
    <w:rsid w:val="00E2082F"/>
    <w:rsid w:val="00E2249A"/>
    <w:rsid w:val="00E2474A"/>
    <w:rsid w:val="00E271BE"/>
    <w:rsid w:val="00E30C20"/>
    <w:rsid w:val="00E30E91"/>
    <w:rsid w:val="00E30EBB"/>
    <w:rsid w:val="00E32B5E"/>
    <w:rsid w:val="00E33420"/>
    <w:rsid w:val="00E33D2F"/>
    <w:rsid w:val="00E35D4E"/>
    <w:rsid w:val="00E363D3"/>
    <w:rsid w:val="00E41E7A"/>
    <w:rsid w:val="00E4272F"/>
    <w:rsid w:val="00E42FD5"/>
    <w:rsid w:val="00E503CA"/>
    <w:rsid w:val="00E51774"/>
    <w:rsid w:val="00E57717"/>
    <w:rsid w:val="00E6040B"/>
    <w:rsid w:val="00E610C7"/>
    <w:rsid w:val="00E63F8C"/>
    <w:rsid w:val="00E664E3"/>
    <w:rsid w:val="00E66C39"/>
    <w:rsid w:val="00E67AC7"/>
    <w:rsid w:val="00E70CC7"/>
    <w:rsid w:val="00E727B4"/>
    <w:rsid w:val="00E733CB"/>
    <w:rsid w:val="00E758B8"/>
    <w:rsid w:val="00E75A4F"/>
    <w:rsid w:val="00E75D25"/>
    <w:rsid w:val="00E773A0"/>
    <w:rsid w:val="00E77F0E"/>
    <w:rsid w:val="00E82285"/>
    <w:rsid w:val="00E85022"/>
    <w:rsid w:val="00E85235"/>
    <w:rsid w:val="00E91702"/>
    <w:rsid w:val="00E9493D"/>
    <w:rsid w:val="00EA48FC"/>
    <w:rsid w:val="00EA69C3"/>
    <w:rsid w:val="00EB0D59"/>
    <w:rsid w:val="00EB2203"/>
    <w:rsid w:val="00EB3CD1"/>
    <w:rsid w:val="00EB3FD4"/>
    <w:rsid w:val="00EB5501"/>
    <w:rsid w:val="00EB75FE"/>
    <w:rsid w:val="00EC031D"/>
    <w:rsid w:val="00EC2985"/>
    <w:rsid w:val="00EC33B7"/>
    <w:rsid w:val="00EC366B"/>
    <w:rsid w:val="00EC5738"/>
    <w:rsid w:val="00EC5BA4"/>
    <w:rsid w:val="00EC62D7"/>
    <w:rsid w:val="00ED063F"/>
    <w:rsid w:val="00ED5548"/>
    <w:rsid w:val="00ED7CDD"/>
    <w:rsid w:val="00ED7FF2"/>
    <w:rsid w:val="00EE72CF"/>
    <w:rsid w:val="00EE7F07"/>
    <w:rsid w:val="00EF18F6"/>
    <w:rsid w:val="00EF51B8"/>
    <w:rsid w:val="00EF6E58"/>
    <w:rsid w:val="00F00DC9"/>
    <w:rsid w:val="00F03A6F"/>
    <w:rsid w:val="00F078B5"/>
    <w:rsid w:val="00F12E05"/>
    <w:rsid w:val="00F1540B"/>
    <w:rsid w:val="00F15CE1"/>
    <w:rsid w:val="00F15F42"/>
    <w:rsid w:val="00F1642E"/>
    <w:rsid w:val="00F1677C"/>
    <w:rsid w:val="00F22E84"/>
    <w:rsid w:val="00F24F9C"/>
    <w:rsid w:val="00F30AB9"/>
    <w:rsid w:val="00F30ADA"/>
    <w:rsid w:val="00F361CB"/>
    <w:rsid w:val="00F36F88"/>
    <w:rsid w:val="00F3751F"/>
    <w:rsid w:val="00F448F4"/>
    <w:rsid w:val="00F50CF8"/>
    <w:rsid w:val="00F50FEA"/>
    <w:rsid w:val="00F51A53"/>
    <w:rsid w:val="00F52C04"/>
    <w:rsid w:val="00F53597"/>
    <w:rsid w:val="00F56C74"/>
    <w:rsid w:val="00F57207"/>
    <w:rsid w:val="00F5747F"/>
    <w:rsid w:val="00F606DB"/>
    <w:rsid w:val="00F63A66"/>
    <w:rsid w:val="00F644D9"/>
    <w:rsid w:val="00F64B31"/>
    <w:rsid w:val="00F656A9"/>
    <w:rsid w:val="00F65A75"/>
    <w:rsid w:val="00F66DF8"/>
    <w:rsid w:val="00F67ECF"/>
    <w:rsid w:val="00F70081"/>
    <w:rsid w:val="00F70120"/>
    <w:rsid w:val="00F72138"/>
    <w:rsid w:val="00F72321"/>
    <w:rsid w:val="00F73E58"/>
    <w:rsid w:val="00F74539"/>
    <w:rsid w:val="00F75E34"/>
    <w:rsid w:val="00F80DE2"/>
    <w:rsid w:val="00F8246D"/>
    <w:rsid w:val="00F842CC"/>
    <w:rsid w:val="00F8543D"/>
    <w:rsid w:val="00F86C2F"/>
    <w:rsid w:val="00F9086D"/>
    <w:rsid w:val="00F908C4"/>
    <w:rsid w:val="00F90B56"/>
    <w:rsid w:val="00F9496E"/>
    <w:rsid w:val="00F96741"/>
    <w:rsid w:val="00FA0419"/>
    <w:rsid w:val="00FA211A"/>
    <w:rsid w:val="00FA215F"/>
    <w:rsid w:val="00FA390E"/>
    <w:rsid w:val="00FA3A5D"/>
    <w:rsid w:val="00FA4A3D"/>
    <w:rsid w:val="00FA5054"/>
    <w:rsid w:val="00FA6159"/>
    <w:rsid w:val="00FA6FA2"/>
    <w:rsid w:val="00FB1764"/>
    <w:rsid w:val="00FB2D5E"/>
    <w:rsid w:val="00FB5172"/>
    <w:rsid w:val="00FB664F"/>
    <w:rsid w:val="00FB698D"/>
    <w:rsid w:val="00FC0283"/>
    <w:rsid w:val="00FC076E"/>
    <w:rsid w:val="00FC11EF"/>
    <w:rsid w:val="00FC24B4"/>
    <w:rsid w:val="00FC27A0"/>
    <w:rsid w:val="00FC2B68"/>
    <w:rsid w:val="00FC49E1"/>
    <w:rsid w:val="00FD1537"/>
    <w:rsid w:val="00FD4B91"/>
    <w:rsid w:val="00FD65F4"/>
    <w:rsid w:val="00FD7AFE"/>
    <w:rsid w:val="00FE0ABD"/>
    <w:rsid w:val="00FE0BF8"/>
    <w:rsid w:val="00FE12EB"/>
    <w:rsid w:val="00FE1A58"/>
    <w:rsid w:val="00FE2D4E"/>
    <w:rsid w:val="00FE3AFA"/>
    <w:rsid w:val="00FE6D8D"/>
    <w:rsid w:val="00FE7045"/>
    <w:rsid w:val="00FF362B"/>
    <w:rsid w:val="00FF5F8D"/>
    <w:rsid w:val="01295B51"/>
    <w:rsid w:val="019F7472"/>
    <w:rsid w:val="01F37685"/>
    <w:rsid w:val="021D0A31"/>
    <w:rsid w:val="02512666"/>
    <w:rsid w:val="026076C2"/>
    <w:rsid w:val="02ED03C9"/>
    <w:rsid w:val="03544F93"/>
    <w:rsid w:val="03F607AD"/>
    <w:rsid w:val="05097E4F"/>
    <w:rsid w:val="05D75216"/>
    <w:rsid w:val="072B7A21"/>
    <w:rsid w:val="075E75DE"/>
    <w:rsid w:val="08057A5A"/>
    <w:rsid w:val="082603F6"/>
    <w:rsid w:val="08D60932"/>
    <w:rsid w:val="0936657E"/>
    <w:rsid w:val="095F690B"/>
    <w:rsid w:val="09F36369"/>
    <w:rsid w:val="0A422001"/>
    <w:rsid w:val="0AF97041"/>
    <w:rsid w:val="0B5120F4"/>
    <w:rsid w:val="0B5C5332"/>
    <w:rsid w:val="0B670C36"/>
    <w:rsid w:val="0BBD34B5"/>
    <w:rsid w:val="0BC76E15"/>
    <w:rsid w:val="0C192996"/>
    <w:rsid w:val="0C726DE1"/>
    <w:rsid w:val="0CE85C83"/>
    <w:rsid w:val="0D4D675A"/>
    <w:rsid w:val="0D6A51E7"/>
    <w:rsid w:val="0D706A8C"/>
    <w:rsid w:val="0DA158CF"/>
    <w:rsid w:val="0DC02ACC"/>
    <w:rsid w:val="0DE52F3D"/>
    <w:rsid w:val="0DF40736"/>
    <w:rsid w:val="0E087302"/>
    <w:rsid w:val="0E467005"/>
    <w:rsid w:val="0E5935E8"/>
    <w:rsid w:val="0E5C065A"/>
    <w:rsid w:val="0E95550D"/>
    <w:rsid w:val="0EAF74F2"/>
    <w:rsid w:val="0EB712F3"/>
    <w:rsid w:val="0EC10829"/>
    <w:rsid w:val="0EC66D9E"/>
    <w:rsid w:val="0EFB3964"/>
    <w:rsid w:val="0FB51E18"/>
    <w:rsid w:val="0FBD1D31"/>
    <w:rsid w:val="1025415A"/>
    <w:rsid w:val="103E459E"/>
    <w:rsid w:val="106E7982"/>
    <w:rsid w:val="10BC5375"/>
    <w:rsid w:val="10F90CDB"/>
    <w:rsid w:val="11560662"/>
    <w:rsid w:val="119005E6"/>
    <w:rsid w:val="12137217"/>
    <w:rsid w:val="122818C5"/>
    <w:rsid w:val="134F75DC"/>
    <w:rsid w:val="13A31C6C"/>
    <w:rsid w:val="14057954"/>
    <w:rsid w:val="141F2BB8"/>
    <w:rsid w:val="14B13E06"/>
    <w:rsid w:val="14C8300A"/>
    <w:rsid w:val="14D02784"/>
    <w:rsid w:val="15126879"/>
    <w:rsid w:val="151429BA"/>
    <w:rsid w:val="15351FDD"/>
    <w:rsid w:val="156B12DC"/>
    <w:rsid w:val="167101BC"/>
    <w:rsid w:val="16C52E71"/>
    <w:rsid w:val="16E52514"/>
    <w:rsid w:val="16F5263F"/>
    <w:rsid w:val="16FA7CA6"/>
    <w:rsid w:val="182716B9"/>
    <w:rsid w:val="18A075B4"/>
    <w:rsid w:val="18E84DF2"/>
    <w:rsid w:val="1A821473"/>
    <w:rsid w:val="1B7C140E"/>
    <w:rsid w:val="1DB23C8B"/>
    <w:rsid w:val="1DF54FD5"/>
    <w:rsid w:val="1E24762D"/>
    <w:rsid w:val="1E9D67E6"/>
    <w:rsid w:val="1F3C07EF"/>
    <w:rsid w:val="1FEF4FE6"/>
    <w:rsid w:val="1FF51002"/>
    <w:rsid w:val="200B35B9"/>
    <w:rsid w:val="20AA5A04"/>
    <w:rsid w:val="20D43CCC"/>
    <w:rsid w:val="20D86C9F"/>
    <w:rsid w:val="21693ADA"/>
    <w:rsid w:val="217C501D"/>
    <w:rsid w:val="21912EA5"/>
    <w:rsid w:val="21923936"/>
    <w:rsid w:val="21C1459A"/>
    <w:rsid w:val="225F5AA9"/>
    <w:rsid w:val="22786B5D"/>
    <w:rsid w:val="232E3EB1"/>
    <w:rsid w:val="245103DE"/>
    <w:rsid w:val="25956469"/>
    <w:rsid w:val="25A36113"/>
    <w:rsid w:val="25DC10B1"/>
    <w:rsid w:val="267F5B74"/>
    <w:rsid w:val="26F07197"/>
    <w:rsid w:val="27027879"/>
    <w:rsid w:val="273776E9"/>
    <w:rsid w:val="277B51EB"/>
    <w:rsid w:val="28324905"/>
    <w:rsid w:val="289406E2"/>
    <w:rsid w:val="28A55630"/>
    <w:rsid w:val="28A56626"/>
    <w:rsid w:val="28C707A9"/>
    <w:rsid w:val="28E55678"/>
    <w:rsid w:val="297162B9"/>
    <w:rsid w:val="29B16CB0"/>
    <w:rsid w:val="29F30A01"/>
    <w:rsid w:val="2A215643"/>
    <w:rsid w:val="2A282887"/>
    <w:rsid w:val="2A983DED"/>
    <w:rsid w:val="2AB816D3"/>
    <w:rsid w:val="2AE12FF4"/>
    <w:rsid w:val="2B1C189B"/>
    <w:rsid w:val="2B331A1C"/>
    <w:rsid w:val="2BBD5E27"/>
    <w:rsid w:val="2BCC30F7"/>
    <w:rsid w:val="2C286EC2"/>
    <w:rsid w:val="2C4A2BDB"/>
    <w:rsid w:val="2C6B3A80"/>
    <w:rsid w:val="2CCB4AF9"/>
    <w:rsid w:val="2CD81EA7"/>
    <w:rsid w:val="2D087B88"/>
    <w:rsid w:val="2D0C07DF"/>
    <w:rsid w:val="2D516D18"/>
    <w:rsid w:val="2D575D26"/>
    <w:rsid w:val="2E550FF1"/>
    <w:rsid w:val="2EA1576A"/>
    <w:rsid w:val="2F1E2FC7"/>
    <w:rsid w:val="2FFA4D14"/>
    <w:rsid w:val="306847AE"/>
    <w:rsid w:val="31036A33"/>
    <w:rsid w:val="310476ED"/>
    <w:rsid w:val="315356A2"/>
    <w:rsid w:val="31882664"/>
    <w:rsid w:val="322002DD"/>
    <w:rsid w:val="344B0FEE"/>
    <w:rsid w:val="345B3EFC"/>
    <w:rsid w:val="34AE2066"/>
    <w:rsid w:val="34D87802"/>
    <w:rsid w:val="350D0C42"/>
    <w:rsid w:val="350D3B23"/>
    <w:rsid w:val="358E73B8"/>
    <w:rsid w:val="363675DE"/>
    <w:rsid w:val="364F109D"/>
    <w:rsid w:val="36E309B3"/>
    <w:rsid w:val="36EB57D1"/>
    <w:rsid w:val="37405446"/>
    <w:rsid w:val="374E43A0"/>
    <w:rsid w:val="37BD0431"/>
    <w:rsid w:val="37CC6E4F"/>
    <w:rsid w:val="37ED5336"/>
    <w:rsid w:val="38011941"/>
    <w:rsid w:val="380A11C8"/>
    <w:rsid w:val="3818153F"/>
    <w:rsid w:val="38485A4B"/>
    <w:rsid w:val="385E0B43"/>
    <w:rsid w:val="38A8411D"/>
    <w:rsid w:val="390A4563"/>
    <w:rsid w:val="39CD505D"/>
    <w:rsid w:val="39FB592A"/>
    <w:rsid w:val="3A305B92"/>
    <w:rsid w:val="3A9026A1"/>
    <w:rsid w:val="3B89766A"/>
    <w:rsid w:val="3BB3118E"/>
    <w:rsid w:val="3BF30A69"/>
    <w:rsid w:val="3C312507"/>
    <w:rsid w:val="3C5B2BF6"/>
    <w:rsid w:val="3C821C6F"/>
    <w:rsid w:val="3CA80C67"/>
    <w:rsid w:val="3E8A40C6"/>
    <w:rsid w:val="3F8D6A60"/>
    <w:rsid w:val="3FF64E7A"/>
    <w:rsid w:val="401C35B7"/>
    <w:rsid w:val="403031BC"/>
    <w:rsid w:val="41535978"/>
    <w:rsid w:val="417D4735"/>
    <w:rsid w:val="421F75A4"/>
    <w:rsid w:val="425125A4"/>
    <w:rsid w:val="425B2DC4"/>
    <w:rsid w:val="425E348A"/>
    <w:rsid w:val="432437B6"/>
    <w:rsid w:val="43D84F35"/>
    <w:rsid w:val="440E56A0"/>
    <w:rsid w:val="44A02C93"/>
    <w:rsid w:val="44AB6CB7"/>
    <w:rsid w:val="45BD2587"/>
    <w:rsid w:val="45E91D27"/>
    <w:rsid w:val="47045BFA"/>
    <w:rsid w:val="485B7D62"/>
    <w:rsid w:val="48B672F5"/>
    <w:rsid w:val="48D161BE"/>
    <w:rsid w:val="490714E3"/>
    <w:rsid w:val="49E94869"/>
    <w:rsid w:val="4A211A6D"/>
    <w:rsid w:val="4AD2369D"/>
    <w:rsid w:val="4AF864E8"/>
    <w:rsid w:val="4B277059"/>
    <w:rsid w:val="4B485858"/>
    <w:rsid w:val="4B614187"/>
    <w:rsid w:val="4C000B94"/>
    <w:rsid w:val="4C2C6EC5"/>
    <w:rsid w:val="4C8670D9"/>
    <w:rsid w:val="4C981FB8"/>
    <w:rsid w:val="4D2C63CD"/>
    <w:rsid w:val="4DB34E33"/>
    <w:rsid w:val="4E8A612C"/>
    <w:rsid w:val="4F172905"/>
    <w:rsid w:val="4F482F65"/>
    <w:rsid w:val="4F557A83"/>
    <w:rsid w:val="4F885CEB"/>
    <w:rsid w:val="502A2F08"/>
    <w:rsid w:val="50406E4E"/>
    <w:rsid w:val="51465B86"/>
    <w:rsid w:val="516960CC"/>
    <w:rsid w:val="517F1F96"/>
    <w:rsid w:val="5235570C"/>
    <w:rsid w:val="53304295"/>
    <w:rsid w:val="53F73779"/>
    <w:rsid w:val="5449480B"/>
    <w:rsid w:val="54B57697"/>
    <w:rsid w:val="54C47110"/>
    <w:rsid w:val="555B64D8"/>
    <w:rsid w:val="55941C0A"/>
    <w:rsid w:val="569A78CF"/>
    <w:rsid w:val="572500FA"/>
    <w:rsid w:val="578775D4"/>
    <w:rsid w:val="57B34775"/>
    <w:rsid w:val="57CB09C0"/>
    <w:rsid w:val="57F07E88"/>
    <w:rsid w:val="57F34266"/>
    <w:rsid w:val="5897220C"/>
    <w:rsid w:val="58BB684A"/>
    <w:rsid w:val="590B7C5F"/>
    <w:rsid w:val="5A32415D"/>
    <w:rsid w:val="5AB441AC"/>
    <w:rsid w:val="5AC17932"/>
    <w:rsid w:val="5AC32B55"/>
    <w:rsid w:val="5AE66FE3"/>
    <w:rsid w:val="5B466097"/>
    <w:rsid w:val="5BCA39C3"/>
    <w:rsid w:val="5BD43965"/>
    <w:rsid w:val="5BDC31D7"/>
    <w:rsid w:val="5BF9320A"/>
    <w:rsid w:val="5C2A604B"/>
    <w:rsid w:val="5C7F4752"/>
    <w:rsid w:val="5C857487"/>
    <w:rsid w:val="5DA14CA4"/>
    <w:rsid w:val="5E062D59"/>
    <w:rsid w:val="5E193160"/>
    <w:rsid w:val="5E88747F"/>
    <w:rsid w:val="5E94525B"/>
    <w:rsid w:val="5EB629D1"/>
    <w:rsid w:val="5EF003DA"/>
    <w:rsid w:val="6008100A"/>
    <w:rsid w:val="60574CEF"/>
    <w:rsid w:val="60D37950"/>
    <w:rsid w:val="613A7416"/>
    <w:rsid w:val="61987E77"/>
    <w:rsid w:val="61C579C1"/>
    <w:rsid w:val="62353290"/>
    <w:rsid w:val="62747537"/>
    <w:rsid w:val="62E5371D"/>
    <w:rsid w:val="62EE2739"/>
    <w:rsid w:val="639E52DB"/>
    <w:rsid w:val="63E543CF"/>
    <w:rsid w:val="63EC08F9"/>
    <w:rsid w:val="63F2580D"/>
    <w:rsid w:val="642C250E"/>
    <w:rsid w:val="643839B5"/>
    <w:rsid w:val="647E1E99"/>
    <w:rsid w:val="649607F0"/>
    <w:rsid w:val="64B22597"/>
    <w:rsid w:val="64BF6DED"/>
    <w:rsid w:val="6502797D"/>
    <w:rsid w:val="659F203C"/>
    <w:rsid w:val="65EF12F6"/>
    <w:rsid w:val="667B3089"/>
    <w:rsid w:val="67125407"/>
    <w:rsid w:val="6780039A"/>
    <w:rsid w:val="67824A12"/>
    <w:rsid w:val="67832EF6"/>
    <w:rsid w:val="678A5FCA"/>
    <w:rsid w:val="67FA3486"/>
    <w:rsid w:val="68146A3F"/>
    <w:rsid w:val="68C01144"/>
    <w:rsid w:val="691A5502"/>
    <w:rsid w:val="6A100FD1"/>
    <w:rsid w:val="6B2E1807"/>
    <w:rsid w:val="6B505657"/>
    <w:rsid w:val="6B851FF7"/>
    <w:rsid w:val="6BE141F3"/>
    <w:rsid w:val="6CDF30F3"/>
    <w:rsid w:val="6CEC000A"/>
    <w:rsid w:val="6D516D25"/>
    <w:rsid w:val="6D716B35"/>
    <w:rsid w:val="6DFE24BB"/>
    <w:rsid w:val="6E8A78A1"/>
    <w:rsid w:val="6E9311AE"/>
    <w:rsid w:val="6E933C40"/>
    <w:rsid w:val="6EAE1559"/>
    <w:rsid w:val="6EE104BA"/>
    <w:rsid w:val="6EFC5484"/>
    <w:rsid w:val="6F061516"/>
    <w:rsid w:val="6F513E19"/>
    <w:rsid w:val="6FC02188"/>
    <w:rsid w:val="6FE46603"/>
    <w:rsid w:val="6FFB12AF"/>
    <w:rsid w:val="703C4491"/>
    <w:rsid w:val="708D7E89"/>
    <w:rsid w:val="709637C1"/>
    <w:rsid w:val="716D761B"/>
    <w:rsid w:val="71A76928"/>
    <w:rsid w:val="72D3722F"/>
    <w:rsid w:val="731F1983"/>
    <w:rsid w:val="739E7073"/>
    <w:rsid w:val="744D64A9"/>
    <w:rsid w:val="74A206D3"/>
    <w:rsid w:val="756A0A3D"/>
    <w:rsid w:val="75922929"/>
    <w:rsid w:val="763444AF"/>
    <w:rsid w:val="7709607D"/>
    <w:rsid w:val="77445D2C"/>
    <w:rsid w:val="78877820"/>
    <w:rsid w:val="78E70A2D"/>
    <w:rsid w:val="790939D1"/>
    <w:rsid w:val="79331D62"/>
    <w:rsid w:val="796061A5"/>
    <w:rsid w:val="7A635A80"/>
    <w:rsid w:val="7B0A1790"/>
    <w:rsid w:val="7B7812D0"/>
    <w:rsid w:val="7BB8788F"/>
    <w:rsid w:val="7C3005DF"/>
    <w:rsid w:val="7C71247C"/>
    <w:rsid w:val="7CE22776"/>
    <w:rsid w:val="7D04082D"/>
    <w:rsid w:val="7D471B43"/>
    <w:rsid w:val="7EB3493A"/>
    <w:rsid w:val="7EDF4DC2"/>
    <w:rsid w:val="7EE4243A"/>
    <w:rsid w:val="7EFA151F"/>
    <w:rsid w:val="7F7D28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 w:hAnsi="Times New Roman" w:eastAsia="仿宋" w:cs="Times New Roman"/>
      <w:kern w:val="30"/>
      <w:sz w:val="30"/>
      <w:szCs w:val="21"/>
      <w:lang w:val="en-US" w:eastAsia="zh-CN" w:bidi="ar-SA"/>
    </w:rPr>
  </w:style>
  <w:style w:type="paragraph" w:styleId="3">
    <w:name w:val="heading 1"/>
    <w:basedOn w:val="1"/>
    <w:next w:val="1"/>
    <w:link w:val="24"/>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autoRedefine/>
    <w:qFormat/>
    <w:uiPriority w:val="99"/>
    <w:pPr>
      <w:keepNext/>
      <w:keepLines/>
      <w:spacing w:before="260" w:after="260" w:line="416" w:lineRule="auto"/>
      <w:outlineLvl w:val="1"/>
    </w:pPr>
    <w:rPr>
      <w:rFonts w:ascii="Cambria" w:hAnsi="Cambria"/>
      <w:b/>
      <w:bCs/>
      <w:kern w:val="0"/>
      <w:sz w:val="32"/>
      <w:szCs w:val="32"/>
    </w:rPr>
  </w:style>
  <w:style w:type="paragraph" w:styleId="2">
    <w:name w:val="heading 3"/>
    <w:basedOn w:val="1"/>
    <w:next w:val="1"/>
    <w:link w:val="26"/>
    <w:autoRedefine/>
    <w:qFormat/>
    <w:uiPriority w:val="99"/>
    <w:pPr>
      <w:keepNext/>
      <w:keepLines/>
      <w:spacing w:before="260" w:after="260" w:line="416" w:lineRule="auto"/>
      <w:outlineLvl w:val="2"/>
    </w:pPr>
    <w:rPr>
      <w:b/>
      <w:bCs/>
      <w:kern w:val="0"/>
      <w:sz w:val="32"/>
      <w:szCs w:val="32"/>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Document Map"/>
    <w:basedOn w:val="1"/>
    <w:link w:val="32"/>
    <w:autoRedefine/>
    <w:unhideWhenUsed/>
    <w:qFormat/>
    <w:uiPriority w:val="99"/>
    <w:rPr>
      <w:rFonts w:ascii="宋体"/>
      <w:sz w:val="18"/>
      <w:szCs w:val="18"/>
    </w:rPr>
  </w:style>
  <w:style w:type="paragraph" w:styleId="6">
    <w:name w:val="annotation text"/>
    <w:basedOn w:val="1"/>
    <w:link w:val="30"/>
    <w:autoRedefine/>
    <w:unhideWhenUsed/>
    <w:qFormat/>
    <w:uiPriority w:val="99"/>
    <w:pPr>
      <w:jc w:val="left"/>
    </w:pPr>
  </w:style>
  <w:style w:type="paragraph" w:styleId="7">
    <w:name w:val="Body Text"/>
    <w:basedOn w:val="1"/>
    <w:next w:val="8"/>
    <w:link w:val="37"/>
    <w:autoRedefine/>
    <w:qFormat/>
    <w:uiPriority w:val="1"/>
    <w:pPr>
      <w:ind w:left="119"/>
      <w:jc w:val="left"/>
    </w:pPr>
    <w:rPr>
      <w:rFonts w:ascii="仿宋_GB2312" w:hAnsi="仿宋_GB2312" w:eastAsia="仿宋_GB2312" w:cstheme="minorBidi"/>
      <w:kern w:val="0"/>
      <w:szCs w:val="30"/>
      <w:lang w:eastAsia="en-US"/>
    </w:rPr>
  </w:style>
  <w:style w:type="paragraph" w:styleId="8">
    <w:name w:val="toc 5"/>
    <w:basedOn w:val="1"/>
    <w:next w:val="1"/>
    <w:qFormat/>
    <w:uiPriority w:val="0"/>
    <w:pPr>
      <w:ind w:left="1680" w:leftChars="800"/>
    </w:pPr>
  </w:style>
  <w:style w:type="paragraph" w:styleId="9">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0">
    <w:name w:val="Balloon Text"/>
    <w:basedOn w:val="1"/>
    <w:link w:val="29"/>
    <w:autoRedefine/>
    <w:unhideWhenUsed/>
    <w:qFormat/>
    <w:uiPriority w:val="99"/>
    <w:rPr>
      <w:sz w:val="18"/>
      <w:szCs w:val="18"/>
    </w:rPr>
  </w:style>
  <w:style w:type="paragraph" w:styleId="11">
    <w:name w:val="footer"/>
    <w:basedOn w:val="1"/>
    <w:link w:val="28"/>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27"/>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toc 1"/>
    <w:basedOn w:val="1"/>
    <w:next w:val="1"/>
    <w:autoRedefine/>
    <w:unhideWhenUsed/>
    <w:qFormat/>
    <w:uiPriority w:val="39"/>
    <w:pPr>
      <w:widowControl/>
      <w:tabs>
        <w:tab w:val="right" w:leader="dot" w:pos="8931"/>
      </w:tabs>
      <w:spacing w:line="420" w:lineRule="exact"/>
      <w:ind w:right="25" w:rightChars="12"/>
      <w:jc w:val="left"/>
    </w:pPr>
    <w:rPr>
      <w:rFonts w:asciiTheme="minorHAnsi" w:hAnsiTheme="minorHAnsi" w:eastAsiaTheme="minorEastAsia"/>
      <w:kern w:val="0"/>
      <w:sz w:val="22"/>
      <w:szCs w:val="22"/>
    </w:rPr>
  </w:style>
  <w:style w:type="paragraph" w:styleId="14">
    <w:name w:val="toc 2"/>
    <w:basedOn w:val="1"/>
    <w:next w:val="1"/>
    <w:autoRedefine/>
    <w:unhideWhenUsed/>
    <w:qFormat/>
    <w:uiPriority w:val="39"/>
    <w:pPr>
      <w:widowControl/>
      <w:tabs>
        <w:tab w:val="right" w:leader="dot" w:pos="8789"/>
      </w:tabs>
      <w:spacing w:line="400" w:lineRule="exact"/>
      <w:jc w:val="left"/>
    </w:pPr>
    <w:rPr>
      <w:rFonts w:ascii="仿宋_GB2312" w:eastAsia="仿宋_GB2312" w:hAnsiTheme="minorHAnsi"/>
      <w:b/>
      <w:bCs/>
      <w:kern w:val="0"/>
      <w:sz w:val="24"/>
      <w:szCs w:val="24"/>
      <w:lang w:val="zh-CN"/>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annotation subject"/>
    <w:basedOn w:val="6"/>
    <w:next w:val="6"/>
    <w:link w:val="31"/>
    <w:autoRedefine/>
    <w:unhideWhenUsed/>
    <w:qFormat/>
    <w:uiPriority w:val="99"/>
    <w:rPr>
      <w:b/>
      <w:bCs/>
    </w:rPr>
  </w:style>
  <w:style w:type="table" w:styleId="18">
    <w:name w:val="Table Grid"/>
    <w:basedOn w:val="17"/>
    <w:autoRedefine/>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0">
    <w:name w:val="Strong"/>
    <w:basedOn w:val="19"/>
    <w:qFormat/>
    <w:uiPriority w:val="22"/>
    <w:rPr>
      <w:b/>
    </w:rPr>
  </w:style>
  <w:style w:type="character" w:styleId="21">
    <w:name w:val="page number"/>
    <w:basedOn w:val="19"/>
    <w:autoRedefine/>
    <w:qFormat/>
    <w:uiPriority w:val="0"/>
  </w:style>
  <w:style w:type="character" w:styleId="22">
    <w:name w:val="Hyperlink"/>
    <w:basedOn w:val="19"/>
    <w:autoRedefine/>
    <w:unhideWhenUsed/>
    <w:qFormat/>
    <w:uiPriority w:val="99"/>
    <w:rPr>
      <w:color w:val="0000FF" w:themeColor="hyperlink"/>
      <w:u w:val="single"/>
    </w:rPr>
  </w:style>
  <w:style w:type="character" w:styleId="23">
    <w:name w:val="annotation reference"/>
    <w:basedOn w:val="19"/>
    <w:autoRedefine/>
    <w:unhideWhenUsed/>
    <w:qFormat/>
    <w:uiPriority w:val="99"/>
    <w:rPr>
      <w:sz w:val="21"/>
      <w:szCs w:val="21"/>
    </w:rPr>
  </w:style>
  <w:style w:type="character" w:customStyle="1" w:styleId="24">
    <w:name w:val="标题 1 字符"/>
    <w:basedOn w:val="19"/>
    <w:link w:val="3"/>
    <w:autoRedefine/>
    <w:qFormat/>
    <w:uiPriority w:val="9"/>
    <w:rPr>
      <w:rFonts w:ascii="Times New Roman" w:hAnsi="Times New Roman" w:eastAsia="宋体" w:cs="Times New Roman"/>
      <w:b/>
      <w:bCs/>
      <w:kern w:val="44"/>
      <w:sz w:val="44"/>
      <w:szCs w:val="44"/>
    </w:rPr>
  </w:style>
  <w:style w:type="character" w:customStyle="1" w:styleId="25">
    <w:name w:val="标题 2 字符"/>
    <w:basedOn w:val="19"/>
    <w:link w:val="4"/>
    <w:autoRedefine/>
    <w:qFormat/>
    <w:uiPriority w:val="99"/>
    <w:rPr>
      <w:rFonts w:ascii="Cambria" w:hAnsi="Cambria" w:eastAsia="宋体" w:cs="Times New Roman"/>
      <w:b/>
      <w:bCs/>
      <w:kern w:val="0"/>
      <w:sz w:val="32"/>
      <w:szCs w:val="32"/>
    </w:rPr>
  </w:style>
  <w:style w:type="character" w:customStyle="1" w:styleId="26">
    <w:name w:val="标题 3 字符"/>
    <w:basedOn w:val="19"/>
    <w:link w:val="2"/>
    <w:autoRedefine/>
    <w:qFormat/>
    <w:uiPriority w:val="99"/>
    <w:rPr>
      <w:rFonts w:ascii="Times New Roman" w:hAnsi="Times New Roman" w:eastAsia="宋体" w:cs="Times New Roman"/>
      <w:b/>
      <w:bCs/>
      <w:kern w:val="0"/>
      <w:sz w:val="32"/>
      <w:szCs w:val="32"/>
    </w:rPr>
  </w:style>
  <w:style w:type="character" w:customStyle="1" w:styleId="27">
    <w:name w:val="页眉 字符"/>
    <w:basedOn w:val="19"/>
    <w:link w:val="12"/>
    <w:autoRedefine/>
    <w:qFormat/>
    <w:uiPriority w:val="99"/>
    <w:rPr>
      <w:sz w:val="18"/>
      <w:szCs w:val="18"/>
    </w:rPr>
  </w:style>
  <w:style w:type="character" w:customStyle="1" w:styleId="28">
    <w:name w:val="页脚 字符"/>
    <w:basedOn w:val="19"/>
    <w:link w:val="11"/>
    <w:autoRedefine/>
    <w:qFormat/>
    <w:uiPriority w:val="0"/>
    <w:rPr>
      <w:sz w:val="18"/>
      <w:szCs w:val="18"/>
    </w:rPr>
  </w:style>
  <w:style w:type="character" w:customStyle="1" w:styleId="29">
    <w:name w:val="批注框文本 字符"/>
    <w:basedOn w:val="19"/>
    <w:link w:val="10"/>
    <w:autoRedefine/>
    <w:semiHidden/>
    <w:qFormat/>
    <w:uiPriority w:val="99"/>
    <w:rPr>
      <w:rFonts w:ascii="Times New Roman" w:hAnsi="Times New Roman" w:eastAsia="宋体" w:cs="Times New Roman"/>
      <w:sz w:val="18"/>
      <w:szCs w:val="18"/>
    </w:rPr>
  </w:style>
  <w:style w:type="character" w:customStyle="1" w:styleId="30">
    <w:name w:val="批注文字 字符"/>
    <w:basedOn w:val="19"/>
    <w:link w:val="6"/>
    <w:autoRedefine/>
    <w:qFormat/>
    <w:uiPriority w:val="99"/>
    <w:rPr>
      <w:rFonts w:ascii="Times New Roman" w:hAnsi="Times New Roman" w:eastAsia="宋体" w:cs="Times New Roman"/>
      <w:szCs w:val="21"/>
    </w:rPr>
  </w:style>
  <w:style w:type="character" w:customStyle="1" w:styleId="31">
    <w:name w:val="批注主题 字符"/>
    <w:basedOn w:val="30"/>
    <w:link w:val="16"/>
    <w:autoRedefine/>
    <w:semiHidden/>
    <w:qFormat/>
    <w:uiPriority w:val="99"/>
    <w:rPr>
      <w:rFonts w:ascii="Times New Roman" w:hAnsi="Times New Roman" w:eastAsia="宋体" w:cs="Times New Roman"/>
      <w:b/>
      <w:bCs/>
      <w:szCs w:val="21"/>
    </w:rPr>
  </w:style>
  <w:style w:type="character" w:customStyle="1" w:styleId="32">
    <w:name w:val="文档结构图 字符"/>
    <w:basedOn w:val="19"/>
    <w:link w:val="5"/>
    <w:autoRedefine/>
    <w:semiHidden/>
    <w:qFormat/>
    <w:uiPriority w:val="99"/>
    <w:rPr>
      <w:rFonts w:ascii="宋体" w:hAnsi="Times New Roman" w:eastAsia="宋体" w:cs="Times New Roman"/>
      <w:sz w:val="18"/>
      <w:szCs w:val="18"/>
    </w:rPr>
  </w:style>
  <w:style w:type="paragraph" w:customStyle="1" w:styleId="33">
    <w:name w:val="TOC 标题1"/>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34">
    <w:name w:val="修订1"/>
    <w:autoRedefine/>
    <w:hidden/>
    <w:semiHidden/>
    <w:qFormat/>
    <w:uiPriority w:val="99"/>
    <w:rPr>
      <w:rFonts w:ascii="Times New Roman" w:hAnsi="Times New Roman" w:eastAsia="宋体" w:cs="Times New Roman"/>
      <w:kern w:val="2"/>
      <w:sz w:val="21"/>
      <w:szCs w:val="21"/>
      <w:lang w:val="en-US" w:eastAsia="zh-CN" w:bidi="ar-SA"/>
    </w:rPr>
  </w:style>
  <w:style w:type="character" w:customStyle="1" w:styleId="35">
    <w:name w:val="页码 New New"/>
    <w:basedOn w:val="19"/>
    <w:autoRedefine/>
    <w:qFormat/>
    <w:uiPriority w:val="0"/>
  </w:style>
  <w:style w:type="paragraph" w:customStyle="1" w:styleId="36">
    <w:name w:val="列表段落1"/>
    <w:basedOn w:val="1"/>
    <w:autoRedefine/>
    <w:qFormat/>
    <w:uiPriority w:val="34"/>
    <w:pPr>
      <w:ind w:firstLine="420" w:firstLineChars="200"/>
    </w:pPr>
  </w:style>
  <w:style w:type="character" w:customStyle="1" w:styleId="37">
    <w:name w:val="正文文本 字符"/>
    <w:basedOn w:val="19"/>
    <w:link w:val="7"/>
    <w:autoRedefine/>
    <w:qFormat/>
    <w:uiPriority w:val="1"/>
    <w:rPr>
      <w:rFonts w:ascii="仿宋_GB2312" w:hAnsi="仿宋_GB2312" w:eastAsia="仿宋_GB2312"/>
      <w:kern w:val="0"/>
      <w:sz w:val="30"/>
      <w:szCs w:val="30"/>
      <w:lang w:eastAsia="en-US"/>
    </w:rPr>
  </w:style>
  <w:style w:type="character" w:customStyle="1" w:styleId="38">
    <w:name w:val="未处理的提及1"/>
    <w:basedOn w:val="19"/>
    <w:autoRedefine/>
    <w:unhideWhenUsed/>
    <w:qFormat/>
    <w:uiPriority w:val="99"/>
    <w:rPr>
      <w:color w:val="605E5C"/>
      <w:shd w:val="clear" w:color="auto" w:fill="E1DFDD"/>
    </w:rPr>
  </w:style>
  <w:style w:type="character" w:customStyle="1" w:styleId="39">
    <w:name w:val="占位符文本1"/>
    <w:basedOn w:val="19"/>
    <w:autoRedefine/>
    <w:semiHidden/>
    <w:qFormat/>
    <w:uiPriority w:val="99"/>
    <w:rPr>
      <w:color w:val="808080"/>
    </w:rPr>
  </w:style>
  <w:style w:type="character" w:customStyle="1" w:styleId="40">
    <w:name w:val="font21"/>
    <w:basedOn w:val="19"/>
    <w:autoRedefine/>
    <w:qFormat/>
    <w:uiPriority w:val="0"/>
    <w:rPr>
      <w:rFonts w:hint="default" w:ascii="Times New Roman" w:hAnsi="Times New Roman" w:cs="Times New Roman"/>
      <w:color w:val="000000"/>
      <w:sz w:val="20"/>
      <w:szCs w:val="20"/>
      <w:u w:val="none"/>
    </w:rPr>
  </w:style>
  <w:style w:type="character" w:customStyle="1" w:styleId="41">
    <w:name w:val="font41"/>
    <w:basedOn w:val="19"/>
    <w:autoRedefine/>
    <w:qFormat/>
    <w:uiPriority w:val="0"/>
    <w:rPr>
      <w:rFonts w:hint="eastAsia" w:ascii="宋体" w:hAnsi="宋体" w:eastAsia="宋体" w:cs="宋体"/>
      <w:color w:val="000000"/>
      <w:sz w:val="20"/>
      <w:szCs w:val="20"/>
      <w:u w:val="none"/>
    </w:rPr>
  </w:style>
  <w:style w:type="character" w:customStyle="1" w:styleId="42">
    <w:name w:val="font31"/>
    <w:basedOn w:val="19"/>
    <w:autoRedefine/>
    <w:qFormat/>
    <w:uiPriority w:val="0"/>
    <w:rPr>
      <w:rFonts w:hint="eastAsia" w:ascii="宋体" w:hAnsi="宋体" w:eastAsia="宋体" w:cs="宋体"/>
      <w:color w:val="000000"/>
      <w:sz w:val="20"/>
      <w:szCs w:val="20"/>
      <w:u w:val="none"/>
    </w:rPr>
  </w:style>
  <w:style w:type="character" w:customStyle="1" w:styleId="43">
    <w:name w:val="font11"/>
    <w:basedOn w:val="19"/>
    <w:autoRedefine/>
    <w:qFormat/>
    <w:uiPriority w:val="0"/>
    <w:rPr>
      <w:rFonts w:hint="eastAsia" w:ascii="宋体" w:hAnsi="宋体" w:eastAsia="宋体" w:cs="宋体"/>
      <w:color w:val="000000"/>
      <w:sz w:val="20"/>
      <w:szCs w:val="20"/>
      <w:u w:val="none"/>
    </w:rPr>
  </w:style>
  <w:style w:type="paragraph" w:customStyle="1" w:styleId="44">
    <w:name w:val="实施方案正文"/>
    <w:basedOn w:val="1"/>
    <w:autoRedefine/>
    <w:qFormat/>
    <w:uiPriority w:val="0"/>
    <w:pPr>
      <w:ind w:firstLine="566" w:firstLineChars="202"/>
    </w:pPr>
    <w:rPr>
      <w:rFonts w:ascii="Calibri" w:hAnsi="Calibri" w:eastAsia="宋体" w:cs="Times New Roman"/>
      <w:sz w:val="21"/>
    </w:rPr>
  </w:style>
  <w:style w:type="character" w:customStyle="1" w:styleId="45">
    <w:name w:val="font01"/>
    <w:basedOn w:val="19"/>
    <w:autoRedefine/>
    <w:qFormat/>
    <w:uiPriority w:val="0"/>
    <w:rPr>
      <w:rFonts w:hint="eastAsia" w:ascii="仿宋" w:hAnsi="仿宋" w:eastAsia="仿宋" w:cs="仿宋"/>
      <w:b/>
      <w:bCs/>
      <w:color w:val="000000"/>
      <w:sz w:val="21"/>
      <w:szCs w:val="21"/>
      <w:u w:val="none"/>
    </w:rPr>
  </w:style>
  <w:style w:type="character" w:customStyle="1" w:styleId="46">
    <w:name w:val="公文正文"/>
    <w:basedOn w:val="47"/>
    <w:autoRedefine/>
    <w:qFormat/>
    <w:uiPriority w:val="0"/>
    <w:rPr>
      <w:rFonts w:eastAsia="仿宋_GB2312"/>
      <w:sz w:val="32"/>
    </w:rPr>
  </w:style>
  <w:style w:type="character" w:customStyle="1" w:styleId="47">
    <w:name w:val="默认段落字体1"/>
    <w:autoRedefine/>
    <w:qFormat/>
    <w:uiPriority w:val="0"/>
  </w:style>
  <w:style w:type="paragraph" w:customStyle="1" w:styleId="48">
    <w:name w:val="正文2"/>
    <w:basedOn w:val="1"/>
    <w:next w:val="1"/>
    <w:qFormat/>
    <w:uiPriority w:val="0"/>
    <w:rPr>
      <w:rFonts w:ascii="仿宋_GB2312" w:eastAsia="仿宋_GB2312" w:cs="Times New Roman"/>
      <w:sz w:val="32"/>
      <w:szCs w:val="20"/>
    </w:rPr>
  </w:style>
  <w:style w:type="paragraph" w:customStyle="1" w:styleId="49">
    <w:name w:val="图表目录1"/>
    <w:basedOn w:val="50"/>
    <w:next w:val="50"/>
    <w:qFormat/>
    <w:uiPriority w:val="0"/>
    <w:pPr>
      <w:ind w:left="200" w:leftChars="200" w:hanging="200" w:hangingChars="200"/>
    </w:pPr>
    <w:rPr>
      <w:rFonts w:ascii="Calibri" w:hAnsi="Calibri" w:cs="黑体"/>
    </w:rPr>
  </w:style>
  <w:style w:type="paragraph" w:customStyle="1" w:styleId="5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9"/>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25" textRotate="1"/>
    <customShpInfo spid="_x0000_s4126" textRotate="1"/>
    <customShpInfo spid="_x0000_s4133" textRotate="1"/>
    <customShpInfo spid="_x0000_s4134"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6C16A0-C524-446D-B2CF-DD49618262C5}">
  <ds:schemaRefs/>
</ds:datastoreItem>
</file>

<file path=docProps/app.xml><?xml version="1.0" encoding="utf-8"?>
<Properties xmlns="http://schemas.openxmlformats.org/officeDocument/2006/extended-properties" xmlns:vt="http://schemas.openxmlformats.org/officeDocument/2006/docPropsVTypes">
  <Template>Normal</Template>
  <Pages>33</Pages>
  <Words>776</Words>
  <Characters>836</Characters>
  <Lines>167</Lines>
  <Paragraphs>47</Paragraphs>
  <TotalTime>24</TotalTime>
  <ScaleCrop>false</ScaleCrop>
  <LinksUpToDate>false</LinksUpToDate>
  <CharactersWithSpaces>940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2017-10-30T07:15:00Z</dcterms:created>
  <cp:lastPrinted>2024-05-07T08:20:00Z</cp:lastPrinted>
  <dcterms:modified xsi:type="dcterms:W3CDTF">2025-12-09T01:48:03Z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31FE76F059CC43A4B038A843D8B055D4</vt:lpwstr>
  </property>
  <property fmtid="{D5CDD505-2E9C-101B-9397-08002B2CF9AE}" pid="4" name="KSOTemplateDocerSaveRecord">
    <vt:lpwstr>eyJoZGlkIjoiNTQ0ZGQwNzVhMGU0MTgxMTgwYmU5MjdhMWM0OGRkZDMiLCJ1c2VySWQiOiIyNzQ1OTM0ODEifQ==</vt:lpwstr>
  </property>
</Properties>
</file>