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cstheme="majorEastAsia"/>
          <w:b/>
          <w:bCs/>
          <w:sz w:val="36"/>
          <w:szCs w:val="36"/>
          <w:lang w:val="zh-CN"/>
        </w:rPr>
        <w:id w:val="-201706083"/>
      </w:sdtPr>
      <w:sdtEndPr>
        <w:rPr>
          <w:rFonts w:hint="eastAsia" w:ascii="宋体" w:hAnsi="宋体" w:eastAsia="宋体" w:cs="宋体"/>
          <w:b w:val="0"/>
          <w:bCs w:val="0"/>
          <w:sz w:val="28"/>
          <w:szCs w:val="28"/>
          <w:lang w:val="en-US"/>
        </w:rPr>
      </w:sdtEndPr>
      <w:sdtContent>
        <w:p w14:paraId="1AA1247D">
          <w:pPr>
            <w:spacing w:line="590" w:lineRule="exact"/>
            <w:jc w:val="center"/>
            <w:rPr>
              <w:rFonts w:ascii="方正小标宋简体" w:hAnsi="黑体" w:eastAsia="方正小标宋简体" w:cs="宋体+FPEF"/>
              <w:color w:val="0000FF"/>
              <w:spacing w:val="6"/>
              <w:kern w:val="0"/>
              <w:sz w:val="40"/>
              <w:szCs w:val="40"/>
            </w:rPr>
          </w:pPr>
          <w:r>
            <w:rPr>
              <w:rFonts w:asciiTheme="majorEastAsia" w:hAnsiTheme="majorEastAsia" w:eastAsiaTheme="majorEastAsia" w:cstheme="majorEastAsia"/>
              <w:b/>
              <w:bCs/>
              <w:sz w:val="36"/>
              <w:szCs w:val="36"/>
              <w:lang w:val="zh-CN"/>
            </w:rPr>
            <w:tab/>
          </w:r>
        </w:p>
        <w:p w14:paraId="64CB4FB5">
          <w:pPr>
            <w:spacing w:line="590" w:lineRule="exact"/>
            <w:jc w:val="center"/>
            <w:rPr>
              <w:rFonts w:ascii="方正小标宋简体" w:hAnsi="方正小标宋简体" w:eastAsia="方正小标宋简体" w:cs="方正小标宋简体"/>
              <w:spacing w:val="6"/>
              <w:kern w:val="0"/>
              <w:sz w:val="40"/>
              <w:szCs w:val="40"/>
            </w:rPr>
          </w:pPr>
        </w:p>
        <w:p w14:paraId="3FA271FB">
          <w:pPr>
            <w:spacing w:line="590" w:lineRule="exact"/>
            <w:jc w:val="center"/>
            <w:rPr>
              <w:rFonts w:ascii="方正小标宋简体" w:hAnsi="方正小标宋简体" w:eastAsia="方正小标宋简体" w:cs="方正小标宋简体"/>
              <w:spacing w:val="6"/>
              <w:kern w:val="0"/>
              <w:sz w:val="40"/>
              <w:szCs w:val="40"/>
            </w:rPr>
          </w:pPr>
        </w:p>
        <w:p w14:paraId="34699DE5">
          <w:pPr>
            <w:spacing w:line="590" w:lineRule="exact"/>
            <w:jc w:val="center"/>
            <w:rPr>
              <w:rFonts w:hint="eastAsia" w:ascii="方正小标宋简体" w:hAnsi="方正小标宋简体" w:eastAsia="方正小标宋简体" w:cs="方正小标宋简体"/>
              <w:spacing w:val="6"/>
              <w:kern w:val="0"/>
              <w:sz w:val="40"/>
              <w:szCs w:val="40"/>
              <w:lang w:val="en-US" w:eastAsia="zh-CN"/>
            </w:rPr>
          </w:pPr>
          <w:r>
            <w:rPr>
              <w:rFonts w:hint="eastAsia" w:ascii="方正小标宋简体" w:hAnsi="方正小标宋简体" w:eastAsia="方正小标宋简体" w:cs="方正小标宋简体"/>
              <w:spacing w:val="6"/>
              <w:kern w:val="0"/>
              <w:sz w:val="40"/>
              <w:szCs w:val="40"/>
              <w:lang w:val="en-US" w:eastAsia="zh-CN"/>
            </w:rPr>
            <w:t>2024年中央补助地方国家电影</w:t>
          </w:r>
        </w:p>
        <w:p w14:paraId="302FE790">
          <w:pPr>
            <w:spacing w:line="590" w:lineRule="exact"/>
            <w:jc w:val="center"/>
            <w:rPr>
              <w:rFonts w:hint="eastAsia" w:ascii="方正小标宋简体" w:hAnsi="方正小标宋简体" w:eastAsia="方正小标宋简体" w:cs="方正小标宋简体"/>
              <w:spacing w:val="6"/>
              <w:kern w:val="0"/>
              <w:sz w:val="40"/>
              <w:szCs w:val="40"/>
              <w:lang w:val="en-US" w:eastAsia="zh-CN"/>
            </w:rPr>
          </w:pPr>
          <w:r>
            <w:rPr>
              <w:rFonts w:hint="eastAsia" w:ascii="方正小标宋简体" w:hAnsi="方正小标宋简体" w:eastAsia="方正小标宋简体" w:cs="方正小标宋简体"/>
              <w:spacing w:val="6"/>
              <w:kern w:val="0"/>
              <w:sz w:val="40"/>
              <w:szCs w:val="40"/>
              <w:lang w:val="en-US" w:eastAsia="zh-CN"/>
            </w:rPr>
            <w:t>事业发展专项资金项目支出</w:t>
          </w:r>
        </w:p>
        <w:p w14:paraId="697E821B">
          <w:pPr>
            <w:pStyle w:val="10"/>
          </w:pPr>
        </w:p>
        <w:p w14:paraId="658DC888">
          <w:pPr>
            <w:jc w:val="center"/>
            <w:rPr>
              <w:rFonts w:hint="eastAsia" w:ascii="方正小标宋简体" w:hAnsi="宋体" w:eastAsia="方正小标宋简体"/>
              <w:color w:val="000000"/>
              <w:spacing w:val="6"/>
              <w:sz w:val="72"/>
              <w:szCs w:val="72"/>
            </w:rPr>
          </w:pPr>
          <w:r>
            <w:rPr>
              <w:rFonts w:hint="eastAsia" w:ascii="方正小标宋简体" w:hAnsi="宋体" w:eastAsia="方正小标宋简体"/>
              <w:color w:val="000000"/>
              <w:spacing w:val="6"/>
              <w:sz w:val="72"/>
              <w:szCs w:val="72"/>
            </w:rPr>
            <w:t>绩效评价报告</w:t>
          </w:r>
        </w:p>
        <w:p w14:paraId="030962DF">
          <w:pPr>
            <w:spacing w:line="590" w:lineRule="exact"/>
            <w:jc w:val="center"/>
            <w:rPr>
              <w:rFonts w:ascii="方正小标宋简体" w:hAnsi="Arial Narrow" w:eastAsia="方正小标宋简体"/>
              <w:spacing w:val="6"/>
              <w:kern w:val="0"/>
              <w:sz w:val="40"/>
              <w:szCs w:val="40"/>
            </w:rPr>
          </w:pPr>
        </w:p>
        <w:p w14:paraId="11239CB3">
          <w:pPr>
            <w:spacing w:line="590" w:lineRule="exact"/>
            <w:jc w:val="center"/>
            <w:rPr>
              <w:rFonts w:ascii="方正小标宋简体" w:hAnsi="Arial Narrow" w:eastAsia="方正小标宋简体"/>
              <w:spacing w:val="6"/>
              <w:kern w:val="0"/>
              <w:sz w:val="40"/>
              <w:szCs w:val="40"/>
            </w:rPr>
          </w:pPr>
        </w:p>
        <w:p w14:paraId="26ACA853">
          <w:pPr>
            <w:spacing w:line="590" w:lineRule="exact"/>
            <w:jc w:val="center"/>
            <w:rPr>
              <w:rFonts w:ascii="方正小标宋简体" w:hAnsi="Arial Narrow" w:eastAsia="方正小标宋简体"/>
              <w:spacing w:val="6"/>
              <w:kern w:val="0"/>
              <w:sz w:val="40"/>
              <w:szCs w:val="40"/>
            </w:rPr>
          </w:pPr>
        </w:p>
        <w:p w14:paraId="4B5BE050">
          <w:pPr>
            <w:spacing w:line="590" w:lineRule="exact"/>
            <w:jc w:val="both"/>
            <w:rPr>
              <w:rFonts w:ascii="方正小标宋简体" w:hAnsi="Arial Narrow" w:eastAsia="方正小标宋简体"/>
              <w:spacing w:val="6"/>
              <w:kern w:val="0"/>
              <w:sz w:val="40"/>
              <w:szCs w:val="40"/>
            </w:rPr>
          </w:pPr>
        </w:p>
        <w:p w14:paraId="701BB027">
          <w:pPr>
            <w:spacing w:line="590" w:lineRule="exact"/>
            <w:jc w:val="center"/>
            <w:rPr>
              <w:rFonts w:ascii="方正小标宋简体" w:hAnsi="方正小标宋简体" w:eastAsia="方正小标宋简体" w:cs="方正小标宋简体"/>
              <w:spacing w:val="6"/>
              <w:kern w:val="0"/>
              <w:sz w:val="36"/>
              <w:szCs w:val="36"/>
            </w:rPr>
          </w:pPr>
        </w:p>
        <w:tbl>
          <w:tblPr>
            <w:tblStyle w:val="21"/>
            <w:tblW w:w="88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8"/>
            <w:gridCol w:w="5660"/>
          </w:tblGrid>
          <w:tr w14:paraId="0D0C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5840A01F">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委托单位名称：</w:t>
                </w:r>
              </w:p>
            </w:tc>
            <w:tc>
              <w:tcPr>
                <w:tcW w:w="5660" w:type="dxa"/>
                <w:tcBorders>
                  <w:bottom w:val="single" w:color="auto" w:sz="4" w:space="0"/>
                </w:tcBorders>
                <w:noWrap w:val="0"/>
                <w:vAlign w:val="center"/>
              </w:tcPr>
              <w:p w14:paraId="2C4378E4">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昆明市西山区财政局</w:t>
                </w:r>
              </w:p>
            </w:tc>
          </w:tr>
          <w:tr w14:paraId="4855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12FD5595">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评审机构名称：</w:t>
                </w:r>
              </w:p>
            </w:tc>
            <w:tc>
              <w:tcPr>
                <w:tcW w:w="5660" w:type="dxa"/>
                <w:tcBorders>
                  <w:bottom w:val="single" w:color="auto" w:sz="4" w:space="0"/>
                </w:tcBorders>
                <w:noWrap w:val="0"/>
                <w:vAlign w:val="center"/>
              </w:tcPr>
              <w:p w14:paraId="431077AC">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云南谛祥会计师事务所（普通合伙）</w:t>
                </w:r>
              </w:p>
            </w:tc>
          </w:tr>
          <w:tr w14:paraId="71167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70ADE420">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distribute"/>
                  <w:textAlignment w:val="auto"/>
                  <w:rPr>
                    <w:rFonts w:hint="eastAsia" w:ascii="方正小标宋简体" w:hAnsi="方正小标宋简体" w:eastAsia="方正小标宋简体" w:cs="方正小标宋简体"/>
                    <w:spacing w:val="40"/>
                    <w:kern w:val="0"/>
                    <w:sz w:val="24"/>
                    <w:szCs w:val="24"/>
                    <w:u w:val="none"/>
                    <w:vertAlign w:val="baseline"/>
                  </w:rPr>
                </w:pPr>
                <w:r>
                  <w:rPr>
                    <w:rFonts w:hint="eastAsia" w:ascii="方正小标宋简体" w:hAnsi="方正小标宋简体" w:eastAsia="方正小标宋简体" w:cs="方正小标宋简体"/>
                    <w:spacing w:val="40"/>
                    <w:kern w:val="0"/>
                    <w:sz w:val="24"/>
                    <w:szCs w:val="24"/>
                    <w:u w:val="none"/>
                    <w:lang w:val="en-US" w:eastAsia="zh-CN"/>
                  </w:rPr>
                  <w:t>项目单位名称</w:t>
                </w:r>
                <w:r>
                  <w:rPr>
                    <w:rFonts w:hint="eastAsia" w:ascii="方正小标宋简体" w:hAnsi="方正小标宋简体" w:eastAsia="方正小标宋简体" w:cs="方正小标宋简体"/>
                    <w:spacing w:val="40"/>
                    <w:kern w:val="0"/>
                    <w:sz w:val="24"/>
                    <w:szCs w:val="24"/>
                    <w:u w:val="none"/>
                  </w:rPr>
                  <w:t>：</w:t>
                </w:r>
              </w:p>
            </w:tc>
            <w:tc>
              <w:tcPr>
                <w:tcW w:w="5660" w:type="dxa"/>
                <w:tcBorders>
                  <w:top w:val="single" w:color="auto" w:sz="4" w:space="0"/>
                  <w:bottom w:val="single" w:color="auto" w:sz="4" w:space="0"/>
                </w:tcBorders>
                <w:noWrap w:val="0"/>
                <w:vAlign w:val="center"/>
              </w:tcPr>
              <w:p w14:paraId="47D23F0C">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left"/>
                  <w:textAlignment w:val="auto"/>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中共昆明市西山区委宣传部</w:t>
                </w:r>
              </w:p>
            </w:tc>
          </w:tr>
          <w:tr w14:paraId="217DD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5FDDDFDA">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项目评审起止时间：</w:t>
                </w:r>
              </w:p>
            </w:tc>
            <w:tc>
              <w:tcPr>
                <w:tcW w:w="5660" w:type="dxa"/>
                <w:tcBorders>
                  <w:top w:val="single" w:color="auto" w:sz="4" w:space="0"/>
                  <w:bottom w:val="single" w:color="auto" w:sz="4" w:space="0"/>
                </w:tcBorders>
                <w:noWrap w:val="0"/>
                <w:vAlign w:val="center"/>
              </w:tcPr>
              <w:p w14:paraId="4B956243">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2025年8月-10月</w:t>
                </w:r>
              </w:p>
            </w:tc>
          </w:tr>
          <w:tr w14:paraId="576A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73B82B5A">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评审报告出具时间：</w:t>
                </w:r>
              </w:p>
            </w:tc>
            <w:tc>
              <w:tcPr>
                <w:tcW w:w="5660" w:type="dxa"/>
                <w:tcBorders>
                  <w:top w:val="single" w:color="auto" w:sz="4" w:space="0"/>
                  <w:bottom w:val="single" w:color="auto" w:sz="4" w:space="0"/>
                </w:tcBorders>
                <w:noWrap w:val="0"/>
                <w:vAlign w:val="center"/>
              </w:tcPr>
              <w:p w14:paraId="6A64464D">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2025年10月</w:t>
                </w:r>
              </w:p>
            </w:tc>
          </w:tr>
        </w:tbl>
        <w:p w14:paraId="5B1DF9AB">
          <w:pPr>
            <w:tabs>
              <w:tab w:val="center" w:pos="4422"/>
            </w:tabs>
            <w:rPr>
              <w:rFonts w:ascii="宋体" w:hAnsi="宋体" w:eastAsia="宋体"/>
              <w:sz w:val="36"/>
              <w:szCs w:val="36"/>
            </w:rPr>
            <w:sectPr>
              <w:footerReference r:id="rId3" w:type="default"/>
              <w:pgSz w:w="11906" w:h="16838"/>
              <w:pgMar w:top="2098" w:right="1474" w:bottom="1985" w:left="1588" w:header="851" w:footer="1474" w:gutter="0"/>
              <w:pgNumType w:fmt="lowerRoman" w:start="1"/>
              <w:cols w:space="425" w:num="1"/>
              <w:docGrid w:type="linesAndChars" w:linePitch="579" w:charSpace="3247"/>
            </w:sectPr>
          </w:pPr>
        </w:p>
        <w:p w14:paraId="2E663F52">
          <w:pPr>
            <w:tabs>
              <w:tab w:val="center" w:pos="4422"/>
            </w:tabs>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目  录</w:t>
          </w:r>
          <w:bookmarkStart w:id="43" w:name="_GoBack"/>
          <w:bookmarkEnd w:id="43"/>
        </w:p>
        <w:p w14:paraId="4E42FAC9">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TOC \o "1-3" \h \z \u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_Toc10665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摘  要</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_Toc10665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B042817">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_Toc14293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一、基本情况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_Toc14293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FE54E53">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_Toc4984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（一）项目概况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_Toc4984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B610C90">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_Toc28360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资金到位</w:t>
          </w:r>
          <w:r>
            <w:rPr>
              <w:rFonts w:hint="eastAsia" w:ascii="宋体" w:hAnsi="宋体" w:eastAsia="宋体" w:cs="宋体"/>
              <w:b w:val="0"/>
              <w:bCs w:val="0"/>
              <w:sz w:val="28"/>
              <w:szCs w:val="28"/>
            </w:rPr>
            <w:t>及使用情况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_Toc28360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4A45CE5">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_Toc20516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（三）实施内容</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_Toc20516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D1093EE">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_Toc22620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四</w:t>
          </w:r>
          <w:r>
            <w:rPr>
              <w:rFonts w:hint="eastAsia" w:ascii="宋体" w:hAnsi="宋体" w:eastAsia="宋体" w:cs="宋体"/>
              <w:b w:val="0"/>
              <w:bCs w:val="0"/>
              <w:sz w:val="28"/>
              <w:szCs w:val="28"/>
              <w:highlight w:val="none"/>
            </w:rPr>
            <w:t>）绩效目标</w:t>
          </w:r>
          <w:r>
            <w:rPr>
              <w:rFonts w:hint="eastAsia" w:ascii="宋体" w:hAnsi="宋体" w:eastAsia="宋体" w:cs="宋体"/>
              <w:b w:val="0"/>
              <w:bCs w:val="0"/>
              <w:sz w:val="28"/>
              <w:szCs w:val="28"/>
              <w:highlight w:val="none"/>
              <w:lang w:val="en-US" w:eastAsia="zh-CN"/>
            </w:rPr>
            <w:t>设立情况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_Toc22620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2B8209F">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_Toc26685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（五）组织管理情况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_Toc26685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41244F9">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_Toc30380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rPr>
            <w:t>、绩效评价工作开展情况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_Toc30380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D340955">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_Toc10780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（一）绩效评价</w:t>
          </w:r>
          <w:r>
            <w:rPr>
              <w:rFonts w:hint="eastAsia" w:ascii="宋体" w:hAnsi="宋体" w:eastAsia="宋体" w:cs="宋体"/>
              <w:b w:val="0"/>
              <w:bCs w:val="0"/>
              <w:sz w:val="28"/>
              <w:szCs w:val="28"/>
              <w:highlight w:val="none"/>
              <w:lang w:val="en-US" w:eastAsia="zh-CN"/>
            </w:rPr>
            <w:t>目的、对象和范围</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_Toc10780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437B80E">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_Toc26825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绩效评价原则</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_Toc26825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04C7471">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_Toc569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（三）绩效评价依据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_Toc569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690C72F">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_Toc21553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w:t>
          </w:r>
          <w:r>
            <w:rPr>
              <w:rFonts w:hint="eastAsia" w:ascii="宋体" w:hAnsi="宋体" w:eastAsia="宋体" w:cs="宋体"/>
              <w:b w:val="0"/>
              <w:bCs w:val="0"/>
              <w:sz w:val="28"/>
              <w:szCs w:val="28"/>
            </w:rPr>
            <w:t>评价方法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_Toc21553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61D33CB">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_Toc26465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五</w:t>
          </w:r>
          <w:r>
            <w:rPr>
              <w:rFonts w:hint="eastAsia" w:ascii="宋体" w:hAnsi="宋体" w:eastAsia="宋体" w:cs="宋体"/>
              <w:b w:val="0"/>
              <w:bCs w:val="0"/>
              <w:sz w:val="28"/>
              <w:szCs w:val="28"/>
            </w:rPr>
            <w:t>）评价指标体系</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_Toc26465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A9CCB23">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_Toc9916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六</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w:t>
          </w:r>
          <w:r>
            <w:rPr>
              <w:rFonts w:hint="eastAsia" w:ascii="宋体" w:hAnsi="宋体" w:eastAsia="宋体" w:cs="宋体"/>
              <w:b w:val="0"/>
              <w:bCs w:val="0"/>
              <w:sz w:val="28"/>
              <w:szCs w:val="28"/>
            </w:rPr>
            <w:t>评价</w:t>
          </w:r>
          <w:r>
            <w:rPr>
              <w:rFonts w:hint="eastAsia" w:ascii="宋体" w:hAnsi="宋体" w:eastAsia="宋体" w:cs="宋体"/>
              <w:b w:val="0"/>
              <w:bCs w:val="0"/>
              <w:sz w:val="28"/>
              <w:szCs w:val="28"/>
              <w:lang w:val="en-US" w:eastAsia="zh-CN"/>
            </w:rPr>
            <w:t>抽样</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_Toc9916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E237BE4">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_Toc348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绩效评价</w:t>
          </w:r>
          <w:r>
            <w:rPr>
              <w:rFonts w:hint="eastAsia" w:ascii="宋体" w:hAnsi="宋体" w:eastAsia="宋体" w:cs="宋体"/>
              <w:b w:val="0"/>
              <w:bCs w:val="0"/>
              <w:sz w:val="28"/>
              <w:szCs w:val="28"/>
            </w:rPr>
            <w:t>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_Toc348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02A08BB">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_Toc23831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（一）绩效评价综合结论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_Toc23831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ACE77AC">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_Toc9732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（二）绩效目标实现情况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_Toc9732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EB29F9D">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_Toc6673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、绩效评价情况分析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_Toc6673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7202FEF">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_Toc26592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w:t>
          </w:r>
          <w:r>
            <w:rPr>
              <w:rFonts w:hint="eastAsia" w:ascii="宋体" w:hAnsi="宋体" w:eastAsia="宋体" w:cs="宋体"/>
              <w:b w:val="0"/>
              <w:bCs w:val="0"/>
              <w:sz w:val="28"/>
              <w:szCs w:val="28"/>
              <w:lang w:val="en-US" w:eastAsia="zh-CN"/>
            </w:rPr>
            <w:t>项目投入</w:t>
          </w:r>
          <w:r>
            <w:rPr>
              <w:rFonts w:hint="eastAsia" w:ascii="宋体" w:hAnsi="宋体" w:eastAsia="宋体" w:cs="宋体"/>
              <w:b w:val="0"/>
              <w:bCs w:val="0"/>
              <w:sz w:val="28"/>
              <w:szCs w:val="28"/>
            </w:rPr>
            <w:t>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_Toc26592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FF6F36B">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_Toc32060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（二）</w:t>
          </w:r>
          <w:r>
            <w:rPr>
              <w:rFonts w:hint="eastAsia" w:ascii="宋体" w:hAnsi="宋体" w:eastAsia="宋体" w:cs="宋体"/>
              <w:b w:val="0"/>
              <w:bCs w:val="0"/>
              <w:sz w:val="28"/>
              <w:szCs w:val="28"/>
              <w:lang w:val="en-US" w:eastAsia="zh-CN"/>
            </w:rPr>
            <w:t>项目</w:t>
          </w:r>
          <w:r>
            <w:rPr>
              <w:rFonts w:hint="eastAsia" w:ascii="宋体" w:hAnsi="宋体" w:eastAsia="宋体" w:cs="宋体"/>
              <w:b w:val="0"/>
              <w:bCs w:val="0"/>
              <w:sz w:val="28"/>
              <w:szCs w:val="28"/>
            </w:rPr>
            <w:t>过程情况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_Toc32060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8E17C03">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_Toc2748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（三）</w:t>
          </w:r>
          <w:r>
            <w:rPr>
              <w:rFonts w:hint="eastAsia" w:ascii="宋体" w:hAnsi="宋体" w:eastAsia="宋体" w:cs="宋体"/>
              <w:b w:val="0"/>
              <w:bCs w:val="0"/>
              <w:sz w:val="28"/>
              <w:szCs w:val="28"/>
              <w:highlight w:val="none"/>
              <w:lang w:val="en-US" w:eastAsia="zh-CN"/>
            </w:rPr>
            <w:t>项目</w:t>
          </w:r>
          <w:r>
            <w:rPr>
              <w:rFonts w:hint="eastAsia" w:ascii="宋体" w:hAnsi="宋体" w:eastAsia="宋体" w:cs="宋体"/>
              <w:b w:val="0"/>
              <w:bCs w:val="0"/>
              <w:sz w:val="28"/>
              <w:szCs w:val="28"/>
              <w:highlight w:val="none"/>
            </w:rPr>
            <w:t>产出情况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_Toc2748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54D5E01">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_Toc23477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（四）</w:t>
          </w:r>
          <w:r>
            <w:rPr>
              <w:rFonts w:hint="eastAsia" w:ascii="宋体" w:hAnsi="宋体" w:eastAsia="宋体" w:cs="宋体"/>
              <w:b w:val="0"/>
              <w:bCs w:val="0"/>
              <w:sz w:val="28"/>
              <w:szCs w:val="28"/>
              <w:highlight w:val="none"/>
              <w:lang w:val="en-US" w:eastAsia="zh-CN"/>
            </w:rPr>
            <w:t>项目效益</w:t>
          </w:r>
          <w:r>
            <w:rPr>
              <w:rFonts w:hint="eastAsia" w:ascii="宋体" w:hAnsi="宋体" w:eastAsia="宋体" w:cs="宋体"/>
              <w:b w:val="0"/>
              <w:bCs w:val="0"/>
              <w:sz w:val="28"/>
              <w:szCs w:val="28"/>
              <w:highlight w:val="none"/>
            </w:rPr>
            <w:t>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_Toc23477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EE9957A">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_Toc5586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五</w:t>
          </w:r>
          <w:r>
            <w:rPr>
              <w:rFonts w:hint="eastAsia" w:ascii="宋体" w:hAnsi="宋体" w:eastAsia="宋体" w:cs="宋体"/>
              <w:b w:val="0"/>
              <w:bCs w:val="0"/>
              <w:sz w:val="28"/>
              <w:szCs w:val="28"/>
              <w:highlight w:val="none"/>
            </w:rPr>
            <w:t>、主要经验及做法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_Toc5586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4A13CE0">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_Toc21520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六</w:t>
          </w:r>
          <w:r>
            <w:rPr>
              <w:rFonts w:hint="eastAsia" w:ascii="宋体" w:hAnsi="宋体" w:eastAsia="宋体" w:cs="宋体"/>
              <w:b w:val="0"/>
              <w:bCs w:val="0"/>
              <w:sz w:val="28"/>
              <w:szCs w:val="28"/>
              <w:highlight w:val="none"/>
            </w:rPr>
            <w:t>、存在问题及原因分析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_Toc21520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A2ED540">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_Toc14472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七</w:t>
          </w:r>
          <w:r>
            <w:rPr>
              <w:rFonts w:hint="eastAsia" w:ascii="宋体" w:hAnsi="宋体" w:eastAsia="宋体" w:cs="宋体"/>
              <w:b w:val="0"/>
              <w:bCs w:val="0"/>
              <w:sz w:val="28"/>
              <w:szCs w:val="28"/>
              <w:highlight w:val="none"/>
            </w:rPr>
            <w:t>、建议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_Toc14472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B2EACD8">
          <w:pPr>
            <w:pStyle w:val="16"/>
            <w:tabs>
              <w:tab w:val="right" w:leader="dot" w:pos="8844"/>
              <w:tab w:val="clear" w:pos="8931"/>
            </w:tabs>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_Toc16056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八、其它需说明的情况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_Toc16056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A848A9E">
          <w:pPr>
            <w:rPr>
              <w:rFonts w:hint="eastAsia" w:ascii="宋体" w:hAnsi="宋体" w:eastAsia="宋体" w:cs="宋体"/>
              <w:b w:val="0"/>
              <w:bCs w:val="0"/>
              <w:sz w:val="28"/>
              <w:szCs w:val="28"/>
            </w:rPr>
            <w:sectPr>
              <w:pgSz w:w="11906" w:h="16838"/>
              <w:pgMar w:top="2098" w:right="1474" w:bottom="1985" w:left="1588" w:header="851" w:footer="1474" w:gutter="0"/>
              <w:pgNumType w:fmt="lowerRoman" w:start="1"/>
              <w:cols w:space="425" w:num="1"/>
              <w:docGrid w:type="linesAndChars" w:linePitch="579" w:charSpace="3247"/>
            </w:sectPr>
          </w:pPr>
          <w:r>
            <w:rPr>
              <w:rFonts w:hint="eastAsia" w:ascii="宋体" w:hAnsi="宋体" w:eastAsia="宋体" w:cs="宋体"/>
              <w:bCs w:val="0"/>
              <w:szCs w:val="28"/>
            </w:rPr>
            <w:fldChar w:fldCharType="end"/>
          </w:r>
        </w:p>
      </w:sdtContent>
    </w:sdt>
    <w:p w14:paraId="0B82208B">
      <w:pPr>
        <w:overflowPunct w:val="0"/>
        <w:spacing w:line="579" w:lineRule="exact"/>
        <w:jc w:val="center"/>
        <w:outlineLvl w:val="0"/>
        <w:rPr>
          <w:rFonts w:ascii="方正小标宋简体" w:eastAsia="方正小标宋简体"/>
          <w:sz w:val="44"/>
          <w:szCs w:val="44"/>
          <w:highlight w:val="none"/>
        </w:rPr>
      </w:pPr>
      <w:bookmarkStart w:id="0" w:name="_Toc20378"/>
      <w:bookmarkStart w:id="1" w:name="_Toc10665"/>
      <w:r>
        <w:rPr>
          <w:rFonts w:hint="eastAsia" w:ascii="方正小标宋简体" w:eastAsia="方正小标宋简体"/>
          <w:sz w:val="44"/>
          <w:szCs w:val="44"/>
          <w:highlight w:val="none"/>
        </w:rPr>
        <w:t>摘  要</w:t>
      </w:r>
      <w:bookmarkEnd w:id="0"/>
      <w:bookmarkEnd w:id="1"/>
    </w:p>
    <w:p w14:paraId="193D454E">
      <w:pPr>
        <w:spacing w:line="579" w:lineRule="exact"/>
        <w:jc w:val="center"/>
        <w:rPr>
          <w:rFonts w:ascii="方正小标宋简体" w:eastAsia="方正小标宋简体"/>
          <w:sz w:val="44"/>
          <w:szCs w:val="44"/>
          <w:highlight w:val="none"/>
        </w:rPr>
      </w:pPr>
    </w:p>
    <w:p w14:paraId="1971A896">
      <w:pPr>
        <w:overflowPunct w:val="0"/>
        <w:spacing w:line="579" w:lineRule="exact"/>
        <w:ind w:firstLine="629"/>
        <w:rPr>
          <w:rFonts w:hint="default" w:ascii="仿宋" w:hAnsi="仿宋" w:eastAsia="仿宋" w:cs="Times New Roman"/>
          <w:b w:val="0"/>
          <w:bCs w:val="0"/>
          <w:kern w:val="30"/>
          <w:sz w:val="30"/>
          <w:szCs w:val="30"/>
          <w:highlight w:val="none"/>
          <w:lang w:val="en-US" w:eastAsia="zh-CN" w:bidi="ar-SA"/>
        </w:rPr>
      </w:pPr>
      <w:r>
        <w:rPr>
          <w:rFonts w:hint="eastAsia" w:ascii="黑体" w:hAnsi="黑体" w:eastAsia="黑体"/>
          <w:szCs w:val="30"/>
          <w:highlight w:val="none"/>
        </w:rPr>
        <w:t>一、基本情况</w:t>
      </w:r>
    </w:p>
    <w:p w14:paraId="61AD2618">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szCs w:val="30"/>
          <w:highlight w:val="none"/>
          <w:lang w:val="en-US" w:eastAsia="zh-CN"/>
        </w:rPr>
      </w:pPr>
      <w:r>
        <w:rPr>
          <w:rFonts w:hint="eastAsia" w:hAnsi="仿宋"/>
          <w:szCs w:val="30"/>
          <w:highlight w:val="none"/>
          <w:lang w:val="en-US" w:eastAsia="zh-CN"/>
        </w:rPr>
        <w:t>2024年中央补助地方国家电影事业发展专项资金，核心是通过对影院先进技术设备安装的精准资助，引导影城开展改造升级，推动放映技术与服务品质双提升。这一举措既是落实“繁荣电影市场、鼓励国产影片放映”的政策导向，也是补全基层公共文化服务短板、满足群众高品质文化需求的关键抓手，最终将助力电影产业提质增效，促进文化消费升级，让群众从“有电影看”升级为“看好电影、享好服务”，推动地方电影事业与文化产业持续健康发展。</w:t>
      </w:r>
    </w:p>
    <w:p w14:paraId="06F02283">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default" w:hAnsi="仿宋"/>
          <w:szCs w:val="30"/>
          <w:highlight w:val="none"/>
          <w:lang w:val="en-US" w:eastAsia="zh-CN"/>
        </w:rPr>
      </w:pPr>
      <w:r>
        <w:rPr>
          <w:rFonts w:hint="default" w:hAnsi="仿宋"/>
          <w:szCs w:val="30"/>
          <w:highlight w:val="none"/>
          <w:lang w:val="en-US" w:eastAsia="zh-CN"/>
        </w:rPr>
        <w:t>项目资金主要来源于中央补助地方国家电影事业发展专项资金</w:t>
      </w:r>
      <w:r>
        <w:rPr>
          <w:rFonts w:hint="eastAsia" w:hAnsi="仿宋"/>
          <w:szCs w:val="30"/>
          <w:highlight w:val="none"/>
          <w:lang w:val="en-US" w:eastAsia="zh-CN"/>
        </w:rPr>
        <w:t>，</w:t>
      </w:r>
      <w:r>
        <w:rPr>
          <w:rFonts w:hint="default" w:hAnsi="仿宋"/>
          <w:szCs w:val="30"/>
          <w:highlight w:val="none"/>
          <w:lang w:val="en-US" w:eastAsia="zh-CN"/>
        </w:rPr>
        <w:t>结合昆明市相关资金分配情况</w:t>
      </w:r>
      <w:r>
        <w:rPr>
          <w:rFonts w:hint="eastAsia" w:hAnsi="仿宋"/>
          <w:szCs w:val="30"/>
          <w:highlight w:val="none"/>
          <w:lang w:val="en-US" w:eastAsia="zh-CN"/>
        </w:rPr>
        <w:t>，</w:t>
      </w:r>
      <w:r>
        <w:rPr>
          <w:rFonts w:hint="default" w:hAnsi="仿宋"/>
          <w:szCs w:val="30"/>
          <w:highlight w:val="none"/>
          <w:lang w:val="en-US" w:eastAsia="zh-CN"/>
        </w:rPr>
        <w:t>2024年中央提前下达昆明市该类专项资金249.9</w:t>
      </w:r>
      <w:r>
        <w:rPr>
          <w:rFonts w:hint="eastAsia" w:hAnsi="仿宋"/>
          <w:szCs w:val="30"/>
          <w:highlight w:val="none"/>
          <w:lang w:val="en-US" w:eastAsia="zh-CN"/>
        </w:rPr>
        <w:t>0</w:t>
      </w:r>
      <w:r>
        <w:rPr>
          <w:rFonts w:hint="default" w:hAnsi="仿宋"/>
          <w:szCs w:val="30"/>
          <w:highlight w:val="none"/>
          <w:lang w:val="en-US" w:eastAsia="zh-CN"/>
        </w:rPr>
        <w:t>万元</w:t>
      </w:r>
      <w:r>
        <w:rPr>
          <w:rFonts w:hint="eastAsia" w:hAnsi="仿宋"/>
          <w:szCs w:val="30"/>
          <w:highlight w:val="none"/>
          <w:lang w:val="en-US" w:eastAsia="zh-CN"/>
        </w:rPr>
        <w:t>，</w:t>
      </w:r>
      <w:r>
        <w:rPr>
          <w:rFonts w:hint="default" w:hAnsi="仿宋"/>
          <w:szCs w:val="30"/>
          <w:highlight w:val="none"/>
          <w:lang w:val="en-US" w:eastAsia="zh-CN"/>
        </w:rPr>
        <w:t>用于国产影片放映及影院建设等方向。西山区具体获得的中央补助资金额度以省级、市级最终分配方案为准</w:t>
      </w:r>
      <w:r>
        <w:rPr>
          <w:rFonts w:hint="eastAsia" w:hAnsi="仿宋"/>
          <w:szCs w:val="30"/>
          <w:highlight w:val="none"/>
          <w:lang w:val="en-US" w:eastAsia="zh-CN"/>
        </w:rPr>
        <w:t>，</w:t>
      </w:r>
      <w:r>
        <w:rPr>
          <w:rFonts w:hint="default" w:hAnsi="仿宋"/>
          <w:szCs w:val="30"/>
          <w:highlight w:val="none"/>
          <w:lang w:val="en-US" w:eastAsia="zh-CN"/>
        </w:rPr>
        <w:t>项目总投资为中央补助资金专项额度（不含项目实施单位配套资金</w:t>
      </w:r>
      <w:r>
        <w:rPr>
          <w:rFonts w:hint="eastAsia" w:hAnsi="仿宋"/>
          <w:szCs w:val="30"/>
          <w:highlight w:val="none"/>
          <w:lang w:val="en-US" w:eastAsia="zh-CN"/>
        </w:rPr>
        <w:t>，</w:t>
      </w:r>
      <w:r>
        <w:rPr>
          <w:rFonts w:hint="default" w:hAnsi="仿宋"/>
          <w:szCs w:val="30"/>
          <w:highlight w:val="none"/>
          <w:lang w:val="en-US" w:eastAsia="zh-CN"/>
        </w:rPr>
        <w:t>若有配套以实际公示为准）</w:t>
      </w:r>
      <w:r>
        <w:rPr>
          <w:rFonts w:hint="eastAsia" w:hAnsi="仿宋"/>
          <w:szCs w:val="30"/>
          <w:highlight w:val="none"/>
          <w:lang w:val="en-US" w:eastAsia="zh-CN"/>
        </w:rPr>
        <w:t>，</w:t>
      </w:r>
      <w:r>
        <w:rPr>
          <w:rFonts w:hint="default" w:hAnsi="仿宋"/>
          <w:szCs w:val="30"/>
          <w:highlight w:val="none"/>
          <w:lang w:val="en-US" w:eastAsia="zh-CN"/>
        </w:rPr>
        <w:t>资金实行专款专用、专项管理。</w:t>
      </w:r>
    </w:p>
    <w:p w14:paraId="6DCA4C38">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default" w:hAnsi="仿宋"/>
          <w:szCs w:val="30"/>
          <w:highlight w:val="none"/>
          <w:lang w:val="en-US" w:eastAsia="zh-CN"/>
        </w:rPr>
      </w:pPr>
      <w:r>
        <w:rPr>
          <w:rFonts w:hint="eastAsia" w:hAnsi="仿宋"/>
          <w:szCs w:val="30"/>
          <w:highlight w:val="none"/>
          <w:lang w:val="en-US" w:eastAsia="zh-CN"/>
        </w:rPr>
        <w:t>根据</w:t>
      </w:r>
      <w:r>
        <w:rPr>
          <w:rFonts w:hint="default" w:hAnsi="仿宋"/>
          <w:szCs w:val="30"/>
          <w:highlight w:val="none"/>
          <w:lang w:val="en-US" w:eastAsia="zh-CN"/>
        </w:rPr>
        <w:t>《昆明市财政局 中共昆明市委宣传部关于提前下达2024年中央补助地方国家电影事业发展专项资金预算的通知》（昆财教〔2023〕224号）</w:t>
      </w:r>
      <w:r>
        <w:rPr>
          <w:rFonts w:hint="eastAsia" w:hAnsi="仿宋"/>
          <w:szCs w:val="30"/>
          <w:highlight w:val="none"/>
          <w:lang w:val="en-US" w:eastAsia="zh-CN"/>
        </w:rPr>
        <w:t>和《云南省财政厅关于提前下达2024年中央补助地方国家电影事业发展专项资金预算的通知》(云财教</w:t>
      </w:r>
      <w:r>
        <w:rPr>
          <w:rFonts w:hint="default" w:hAnsi="仿宋"/>
          <w:szCs w:val="30"/>
          <w:highlight w:val="none"/>
          <w:lang w:val="en-US" w:eastAsia="zh-CN"/>
        </w:rPr>
        <w:t>〔2023〕</w:t>
      </w:r>
      <w:r>
        <w:rPr>
          <w:rFonts w:hint="eastAsia" w:hAnsi="仿宋"/>
          <w:szCs w:val="30"/>
          <w:highlight w:val="none"/>
          <w:lang w:eastAsia="zh-CN"/>
        </w:rPr>
        <w:t>298号)，现下达</w:t>
      </w:r>
      <w:r>
        <w:rPr>
          <w:rFonts w:hint="eastAsia" w:hAnsi="仿宋"/>
          <w:szCs w:val="30"/>
          <w:highlight w:val="none"/>
          <w:lang w:val="en-US" w:eastAsia="zh-CN"/>
        </w:rPr>
        <w:t>西山</w:t>
      </w:r>
      <w:r>
        <w:rPr>
          <w:rFonts w:hint="eastAsia" w:hAnsi="仿宋"/>
          <w:szCs w:val="30"/>
          <w:highlight w:val="none"/>
          <w:lang w:eastAsia="zh-CN"/>
        </w:rPr>
        <w:t>区中央补助地方国家电影事业发展专项资金</w:t>
      </w:r>
      <w:r>
        <w:rPr>
          <w:rFonts w:hint="eastAsia" w:hAnsi="仿宋"/>
          <w:szCs w:val="30"/>
          <w:highlight w:val="none"/>
          <w:lang w:val="en-US" w:eastAsia="zh-CN"/>
        </w:rPr>
        <w:t>50</w:t>
      </w:r>
      <w:r>
        <w:rPr>
          <w:rFonts w:hint="eastAsia" w:hAnsi="仿宋"/>
          <w:szCs w:val="30"/>
          <w:highlight w:val="none"/>
          <w:lang w:eastAsia="zh-CN"/>
        </w:rPr>
        <w:t>万元，</w:t>
      </w:r>
      <w:r>
        <w:rPr>
          <w:rFonts w:hint="eastAsia" w:hAnsi="仿宋"/>
          <w:szCs w:val="30"/>
          <w:highlight w:val="none"/>
          <w:lang w:val="en-US" w:eastAsia="zh-CN"/>
        </w:rPr>
        <w:t>实际到位50</w:t>
      </w:r>
      <w:r>
        <w:rPr>
          <w:rFonts w:hint="eastAsia" w:hAnsi="仿宋"/>
          <w:szCs w:val="30"/>
          <w:highlight w:val="none"/>
          <w:lang w:eastAsia="zh-CN"/>
        </w:rPr>
        <w:t>万元，</w:t>
      </w:r>
      <w:r>
        <w:rPr>
          <w:rFonts w:hint="eastAsia" w:hAnsi="仿宋"/>
          <w:szCs w:val="30"/>
          <w:highlight w:val="none"/>
          <w:lang w:val="en-US" w:eastAsia="zh-CN"/>
        </w:rPr>
        <w:t>资金到位率100%。截止2024年12月31日，累计支出50</w:t>
      </w:r>
      <w:r>
        <w:rPr>
          <w:rFonts w:hint="eastAsia" w:hAnsi="仿宋"/>
          <w:szCs w:val="30"/>
          <w:highlight w:val="none"/>
          <w:lang w:eastAsia="zh-CN"/>
        </w:rPr>
        <w:t>万元，</w:t>
      </w:r>
      <w:r>
        <w:rPr>
          <w:rFonts w:hint="eastAsia" w:hAnsi="仿宋"/>
          <w:szCs w:val="30"/>
          <w:highlight w:val="none"/>
          <w:lang w:val="en-US" w:eastAsia="zh-CN"/>
        </w:rPr>
        <w:t>资金使用率为100%，全部用于</w:t>
      </w:r>
      <w:r>
        <w:rPr>
          <w:rFonts w:hint="default" w:hAnsi="仿宋"/>
          <w:szCs w:val="30"/>
          <w:highlight w:val="none"/>
          <w:lang w:val="en-US" w:eastAsia="zh-CN"/>
        </w:rPr>
        <w:t>国家电影事业发展</w:t>
      </w:r>
      <w:r>
        <w:rPr>
          <w:rFonts w:hint="eastAsia" w:hAnsi="仿宋"/>
          <w:szCs w:val="30"/>
          <w:highlight w:val="none"/>
          <w:lang w:val="en-US" w:eastAsia="zh-CN"/>
        </w:rPr>
        <w:t>。</w:t>
      </w:r>
    </w:p>
    <w:p w14:paraId="0B985977">
      <w:pPr>
        <w:overflowPunct w:val="0"/>
        <w:spacing w:line="579" w:lineRule="exact"/>
        <w:ind w:firstLine="629"/>
        <w:rPr>
          <w:rFonts w:hint="eastAsia" w:hAnsi="仿宋"/>
          <w:szCs w:val="30"/>
          <w:highlight w:val="none"/>
          <w:lang w:val="en-US" w:eastAsia="zh-CN"/>
        </w:rPr>
      </w:pPr>
      <w:r>
        <w:rPr>
          <w:rFonts w:hint="eastAsia" w:ascii="黑体" w:hAnsi="黑体" w:eastAsia="黑体"/>
          <w:szCs w:val="30"/>
          <w:highlight w:val="none"/>
        </w:rPr>
        <w:t>二、绩效评价结论</w:t>
      </w:r>
    </w:p>
    <w:p w14:paraId="1E08AB29">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szCs w:val="30"/>
          <w:highlight w:val="none"/>
          <w:lang w:val="en-US" w:eastAsia="zh-CN"/>
        </w:rPr>
      </w:pPr>
      <w:r>
        <w:rPr>
          <w:rFonts w:hint="eastAsia" w:hAnsi="仿宋"/>
          <w:szCs w:val="30"/>
          <w:highlight w:val="none"/>
          <w:lang w:val="en-US" w:eastAsia="zh-CN"/>
        </w:rPr>
        <w:t>2024年中央补助地方国家电影事业发展专项资金项目绩效评价得分89.80分，评价等级为“良”。</w:t>
      </w:r>
    </w:p>
    <w:p w14:paraId="382A8842">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szCs w:val="30"/>
          <w:highlight w:val="none"/>
          <w:lang w:val="en-US" w:eastAsia="zh-CN"/>
        </w:rPr>
      </w:pPr>
      <w:r>
        <w:rPr>
          <w:rFonts w:hint="eastAsia" w:hAnsi="仿宋"/>
          <w:szCs w:val="30"/>
          <w:highlight w:val="none"/>
          <w:lang w:val="en-US" w:eastAsia="zh-CN"/>
        </w:rPr>
        <w:t>整体来看，2024年中央补助地方国家电影事业发展专项资金项目，以资金扶持引导地方影院扩大国产及特色/艺术影片放映、提升基层观影可及性，完成西山区影院先进设备升级以优化放映质量，借基层影院建设与设备升级助力国产影片市场影响力提升，推动地方电影事业均衡发展。立项依据充分、程序规范，政策杠杆效应与公共文化效益同频放大。</w:t>
      </w:r>
    </w:p>
    <w:p w14:paraId="21F940E1">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szCs w:val="30"/>
          <w:highlight w:val="none"/>
          <w:lang w:val="en-US" w:eastAsia="zh-CN"/>
        </w:rPr>
      </w:pPr>
      <w:r>
        <w:rPr>
          <w:rFonts w:hint="eastAsia" w:hAnsi="仿宋"/>
          <w:szCs w:val="30"/>
          <w:highlight w:val="none"/>
          <w:lang w:val="en-US" w:eastAsia="zh-CN"/>
        </w:rPr>
        <w:t>2024年中央补助地方国家电影事业发展专项资金严格遵循相关管理规定，审批程序规范、手续完备，实现专款专用，未发现挤占、挪用等违规情况。通过对影城IMAX等先进技术设备改造的精准资助，推动影院放映技术升级，借助超大银幕、超高清晰度、环绕音响系统等核心技术打造沉浸式观影体验，既有效吸引了广大观众及企事业单位参与观影消费，丰富了群众精神文化生活，又助力影院拓展多元化经营模式、提升市场竞争力，最终落实“繁荣电影市场、鼓励影院采用新技术新工艺”的政策目标，推动电影产业提质增效，促进文化消费升级，让公共文化服务更贴合群众高品质需求，助力地方文化事业与文化产业协同发展。</w:t>
      </w:r>
    </w:p>
    <w:p w14:paraId="3B637DE3">
      <w:pPr>
        <w:numPr>
          <w:ilvl w:val="0"/>
          <w:numId w:val="0"/>
        </w:numPr>
        <w:spacing w:line="579" w:lineRule="exact"/>
        <w:ind w:firstLine="630" w:firstLineChars="200"/>
        <w:outlineLvl w:val="9"/>
        <w:rPr>
          <w:rFonts w:hint="eastAsia" w:ascii="楷体" w:hAnsi="楷体" w:eastAsia="楷体"/>
          <w:sz w:val="30"/>
          <w:szCs w:val="30"/>
          <w:highlight w:val="none"/>
        </w:rPr>
      </w:pPr>
      <w:r>
        <w:rPr>
          <w:rFonts w:hint="eastAsia" w:ascii="黑体" w:hAnsi="宋体" w:eastAsia="黑体" w:cs="宋体"/>
          <w:sz w:val="30"/>
          <w:szCs w:val="30"/>
          <w:highlight w:val="none"/>
          <w:lang w:val="en-US" w:eastAsia="zh-CN"/>
        </w:rPr>
        <w:t>三</w:t>
      </w:r>
      <w:r>
        <w:rPr>
          <w:rFonts w:hint="eastAsia" w:ascii="黑体" w:hAnsi="宋体" w:eastAsia="黑体" w:cs="宋体"/>
          <w:sz w:val="30"/>
          <w:szCs w:val="30"/>
          <w:highlight w:val="none"/>
        </w:rPr>
        <w:t>、存在问题及原因分析</w:t>
      </w:r>
    </w:p>
    <w:p w14:paraId="36C46DE2">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default" w:ascii="仿宋" w:hAnsi="仿宋" w:eastAsia="仿宋" w:cs="仿宋"/>
          <w:b/>
          <w:bCs/>
          <w:sz w:val="30"/>
          <w:szCs w:val="30"/>
          <w:highlight w:val="none"/>
          <w:lang w:val="en-US" w:eastAsia="zh-CN"/>
        </w:rPr>
      </w:pPr>
      <w:r>
        <w:rPr>
          <w:rFonts w:hint="eastAsia" w:hAnsi="仿宋" w:cs="仿宋"/>
          <w:b/>
          <w:bCs/>
          <w:sz w:val="30"/>
          <w:szCs w:val="30"/>
          <w:highlight w:val="none"/>
          <w:lang w:val="en-US" w:eastAsia="zh-CN"/>
        </w:rPr>
        <w:t>（一）</w:t>
      </w:r>
      <w:r>
        <w:rPr>
          <w:rFonts w:hint="eastAsia" w:ascii="仿宋" w:hAnsi="仿宋" w:eastAsia="仿宋" w:cs="仿宋"/>
          <w:b/>
          <w:bCs/>
          <w:sz w:val="30"/>
          <w:szCs w:val="30"/>
          <w:highlight w:val="none"/>
          <w:lang w:val="en-US" w:eastAsia="zh-CN"/>
        </w:rPr>
        <w:t>绩效工作重视程度不高</w:t>
      </w:r>
    </w:p>
    <w:p w14:paraId="38DA6C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eastAsia" w:hAnsi="仿宋" w:cs="Times New Roman"/>
          <w:szCs w:val="30"/>
          <w:highlight w:val="none"/>
          <w:lang w:val="en-US" w:eastAsia="zh-CN"/>
        </w:rPr>
      </w:pPr>
      <w:r>
        <w:rPr>
          <w:rFonts w:hint="eastAsia" w:hAnsi="仿宋" w:cs="Times New Roman"/>
          <w:szCs w:val="30"/>
          <w:highlight w:val="none"/>
          <w:lang w:val="en-US" w:eastAsia="zh-CN"/>
        </w:rPr>
        <w:t>1.绩效目标不完整：缺少时效及社会效益指标；</w:t>
      </w:r>
    </w:p>
    <w:p w14:paraId="493191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default" w:hAnsi="仿宋" w:cs="Times New Roman"/>
          <w:szCs w:val="30"/>
          <w:highlight w:val="none"/>
          <w:lang w:val="en-US" w:eastAsia="zh-CN"/>
        </w:rPr>
      </w:pPr>
      <w:bookmarkStart w:id="2" w:name="_Toc30978"/>
      <w:r>
        <w:rPr>
          <w:rFonts w:hint="eastAsia" w:hAnsi="仿宋" w:cs="Times New Roman"/>
          <w:szCs w:val="30"/>
          <w:highlight w:val="none"/>
          <w:lang w:val="en-US" w:eastAsia="zh-CN"/>
        </w:rPr>
        <w:t>2.</w:t>
      </w:r>
      <w:bookmarkEnd w:id="2"/>
      <w:r>
        <w:rPr>
          <w:rFonts w:hint="default" w:hAnsi="仿宋" w:cs="Times New Roman"/>
          <w:szCs w:val="30"/>
          <w:highlight w:val="none"/>
          <w:lang w:val="en-US" w:eastAsia="zh-CN"/>
        </w:rPr>
        <w:t>绩效目标设置无法衡量：设置的绩效指标未通过清晰、可衡量的指标值予以体现。具体表现为核心绩效指标未明确对应清晰、量化或可验证的指标值。部分指标仅以定性描述方式界定工作方向（如“补助安装先进技术设备影院数量”“补助影院安装先进技术设备金额”等）</w:t>
      </w:r>
      <w:r>
        <w:rPr>
          <w:rFonts w:hint="eastAsia" w:hAnsi="仿宋" w:cs="Times New Roman"/>
          <w:szCs w:val="30"/>
          <w:highlight w:val="none"/>
          <w:lang w:val="en-US" w:eastAsia="zh-CN"/>
        </w:rPr>
        <w:t>，</w:t>
      </w:r>
      <w:r>
        <w:rPr>
          <w:rFonts w:hint="default" w:hAnsi="仿宋" w:cs="Times New Roman"/>
          <w:szCs w:val="30"/>
          <w:highlight w:val="none"/>
          <w:lang w:val="en-US" w:eastAsia="zh-CN"/>
        </w:rPr>
        <w:t>未结合项目实际工作内容制定具体可量化的评判标准</w:t>
      </w:r>
      <w:r>
        <w:rPr>
          <w:rFonts w:hint="eastAsia" w:hAnsi="仿宋" w:cs="Times New Roman"/>
          <w:szCs w:val="30"/>
          <w:highlight w:val="none"/>
          <w:lang w:val="en-US" w:eastAsia="zh-CN"/>
        </w:rPr>
        <w:t>，</w:t>
      </w:r>
      <w:r>
        <w:rPr>
          <w:rFonts w:hint="default" w:hAnsi="仿宋" w:cs="Times New Roman"/>
          <w:szCs w:val="30"/>
          <w:highlight w:val="none"/>
          <w:lang w:val="en-US" w:eastAsia="zh-CN"/>
        </w:rPr>
        <w:t>缺乏明确的数值、比例、时限等可衡量维度。例如</w:t>
      </w:r>
      <w:r>
        <w:rPr>
          <w:rFonts w:hint="eastAsia" w:hAnsi="仿宋" w:cs="Times New Roman"/>
          <w:szCs w:val="30"/>
          <w:highlight w:val="none"/>
          <w:lang w:val="en-US" w:eastAsia="zh-CN"/>
        </w:rPr>
        <w:t>，</w:t>
      </w:r>
      <w:r>
        <w:rPr>
          <w:rFonts w:hint="default" w:hAnsi="仿宋" w:cs="Times New Roman"/>
          <w:szCs w:val="30"/>
          <w:highlight w:val="none"/>
          <w:lang w:val="en-US" w:eastAsia="zh-CN"/>
        </w:rPr>
        <w:t>针对服务类项目未明确“服务覆盖人数”“服务满意度达标率”等量化指标</w:t>
      </w:r>
      <w:r>
        <w:rPr>
          <w:rFonts w:hint="eastAsia" w:hAnsi="仿宋" w:cs="Times New Roman"/>
          <w:szCs w:val="30"/>
          <w:highlight w:val="none"/>
          <w:lang w:val="en-US" w:eastAsia="zh-CN"/>
        </w:rPr>
        <w:t>，</w:t>
      </w:r>
      <w:r>
        <w:rPr>
          <w:rFonts w:hint="default" w:hAnsi="仿宋" w:cs="Times New Roman"/>
          <w:szCs w:val="30"/>
          <w:highlight w:val="none"/>
          <w:lang w:val="en-US" w:eastAsia="zh-CN"/>
        </w:rPr>
        <w:t>针对资金使用类项目未明确“资金执行进度阈值”“成本控制比率”等具体参数</w:t>
      </w:r>
      <w:r>
        <w:rPr>
          <w:rFonts w:hint="eastAsia" w:hAnsi="仿宋" w:cs="Times New Roman"/>
          <w:szCs w:val="30"/>
          <w:highlight w:val="none"/>
          <w:lang w:val="en-US" w:eastAsia="zh-CN"/>
        </w:rPr>
        <w:t>，</w:t>
      </w:r>
      <w:r>
        <w:rPr>
          <w:rFonts w:hint="default" w:hAnsi="仿宋" w:cs="Times New Roman"/>
          <w:szCs w:val="30"/>
          <w:highlight w:val="none"/>
          <w:lang w:val="en-US" w:eastAsia="zh-CN"/>
        </w:rPr>
        <w:t>导致绩效目标在实际执行过程中缺乏明确的评判依据</w:t>
      </w:r>
      <w:r>
        <w:rPr>
          <w:rFonts w:hint="eastAsia" w:hAnsi="仿宋" w:cs="Times New Roman"/>
          <w:szCs w:val="30"/>
          <w:highlight w:val="none"/>
          <w:lang w:val="en-US" w:eastAsia="zh-CN"/>
        </w:rPr>
        <w:t>，</w:t>
      </w:r>
      <w:r>
        <w:rPr>
          <w:rFonts w:hint="default" w:hAnsi="仿宋" w:cs="Times New Roman"/>
          <w:szCs w:val="30"/>
          <w:highlight w:val="none"/>
          <w:lang w:val="en-US" w:eastAsia="zh-CN"/>
        </w:rPr>
        <w:t>既无法精准衡量项目实施成效与预期目标的契合程度</w:t>
      </w:r>
      <w:r>
        <w:rPr>
          <w:rFonts w:hint="eastAsia" w:hAnsi="仿宋" w:cs="Times New Roman"/>
          <w:szCs w:val="30"/>
          <w:highlight w:val="none"/>
          <w:lang w:val="en-US" w:eastAsia="zh-CN"/>
        </w:rPr>
        <w:t>，</w:t>
      </w:r>
      <w:r>
        <w:rPr>
          <w:rFonts w:hint="default" w:hAnsi="仿宋" w:cs="Times New Roman"/>
          <w:szCs w:val="30"/>
          <w:highlight w:val="none"/>
          <w:lang w:val="en-US" w:eastAsia="zh-CN"/>
        </w:rPr>
        <w:t>也难以在绩效评价阶段进行客观、公正的量化考核</w:t>
      </w:r>
      <w:r>
        <w:rPr>
          <w:rFonts w:hint="eastAsia" w:hAnsi="仿宋" w:cs="Times New Roman"/>
          <w:szCs w:val="30"/>
          <w:highlight w:val="none"/>
          <w:lang w:val="en-US" w:eastAsia="zh-CN"/>
        </w:rPr>
        <w:t>，</w:t>
      </w:r>
      <w:r>
        <w:rPr>
          <w:rFonts w:hint="default" w:hAnsi="仿宋" w:cs="Times New Roman"/>
          <w:szCs w:val="30"/>
          <w:highlight w:val="none"/>
          <w:lang w:val="en-US" w:eastAsia="zh-CN"/>
        </w:rPr>
        <w:t>影响绩效评价结果的科学性和权威性</w:t>
      </w:r>
      <w:r>
        <w:rPr>
          <w:rFonts w:hint="eastAsia" w:hAnsi="仿宋" w:cs="Times New Roman"/>
          <w:szCs w:val="30"/>
          <w:highlight w:val="none"/>
          <w:lang w:val="en-US" w:eastAsia="zh-CN"/>
        </w:rPr>
        <w:t>，</w:t>
      </w:r>
      <w:r>
        <w:rPr>
          <w:rFonts w:hint="default" w:hAnsi="仿宋" w:cs="Times New Roman"/>
          <w:szCs w:val="30"/>
          <w:highlight w:val="none"/>
          <w:lang w:val="en-US" w:eastAsia="zh-CN"/>
        </w:rPr>
        <w:t>不利于后续项目成效的复盘与改进。</w:t>
      </w:r>
    </w:p>
    <w:p w14:paraId="1FECBA2E">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（二）</w:t>
      </w:r>
      <w:r>
        <w:rPr>
          <w:rFonts w:hint="default" w:ascii="仿宋" w:hAnsi="仿宋" w:eastAsia="仿宋" w:cs="仿宋"/>
          <w:b/>
          <w:bCs/>
          <w:sz w:val="30"/>
          <w:szCs w:val="30"/>
          <w:highlight w:val="none"/>
          <w:lang w:val="en-US" w:eastAsia="zh-CN"/>
        </w:rPr>
        <w:t>绩效跟踪管理不到位</w:t>
      </w:r>
      <w:r>
        <w:rPr>
          <w:rFonts w:hint="eastAsia" w:hAnsi="仿宋" w:cs="仿宋"/>
          <w:b/>
          <w:bCs/>
          <w:sz w:val="30"/>
          <w:szCs w:val="30"/>
          <w:highlight w:val="none"/>
          <w:lang w:val="en-US" w:eastAsia="zh-CN"/>
        </w:rPr>
        <w:t>，</w:t>
      </w:r>
      <w:r>
        <w:rPr>
          <w:rFonts w:hint="default" w:ascii="仿宋" w:hAnsi="仿宋" w:eastAsia="仿宋" w:cs="仿宋"/>
          <w:b/>
          <w:bCs/>
          <w:sz w:val="30"/>
          <w:szCs w:val="30"/>
          <w:highlight w:val="none"/>
          <w:lang w:val="en-US" w:eastAsia="zh-CN"/>
        </w:rPr>
        <w:t>资金使用监管薄弱</w:t>
      </w:r>
    </w:p>
    <w:p w14:paraId="0ABBEC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eastAsia" w:hAnsi="仿宋" w:cs="Times New Roman"/>
          <w:szCs w:val="30"/>
          <w:highlight w:val="none"/>
          <w:lang w:val="en-US" w:eastAsia="zh-CN"/>
        </w:rPr>
      </w:pPr>
      <w:r>
        <w:rPr>
          <w:rFonts w:hint="default" w:hAnsi="仿宋" w:cs="Times New Roman"/>
          <w:szCs w:val="30"/>
          <w:highlight w:val="none"/>
          <w:lang w:val="en-US" w:eastAsia="zh-CN"/>
        </w:rPr>
        <w:t>项目绩效跟踪管理聚焦不足</w:t>
      </w:r>
      <w:r>
        <w:rPr>
          <w:rFonts w:hint="eastAsia" w:hAnsi="仿宋" w:cs="Times New Roman"/>
          <w:szCs w:val="30"/>
          <w:highlight w:val="none"/>
          <w:lang w:val="en-US" w:eastAsia="zh-CN"/>
        </w:rPr>
        <w:t>，</w:t>
      </w:r>
      <w:r>
        <w:rPr>
          <w:rFonts w:hint="default" w:hAnsi="仿宋" w:cs="Times New Roman"/>
          <w:szCs w:val="30"/>
          <w:highlight w:val="none"/>
          <w:lang w:val="en-US" w:eastAsia="zh-CN"/>
        </w:rPr>
        <w:t>核心短板集中在资金使用全流程监管环节。未建立常态化资金使用跟踪机制</w:t>
      </w:r>
      <w:r>
        <w:rPr>
          <w:rFonts w:hint="eastAsia" w:hAnsi="仿宋" w:cs="Times New Roman"/>
          <w:szCs w:val="30"/>
          <w:highlight w:val="none"/>
          <w:lang w:val="en-US" w:eastAsia="zh-CN"/>
        </w:rPr>
        <w:t>，</w:t>
      </w:r>
      <w:r>
        <w:rPr>
          <w:rFonts w:hint="default" w:hAnsi="仿宋" w:cs="Times New Roman"/>
          <w:szCs w:val="30"/>
          <w:highlight w:val="none"/>
          <w:lang w:val="en-US" w:eastAsia="zh-CN"/>
        </w:rPr>
        <w:t>对中央补助资金的拨付进度、实际支出流向、使用合规性等缺乏动态监控与定期核查</w:t>
      </w:r>
      <w:r>
        <w:rPr>
          <w:rFonts w:hint="eastAsia" w:hAnsi="仿宋" w:cs="Times New Roman"/>
          <w:szCs w:val="30"/>
          <w:highlight w:val="none"/>
          <w:lang w:val="en-US" w:eastAsia="zh-CN"/>
        </w:rPr>
        <w:t>，</w:t>
      </w:r>
      <w:r>
        <w:rPr>
          <w:rFonts w:hint="default" w:hAnsi="仿宋" w:cs="Times New Roman"/>
          <w:szCs w:val="30"/>
          <w:highlight w:val="none"/>
          <w:lang w:val="en-US" w:eastAsia="zh-CN"/>
        </w:rPr>
        <w:t>未及时掌握资金是否严格按照批准用途用于影院设备升级、国产影片放映等专项支出；同时</w:t>
      </w:r>
      <w:r>
        <w:rPr>
          <w:rFonts w:hint="eastAsia" w:hAnsi="仿宋" w:cs="Times New Roman"/>
          <w:szCs w:val="30"/>
          <w:highlight w:val="none"/>
          <w:lang w:val="en-US" w:eastAsia="zh-CN"/>
        </w:rPr>
        <w:t>，</w:t>
      </w:r>
      <w:r>
        <w:rPr>
          <w:rFonts w:hint="default" w:hAnsi="仿宋" w:cs="Times New Roman"/>
          <w:szCs w:val="30"/>
          <w:highlight w:val="none"/>
          <w:lang w:val="en-US" w:eastAsia="zh-CN"/>
        </w:rPr>
        <w:t>资金使用与绩效目标执行的联动跟踪不足</w:t>
      </w:r>
      <w:r>
        <w:rPr>
          <w:rFonts w:hint="eastAsia" w:hAnsi="仿宋" w:cs="Times New Roman"/>
          <w:szCs w:val="30"/>
          <w:highlight w:val="none"/>
          <w:lang w:val="en-US" w:eastAsia="zh-CN"/>
        </w:rPr>
        <w:t>，</w:t>
      </w:r>
      <w:r>
        <w:rPr>
          <w:rFonts w:hint="default" w:hAnsi="仿宋" w:cs="Times New Roman"/>
          <w:szCs w:val="30"/>
          <w:highlight w:val="none"/>
          <w:lang w:val="en-US" w:eastAsia="zh-CN"/>
        </w:rPr>
        <w:t>未定期对照绩效目标分析资金使用效率与项目实施成效的匹配度</w:t>
      </w:r>
      <w:r>
        <w:rPr>
          <w:rFonts w:hint="eastAsia" w:hAnsi="仿宋" w:cs="Times New Roman"/>
          <w:szCs w:val="30"/>
          <w:highlight w:val="none"/>
          <w:lang w:val="en-US" w:eastAsia="zh-CN"/>
        </w:rPr>
        <w:t>，</w:t>
      </w:r>
      <w:r>
        <w:rPr>
          <w:rFonts w:hint="default" w:hAnsi="仿宋" w:cs="Times New Roman"/>
          <w:szCs w:val="30"/>
          <w:highlight w:val="none"/>
          <w:lang w:val="en-US" w:eastAsia="zh-CN"/>
        </w:rPr>
        <w:t>难以及时发现资金使用不规范、支出进度滞后、资金闲置或用途偏离等问题</w:t>
      </w:r>
      <w:r>
        <w:rPr>
          <w:rFonts w:hint="eastAsia" w:hAnsi="仿宋" w:cs="Times New Roman"/>
          <w:szCs w:val="30"/>
          <w:highlight w:val="none"/>
          <w:lang w:val="en-US" w:eastAsia="zh-CN"/>
        </w:rPr>
        <w:t>，</w:t>
      </w:r>
      <w:r>
        <w:rPr>
          <w:rFonts w:hint="default" w:hAnsi="仿宋" w:cs="Times New Roman"/>
          <w:szCs w:val="30"/>
          <w:highlight w:val="none"/>
          <w:lang w:val="en-US" w:eastAsia="zh-CN"/>
        </w:rPr>
        <w:t>导致绩效跟踪未能充分发挥过程管控作用</w:t>
      </w:r>
      <w:r>
        <w:rPr>
          <w:rFonts w:hint="eastAsia" w:hAnsi="仿宋" w:cs="Times New Roman"/>
          <w:szCs w:val="30"/>
          <w:highlight w:val="none"/>
          <w:lang w:val="en-US" w:eastAsia="zh-CN"/>
        </w:rPr>
        <w:t>，</w:t>
      </w:r>
      <w:r>
        <w:rPr>
          <w:rFonts w:hint="default" w:hAnsi="仿宋" w:cs="Times New Roman"/>
          <w:szCs w:val="30"/>
          <w:highlight w:val="none"/>
          <w:lang w:val="en-US" w:eastAsia="zh-CN"/>
        </w:rPr>
        <w:t>影响补助资金使用效益与项目绩效目标的顺利达成。</w:t>
      </w:r>
    </w:p>
    <w:p w14:paraId="3ADFF4E8">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b/>
          <w:bCs/>
          <w:sz w:val="30"/>
          <w:szCs w:val="30"/>
          <w:highlight w:val="none"/>
          <w:lang w:val="en-US" w:eastAsia="zh-CN"/>
        </w:rPr>
      </w:pPr>
      <w:r>
        <w:rPr>
          <w:rFonts w:hint="eastAsia" w:ascii="仿宋" w:hAnsi="仿宋" w:eastAsia="仿宋" w:cs="仿宋"/>
          <w:b/>
          <w:bCs/>
          <w:sz w:val="30"/>
          <w:szCs w:val="30"/>
          <w:highlight w:val="none"/>
          <w:lang w:val="en-US" w:eastAsia="zh-CN"/>
        </w:rPr>
        <w:t>（</w:t>
      </w:r>
      <w:r>
        <w:rPr>
          <w:rFonts w:hint="eastAsia" w:hAnsi="仿宋" w:cs="仿宋"/>
          <w:b/>
          <w:bCs/>
          <w:sz w:val="30"/>
          <w:szCs w:val="30"/>
          <w:highlight w:val="none"/>
          <w:lang w:val="en-US" w:eastAsia="zh-CN"/>
        </w:rPr>
        <w:t>三</w:t>
      </w:r>
      <w:r>
        <w:rPr>
          <w:rFonts w:hint="eastAsia" w:ascii="仿宋" w:hAnsi="仿宋" w:eastAsia="仿宋" w:cs="仿宋"/>
          <w:b/>
          <w:bCs/>
          <w:sz w:val="30"/>
          <w:szCs w:val="30"/>
          <w:highlight w:val="none"/>
          <w:lang w:val="en-US" w:eastAsia="zh-CN"/>
        </w:rPr>
        <w:t>）监管</w:t>
      </w:r>
      <w:r>
        <w:rPr>
          <w:rFonts w:hint="default" w:ascii="仿宋" w:hAnsi="仿宋" w:eastAsia="仿宋" w:cs="仿宋"/>
          <w:b/>
          <w:bCs/>
          <w:sz w:val="30"/>
          <w:szCs w:val="30"/>
          <w:highlight w:val="none"/>
          <w:lang w:val="en-US" w:eastAsia="zh-CN"/>
        </w:rPr>
        <w:t>监控流于形式</w:t>
      </w:r>
    </w:p>
    <w:p w14:paraId="2EE49D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eastAsia" w:hAnsi="仿宋" w:cs="Times New Roman"/>
          <w:szCs w:val="30"/>
          <w:highlight w:val="none"/>
          <w:lang w:val="en-US" w:eastAsia="zh-CN"/>
        </w:rPr>
      </w:pPr>
      <w:r>
        <w:rPr>
          <w:rFonts w:hint="eastAsia" w:hAnsi="仿宋" w:cs="Times New Roman"/>
          <w:szCs w:val="30"/>
          <w:highlight w:val="none"/>
          <w:lang w:val="en-US" w:eastAsia="zh-CN"/>
        </w:rPr>
        <w:t>未建立明确的绩效跟踪流程、时间节点及责任分工，跟踪工作流于形式，多依赖人工零散记录，无统一的跟踪工具或数据台账，导致绩效数据分散、不完整。</w:t>
      </w:r>
      <w:r>
        <w:rPr>
          <w:rFonts w:hint="default" w:hAnsi="仿宋" w:cs="Times New Roman"/>
          <w:szCs w:val="30"/>
          <w:highlight w:val="none"/>
          <w:lang w:val="en-US" w:eastAsia="zh-CN"/>
        </w:rPr>
        <w:t>仅在项目结束后开展一次性考核</w:t>
      </w:r>
      <w:r>
        <w:rPr>
          <w:rFonts w:hint="eastAsia" w:hAnsi="仿宋" w:cs="Times New Roman"/>
          <w:szCs w:val="30"/>
          <w:highlight w:val="none"/>
          <w:lang w:val="en-US" w:eastAsia="zh-CN"/>
        </w:rPr>
        <w:t>，</w:t>
      </w:r>
      <w:r>
        <w:rPr>
          <w:rFonts w:hint="default" w:hAnsi="仿宋" w:cs="Times New Roman"/>
          <w:szCs w:val="30"/>
          <w:highlight w:val="none"/>
          <w:lang w:val="en-US" w:eastAsia="zh-CN"/>
        </w:rPr>
        <w:t>未对影院设备使用效率、影片宣发进度等进行动态跟踪</w:t>
      </w:r>
      <w:r>
        <w:rPr>
          <w:rFonts w:hint="eastAsia" w:hAnsi="仿宋" w:cs="Times New Roman"/>
          <w:szCs w:val="30"/>
          <w:highlight w:val="none"/>
          <w:lang w:val="en-US" w:eastAsia="zh-CN"/>
        </w:rPr>
        <w:t>，</w:t>
      </w:r>
      <w:r>
        <w:rPr>
          <w:rFonts w:hint="default" w:hAnsi="仿宋" w:cs="Times New Roman"/>
          <w:szCs w:val="30"/>
          <w:highlight w:val="none"/>
          <w:lang w:val="en-US" w:eastAsia="zh-CN"/>
        </w:rPr>
        <w:t>难以及时发现项目实施与承诺不符的问题。</w:t>
      </w:r>
    </w:p>
    <w:p w14:paraId="1CB741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ascii="黑体" w:hAnsi="宋体" w:eastAsia="黑体" w:cs="宋体"/>
          <w:sz w:val="30"/>
          <w:szCs w:val="30"/>
          <w:highlight w:val="none"/>
        </w:rPr>
      </w:pPr>
      <w:r>
        <w:rPr>
          <w:rFonts w:hint="eastAsia" w:ascii="黑体" w:hAnsi="宋体" w:eastAsia="黑体" w:cs="宋体"/>
          <w:sz w:val="30"/>
          <w:szCs w:val="30"/>
          <w:highlight w:val="none"/>
          <w:lang w:val="en-US" w:eastAsia="zh-CN"/>
        </w:rPr>
        <w:t>四</w:t>
      </w:r>
      <w:r>
        <w:rPr>
          <w:rFonts w:hint="eastAsia" w:ascii="黑体" w:hAnsi="宋体" w:eastAsia="黑体" w:cs="宋体"/>
          <w:sz w:val="30"/>
          <w:szCs w:val="30"/>
          <w:highlight w:val="none"/>
        </w:rPr>
        <w:t>、建议</w:t>
      </w:r>
    </w:p>
    <w:p w14:paraId="4A61F205">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default" w:ascii="仿宋" w:hAnsi="仿宋" w:eastAsia="仿宋" w:cs="仿宋"/>
          <w:b/>
          <w:bCs/>
          <w:sz w:val="30"/>
          <w:szCs w:val="30"/>
          <w:highlight w:val="none"/>
          <w:lang w:val="en-US" w:eastAsia="zh-CN"/>
        </w:rPr>
      </w:pPr>
      <w:r>
        <w:rPr>
          <w:rFonts w:hint="eastAsia" w:hAnsi="仿宋" w:cs="仿宋"/>
          <w:b/>
          <w:bCs/>
          <w:sz w:val="30"/>
          <w:szCs w:val="30"/>
          <w:highlight w:val="none"/>
          <w:lang w:val="en-US" w:eastAsia="zh-CN"/>
        </w:rPr>
        <w:t>（一）</w:t>
      </w:r>
      <w:r>
        <w:rPr>
          <w:rFonts w:hint="eastAsia" w:ascii="仿宋" w:hAnsi="仿宋" w:eastAsia="仿宋" w:cs="仿宋"/>
          <w:b/>
          <w:bCs/>
          <w:sz w:val="30"/>
          <w:szCs w:val="30"/>
          <w:highlight w:val="none"/>
          <w:lang w:val="en-US" w:eastAsia="zh-CN"/>
        </w:rPr>
        <w:t>强化绩效目标管理</w:t>
      </w:r>
    </w:p>
    <w:p w14:paraId="3B2EBE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eastAsia" w:hAnsi="仿宋" w:cs="Times New Roman"/>
          <w:szCs w:val="30"/>
          <w:highlight w:val="none"/>
          <w:lang w:val="en-US" w:eastAsia="zh-CN"/>
        </w:rPr>
      </w:pPr>
      <w:r>
        <w:rPr>
          <w:rFonts w:hint="eastAsia" w:hAnsi="仿宋" w:cs="Times New Roman"/>
          <w:szCs w:val="30"/>
          <w:highlight w:val="none"/>
          <w:lang w:val="en-US" w:eastAsia="zh-CN"/>
        </w:rPr>
        <w:t>建议1.补全时效（如完成时限、进度节点）及社会效益（如行业赋能、公共服务提升）指标，完善绩效目标体系；</w:t>
      </w:r>
    </w:p>
    <w:p w14:paraId="79904F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default" w:hAnsi="仿宋" w:cs="Times New Roman"/>
          <w:szCs w:val="30"/>
          <w:highlight w:val="none"/>
          <w:lang w:val="en-US" w:eastAsia="zh-CN"/>
        </w:rPr>
      </w:pPr>
      <w:r>
        <w:rPr>
          <w:rFonts w:hint="eastAsia" w:hAnsi="仿宋" w:cs="Times New Roman"/>
          <w:szCs w:val="30"/>
          <w:highlight w:val="none"/>
          <w:lang w:val="en-US" w:eastAsia="zh-CN"/>
        </w:rPr>
        <w:t>2.</w:t>
      </w:r>
      <w:r>
        <w:rPr>
          <w:rFonts w:hint="default" w:hAnsi="仿宋" w:cs="Times New Roman"/>
          <w:szCs w:val="30"/>
          <w:highlight w:val="none"/>
          <w:lang w:val="en-US" w:eastAsia="zh-CN"/>
        </w:rPr>
        <w:t>量化核心绩效指标</w:t>
      </w:r>
      <w:r>
        <w:rPr>
          <w:rFonts w:hint="eastAsia" w:hAnsi="仿宋" w:cs="Times New Roman"/>
          <w:szCs w:val="30"/>
          <w:highlight w:val="none"/>
          <w:lang w:val="en-US" w:eastAsia="zh-CN"/>
        </w:rPr>
        <w:t>，</w:t>
      </w:r>
      <w:r>
        <w:rPr>
          <w:rFonts w:hint="default" w:hAnsi="仿宋" w:cs="Times New Roman"/>
          <w:szCs w:val="30"/>
          <w:highlight w:val="none"/>
          <w:lang w:val="en-US" w:eastAsia="zh-CN"/>
        </w:rPr>
        <w:t>明确补助影院数量、资金额度等数值标准及资金执行进度、满意度达标率等参数</w:t>
      </w:r>
      <w:r>
        <w:rPr>
          <w:rFonts w:hint="eastAsia" w:hAnsi="仿宋" w:cs="Times New Roman"/>
          <w:szCs w:val="30"/>
          <w:highlight w:val="none"/>
          <w:lang w:val="en-US" w:eastAsia="zh-CN"/>
        </w:rPr>
        <w:t>，</w:t>
      </w:r>
      <w:r>
        <w:rPr>
          <w:rFonts w:hint="default" w:hAnsi="仿宋" w:cs="Times New Roman"/>
          <w:szCs w:val="30"/>
          <w:highlight w:val="none"/>
          <w:lang w:val="en-US" w:eastAsia="zh-CN"/>
        </w:rPr>
        <w:t>提升目标可衡量性。</w:t>
      </w:r>
    </w:p>
    <w:p w14:paraId="3C574F24">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b/>
          <w:bCs/>
          <w:sz w:val="30"/>
          <w:szCs w:val="30"/>
          <w:highlight w:val="none"/>
          <w:lang w:val="en-US" w:eastAsia="zh-CN"/>
        </w:rPr>
      </w:pPr>
      <w:r>
        <w:rPr>
          <w:rFonts w:hint="eastAsia" w:hAnsi="仿宋" w:cs="仿宋"/>
          <w:b/>
          <w:bCs/>
          <w:sz w:val="30"/>
          <w:szCs w:val="30"/>
          <w:highlight w:val="none"/>
          <w:lang w:val="en-US" w:eastAsia="zh-CN"/>
        </w:rPr>
        <w:t>（二）</w:t>
      </w:r>
      <w:r>
        <w:rPr>
          <w:rFonts w:hint="default" w:hAnsi="仿宋" w:cs="仿宋"/>
          <w:b/>
          <w:bCs/>
          <w:sz w:val="30"/>
          <w:szCs w:val="30"/>
          <w:highlight w:val="none"/>
          <w:lang w:val="en-US" w:eastAsia="zh-CN"/>
        </w:rPr>
        <w:t>健全资金使用全流程跟踪机制</w:t>
      </w:r>
      <w:r>
        <w:rPr>
          <w:rFonts w:hint="eastAsia" w:hAnsi="仿宋" w:cs="仿宋"/>
          <w:b/>
          <w:bCs/>
          <w:sz w:val="30"/>
          <w:szCs w:val="30"/>
          <w:highlight w:val="none"/>
          <w:lang w:val="en-US" w:eastAsia="zh-CN"/>
        </w:rPr>
        <w:t>，</w:t>
      </w:r>
      <w:r>
        <w:rPr>
          <w:rFonts w:hint="default" w:hAnsi="仿宋" w:cs="仿宋"/>
          <w:b/>
          <w:bCs/>
          <w:sz w:val="30"/>
          <w:szCs w:val="30"/>
          <w:highlight w:val="none"/>
          <w:lang w:val="en-US" w:eastAsia="zh-CN"/>
        </w:rPr>
        <w:t>强化绩效联动监管</w:t>
      </w:r>
    </w:p>
    <w:p w14:paraId="37372B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eastAsia" w:hAnsi="仿宋" w:cs="Times New Roman"/>
          <w:szCs w:val="30"/>
          <w:highlight w:val="none"/>
          <w:lang w:val="en-US" w:eastAsia="zh-CN"/>
        </w:rPr>
      </w:pPr>
      <w:r>
        <w:rPr>
          <w:rFonts w:hint="default" w:hAnsi="仿宋" w:cs="Times New Roman"/>
          <w:szCs w:val="30"/>
          <w:highlight w:val="none"/>
          <w:lang w:val="en-US" w:eastAsia="zh-CN"/>
        </w:rPr>
        <w:t>建议以资金使用合规性与效益性为核心</w:t>
      </w:r>
      <w:r>
        <w:rPr>
          <w:rFonts w:hint="eastAsia" w:hAnsi="仿宋" w:cs="Times New Roman"/>
          <w:szCs w:val="30"/>
          <w:highlight w:val="none"/>
          <w:lang w:val="en-US" w:eastAsia="zh-CN"/>
        </w:rPr>
        <w:t>，</w:t>
      </w:r>
      <w:r>
        <w:rPr>
          <w:rFonts w:hint="default" w:hAnsi="仿宋" w:cs="Times New Roman"/>
          <w:szCs w:val="30"/>
          <w:highlight w:val="none"/>
          <w:lang w:val="en-US" w:eastAsia="zh-CN"/>
        </w:rPr>
        <w:t>构建常态化绩效跟踪监管体系。一是建立资金动态跟踪机制</w:t>
      </w:r>
      <w:r>
        <w:rPr>
          <w:rFonts w:hint="eastAsia" w:hAnsi="仿宋" w:cs="Times New Roman"/>
          <w:szCs w:val="30"/>
          <w:highlight w:val="none"/>
          <w:lang w:val="en-US" w:eastAsia="zh-CN"/>
        </w:rPr>
        <w:t>，</w:t>
      </w:r>
      <w:r>
        <w:rPr>
          <w:rFonts w:hint="default" w:hAnsi="仿宋" w:cs="Times New Roman"/>
          <w:szCs w:val="30"/>
          <w:highlight w:val="none"/>
          <w:lang w:val="en-US" w:eastAsia="zh-CN"/>
        </w:rPr>
        <w:t>明确主管部门与实施单位的跟踪责任</w:t>
      </w:r>
      <w:r>
        <w:rPr>
          <w:rFonts w:hint="eastAsia" w:hAnsi="仿宋" w:cs="Times New Roman"/>
          <w:szCs w:val="30"/>
          <w:highlight w:val="none"/>
          <w:lang w:val="en-US" w:eastAsia="zh-CN"/>
        </w:rPr>
        <w:t>，</w:t>
      </w:r>
      <w:r>
        <w:rPr>
          <w:rFonts w:hint="default" w:hAnsi="仿宋" w:cs="Times New Roman"/>
          <w:szCs w:val="30"/>
          <w:highlight w:val="none"/>
          <w:lang w:val="en-US" w:eastAsia="zh-CN"/>
        </w:rPr>
        <w:t>定期收集资金拨付凭证、支出明细、项目进展台账等资料</w:t>
      </w:r>
      <w:r>
        <w:rPr>
          <w:rFonts w:hint="eastAsia" w:hAnsi="仿宋" w:cs="Times New Roman"/>
          <w:szCs w:val="30"/>
          <w:highlight w:val="none"/>
          <w:lang w:val="en-US" w:eastAsia="zh-CN"/>
        </w:rPr>
        <w:t>，</w:t>
      </w:r>
      <w:r>
        <w:rPr>
          <w:rFonts w:hint="default" w:hAnsi="仿宋" w:cs="Times New Roman"/>
          <w:szCs w:val="30"/>
          <w:highlight w:val="none"/>
          <w:lang w:val="en-US" w:eastAsia="zh-CN"/>
        </w:rPr>
        <w:t>重点监控资金支出进度、流向及使用合规性</w:t>
      </w:r>
      <w:r>
        <w:rPr>
          <w:rFonts w:hint="eastAsia" w:hAnsi="仿宋" w:cs="Times New Roman"/>
          <w:szCs w:val="30"/>
          <w:highlight w:val="none"/>
          <w:lang w:val="en-US" w:eastAsia="zh-CN"/>
        </w:rPr>
        <w:t>，</w:t>
      </w:r>
      <w:r>
        <w:rPr>
          <w:rFonts w:hint="default" w:hAnsi="仿宋" w:cs="Times New Roman"/>
          <w:szCs w:val="30"/>
          <w:highlight w:val="none"/>
          <w:lang w:val="en-US" w:eastAsia="zh-CN"/>
        </w:rPr>
        <w:t>确保资金严格用于影院设备升级、国产影片放映等专项用途。二是强化资金使用与绩效目标的联动跟踪</w:t>
      </w:r>
      <w:r>
        <w:rPr>
          <w:rFonts w:hint="eastAsia" w:hAnsi="仿宋" w:cs="Times New Roman"/>
          <w:szCs w:val="30"/>
          <w:highlight w:val="none"/>
          <w:lang w:val="en-US" w:eastAsia="zh-CN"/>
        </w:rPr>
        <w:t>，</w:t>
      </w:r>
      <w:r>
        <w:rPr>
          <w:rFonts w:hint="default" w:hAnsi="仿宋" w:cs="Times New Roman"/>
          <w:szCs w:val="30"/>
          <w:highlight w:val="none"/>
          <w:lang w:val="en-US" w:eastAsia="zh-CN"/>
        </w:rPr>
        <w:t>定期对照设备升级完成率、影片放映场次等核心绩效指标</w:t>
      </w:r>
      <w:r>
        <w:rPr>
          <w:rFonts w:hint="eastAsia" w:hAnsi="仿宋" w:cs="Times New Roman"/>
          <w:szCs w:val="30"/>
          <w:highlight w:val="none"/>
          <w:lang w:val="en-US" w:eastAsia="zh-CN"/>
        </w:rPr>
        <w:t>，</w:t>
      </w:r>
      <w:r>
        <w:rPr>
          <w:rFonts w:hint="default" w:hAnsi="仿宋" w:cs="Times New Roman"/>
          <w:szCs w:val="30"/>
          <w:highlight w:val="none"/>
          <w:lang w:val="en-US" w:eastAsia="zh-CN"/>
        </w:rPr>
        <w:t>分析资金使用效率与项目成效的匹配度</w:t>
      </w:r>
      <w:r>
        <w:rPr>
          <w:rFonts w:hint="eastAsia" w:hAnsi="仿宋" w:cs="Times New Roman"/>
          <w:szCs w:val="30"/>
          <w:highlight w:val="none"/>
          <w:lang w:val="en-US" w:eastAsia="zh-CN"/>
        </w:rPr>
        <w:t>，</w:t>
      </w:r>
      <w:r>
        <w:rPr>
          <w:rFonts w:hint="default" w:hAnsi="仿宋" w:cs="Times New Roman"/>
          <w:szCs w:val="30"/>
          <w:highlight w:val="none"/>
          <w:lang w:val="en-US" w:eastAsia="zh-CN"/>
        </w:rPr>
        <w:t>及时排查整改支出滞后、资金闲置、用途偏离等问题。</w:t>
      </w:r>
    </w:p>
    <w:p w14:paraId="3859C2E7">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b/>
          <w:bCs/>
          <w:sz w:val="30"/>
          <w:szCs w:val="30"/>
          <w:highlight w:val="none"/>
          <w:lang w:val="en-US" w:eastAsia="zh-CN"/>
        </w:rPr>
      </w:pPr>
      <w:r>
        <w:rPr>
          <w:rFonts w:hint="eastAsia" w:hAnsi="仿宋" w:cs="仿宋"/>
          <w:b/>
          <w:bCs/>
          <w:sz w:val="30"/>
          <w:szCs w:val="30"/>
          <w:highlight w:val="none"/>
          <w:lang w:val="en-US" w:eastAsia="zh-CN"/>
        </w:rPr>
        <w:t>（三）搭建系统化绩效跟踪机制</w:t>
      </w:r>
    </w:p>
    <w:p w14:paraId="48AF76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eastAsia" w:hAnsi="仿宋" w:cs="Times New Roman"/>
          <w:szCs w:val="30"/>
          <w:highlight w:val="none"/>
          <w:lang w:val="en-US" w:eastAsia="zh-CN"/>
        </w:rPr>
      </w:pPr>
      <w:r>
        <w:rPr>
          <w:rFonts w:hint="eastAsia" w:hAnsi="仿宋" w:cs="Times New Roman"/>
          <w:szCs w:val="30"/>
          <w:highlight w:val="none"/>
          <w:lang w:val="en-US" w:eastAsia="zh-CN"/>
        </w:rPr>
        <w:t>建议制定《绩效跟踪管理办法》，明确跟踪对象（各岗位/部门核心绩效指标）、跟踪周期（周跟踪+月汇总+季复盘）、责任主体（直属上级为第一责任人，HR部门统筹监督）。</w:t>
      </w:r>
    </w:p>
    <w:p w14:paraId="75560D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eastAsia" w:hAnsi="仿宋" w:cs="Times New Roman"/>
          <w:szCs w:val="30"/>
          <w:highlight w:val="none"/>
          <w:lang w:val="en-US" w:eastAsia="zh-CN"/>
        </w:rPr>
      </w:pPr>
      <w:r>
        <w:rPr>
          <w:rFonts w:hint="eastAsia" w:hAnsi="仿宋" w:cs="Times New Roman"/>
          <w:szCs w:val="30"/>
          <w:highlight w:val="none"/>
          <w:lang w:val="en-US" w:eastAsia="zh-CN"/>
        </w:rPr>
        <w:t>统一跟踪工具，如搭建Excel台账、使用绩效管理系统，规范数据录入字段（指标名称、目标值、当前完成值、偏差原因、整改措施等），实现绩效数据集中管理。</w:t>
      </w:r>
    </w:p>
    <w:p w14:paraId="66728E8A">
      <w:pPr>
        <w:spacing w:line="579" w:lineRule="exact"/>
        <w:ind w:firstLine="630" w:firstLineChars="200"/>
        <w:outlineLvl w:val="9"/>
        <w:rPr>
          <w:rFonts w:hint="default" w:ascii="黑体" w:hAnsi="宋体" w:eastAsia="黑体" w:cs="宋体"/>
          <w:sz w:val="30"/>
          <w:szCs w:val="30"/>
          <w:highlight w:val="none"/>
          <w:lang w:val="en-US" w:eastAsia="zh-CN"/>
        </w:rPr>
      </w:pPr>
      <w:r>
        <w:rPr>
          <w:rFonts w:hint="eastAsia" w:ascii="黑体" w:hAnsi="宋体" w:eastAsia="黑体" w:cs="宋体"/>
          <w:sz w:val="30"/>
          <w:szCs w:val="30"/>
          <w:highlight w:val="none"/>
          <w:lang w:val="en-US" w:eastAsia="zh-CN"/>
        </w:rPr>
        <w:t>五、其它需说明的情况</w:t>
      </w:r>
    </w:p>
    <w:p w14:paraId="18C57D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eastAsia" w:hAnsi="仿宋" w:cs="Times New Roman"/>
          <w:szCs w:val="30"/>
          <w:highlight w:val="none"/>
          <w:lang w:val="en-US" w:eastAsia="zh-CN"/>
        </w:rPr>
        <w:sectPr>
          <w:footerReference r:id="rId4" w:type="default"/>
          <w:footerReference r:id="rId5" w:type="even"/>
          <w:pgSz w:w="11906" w:h="16838"/>
          <w:pgMar w:top="2098" w:right="1474" w:bottom="1985" w:left="1588" w:header="851" w:footer="1474" w:gutter="0"/>
          <w:pgNumType w:fmt="upperRoman" w:start="1"/>
          <w:cols w:space="425" w:num="1"/>
          <w:docGrid w:type="linesAndChars" w:linePitch="579" w:charSpace="3247"/>
        </w:sectPr>
      </w:pPr>
      <w:r>
        <w:rPr>
          <w:rFonts w:hint="eastAsia" w:hAnsi="仿宋" w:cs="Times New Roman"/>
          <w:szCs w:val="30"/>
          <w:highlight w:val="none"/>
          <w:lang w:val="en-US" w:eastAsia="zh-CN"/>
        </w:rPr>
        <w:t>资金拨付与项目实施的关联性说明：昆明万达电影城有限公司南亚风情第壹城店IMAX改造项目于2019年启动，因后续设备升级、少数民族语影片译制需持续投入，2024年中央补助资金50万元用于该项目的后续运维及内容扩充（如新增译制设备、优化放映系统），并非用于初始改造。</w:t>
      </w:r>
    </w:p>
    <w:p w14:paraId="2023526F">
      <w:pPr>
        <w:spacing w:line="579"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2024年中央补助地方国家电影</w:t>
      </w:r>
    </w:p>
    <w:p w14:paraId="67627D4B">
      <w:pPr>
        <w:spacing w:line="579"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事业发展专项资金</w:t>
      </w:r>
    </w:p>
    <w:p w14:paraId="5D190390">
      <w:pPr>
        <w:spacing w:line="579"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项目支出</w:t>
      </w:r>
      <w:r>
        <w:rPr>
          <w:rFonts w:hint="eastAsia" w:ascii="方正小标宋简体" w:eastAsia="方正小标宋简体"/>
          <w:sz w:val="44"/>
          <w:szCs w:val="44"/>
        </w:rPr>
        <w:t>绩效评价报告</w:t>
      </w:r>
    </w:p>
    <w:p w14:paraId="1AA7B233">
      <w:pPr>
        <w:spacing w:line="579" w:lineRule="exact"/>
        <w:rPr>
          <w:rFonts w:hAnsi="仿宋"/>
          <w:sz w:val="36"/>
          <w:szCs w:val="36"/>
        </w:rPr>
      </w:pPr>
    </w:p>
    <w:p w14:paraId="7331717C">
      <w:pPr>
        <w:ind w:firstLine="630"/>
        <w:rPr>
          <w:rFonts w:hint="eastAsia" w:hAnsi="仿宋"/>
          <w:szCs w:val="30"/>
          <w:highlight w:val="none"/>
          <w:lang w:val="en-US" w:eastAsia="zh-CN"/>
        </w:rPr>
      </w:pPr>
      <w:r>
        <w:rPr>
          <w:rFonts w:hint="eastAsia" w:hAnsi="仿宋"/>
          <w:szCs w:val="30"/>
          <w:highlight w:val="none"/>
          <w:lang w:val="en-US" w:eastAsia="zh-CN"/>
        </w:rPr>
        <w:t>根据《昆明市西山区财政局关于开展西山区2024年度项目支出财政重点绩效评价工作的通知》(西财评绩〔2025〕16号)、《中华人民共和国预算法》《中共昆明市西山区委昆明市西山区人民政府关于全面实施预算绩效管理的实施意见》(西发〔2020〕3号)、《昆明市财政局关于对预算绩效管理工作考核体系修订的通知》(昆财绩〔2018〕78号)、</w:t>
      </w:r>
      <w:r>
        <w:rPr>
          <w:rFonts w:hint="default" w:hAnsi="仿宋"/>
          <w:szCs w:val="30"/>
          <w:highlight w:val="none"/>
          <w:lang w:val="en-US" w:eastAsia="zh-CN"/>
        </w:rPr>
        <w:t>《昆明市财政局 中共昆明市委宣传部关于提前下达2024年中央补助地方国家电影事业发展专项资金预算的通知》（昆财教〔2023〕224号）</w:t>
      </w:r>
      <w:r>
        <w:rPr>
          <w:rFonts w:hint="eastAsia" w:hAnsi="仿宋"/>
          <w:szCs w:val="30"/>
          <w:highlight w:val="none"/>
          <w:lang w:val="en-US" w:eastAsia="zh-CN"/>
        </w:rPr>
        <w:t>和《云南省财政厅关于提前下达 2024年中央补助地方国家电影事业发展专项资金预算的通知》(云财教</w:t>
      </w:r>
      <w:r>
        <w:rPr>
          <w:rFonts w:hint="default" w:hAnsi="仿宋"/>
          <w:szCs w:val="30"/>
          <w:highlight w:val="none"/>
          <w:lang w:val="en-US" w:eastAsia="zh-CN"/>
        </w:rPr>
        <w:t>〔2023〕</w:t>
      </w:r>
      <w:r>
        <w:rPr>
          <w:rFonts w:hint="eastAsia" w:hAnsi="仿宋"/>
          <w:szCs w:val="30"/>
          <w:highlight w:val="none"/>
          <w:lang w:val="en-US" w:eastAsia="zh-CN"/>
        </w:rPr>
        <w:t>298号)等文件的要求，云南谛祥会计师事务所接受昆明市西山区财政局委托，于2025年8月至2025年10月对“2024年中央补助地方国家电影事业发展专项资金”项目开展绩效评价。现将评价情况报告如下：</w:t>
      </w:r>
    </w:p>
    <w:p w14:paraId="46A26023">
      <w:pPr>
        <w:spacing w:line="579" w:lineRule="exact"/>
        <w:ind w:firstLine="630" w:firstLineChars="200"/>
        <w:outlineLvl w:val="0"/>
        <w:rPr>
          <w:rFonts w:ascii="黑体" w:hAnsi="黑体" w:eastAsia="黑体" w:cs="宋体"/>
          <w:szCs w:val="30"/>
        </w:rPr>
      </w:pPr>
      <w:bookmarkStart w:id="3" w:name="_Toc14293"/>
      <w:r>
        <w:rPr>
          <w:rFonts w:hint="eastAsia" w:ascii="黑体" w:hAnsi="黑体" w:eastAsia="黑体" w:cs="宋体"/>
          <w:szCs w:val="30"/>
        </w:rPr>
        <w:t>一、基本情况</w:t>
      </w:r>
      <w:bookmarkEnd w:id="3"/>
    </w:p>
    <w:p w14:paraId="50D7C1BD">
      <w:pPr>
        <w:spacing w:line="579" w:lineRule="exact"/>
        <w:ind w:firstLine="630" w:firstLineChars="200"/>
        <w:outlineLvl w:val="1"/>
        <w:rPr>
          <w:rFonts w:hint="eastAsia" w:ascii="楷体" w:hAnsi="楷体" w:eastAsia="楷体"/>
          <w:szCs w:val="30"/>
        </w:rPr>
      </w:pPr>
      <w:bookmarkStart w:id="4" w:name="_Toc4984"/>
      <w:r>
        <w:rPr>
          <w:rFonts w:hint="eastAsia" w:ascii="楷体" w:hAnsi="楷体" w:eastAsia="楷体"/>
          <w:szCs w:val="30"/>
        </w:rPr>
        <w:t>（一）项目概况</w:t>
      </w:r>
      <w:bookmarkEnd w:id="4"/>
    </w:p>
    <w:p w14:paraId="32E63CE6">
      <w:pPr>
        <w:ind w:firstLine="630"/>
        <w:rPr>
          <w:rFonts w:hint="eastAsia" w:hAnsi="仿宋"/>
          <w:szCs w:val="30"/>
          <w:highlight w:val="none"/>
          <w:lang w:val="en-US" w:eastAsia="zh-CN"/>
        </w:rPr>
      </w:pPr>
      <w:r>
        <w:rPr>
          <w:rFonts w:hint="eastAsia" w:hAnsi="仿宋"/>
          <w:szCs w:val="30"/>
          <w:highlight w:val="none"/>
          <w:lang w:val="en-US" w:eastAsia="zh-CN"/>
        </w:rPr>
        <w:t>2024年中央补助地方国家电影事业发展专项资金，核心是通过对影院先进技术设备安装的精准资助，引导影城开展改造升级，推动放映技术与服务品质双提升。这一举措既是落实“繁荣电影市场、鼓励国产影片放映”的政策导向，也是补全基层公共文化服务短板、满足群众高品质文化需求的关键抓手，最终将助力电影产业提质增效，促进文化消费升级，让群众从“有电影看”升级为“看好电影、享好服务”，推动地方电影事业与文化产业持续健康发展。</w:t>
      </w:r>
    </w:p>
    <w:p w14:paraId="7922E08D">
      <w:pPr>
        <w:spacing w:line="579" w:lineRule="exact"/>
        <w:ind w:firstLine="630" w:firstLineChars="200"/>
        <w:outlineLvl w:val="1"/>
        <w:rPr>
          <w:rFonts w:ascii="楷体" w:hAnsi="楷体" w:eastAsia="楷体"/>
          <w:szCs w:val="30"/>
        </w:rPr>
      </w:pPr>
      <w:bookmarkStart w:id="5" w:name="_Toc28360"/>
      <w:r>
        <w:rPr>
          <w:rFonts w:hint="eastAsia" w:ascii="楷体" w:hAnsi="楷体" w:eastAsia="楷体"/>
          <w:szCs w:val="30"/>
          <w:lang w:eastAsia="zh-CN"/>
        </w:rPr>
        <w:t>（</w:t>
      </w:r>
      <w:r>
        <w:rPr>
          <w:rFonts w:hint="eastAsia" w:ascii="楷体" w:hAnsi="楷体" w:eastAsia="楷体"/>
          <w:szCs w:val="30"/>
          <w:lang w:val="en-US" w:eastAsia="zh-CN"/>
        </w:rPr>
        <w:t>二</w:t>
      </w:r>
      <w:r>
        <w:rPr>
          <w:rFonts w:hint="eastAsia" w:ascii="楷体" w:hAnsi="楷体" w:eastAsia="楷体"/>
          <w:szCs w:val="30"/>
          <w:lang w:eastAsia="zh-CN"/>
        </w:rPr>
        <w:t>）</w:t>
      </w:r>
      <w:r>
        <w:rPr>
          <w:rFonts w:hint="eastAsia" w:ascii="楷体" w:hAnsi="楷体" w:eastAsia="楷体"/>
          <w:szCs w:val="30"/>
          <w:lang w:val="en-US" w:eastAsia="zh-CN"/>
        </w:rPr>
        <w:t>资金到位</w:t>
      </w:r>
      <w:r>
        <w:rPr>
          <w:rFonts w:hint="eastAsia" w:ascii="楷体" w:hAnsi="楷体" w:eastAsia="楷体"/>
          <w:szCs w:val="30"/>
        </w:rPr>
        <w:t>及使用情况</w:t>
      </w:r>
      <w:bookmarkEnd w:id="5"/>
    </w:p>
    <w:p w14:paraId="567DFB93">
      <w:pPr>
        <w:ind w:firstLine="630"/>
        <w:rPr>
          <w:rFonts w:hint="eastAsia" w:hAnsi="仿宋"/>
          <w:szCs w:val="30"/>
          <w:highlight w:val="none"/>
          <w:lang w:val="en-US" w:eastAsia="zh-CN"/>
        </w:rPr>
      </w:pPr>
      <w:r>
        <w:rPr>
          <w:rFonts w:hint="eastAsia" w:hAnsi="仿宋"/>
          <w:szCs w:val="30"/>
          <w:highlight w:val="none"/>
          <w:lang w:val="en-US" w:eastAsia="zh-CN"/>
        </w:rPr>
        <w:t>1.资金到位情况</w:t>
      </w:r>
    </w:p>
    <w:p w14:paraId="3533EC47">
      <w:pPr>
        <w:ind w:firstLine="630"/>
        <w:rPr>
          <w:rFonts w:hint="default" w:hAnsi="仿宋"/>
          <w:szCs w:val="30"/>
          <w:highlight w:val="none"/>
          <w:lang w:val="en-US" w:eastAsia="zh-CN"/>
        </w:rPr>
      </w:pPr>
      <w:r>
        <w:rPr>
          <w:rFonts w:hint="eastAsia" w:hAnsi="仿宋"/>
          <w:szCs w:val="30"/>
          <w:highlight w:val="none"/>
          <w:lang w:val="en-US" w:eastAsia="zh-CN"/>
        </w:rPr>
        <w:t>根据</w:t>
      </w:r>
      <w:r>
        <w:rPr>
          <w:rFonts w:hint="default" w:hAnsi="仿宋"/>
          <w:szCs w:val="30"/>
          <w:highlight w:val="none"/>
          <w:lang w:val="en-US" w:eastAsia="zh-CN"/>
        </w:rPr>
        <w:t>《昆明市财政局 中共昆明市委宣传部关于提前下达2024年中央补助地方国家电影事业发展专项资金预算的通知》（昆财教〔2023〕224号）</w:t>
      </w:r>
      <w:r>
        <w:rPr>
          <w:rFonts w:hint="eastAsia" w:hAnsi="仿宋"/>
          <w:szCs w:val="30"/>
          <w:highlight w:val="none"/>
          <w:lang w:val="en-US" w:eastAsia="zh-CN"/>
        </w:rPr>
        <w:t>和《云南省财政厅关于提前下达 2024年中央补助地方国家电影事业发展专项资金预算的通知》(云财教</w:t>
      </w:r>
      <w:r>
        <w:rPr>
          <w:rFonts w:hint="default" w:hAnsi="仿宋"/>
          <w:szCs w:val="30"/>
          <w:highlight w:val="none"/>
          <w:lang w:val="en-US" w:eastAsia="zh-CN"/>
        </w:rPr>
        <w:t>〔2023〕</w:t>
      </w:r>
      <w:r>
        <w:rPr>
          <w:rFonts w:hint="eastAsia" w:hAnsi="仿宋"/>
          <w:szCs w:val="30"/>
          <w:highlight w:val="none"/>
          <w:lang w:val="en-US" w:eastAsia="zh-CN"/>
        </w:rPr>
        <w:t>298号)，现下达西山区中央补助地方国家电影事业发展专项资金50万元，实际到位50万元，资金到位率100%。</w:t>
      </w:r>
    </w:p>
    <w:p w14:paraId="35E7C7CC">
      <w:pPr>
        <w:ind w:firstLine="630"/>
        <w:rPr>
          <w:rFonts w:hint="eastAsia" w:hAnsi="仿宋"/>
          <w:szCs w:val="30"/>
          <w:highlight w:val="none"/>
          <w:lang w:val="en-US" w:eastAsia="zh-CN"/>
        </w:rPr>
      </w:pPr>
      <w:r>
        <w:rPr>
          <w:rFonts w:hint="eastAsia" w:hAnsi="仿宋"/>
          <w:szCs w:val="30"/>
          <w:highlight w:val="none"/>
          <w:lang w:val="en-US" w:eastAsia="zh-CN"/>
        </w:rPr>
        <w:t>2.资金使用情况</w:t>
      </w:r>
    </w:p>
    <w:p w14:paraId="3E84519B">
      <w:pPr>
        <w:ind w:firstLine="630"/>
        <w:rPr>
          <w:rFonts w:hint="default" w:hAnsi="仿宋"/>
          <w:szCs w:val="30"/>
          <w:highlight w:val="none"/>
          <w:lang w:val="en-US" w:eastAsia="zh-CN"/>
        </w:rPr>
      </w:pPr>
      <w:r>
        <w:rPr>
          <w:rFonts w:hint="eastAsia" w:hAnsi="仿宋"/>
          <w:szCs w:val="30"/>
          <w:highlight w:val="none"/>
          <w:lang w:val="en-US" w:eastAsia="zh-CN"/>
        </w:rPr>
        <w:t>截至2024年12月31日，累计支出50.00万元，资金使用率为100%，全部用于2024年中央补助地方国家电影事业发展专项资金项目。</w:t>
      </w:r>
    </w:p>
    <w:p w14:paraId="1937A0BA">
      <w:pPr>
        <w:spacing w:line="579" w:lineRule="exact"/>
        <w:ind w:firstLine="630" w:firstLineChars="200"/>
        <w:outlineLvl w:val="1"/>
        <w:rPr>
          <w:rFonts w:hint="default" w:ascii="楷体" w:hAnsi="楷体" w:eastAsia="楷体"/>
          <w:szCs w:val="30"/>
          <w:lang w:val="en-US" w:eastAsia="zh-CN"/>
        </w:rPr>
      </w:pPr>
      <w:bookmarkStart w:id="6" w:name="_Toc20516"/>
      <w:r>
        <w:rPr>
          <w:rFonts w:hint="eastAsia" w:ascii="楷体" w:hAnsi="楷体" w:eastAsia="楷体"/>
          <w:szCs w:val="30"/>
          <w:lang w:val="en-US" w:eastAsia="zh-CN"/>
        </w:rPr>
        <w:t>（三）实施内容</w:t>
      </w:r>
      <w:bookmarkEnd w:id="6"/>
    </w:p>
    <w:p w14:paraId="50FC1C02">
      <w:pPr>
        <w:ind w:firstLine="630"/>
        <w:rPr>
          <w:rFonts w:hint="eastAsia" w:hAnsi="仿宋"/>
          <w:szCs w:val="30"/>
          <w:highlight w:val="none"/>
          <w:lang w:val="en-US" w:eastAsia="zh-CN"/>
        </w:rPr>
      </w:pPr>
      <w:r>
        <w:rPr>
          <w:rFonts w:hint="eastAsia" w:hAnsi="仿宋"/>
          <w:szCs w:val="30"/>
          <w:highlight w:val="none"/>
          <w:lang w:val="en-US" w:eastAsia="zh-CN"/>
        </w:rPr>
        <w:t>根据《云南省财政厅关于提前下达 2024年中央补助地方国家电影事业发展专项资金预算的通知》(云财教</w:t>
      </w:r>
      <w:r>
        <w:rPr>
          <w:rFonts w:hint="default" w:hAnsi="仿宋"/>
          <w:szCs w:val="30"/>
          <w:highlight w:val="none"/>
          <w:lang w:val="en-US" w:eastAsia="zh-CN"/>
        </w:rPr>
        <w:t>〔2023〕</w:t>
      </w:r>
      <w:r>
        <w:rPr>
          <w:rFonts w:hint="eastAsia" w:hAnsi="仿宋"/>
          <w:szCs w:val="30"/>
          <w:highlight w:val="none"/>
          <w:lang w:val="en-US" w:eastAsia="zh-CN"/>
        </w:rPr>
        <w:t>298号)，现下达西山区中央补助地方国家电影事业发展专项资金50万元，用于电影事业发展，项目主管部门为中共昆明市西山区委宣传部，代建单位为昆明万达电影城有限公司。建设地点：昆明南亚风情街万达电影城。</w:t>
      </w:r>
    </w:p>
    <w:p w14:paraId="5C9846E8">
      <w:pPr>
        <w:ind w:firstLine="630"/>
        <w:rPr>
          <w:rFonts w:hint="default" w:hAnsi="仿宋"/>
          <w:szCs w:val="30"/>
          <w:highlight w:val="none"/>
          <w:lang w:val="en-US" w:eastAsia="zh-CN"/>
        </w:rPr>
      </w:pPr>
      <w:r>
        <w:rPr>
          <w:rFonts w:hint="eastAsia" w:hAnsi="仿宋"/>
          <w:szCs w:val="30"/>
          <w:highlight w:val="none"/>
          <w:lang w:val="en-US" w:eastAsia="zh-CN"/>
        </w:rPr>
        <w:t>主要完成情况如下：</w:t>
      </w:r>
    </w:p>
    <w:p w14:paraId="6755CB55">
      <w:pPr>
        <w:ind w:firstLine="630"/>
        <w:rPr>
          <w:rFonts w:hint="default" w:hAnsi="仿宋"/>
          <w:szCs w:val="30"/>
          <w:highlight w:val="none"/>
          <w:lang w:val="en-US" w:eastAsia="zh-CN"/>
        </w:rPr>
      </w:pPr>
      <w:r>
        <w:rPr>
          <w:rFonts w:hint="eastAsia" w:hAnsi="仿宋"/>
          <w:szCs w:val="30"/>
          <w:highlight w:val="none"/>
          <w:lang w:val="en-US" w:eastAsia="zh-CN"/>
        </w:rPr>
        <w:t>1.2019年6月13日，昆明万达电影城有限公司与顾家家居(宁波)有限公司签订了《昆明光魔万达电影城电影院功能座椅采购安装调试及质量保修合同》，合同编号:19GZ1502GM001。主要实施内容为：（1）SY.A016B IMAX，L1362/F1362(哑光)，数量63个，合同金额：56,385.00元。（2）SY.A016 IMAX，L1362/F1362(哑光)，数量226个，合同金额：202,270.00元。2项合计合同金额：258,655.00元，大写：贰拾伍万捌仟陆佰伍拾伍元整。</w:t>
      </w:r>
    </w:p>
    <w:p w14:paraId="1C41BE68">
      <w:pPr>
        <w:ind w:firstLine="630"/>
        <w:rPr>
          <w:rFonts w:hint="eastAsia" w:hAnsi="仿宋"/>
          <w:szCs w:val="30"/>
          <w:highlight w:val="none"/>
          <w:lang w:val="en-US" w:eastAsia="zh-CN"/>
        </w:rPr>
      </w:pPr>
      <w:r>
        <w:rPr>
          <w:rFonts w:hint="eastAsia" w:hAnsi="仿宋"/>
          <w:szCs w:val="30"/>
          <w:highlight w:val="none"/>
          <w:lang w:val="en-US" w:eastAsia="zh-CN"/>
        </w:rPr>
        <w:t>2.2019年10月17日，昆明万达电影城有限公司与天津东风电影设备销售有限公司签订了《电影放映机配套设备及产品供应、系统集成安装、调试及质量保修合同》，合同编号:19GZ33610301GM008。主要实施内容为：（1）放映机配套设备及产品供应，合同金额：30,579.00元。（2）放映机房及影厅安装与调试，合同金额：15,960.00元。（3）双机观察窗口、双机观察窗口的安装，合同金额：1,448.60元。3项合计合同金额：47,987.60元，大写：肆万柒仟玖佰捌拾柒元陆角。</w:t>
      </w:r>
    </w:p>
    <w:p w14:paraId="0C7CA5C3">
      <w:pPr>
        <w:ind w:firstLine="630"/>
        <w:rPr>
          <w:rFonts w:hint="default" w:hAnsi="仿宋"/>
          <w:szCs w:val="30"/>
          <w:highlight w:val="none"/>
          <w:lang w:val="en-US" w:eastAsia="zh-CN"/>
        </w:rPr>
      </w:pPr>
      <w:r>
        <w:rPr>
          <w:rFonts w:hint="eastAsia" w:hAnsi="仿宋"/>
          <w:szCs w:val="30"/>
          <w:highlight w:val="none"/>
          <w:lang w:val="en-US" w:eastAsia="zh-CN"/>
        </w:rPr>
        <w:t>3.2019年8月31日，贵单位与江苏影星舞台设备有限公司签订了《昆明南亚风情街万达电影城银幕架拆除及IMAX安装合同》，合同编号:19GZ33610307GM009。工程范围:昆明南亚风情街万达电影城1个电影厅的银幕架拆除、IMAX厅安装、6个普通银幕更换、安装、调试、验收。合同金额：65,399.99元，大写：陆万伍仟叁佰玖拾玖元玖角玖分。</w:t>
      </w:r>
    </w:p>
    <w:p w14:paraId="6B942F51">
      <w:pPr>
        <w:ind w:firstLine="630"/>
        <w:rPr>
          <w:rFonts w:hint="eastAsia" w:hAnsi="仿宋"/>
          <w:szCs w:val="30"/>
          <w:highlight w:val="none"/>
          <w:lang w:val="en-US" w:eastAsia="zh-CN"/>
        </w:rPr>
      </w:pPr>
      <w:r>
        <w:rPr>
          <w:rFonts w:hint="eastAsia" w:hAnsi="仿宋"/>
          <w:szCs w:val="30"/>
          <w:highlight w:val="none"/>
          <w:lang w:val="en-US" w:eastAsia="zh-CN"/>
        </w:rPr>
        <w:t>4.截至评价日，该项目</w:t>
      </w:r>
      <w:r>
        <w:rPr>
          <w:rFonts w:hint="default" w:hAnsi="仿宋"/>
          <w:szCs w:val="30"/>
          <w:highlight w:val="none"/>
          <w:lang w:val="en-US" w:eastAsia="zh-CN"/>
        </w:rPr>
        <w:t>繁荣发展电影市场</w:t>
      </w:r>
      <w:r>
        <w:rPr>
          <w:rFonts w:hint="eastAsia" w:hAnsi="仿宋"/>
          <w:szCs w:val="30"/>
          <w:highlight w:val="none"/>
          <w:lang w:val="en-US" w:eastAsia="zh-CN"/>
        </w:rPr>
        <w:t>，</w:t>
      </w:r>
      <w:r>
        <w:rPr>
          <w:rFonts w:hint="default" w:hAnsi="仿宋"/>
          <w:szCs w:val="30"/>
          <w:highlight w:val="none"/>
          <w:lang w:val="en-US" w:eastAsia="zh-CN"/>
        </w:rPr>
        <w:t>IMAX改造完成之后通过其沉浸式观影体验‌</w:t>
      </w:r>
      <w:r>
        <w:rPr>
          <w:rFonts w:hint="eastAsia" w:hAnsi="仿宋"/>
          <w:szCs w:val="30"/>
          <w:highlight w:val="none"/>
          <w:lang w:val="en-US" w:eastAsia="zh-CN"/>
        </w:rPr>
        <w:t>，</w:t>
      </w:r>
      <w:r>
        <w:rPr>
          <w:rFonts w:hint="default" w:hAnsi="仿宋"/>
          <w:szCs w:val="30"/>
          <w:highlight w:val="none"/>
          <w:lang w:val="en-US" w:eastAsia="zh-CN"/>
        </w:rPr>
        <w:t>超大银幕、超高清晰度、环绕音响系统等核心技术</w:t>
      </w:r>
      <w:r>
        <w:rPr>
          <w:rFonts w:hint="eastAsia" w:hAnsi="仿宋"/>
          <w:szCs w:val="30"/>
          <w:highlight w:val="none"/>
          <w:lang w:val="en-US" w:eastAsia="zh-CN"/>
        </w:rPr>
        <w:t>，</w:t>
      </w:r>
      <w:r>
        <w:rPr>
          <w:rFonts w:hint="default" w:hAnsi="仿宋"/>
          <w:szCs w:val="30"/>
          <w:highlight w:val="none"/>
          <w:lang w:val="en-US" w:eastAsia="zh-CN"/>
        </w:rPr>
        <w:t>让观众仿佛置身于影片之中</w:t>
      </w:r>
      <w:r>
        <w:rPr>
          <w:rFonts w:hint="eastAsia" w:hAnsi="仿宋"/>
          <w:szCs w:val="30"/>
          <w:highlight w:val="none"/>
          <w:lang w:val="en-US" w:eastAsia="zh-CN"/>
        </w:rPr>
        <w:t>，</w:t>
      </w:r>
      <w:r>
        <w:rPr>
          <w:rFonts w:hint="default" w:hAnsi="仿宋"/>
          <w:szCs w:val="30"/>
          <w:highlight w:val="none"/>
          <w:lang w:val="en-US" w:eastAsia="zh-CN"/>
        </w:rPr>
        <w:t>吸引众多观众及单位进行包场观影</w:t>
      </w:r>
      <w:r>
        <w:rPr>
          <w:rFonts w:hint="eastAsia" w:hAnsi="仿宋"/>
          <w:szCs w:val="30"/>
          <w:highlight w:val="none"/>
          <w:lang w:val="en-US" w:eastAsia="zh-CN"/>
        </w:rPr>
        <w:t>，</w:t>
      </w:r>
      <w:r>
        <w:rPr>
          <w:rFonts w:hint="default" w:hAnsi="仿宋"/>
          <w:szCs w:val="30"/>
          <w:highlight w:val="none"/>
          <w:lang w:val="en-US" w:eastAsia="zh-CN"/>
        </w:rPr>
        <w:t>为顾客带来极致的观影体验</w:t>
      </w:r>
      <w:r>
        <w:rPr>
          <w:rFonts w:hint="eastAsia" w:hAnsi="仿宋"/>
          <w:szCs w:val="30"/>
          <w:highlight w:val="none"/>
          <w:lang w:val="en-US" w:eastAsia="zh-CN"/>
        </w:rPr>
        <w:t>，</w:t>
      </w:r>
      <w:r>
        <w:rPr>
          <w:rFonts w:hint="default" w:hAnsi="仿宋"/>
          <w:szCs w:val="30"/>
          <w:highlight w:val="none"/>
          <w:lang w:val="en-US" w:eastAsia="zh-CN"/>
        </w:rPr>
        <w:t>给影城带来了多元化的效益。</w:t>
      </w:r>
    </w:p>
    <w:p w14:paraId="0114BBA5">
      <w:pPr>
        <w:spacing w:line="579" w:lineRule="exact"/>
        <w:ind w:firstLine="630" w:firstLineChars="200"/>
        <w:outlineLvl w:val="1"/>
        <w:rPr>
          <w:rFonts w:hint="default" w:ascii="楷体" w:hAnsi="楷体" w:eastAsia="楷体"/>
          <w:szCs w:val="30"/>
          <w:highlight w:val="none"/>
          <w:lang w:val="en-US" w:eastAsia="zh-CN"/>
        </w:rPr>
      </w:pPr>
      <w:bookmarkStart w:id="7" w:name="_Toc22620"/>
      <w:r>
        <w:rPr>
          <w:rFonts w:hint="eastAsia" w:ascii="楷体" w:hAnsi="楷体" w:eastAsia="楷体"/>
          <w:szCs w:val="30"/>
          <w:highlight w:val="none"/>
        </w:rPr>
        <w:t>（</w:t>
      </w:r>
      <w:r>
        <w:rPr>
          <w:rFonts w:hint="eastAsia" w:ascii="楷体" w:hAnsi="楷体" w:eastAsia="楷体"/>
          <w:szCs w:val="30"/>
          <w:highlight w:val="none"/>
          <w:lang w:val="en-US" w:eastAsia="zh-CN"/>
        </w:rPr>
        <w:t>四</w:t>
      </w:r>
      <w:r>
        <w:rPr>
          <w:rFonts w:hint="eastAsia" w:ascii="楷体" w:hAnsi="楷体" w:eastAsia="楷体"/>
          <w:szCs w:val="30"/>
          <w:highlight w:val="none"/>
        </w:rPr>
        <w:t>）绩效目标</w:t>
      </w:r>
      <w:r>
        <w:rPr>
          <w:rFonts w:hint="eastAsia" w:ascii="楷体" w:hAnsi="楷体" w:eastAsia="楷体"/>
          <w:szCs w:val="30"/>
          <w:highlight w:val="none"/>
          <w:lang w:val="en-US" w:eastAsia="zh-CN"/>
        </w:rPr>
        <w:t>设立情况</w:t>
      </w:r>
      <w:bookmarkEnd w:id="7"/>
    </w:p>
    <w:p w14:paraId="30E310BB">
      <w:pPr>
        <w:ind w:firstLine="630"/>
        <w:rPr>
          <w:rFonts w:hint="eastAsia" w:hAnsi="仿宋"/>
          <w:szCs w:val="30"/>
          <w:highlight w:val="none"/>
          <w:lang w:val="en-US" w:eastAsia="zh-CN"/>
        </w:rPr>
      </w:pPr>
      <w:bookmarkStart w:id="8" w:name="_Hlk525314309"/>
      <w:r>
        <w:rPr>
          <w:rFonts w:hint="eastAsia" w:hAnsi="仿宋"/>
          <w:szCs w:val="30"/>
          <w:highlight w:val="none"/>
          <w:lang w:val="en-US" w:eastAsia="zh-CN"/>
        </w:rPr>
        <w:t>1.下达绩效目标和绩效指标情况</w:t>
      </w:r>
    </w:p>
    <w:p w14:paraId="452E4A85">
      <w:pPr>
        <w:ind w:firstLine="630"/>
        <w:rPr>
          <w:rFonts w:hint="eastAsia" w:hAnsi="仿宋"/>
          <w:szCs w:val="30"/>
          <w:highlight w:val="none"/>
          <w:lang w:val="en-US" w:eastAsia="zh-CN"/>
        </w:rPr>
      </w:pPr>
      <w:r>
        <w:rPr>
          <w:rFonts w:hint="eastAsia" w:hAnsi="仿宋"/>
          <w:szCs w:val="30"/>
          <w:highlight w:val="none"/>
          <w:lang w:val="en-US" w:eastAsia="zh-CN"/>
        </w:rPr>
        <w:t>（1）绩效目标</w:t>
      </w:r>
    </w:p>
    <w:p w14:paraId="234787E3">
      <w:pPr>
        <w:ind w:firstLine="630"/>
        <w:rPr>
          <w:rFonts w:hint="eastAsia" w:hAnsi="仿宋"/>
          <w:szCs w:val="30"/>
          <w:highlight w:val="none"/>
          <w:lang w:val="en-US" w:eastAsia="zh-CN"/>
        </w:rPr>
      </w:pPr>
      <w:r>
        <w:rPr>
          <w:rFonts w:hint="eastAsia" w:hAnsi="仿宋"/>
          <w:szCs w:val="30"/>
          <w:highlight w:val="none"/>
          <w:lang w:val="en-US" w:eastAsia="zh-CN"/>
        </w:rPr>
        <w:t>目标l：繁荣发展电影市场，鼓励影院放映国产影片，力争国产影片票房总收入不低于55%;</w:t>
      </w:r>
    </w:p>
    <w:p w14:paraId="2698264A">
      <w:pPr>
        <w:ind w:firstLine="630"/>
        <w:rPr>
          <w:rFonts w:hint="eastAsia" w:hAnsi="仿宋"/>
          <w:szCs w:val="30"/>
          <w:highlight w:val="none"/>
          <w:lang w:val="en-US" w:eastAsia="zh-CN"/>
        </w:rPr>
      </w:pPr>
      <w:r>
        <w:rPr>
          <w:rFonts w:hint="eastAsia" w:hAnsi="仿宋"/>
          <w:szCs w:val="30"/>
          <w:highlight w:val="none"/>
          <w:lang w:val="en-US" w:eastAsia="zh-CN"/>
        </w:rPr>
        <w:t>目标2：鼓励影院使用新技术、新工艺，对安装先进技术设备的影院资助不低千9家。</w:t>
      </w:r>
    </w:p>
    <w:p w14:paraId="157496F9">
      <w:pPr>
        <w:ind w:firstLine="630"/>
        <w:rPr>
          <w:rFonts w:hint="eastAsia" w:hAnsi="仿宋"/>
          <w:szCs w:val="30"/>
          <w:highlight w:val="none"/>
          <w:lang w:val="en-US" w:eastAsia="zh-CN"/>
        </w:rPr>
      </w:pPr>
      <w:r>
        <w:rPr>
          <w:rFonts w:hint="eastAsia" w:hAnsi="仿宋"/>
          <w:szCs w:val="30"/>
          <w:highlight w:val="none"/>
          <w:lang w:val="en-US" w:eastAsia="zh-CN"/>
        </w:rPr>
        <w:t>（2）绩效指标</w:t>
      </w:r>
    </w:p>
    <w:p w14:paraId="0FE34065">
      <w:pPr>
        <w:ind w:firstLine="504"/>
        <w:jc w:val="center"/>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表</w:t>
      </w:r>
      <w:r>
        <w:rPr>
          <w:rFonts w:hint="eastAsia" w:ascii="仿宋" w:hAnsi="仿宋" w:eastAsia="仿宋" w:cs="仿宋"/>
          <w:spacing w:val="6"/>
          <w:sz w:val="24"/>
          <w:szCs w:val="24"/>
          <w:highlight w:val="none"/>
          <w:lang w:val="en-US" w:eastAsia="zh-CN"/>
        </w:rPr>
        <w:t>1</w:t>
      </w:r>
      <w:r>
        <w:rPr>
          <w:rFonts w:hint="eastAsia" w:ascii="仿宋" w:hAnsi="仿宋" w:eastAsia="仿宋" w:cs="仿宋"/>
          <w:spacing w:val="6"/>
          <w:sz w:val="24"/>
          <w:szCs w:val="24"/>
          <w:highlight w:val="none"/>
        </w:rPr>
        <w:t xml:space="preserve"> 项目绩效目标申报绩效</w:t>
      </w:r>
      <w:r>
        <w:rPr>
          <w:rFonts w:hint="eastAsia" w:ascii="仿宋" w:hAnsi="仿宋" w:eastAsia="仿宋" w:cs="仿宋"/>
          <w:spacing w:val="6"/>
          <w:sz w:val="24"/>
          <w:szCs w:val="24"/>
          <w:highlight w:val="none"/>
          <w:lang w:val="en-US" w:eastAsia="zh-CN"/>
        </w:rPr>
        <w:t>指标</w:t>
      </w:r>
      <w:r>
        <w:rPr>
          <w:rFonts w:hint="eastAsia" w:ascii="仿宋" w:hAnsi="仿宋" w:eastAsia="仿宋" w:cs="仿宋"/>
          <w:spacing w:val="6"/>
          <w:sz w:val="24"/>
          <w:szCs w:val="24"/>
          <w:highlight w:val="none"/>
        </w:rPr>
        <w:t>表</w:t>
      </w:r>
    </w:p>
    <w:tbl>
      <w:tblPr>
        <w:tblStyle w:val="20"/>
        <w:tblW w:w="0" w:type="auto"/>
        <w:tblInd w:w="-1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6"/>
        <w:gridCol w:w="2249"/>
        <w:gridCol w:w="4056"/>
        <w:gridCol w:w="1513"/>
      </w:tblGrid>
      <w:tr w14:paraId="68BC9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14B3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AD9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二级指标</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8C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三级指标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0A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指标值</w:t>
            </w:r>
          </w:p>
        </w:tc>
      </w:tr>
      <w:tr w14:paraId="52923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restart"/>
            <w:tcBorders>
              <w:top w:val="single" w:color="000000" w:sz="4" w:space="0"/>
              <w:left w:val="single" w:color="000000" w:sz="4" w:space="0"/>
              <w:right w:val="single" w:color="000000" w:sz="4" w:space="0"/>
            </w:tcBorders>
            <w:shd w:val="clear" w:color="auto" w:fill="auto"/>
            <w:vAlign w:val="center"/>
          </w:tcPr>
          <w:p w14:paraId="4AFC9802">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kern w:val="30"/>
                <w:sz w:val="21"/>
                <w:szCs w:val="21"/>
                <w:highlight w:val="none"/>
                <w:lang w:val="en-US" w:eastAsia="zh-CN" w:bidi="ar-SA"/>
              </w:rPr>
            </w:pPr>
            <w:r>
              <w:rPr>
                <w:rFonts w:hint="eastAsia" w:ascii="仿宋" w:hAnsi="仿宋" w:eastAsia="仿宋" w:cs="仿宋"/>
                <w:kern w:val="30"/>
                <w:sz w:val="21"/>
                <w:szCs w:val="21"/>
                <w:highlight w:val="none"/>
                <w:lang w:val="en-US" w:eastAsia="zh-CN" w:bidi="ar-SA"/>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9813B">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kern w:val="30"/>
                <w:sz w:val="21"/>
                <w:szCs w:val="21"/>
                <w:highlight w:val="none"/>
                <w:lang w:val="en-US" w:eastAsia="zh-CN" w:bidi="ar-SA"/>
              </w:rPr>
            </w:pPr>
            <w:r>
              <w:rPr>
                <w:rFonts w:hint="eastAsia" w:ascii="仿宋" w:hAnsi="仿宋" w:eastAsia="仿宋" w:cs="仿宋"/>
                <w:kern w:val="30"/>
                <w:sz w:val="21"/>
                <w:szCs w:val="21"/>
                <w:highlight w:val="none"/>
                <w:lang w:val="en-US" w:eastAsia="zh-CN" w:bidi="ar-SA"/>
              </w:rPr>
              <w:t>数量指标</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760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kern w:val="30"/>
                <w:sz w:val="21"/>
                <w:szCs w:val="21"/>
                <w:highlight w:val="none"/>
                <w:lang w:val="en-US" w:eastAsia="zh-CN" w:bidi="ar-SA"/>
              </w:rPr>
            </w:pPr>
            <w:r>
              <w:rPr>
                <w:rFonts w:hint="eastAsia" w:ascii="仿宋" w:hAnsi="仿宋" w:eastAsia="仿宋" w:cs="仿宋"/>
                <w:kern w:val="30"/>
                <w:sz w:val="21"/>
                <w:szCs w:val="21"/>
                <w:highlight w:val="none"/>
                <w:lang w:val="en-US" w:eastAsia="zh-CN" w:bidi="ar-SA"/>
              </w:rPr>
              <w:t>补助安装先进技术设备影院数量</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9195">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kern w:val="30"/>
                <w:sz w:val="21"/>
                <w:szCs w:val="21"/>
                <w:highlight w:val="none"/>
                <w:lang w:val="en-US" w:eastAsia="zh-CN" w:bidi="ar-SA"/>
              </w:rPr>
            </w:pPr>
            <w:r>
              <w:rPr>
                <w:rFonts w:hint="default" w:ascii="仿宋" w:hAnsi="仿宋" w:eastAsia="仿宋" w:cs="仿宋"/>
                <w:kern w:val="30"/>
                <w:sz w:val="21"/>
                <w:szCs w:val="21"/>
                <w:highlight w:val="none"/>
                <w:lang w:val="en-US" w:eastAsia="zh-CN" w:bidi="ar-SA"/>
              </w:rPr>
              <w:t>≥9</w:t>
            </w:r>
            <w:r>
              <w:rPr>
                <w:rFonts w:hint="eastAsia" w:ascii="仿宋" w:hAnsi="仿宋" w:eastAsia="仿宋" w:cs="仿宋"/>
                <w:kern w:val="30"/>
                <w:sz w:val="21"/>
                <w:szCs w:val="21"/>
                <w:highlight w:val="none"/>
                <w:lang w:val="en-US" w:eastAsia="zh-CN" w:bidi="ar-SA"/>
              </w:rPr>
              <w:t>家</w:t>
            </w:r>
          </w:p>
        </w:tc>
      </w:tr>
      <w:tr w14:paraId="21869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FE23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kern w:val="30"/>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A993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kern w:val="30"/>
                <w:sz w:val="21"/>
                <w:szCs w:val="21"/>
                <w:highlight w:val="none"/>
                <w:lang w:val="en-US" w:eastAsia="zh-CN" w:bidi="ar-SA"/>
              </w:rPr>
            </w:pPr>
            <w:r>
              <w:rPr>
                <w:rFonts w:hint="eastAsia" w:ascii="仿宋" w:hAnsi="仿宋" w:eastAsia="仿宋" w:cs="仿宋"/>
                <w:kern w:val="30"/>
                <w:sz w:val="21"/>
                <w:szCs w:val="21"/>
                <w:highlight w:val="none"/>
                <w:lang w:val="en-US" w:eastAsia="zh-CN" w:bidi="ar-SA"/>
              </w:rPr>
              <w:t>质量指标</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F77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kern w:val="30"/>
                <w:sz w:val="21"/>
                <w:szCs w:val="21"/>
                <w:highlight w:val="none"/>
                <w:lang w:val="en-US" w:eastAsia="zh-CN" w:bidi="ar-SA"/>
              </w:rPr>
            </w:pPr>
            <w:r>
              <w:rPr>
                <w:rFonts w:hint="eastAsia" w:ascii="仿宋" w:hAnsi="仿宋" w:eastAsia="仿宋" w:cs="仿宋"/>
                <w:kern w:val="30"/>
                <w:sz w:val="21"/>
                <w:szCs w:val="21"/>
                <w:highlight w:val="none"/>
                <w:lang w:val="en-US" w:eastAsia="zh-CN" w:bidi="ar-SA"/>
              </w:rPr>
              <w:t>影院安装先进技术设备合格率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058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kern w:val="30"/>
                <w:sz w:val="21"/>
                <w:szCs w:val="21"/>
                <w:highlight w:val="none"/>
                <w:lang w:val="en-US" w:eastAsia="zh-CN" w:bidi="ar-SA"/>
              </w:rPr>
            </w:pPr>
            <w:r>
              <w:rPr>
                <w:rFonts w:hint="default" w:ascii="仿宋" w:hAnsi="仿宋" w:eastAsia="仿宋" w:cs="仿宋"/>
                <w:kern w:val="30"/>
                <w:sz w:val="21"/>
                <w:szCs w:val="21"/>
                <w:highlight w:val="none"/>
                <w:lang w:val="en-US" w:eastAsia="zh-CN" w:bidi="ar-SA"/>
              </w:rPr>
              <w:t>≥95%</w:t>
            </w:r>
          </w:p>
        </w:tc>
      </w:tr>
      <w:tr w14:paraId="27D7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DA0D4">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kern w:val="30"/>
                <w:sz w:val="21"/>
                <w:szCs w:val="21"/>
                <w:highlight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BC6F8">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kern w:val="30"/>
                <w:sz w:val="21"/>
                <w:szCs w:val="21"/>
                <w:highlight w:val="none"/>
                <w:lang w:val="en-US" w:eastAsia="zh-CN" w:bidi="ar-SA"/>
              </w:rPr>
            </w:pPr>
            <w:r>
              <w:rPr>
                <w:rFonts w:hint="eastAsia" w:ascii="仿宋" w:hAnsi="仿宋" w:eastAsia="仿宋" w:cs="仿宋"/>
                <w:kern w:val="30"/>
                <w:sz w:val="21"/>
                <w:szCs w:val="21"/>
                <w:highlight w:val="none"/>
                <w:lang w:val="en-US" w:eastAsia="zh-CN" w:bidi="ar-SA"/>
              </w:rPr>
              <w:t>成本指标</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1419">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kern w:val="30"/>
                <w:sz w:val="21"/>
                <w:szCs w:val="21"/>
                <w:highlight w:val="none"/>
                <w:lang w:val="en-US" w:eastAsia="zh-CN" w:bidi="ar-SA"/>
              </w:rPr>
            </w:pPr>
            <w:r>
              <w:rPr>
                <w:rFonts w:hint="eastAsia" w:ascii="仿宋" w:hAnsi="仿宋" w:eastAsia="仿宋" w:cs="仿宋"/>
                <w:kern w:val="30"/>
                <w:sz w:val="21"/>
                <w:szCs w:val="21"/>
                <w:highlight w:val="none"/>
                <w:lang w:val="en-US" w:eastAsia="zh-CN" w:bidi="ar-SA"/>
              </w:rPr>
              <w:t>补助影院安装先进技术设备金额</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2756">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kern w:val="30"/>
                <w:sz w:val="21"/>
                <w:szCs w:val="21"/>
                <w:highlight w:val="none"/>
                <w:lang w:val="en-US" w:eastAsia="zh-CN" w:bidi="ar-SA"/>
              </w:rPr>
            </w:pPr>
            <w:r>
              <w:rPr>
                <w:rFonts w:hint="default" w:ascii="仿宋" w:hAnsi="仿宋" w:eastAsia="仿宋" w:cs="仿宋"/>
                <w:kern w:val="30"/>
                <w:sz w:val="21"/>
                <w:szCs w:val="21"/>
                <w:highlight w:val="none"/>
                <w:lang w:val="en-US" w:eastAsia="zh-CN" w:bidi="ar-SA"/>
              </w:rPr>
              <w:t>≤50</w:t>
            </w:r>
            <w:r>
              <w:rPr>
                <w:rFonts w:hint="eastAsia" w:ascii="仿宋" w:hAnsi="仿宋" w:eastAsia="仿宋" w:cs="仿宋"/>
                <w:kern w:val="30"/>
                <w:sz w:val="21"/>
                <w:szCs w:val="21"/>
                <w:highlight w:val="none"/>
                <w:lang w:val="en-US" w:eastAsia="zh-CN" w:bidi="ar-SA"/>
              </w:rPr>
              <w:t>万元</w:t>
            </w:r>
            <w:r>
              <w:rPr>
                <w:rFonts w:hint="default" w:ascii="仿宋" w:hAnsi="仿宋" w:eastAsia="仿宋" w:cs="仿宋"/>
                <w:kern w:val="30"/>
                <w:sz w:val="21"/>
                <w:szCs w:val="21"/>
                <w:highlight w:val="none"/>
                <w:lang w:val="en-US" w:eastAsia="zh-CN" w:bidi="ar-SA"/>
              </w:rPr>
              <w:t>/</w:t>
            </w:r>
            <w:r>
              <w:rPr>
                <w:rFonts w:hint="eastAsia" w:ascii="仿宋" w:hAnsi="仿宋" w:eastAsia="仿宋" w:cs="仿宋"/>
                <w:kern w:val="30"/>
                <w:sz w:val="21"/>
                <w:szCs w:val="21"/>
                <w:highlight w:val="none"/>
                <w:lang w:val="en-US" w:eastAsia="zh-CN" w:bidi="ar-SA"/>
              </w:rPr>
              <w:t>家</w:t>
            </w:r>
          </w:p>
        </w:tc>
      </w:tr>
      <w:tr w14:paraId="3A02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restart"/>
            <w:tcBorders>
              <w:top w:val="single" w:color="000000" w:sz="4" w:space="0"/>
              <w:left w:val="single" w:color="000000" w:sz="4" w:space="0"/>
              <w:right w:val="single" w:color="000000" w:sz="4" w:space="0"/>
            </w:tcBorders>
            <w:shd w:val="clear" w:color="auto" w:fill="auto"/>
            <w:vAlign w:val="center"/>
          </w:tcPr>
          <w:p w14:paraId="7C91DC7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kern w:val="30"/>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D5CCA">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kern w:val="30"/>
                <w:sz w:val="21"/>
                <w:szCs w:val="21"/>
                <w:highlight w:val="none"/>
                <w:lang w:val="en-US" w:eastAsia="zh-CN" w:bidi="ar-SA"/>
              </w:rPr>
            </w:pPr>
            <w:r>
              <w:rPr>
                <w:rFonts w:hint="eastAsia" w:ascii="仿宋" w:hAnsi="仿宋" w:eastAsia="仿宋" w:cs="仿宋"/>
                <w:kern w:val="30"/>
                <w:sz w:val="21"/>
                <w:szCs w:val="21"/>
                <w:highlight w:val="none"/>
                <w:lang w:val="en-US" w:eastAsia="zh-CN" w:bidi="ar-SA"/>
              </w:rPr>
              <w:t>经济效益</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55D1">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kern w:val="30"/>
                <w:sz w:val="21"/>
                <w:szCs w:val="21"/>
                <w:highlight w:val="none"/>
                <w:lang w:val="en-US" w:eastAsia="zh-CN" w:bidi="ar-SA"/>
              </w:rPr>
            </w:pPr>
            <w:r>
              <w:rPr>
                <w:rFonts w:hint="eastAsia" w:ascii="仿宋" w:hAnsi="仿宋" w:eastAsia="仿宋" w:cs="仿宋"/>
                <w:kern w:val="30"/>
                <w:sz w:val="21"/>
                <w:szCs w:val="21"/>
                <w:highlight w:val="none"/>
                <w:lang w:val="en-US" w:eastAsia="zh-CN" w:bidi="ar-SA"/>
              </w:rPr>
              <w:t>国产影片票房收入占总票房收入比</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270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kern w:val="30"/>
                <w:sz w:val="21"/>
                <w:szCs w:val="21"/>
                <w:highlight w:val="none"/>
                <w:lang w:val="en-US" w:eastAsia="zh-CN" w:bidi="ar-SA"/>
              </w:rPr>
            </w:pPr>
            <w:r>
              <w:rPr>
                <w:rFonts w:hint="default" w:ascii="仿宋" w:hAnsi="仿宋" w:eastAsia="仿宋" w:cs="仿宋"/>
                <w:kern w:val="30"/>
                <w:sz w:val="21"/>
                <w:szCs w:val="21"/>
                <w:highlight w:val="none"/>
                <w:lang w:val="en-US" w:eastAsia="zh-CN" w:bidi="ar-SA"/>
              </w:rPr>
              <w:t>≥55%</w:t>
            </w:r>
          </w:p>
        </w:tc>
      </w:tr>
      <w:tr w14:paraId="15A54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left w:val="single" w:color="000000" w:sz="4" w:space="0"/>
              <w:bottom w:val="single" w:color="000000" w:sz="4" w:space="0"/>
              <w:right w:val="single" w:color="000000" w:sz="4" w:space="0"/>
            </w:tcBorders>
            <w:shd w:val="clear" w:color="auto" w:fill="auto"/>
            <w:vAlign w:val="center"/>
          </w:tcPr>
          <w:p w14:paraId="7688B7C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13A7E">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kern w:val="30"/>
                <w:sz w:val="21"/>
                <w:szCs w:val="21"/>
                <w:highlight w:val="none"/>
                <w:lang w:val="en-US" w:eastAsia="zh-CN" w:bidi="ar-SA"/>
              </w:rPr>
            </w:pPr>
            <w:r>
              <w:rPr>
                <w:rFonts w:hint="eastAsia" w:ascii="仿宋" w:hAnsi="仿宋" w:eastAsia="仿宋" w:cs="仿宋"/>
                <w:kern w:val="30"/>
                <w:sz w:val="21"/>
                <w:szCs w:val="21"/>
                <w:highlight w:val="none"/>
                <w:lang w:val="en-US" w:eastAsia="zh-CN" w:bidi="ar-SA"/>
              </w:rPr>
              <w:t>可持续影响指标</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3730">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kern w:val="30"/>
                <w:sz w:val="21"/>
                <w:szCs w:val="21"/>
                <w:highlight w:val="none"/>
                <w:lang w:val="en-US" w:eastAsia="zh-CN" w:bidi="ar-SA"/>
              </w:rPr>
            </w:pPr>
            <w:r>
              <w:rPr>
                <w:rFonts w:hint="eastAsia" w:ascii="仿宋" w:hAnsi="仿宋" w:eastAsia="仿宋" w:cs="仿宋"/>
                <w:kern w:val="30"/>
                <w:sz w:val="21"/>
                <w:szCs w:val="21"/>
                <w:highlight w:val="none"/>
                <w:lang w:val="en-US" w:eastAsia="zh-CN" w:bidi="ar-SA"/>
              </w:rPr>
              <w:t>营造良好观影风气</w:t>
            </w:r>
            <w:r>
              <w:rPr>
                <w:rFonts w:hint="eastAsia" w:hAnsi="仿宋" w:cs="仿宋"/>
                <w:kern w:val="30"/>
                <w:sz w:val="21"/>
                <w:szCs w:val="21"/>
                <w:highlight w:val="none"/>
                <w:lang w:val="en-US" w:eastAsia="zh-CN" w:bidi="ar-SA"/>
              </w:rPr>
              <w:t>，</w:t>
            </w:r>
            <w:r>
              <w:rPr>
                <w:rFonts w:hint="eastAsia" w:ascii="仿宋" w:hAnsi="仿宋" w:eastAsia="仿宋" w:cs="仿宋"/>
                <w:kern w:val="30"/>
                <w:sz w:val="21"/>
                <w:szCs w:val="21"/>
                <w:highlight w:val="none"/>
                <w:lang w:val="en-US" w:eastAsia="zh-CN" w:bidi="ar-SA"/>
              </w:rPr>
              <w:t>促进社会和谐进步</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173A">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kern w:val="30"/>
                <w:sz w:val="21"/>
                <w:szCs w:val="21"/>
                <w:highlight w:val="none"/>
                <w:lang w:val="en-US" w:eastAsia="zh-CN" w:bidi="ar-SA"/>
              </w:rPr>
            </w:pPr>
            <w:r>
              <w:rPr>
                <w:rFonts w:hint="eastAsia" w:ascii="仿宋" w:hAnsi="仿宋" w:eastAsia="仿宋" w:cs="仿宋"/>
                <w:kern w:val="30"/>
                <w:sz w:val="21"/>
                <w:szCs w:val="21"/>
                <w:highlight w:val="none"/>
                <w:lang w:val="en-US" w:eastAsia="zh-CN" w:bidi="ar-SA"/>
              </w:rPr>
              <w:t>长期</w:t>
            </w:r>
          </w:p>
        </w:tc>
      </w:tr>
      <w:tr w14:paraId="29DC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2F64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kern w:val="30"/>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90CEE">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kern w:val="30"/>
                <w:sz w:val="21"/>
                <w:szCs w:val="21"/>
                <w:highlight w:val="none"/>
                <w:lang w:val="en-US" w:eastAsia="zh-CN" w:bidi="ar-SA"/>
              </w:rPr>
            </w:pPr>
            <w:r>
              <w:rPr>
                <w:rFonts w:hint="eastAsia" w:ascii="仿宋" w:hAnsi="仿宋" w:eastAsia="仿宋" w:cs="仿宋"/>
                <w:kern w:val="30"/>
                <w:sz w:val="21"/>
                <w:szCs w:val="21"/>
                <w:highlight w:val="none"/>
                <w:lang w:val="en-US" w:eastAsia="zh-CN" w:bidi="ar-SA"/>
              </w:rPr>
              <w:t>服务对象满意度指标</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73FE">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kern w:val="30"/>
                <w:sz w:val="21"/>
                <w:szCs w:val="21"/>
                <w:highlight w:val="none"/>
                <w:lang w:val="en-US" w:eastAsia="zh-CN" w:bidi="ar-SA"/>
              </w:rPr>
            </w:pPr>
            <w:r>
              <w:rPr>
                <w:rFonts w:hint="eastAsia" w:ascii="仿宋" w:hAnsi="仿宋" w:eastAsia="仿宋" w:cs="仿宋"/>
                <w:kern w:val="30"/>
                <w:sz w:val="21"/>
                <w:szCs w:val="21"/>
                <w:highlight w:val="none"/>
                <w:lang w:val="en-US" w:eastAsia="zh-CN" w:bidi="ar-SA"/>
              </w:rPr>
              <w:t>观众对国产影片的满意度</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A09A">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kern w:val="30"/>
                <w:sz w:val="21"/>
                <w:szCs w:val="21"/>
                <w:highlight w:val="none"/>
                <w:lang w:val="en-US" w:eastAsia="zh-CN" w:bidi="ar-SA"/>
              </w:rPr>
            </w:pPr>
            <w:r>
              <w:rPr>
                <w:rFonts w:hint="default" w:ascii="仿宋" w:hAnsi="仿宋" w:eastAsia="仿宋" w:cs="仿宋"/>
                <w:kern w:val="30"/>
                <w:sz w:val="21"/>
                <w:szCs w:val="21"/>
                <w:highlight w:val="none"/>
                <w:lang w:val="en-US" w:eastAsia="zh-CN" w:bidi="ar-SA"/>
              </w:rPr>
              <w:t>≥80%</w:t>
            </w:r>
          </w:p>
        </w:tc>
      </w:tr>
    </w:tbl>
    <w:p w14:paraId="584FBAEA">
      <w:pPr>
        <w:ind w:firstLine="630"/>
        <w:rPr>
          <w:rFonts w:hint="eastAsia" w:hAnsi="仿宋"/>
          <w:szCs w:val="30"/>
          <w:highlight w:val="none"/>
          <w:lang w:val="en-US" w:eastAsia="zh-CN"/>
        </w:rPr>
      </w:pPr>
      <w:r>
        <w:rPr>
          <w:rFonts w:hint="eastAsia" w:hAnsi="仿宋"/>
          <w:szCs w:val="30"/>
          <w:highlight w:val="none"/>
          <w:lang w:val="en-US" w:eastAsia="zh-CN"/>
        </w:rPr>
        <w:t>2.绩效评价调整后的绩效目标和绩效指标情况</w:t>
      </w:r>
      <w:bookmarkEnd w:id="8"/>
    </w:p>
    <w:p w14:paraId="2D867FC9">
      <w:pPr>
        <w:ind w:firstLine="630"/>
        <w:rPr>
          <w:rFonts w:hint="eastAsia" w:hAnsi="仿宋" w:cs="Times New Roman"/>
          <w:szCs w:val="30"/>
          <w:highlight w:val="none"/>
          <w:lang w:val="en-US" w:eastAsia="zh-CN"/>
        </w:rPr>
      </w:pPr>
      <w:r>
        <w:rPr>
          <w:rFonts w:hint="eastAsia" w:hAnsi="仿宋"/>
          <w:szCs w:val="30"/>
          <w:highlight w:val="none"/>
          <w:lang w:val="en-US" w:eastAsia="zh-CN"/>
        </w:rPr>
        <w:t>结合根</w:t>
      </w:r>
      <w:r>
        <w:rPr>
          <w:rFonts w:hint="eastAsia" w:hAnsi="仿宋" w:cs="Times New Roman"/>
          <w:szCs w:val="30"/>
          <w:highlight w:val="none"/>
          <w:lang w:val="en-US" w:eastAsia="zh-CN"/>
        </w:rPr>
        <w:t>据《中央对地方专项转移支付绩效目标管理暂行办法》(财预</w:t>
      </w:r>
      <w:r>
        <w:rPr>
          <w:rFonts w:hint="eastAsia" w:hAnsi="仿宋"/>
          <w:szCs w:val="30"/>
          <w:highlight w:val="none"/>
          <w:lang w:eastAsia="zh-CN"/>
        </w:rPr>
        <w:t>〔201</w:t>
      </w:r>
      <w:r>
        <w:rPr>
          <w:rFonts w:hint="eastAsia" w:hAnsi="仿宋"/>
          <w:szCs w:val="30"/>
          <w:highlight w:val="none"/>
          <w:lang w:val="en-US" w:eastAsia="zh-CN"/>
        </w:rPr>
        <w:t>5</w:t>
      </w:r>
      <w:r>
        <w:rPr>
          <w:rFonts w:hint="eastAsia" w:hAnsi="仿宋"/>
          <w:szCs w:val="30"/>
          <w:highlight w:val="none"/>
          <w:lang w:eastAsia="zh-CN"/>
        </w:rPr>
        <w:t>〕</w:t>
      </w:r>
      <w:r>
        <w:rPr>
          <w:rFonts w:hint="eastAsia" w:hAnsi="仿宋" w:cs="Times New Roman"/>
          <w:szCs w:val="30"/>
          <w:highlight w:val="none"/>
          <w:lang w:val="en-US" w:eastAsia="zh-CN"/>
        </w:rPr>
        <w:t>163号)有关要求及合同等相关文件，繁荣发展电影市场，鼓励影院放映国产影片。鼓励影院使用新技术、新工艺，对安装先进技术设备的影院资助。具体调整情况如下：</w:t>
      </w:r>
    </w:p>
    <w:p w14:paraId="3961153E">
      <w:pPr>
        <w:ind w:firstLine="630"/>
        <w:rPr>
          <w:rFonts w:hint="eastAsia" w:hAnsi="仿宋" w:cs="Times New Roman"/>
          <w:szCs w:val="30"/>
          <w:highlight w:val="none"/>
          <w:lang w:val="en-US" w:eastAsia="zh-CN"/>
        </w:rPr>
      </w:pPr>
      <w:r>
        <w:rPr>
          <w:rFonts w:hint="eastAsia" w:hAnsi="仿宋" w:cs="Times New Roman"/>
          <w:szCs w:val="30"/>
          <w:highlight w:val="none"/>
          <w:lang w:val="en-US" w:eastAsia="zh-CN"/>
        </w:rPr>
        <w:t>增加了时效指标，通过项目实际提前完成时间与计划完成时间的比率，用以反映和考核项目产出时效目标的实现程度。增加了社会效益指标。用于反映中央补助资金通过支持基层影院建设升级、扩大优秀影片（含国产片、特色/艺术影片）放映规模，在提升群众文化获得感、传播优秀文化、推动电影产业提质增效方面的综合成效。</w:t>
      </w:r>
    </w:p>
    <w:p w14:paraId="48DD4F61">
      <w:pPr>
        <w:spacing w:line="579" w:lineRule="exact"/>
        <w:ind w:firstLine="630" w:firstLineChars="200"/>
        <w:outlineLvl w:val="1"/>
        <w:rPr>
          <w:rFonts w:hint="eastAsia" w:ascii="楷体" w:hAnsi="楷体" w:eastAsia="楷体"/>
          <w:szCs w:val="30"/>
          <w:highlight w:val="none"/>
        </w:rPr>
      </w:pPr>
      <w:bookmarkStart w:id="9" w:name="_Toc19159"/>
      <w:bookmarkStart w:id="10" w:name="_Toc26685"/>
      <w:r>
        <w:rPr>
          <w:rFonts w:hint="eastAsia" w:ascii="楷体" w:hAnsi="楷体" w:eastAsia="楷体"/>
          <w:color w:val="auto"/>
          <w:szCs w:val="30"/>
          <w:highlight w:val="none"/>
          <w:u w:val="none"/>
        </w:rPr>
        <w:t>（五）</w:t>
      </w:r>
      <w:r>
        <w:rPr>
          <w:rFonts w:hint="eastAsia" w:ascii="楷体" w:hAnsi="楷体" w:eastAsia="楷体"/>
          <w:szCs w:val="30"/>
          <w:highlight w:val="none"/>
        </w:rPr>
        <w:t>组织管理情况</w:t>
      </w:r>
      <w:bookmarkEnd w:id="9"/>
      <w:bookmarkEnd w:id="10"/>
    </w:p>
    <w:p w14:paraId="3F33BD10">
      <w:pPr>
        <w:ind w:firstLine="630"/>
        <w:rPr>
          <w:rFonts w:hint="eastAsia" w:hAnsi="仿宋"/>
          <w:szCs w:val="30"/>
          <w:highlight w:val="none"/>
          <w:lang w:val="en-US" w:eastAsia="zh-CN"/>
        </w:rPr>
      </w:pPr>
      <w:r>
        <w:rPr>
          <w:rFonts w:hint="eastAsia" w:hAnsi="仿宋"/>
          <w:szCs w:val="30"/>
          <w:highlight w:val="none"/>
          <w:lang w:val="en-US" w:eastAsia="zh-CN"/>
        </w:rPr>
        <w:t>1.项目管理情况</w:t>
      </w:r>
    </w:p>
    <w:p w14:paraId="5F165B33">
      <w:pPr>
        <w:ind w:firstLine="630"/>
        <w:rPr>
          <w:rFonts w:hint="default" w:hAnsi="仿宋"/>
          <w:szCs w:val="30"/>
          <w:highlight w:val="none"/>
          <w:lang w:val="en-US" w:eastAsia="zh-CN"/>
        </w:rPr>
      </w:pPr>
      <w:r>
        <w:rPr>
          <w:rFonts w:hint="eastAsia" w:hAnsi="仿宋"/>
          <w:szCs w:val="30"/>
          <w:highlight w:val="none"/>
          <w:lang w:val="en-US" w:eastAsia="zh-CN"/>
        </w:rPr>
        <w:t>项目单位已构建起以《中共西山区委宣传部内部控制基本制度》为统领，涵盖《预算管理办法》《收支管理办法》等专项制度的“1+N”内控体系，所有制度均对标《行政事业单位内部控制规范（试行）》及国家、云南省、昆明市最新财经纪律要求，逐项细化预算编制、资金支付、票据管理、审批权限、风险预警、绩效评价等关键节点，形成“岗位分权、流程控权、监督限权”的闭环链条，并通过年度合规性审查、季度专项检查、问题即查即改机制实现动态更新与刚性执行，确保财务和业务管理全过程合法、合规、完整、可溯源</w:t>
      </w:r>
      <w:r>
        <w:rPr>
          <w:rFonts w:hint="default" w:hAnsi="仿宋"/>
          <w:szCs w:val="30"/>
          <w:highlight w:val="none"/>
          <w:lang w:val="en-US" w:eastAsia="zh-CN"/>
        </w:rPr>
        <w:t>。</w:t>
      </w:r>
    </w:p>
    <w:p w14:paraId="1BD62854">
      <w:pPr>
        <w:ind w:firstLine="630"/>
        <w:rPr>
          <w:rFonts w:hint="default" w:hAnsi="仿宋"/>
          <w:szCs w:val="30"/>
          <w:highlight w:val="none"/>
          <w:lang w:val="en-US" w:eastAsia="zh-CN"/>
        </w:rPr>
      </w:pPr>
      <w:r>
        <w:rPr>
          <w:rFonts w:hint="eastAsia" w:hAnsi="仿宋"/>
          <w:szCs w:val="30"/>
          <w:highlight w:val="none"/>
          <w:lang w:val="en-US" w:eastAsia="zh-CN"/>
        </w:rPr>
        <w:t>2019年10月29日，由昆明万达电影城有限公司组织，江苏七彩虹建筑装饰工程有限公司、中国建筑技术集团有限公司三方组成验收组，依据设计图纸、合同约定的技术规范及国家现行《建筑装饰装修工程质量验收标准》《建筑工程施工质量验收统一标准》等规定，对IMAX影厅墙面软包、IMAX影厅吊顶音响钢架、IMAX影厅墙面乳胶漆弹涂、IMAX影厅后排钢护栏、IMAX影厅回风管改造等工程进行验收工作。综合验收结论：工程质量控制资料完整、实体质量合格、使用功能满足设计及规范要求，一次性验收合格。</w:t>
      </w:r>
    </w:p>
    <w:p w14:paraId="2B512904">
      <w:pPr>
        <w:ind w:firstLine="630"/>
        <w:rPr>
          <w:rFonts w:hint="default" w:hAnsi="仿宋"/>
          <w:szCs w:val="30"/>
          <w:highlight w:val="none"/>
          <w:lang w:val="en-US" w:eastAsia="zh-CN"/>
        </w:rPr>
      </w:pPr>
      <w:r>
        <w:rPr>
          <w:rFonts w:hint="eastAsia" w:hAnsi="仿宋"/>
          <w:szCs w:val="30"/>
          <w:highlight w:val="none"/>
          <w:lang w:val="en-US" w:eastAsia="zh-CN"/>
        </w:rPr>
        <w:t>2.资金管理情况</w:t>
      </w:r>
    </w:p>
    <w:p w14:paraId="33F946A6">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为了建立科学合理的资金管理程序，确保项目专项资金的安全、有效使用，根据《国有建设单位会计制度》和《基本建设财务管理规定》等法律法规，结合西山区实际，单独制定了</w:t>
      </w:r>
      <w:r>
        <w:rPr>
          <w:rFonts w:hint="default" w:hAnsi="仿宋"/>
          <w:szCs w:val="30"/>
          <w:highlight w:val="none"/>
          <w:lang w:val="en-US" w:eastAsia="zh-CN"/>
        </w:rPr>
        <w:t>《中共西山区委宣传部内部控制基本制度》《中共西山区委宣传部内部控制制度-预算管理办法》《中共西山区委宣传部内部控制制度-收支管理办法》</w:t>
      </w:r>
      <w:r>
        <w:rPr>
          <w:rFonts w:hint="eastAsia" w:hAnsi="仿宋"/>
          <w:szCs w:val="30"/>
          <w:highlight w:val="none"/>
          <w:lang w:val="en-US" w:eastAsia="zh-CN"/>
        </w:rPr>
        <w:t>。按管理办法及《会计法》的有关规定，依法设置了会计账簿、会计凭证，确保账表相符、账账相符，保证账证的真实性、合法性、完整性。</w:t>
      </w:r>
    </w:p>
    <w:p w14:paraId="55034446">
      <w:pPr>
        <w:spacing w:line="579" w:lineRule="exact"/>
        <w:ind w:firstLine="630" w:firstLineChars="200"/>
        <w:outlineLvl w:val="0"/>
        <w:rPr>
          <w:rFonts w:ascii="黑体" w:hAnsi="宋体" w:eastAsia="黑体" w:cs="宋体"/>
          <w:szCs w:val="30"/>
        </w:rPr>
      </w:pPr>
      <w:bookmarkStart w:id="11" w:name="_Toc30380"/>
      <w:r>
        <w:rPr>
          <w:rFonts w:hint="eastAsia" w:ascii="黑体" w:hAnsi="宋体" w:eastAsia="黑体" w:cs="宋体"/>
          <w:szCs w:val="30"/>
          <w:lang w:val="en-US" w:eastAsia="zh-CN"/>
        </w:rPr>
        <w:t>二</w:t>
      </w:r>
      <w:r>
        <w:rPr>
          <w:rFonts w:hint="eastAsia" w:ascii="黑体" w:hAnsi="宋体" w:eastAsia="黑体" w:cs="宋体"/>
          <w:szCs w:val="30"/>
        </w:rPr>
        <w:t>、绩效评价工作开展情况</w:t>
      </w:r>
      <w:bookmarkEnd w:id="11"/>
    </w:p>
    <w:p w14:paraId="608E61B1">
      <w:pPr>
        <w:spacing w:line="579" w:lineRule="exact"/>
        <w:ind w:firstLine="630" w:firstLineChars="200"/>
        <w:outlineLvl w:val="1"/>
        <w:rPr>
          <w:rFonts w:hint="default" w:ascii="楷体" w:hAnsi="楷体" w:eastAsia="楷体"/>
          <w:szCs w:val="30"/>
          <w:highlight w:val="none"/>
          <w:lang w:val="en-US" w:eastAsia="zh-CN"/>
        </w:rPr>
      </w:pPr>
      <w:bookmarkStart w:id="12" w:name="_Toc10780"/>
      <w:r>
        <w:rPr>
          <w:rFonts w:hint="eastAsia" w:ascii="楷体" w:hAnsi="楷体" w:eastAsia="楷体"/>
          <w:szCs w:val="30"/>
          <w:highlight w:val="none"/>
        </w:rPr>
        <w:t>（一）绩效评价</w:t>
      </w:r>
      <w:r>
        <w:rPr>
          <w:rFonts w:hint="eastAsia" w:ascii="楷体" w:hAnsi="楷体" w:eastAsia="楷体"/>
          <w:szCs w:val="30"/>
          <w:highlight w:val="none"/>
          <w:lang w:val="en-US" w:eastAsia="zh-CN"/>
        </w:rPr>
        <w:t>目的、对象和范围</w:t>
      </w:r>
      <w:bookmarkEnd w:id="12"/>
    </w:p>
    <w:p w14:paraId="30BA1D8F">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1.绩效评价的目的</w:t>
      </w:r>
    </w:p>
    <w:p w14:paraId="49A61E73">
      <w:pPr>
        <w:spacing w:line="579" w:lineRule="exact"/>
        <w:ind w:firstLine="630" w:firstLineChars="200"/>
        <w:rPr>
          <w:rFonts w:hint="default" w:hAnsi="仿宋"/>
          <w:szCs w:val="30"/>
          <w:lang w:val="en-US" w:eastAsia="zh-CN"/>
        </w:rPr>
      </w:pPr>
      <w:r>
        <w:rPr>
          <w:rFonts w:hint="default" w:hAnsi="仿宋"/>
          <w:szCs w:val="30"/>
          <w:lang w:val="en-US" w:eastAsia="zh-CN"/>
        </w:rPr>
        <w:t>本次绩效评价围绕项目</w:t>
      </w:r>
      <w:r>
        <w:rPr>
          <w:rFonts w:hint="eastAsia" w:hAnsi="仿宋"/>
          <w:szCs w:val="30"/>
          <w:lang w:val="en-US" w:eastAsia="zh-CN"/>
        </w:rPr>
        <w:t>资金投入</w:t>
      </w:r>
      <w:r>
        <w:rPr>
          <w:rFonts w:hint="default" w:hAnsi="仿宋"/>
          <w:szCs w:val="30"/>
          <w:lang w:val="en-US" w:eastAsia="zh-CN"/>
        </w:rPr>
        <w:t>合理性、管理过程是否规范、产出目标是否完成以及效益目标是否实现等方面的内容</w:t>
      </w:r>
      <w:r>
        <w:rPr>
          <w:rFonts w:hint="eastAsia" w:hAnsi="仿宋"/>
          <w:szCs w:val="30"/>
          <w:lang w:val="en-US" w:eastAsia="zh-CN"/>
        </w:rPr>
        <w:t>，</w:t>
      </w:r>
      <w:r>
        <w:rPr>
          <w:rFonts w:hint="default" w:hAnsi="仿宋"/>
          <w:szCs w:val="30"/>
          <w:lang w:val="en-US" w:eastAsia="zh-CN"/>
        </w:rPr>
        <w:t>重点关注项目</w:t>
      </w:r>
      <w:r>
        <w:rPr>
          <w:rFonts w:hint="eastAsia" w:hAnsi="仿宋"/>
          <w:szCs w:val="30"/>
          <w:lang w:val="en-US" w:eastAsia="zh-CN"/>
        </w:rPr>
        <w:t>是否按时按质完工、是否产生预期效益、</w:t>
      </w:r>
      <w:r>
        <w:rPr>
          <w:rFonts w:hint="eastAsia" w:hAnsi="仿宋"/>
          <w:szCs w:val="30"/>
          <w:highlight w:val="none"/>
          <w:lang w:val="en-US" w:eastAsia="zh-CN"/>
        </w:rPr>
        <w:t>资金使用是否规范等</w:t>
      </w:r>
      <w:r>
        <w:rPr>
          <w:rFonts w:hint="default" w:hAnsi="仿宋"/>
          <w:szCs w:val="30"/>
          <w:highlight w:val="none"/>
          <w:lang w:val="en-US" w:eastAsia="zh-CN"/>
        </w:rPr>
        <w:t>。为进一步规范财政资金运行和预算绩效管理</w:t>
      </w:r>
      <w:r>
        <w:rPr>
          <w:rFonts w:hint="eastAsia" w:hAnsi="仿宋"/>
          <w:szCs w:val="30"/>
          <w:highlight w:val="none"/>
          <w:lang w:val="en-US" w:eastAsia="zh-CN"/>
        </w:rPr>
        <w:t>，</w:t>
      </w:r>
      <w:r>
        <w:rPr>
          <w:rFonts w:hint="default" w:hAnsi="仿宋"/>
          <w:szCs w:val="30"/>
          <w:highlight w:val="none"/>
          <w:lang w:val="en-US" w:eastAsia="zh-CN"/>
        </w:rPr>
        <w:t>推动部门有效履职</w:t>
      </w:r>
      <w:r>
        <w:rPr>
          <w:rFonts w:hint="eastAsia" w:hAnsi="仿宋"/>
          <w:szCs w:val="30"/>
          <w:highlight w:val="none"/>
          <w:lang w:val="en-US" w:eastAsia="zh-CN"/>
        </w:rPr>
        <w:t>，</w:t>
      </w:r>
      <w:r>
        <w:rPr>
          <w:rFonts w:hint="default" w:hAnsi="仿宋"/>
          <w:szCs w:val="30"/>
          <w:highlight w:val="none"/>
          <w:lang w:val="en-US" w:eastAsia="zh-CN"/>
        </w:rPr>
        <w:t>优化资源配置和财政支出结构</w:t>
      </w:r>
      <w:r>
        <w:rPr>
          <w:rFonts w:hint="eastAsia" w:hAnsi="仿宋"/>
          <w:szCs w:val="30"/>
          <w:highlight w:val="none"/>
          <w:lang w:val="en-US" w:eastAsia="zh-CN"/>
        </w:rPr>
        <w:t>，</w:t>
      </w:r>
      <w:r>
        <w:rPr>
          <w:rFonts w:hint="default" w:hAnsi="仿宋"/>
          <w:szCs w:val="30"/>
          <w:highlight w:val="none"/>
          <w:lang w:val="en-US" w:eastAsia="zh-CN"/>
        </w:rPr>
        <w:t>强化支出责任</w:t>
      </w:r>
      <w:r>
        <w:rPr>
          <w:rFonts w:hint="eastAsia" w:hAnsi="仿宋"/>
          <w:szCs w:val="30"/>
          <w:highlight w:val="none"/>
          <w:lang w:val="en-US" w:eastAsia="zh-CN"/>
        </w:rPr>
        <w:t>，</w:t>
      </w:r>
      <w:r>
        <w:rPr>
          <w:rFonts w:hint="default" w:hAnsi="仿宋"/>
          <w:szCs w:val="30"/>
          <w:highlight w:val="none"/>
          <w:lang w:val="en-US" w:eastAsia="zh-CN"/>
        </w:rPr>
        <w:t>提高财</w:t>
      </w:r>
      <w:r>
        <w:rPr>
          <w:rFonts w:hint="default" w:hAnsi="仿宋"/>
          <w:szCs w:val="30"/>
          <w:lang w:val="en-US" w:eastAsia="zh-CN"/>
        </w:rPr>
        <w:t>政资金使用效益提供支撑。</w:t>
      </w:r>
    </w:p>
    <w:p w14:paraId="0ADA8344">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2.绩效评价对象和范围</w:t>
      </w:r>
    </w:p>
    <w:p w14:paraId="4D4EF441">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（1）评价对象</w:t>
      </w:r>
    </w:p>
    <w:p w14:paraId="5CCC47FF">
      <w:pPr>
        <w:spacing w:line="579" w:lineRule="exact"/>
        <w:ind w:firstLine="630" w:firstLineChars="200"/>
        <w:rPr>
          <w:rFonts w:hint="default" w:hAnsi="仿宋" w:cs="Times New Roman"/>
          <w:szCs w:val="30"/>
          <w:lang w:val="en-US" w:eastAsia="zh-CN"/>
        </w:rPr>
      </w:pPr>
      <w:r>
        <w:rPr>
          <w:rFonts w:hint="eastAsia" w:hAnsi="仿宋" w:cs="Times New Roman"/>
          <w:szCs w:val="30"/>
          <w:lang w:val="en-US" w:eastAsia="zh-CN"/>
        </w:rPr>
        <w:t>根据项目立项、项目管理、资金管理、绩效目标实现情况，对中共昆明市西山区委宣传部实施管理情况进行评价。</w:t>
      </w:r>
    </w:p>
    <w:p w14:paraId="3F1CC7FE">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（2）评价范围</w:t>
      </w:r>
    </w:p>
    <w:p w14:paraId="34CA3FC7">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2024年度。</w:t>
      </w:r>
    </w:p>
    <w:p w14:paraId="5F5BFEED">
      <w:pPr>
        <w:spacing w:line="579" w:lineRule="exact"/>
        <w:ind w:firstLine="630" w:firstLineChars="200"/>
        <w:outlineLvl w:val="1"/>
        <w:rPr>
          <w:rFonts w:hint="eastAsia" w:hAnsi="仿宋" w:eastAsia="仿宋"/>
          <w:szCs w:val="30"/>
          <w:lang w:eastAsia="zh-CN"/>
        </w:rPr>
      </w:pPr>
      <w:bookmarkStart w:id="13" w:name="_Toc26825"/>
      <w:r>
        <w:rPr>
          <w:rFonts w:hint="eastAsia" w:ascii="楷体" w:hAnsi="楷体" w:eastAsia="楷体"/>
          <w:szCs w:val="30"/>
          <w:lang w:eastAsia="zh-CN"/>
        </w:rPr>
        <w:t>（</w:t>
      </w:r>
      <w:r>
        <w:rPr>
          <w:rFonts w:hint="eastAsia" w:ascii="楷体" w:hAnsi="楷体" w:eastAsia="楷体"/>
          <w:szCs w:val="30"/>
          <w:lang w:val="en-US" w:eastAsia="zh-CN"/>
        </w:rPr>
        <w:t>二</w:t>
      </w:r>
      <w:r>
        <w:rPr>
          <w:rFonts w:hint="eastAsia" w:ascii="楷体" w:hAnsi="楷体" w:eastAsia="楷体"/>
          <w:szCs w:val="30"/>
          <w:lang w:eastAsia="zh-CN"/>
        </w:rPr>
        <w:t>）</w:t>
      </w:r>
      <w:r>
        <w:rPr>
          <w:rFonts w:hint="eastAsia" w:ascii="楷体" w:hAnsi="楷体" w:eastAsia="楷体"/>
          <w:szCs w:val="30"/>
        </w:rPr>
        <w:t>绩效评价原则</w:t>
      </w:r>
      <w:bookmarkEnd w:id="13"/>
    </w:p>
    <w:p w14:paraId="435FA9D2">
      <w:pPr>
        <w:spacing w:line="579" w:lineRule="exact"/>
        <w:ind w:firstLine="630" w:firstLineChars="200"/>
        <w:rPr>
          <w:rFonts w:hint="eastAsia" w:hAnsi="仿宋"/>
          <w:szCs w:val="30"/>
          <w:lang w:val="en-US" w:eastAsia="zh-CN"/>
        </w:rPr>
      </w:pPr>
      <w:r>
        <w:rPr>
          <w:rFonts w:hint="eastAsia" w:hAnsi="仿宋"/>
          <w:szCs w:val="30"/>
          <w:lang w:val="en-US" w:eastAsia="zh-CN"/>
        </w:rPr>
        <w:t>1.公平性原则。公平公正是绩效评价工作的前提，坚持公平的原则才能客观真实的反映绩效评价结果。运用科学合理的方法，按照规范的程序，对项目绩效进行客观、公正的反映。</w:t>
      </w:r>
    </w:p>
    <w:p w14:paraId="6BB36ADA">
      <w:pPr>
        <w:spacing w:line="579" w:lineRule="exact"/>
        <w:ind w:firstLine="630" w:firstLineChars="200"/>
        <w:rPr>
          <w:rFonts w:hint="eastAsia" w:hAnsi="仿宋"/>
          <w:szCs w:val="30"/>
          <w:lang w:val="en-US" w:eastAsia="zh-CN"/>
        </w:rPr>
      </w:pPr>
      <w:r>
        <w:rPr>
          <w:rFonts w:hint="eastAsia" w:hAnsi="仿宋"/>
          <w:szCs w:val="30"/>
          <w:lang w:val="en-US" w:eastAsia="zh-CN"/>
        </w:rPr>
        <w:t>2.客观性原则。绩效评价应当把考核标准与绩效目标联系起来，过程中应标准明确、方法科学、制度严格、态度认真，确保评价依据数据的客观准确，不同抽样点评价标准一致。</w:t>
      </w:r>
    </w:p>
    <w:p w14:paraId="3F8E582A">
      <w:pPr>
        <w:spacing w:line="579" w:lineRule="exact"/>
        <w:ind w:firstLine="630" w:firstLineChars="200"/>
        <w:rPr>
          <w:rFonts w:hint="eastAsia" w:hAnsi="仿宋"/>
          <w:szCs w:val="30"/>
          <w:lang w:val="en-US" w:eastAsia="zh-CN"/>
        </w:rPr>
      </w:pPr>
      <w:r>
        <w:rPr>
          <w:rFonts w:hint="eastAsia" w:hAnsi="仿宋"/>
          <w:szCs w:val="30"/>
          <w:lang w:val="en-US" w:eastAsia="zh-CN"/>
        </w:rPr>
        <w:t>3.可行性原则。绩效评价标准应客观反映被评价单位的部门履职情况，评价的数据来源应具备客观性，评价标准应得到被评价单位的认可。</w:t>
      </w:r>
    </w:p>
    <w:p w14:paraId="479AAF96">
      <w:pPr>
        <w:spacing w:line="579" w:lineRule="exact"/>
        <w:ind w:firstLine="630" w:firstLineChars="200"/>
        <w:rPr>
          <w:rFonts w:hint="eastAsia" w:hAnsi="仿宋"/>
          <w:szCs w:val="30"/>
        </w:rPr>
      </w:pPr>
      <w:r>
        <w:rPr>
          <w:rFonts w:hint="eastAsia" w:hAnsi="仿宋"/>
          <w:szCs w:val="30"/>
          <w:lang w:val="en-US" w:eastAsia="zh-CN"/>
        </w:rPr>
        <w:t>4.公开性原则。绩效评价过程中评价内容、评价标准、评价结果应对被评价单位公开，避免评价结论出现误判</w:t>
      </w:r>
      <w:r>
        <w:rPr>
          <w:rFonts w:hint="eastAsia" w:hAnsi="仿宋"/>
          <w:szCs w:val="30"/>
        </w:rPr>
        <w:t>。</w:t>
      </w:r>
    </w:p>
    <w:p w14:paraId="6D377AF7">
      <w:pPr>
        <w:spacing w:line="579" w:lineRule="exact"/>
        <w:ind w:firstLine="632"/>
        <w:outlineLvl w:val="1"/>
        <w:rPr>
          <w:rFonts w:hint="eastAsia" w:ascii="楷体" w:hAnsi="楷体" w:eastAsia="楷体"/>
          <w:szCs w:val="30"/>
        </w:rPr>
      </w:pPr>
      <w:bookmarkStart w:id="14" w:name="_Toc569"/>
      <w:r>
        <w:rPr>
          <w:rFonts w:hint="eastAsia" w:ascii="楷体" w:hAnsi="楷体" w:eastAsia="楷体"/>
          <w:szCs w:val="30"/>
        </w:rPr>
        <w:t>（三）绩效评价依据</w:t>
      </w:r>
      <w:bookmarkEnd w:id="14"/>
    </w:p>
    <w:p w14:paraId="00EF7F49">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1.财政部《项目支出绩效评价管理办法》（财预〔2020〕10号）；</w:t>
      </w:r>
    </w:p>
    <w:p w14:paraId="12B62AF6">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2.《云南省项目支出绩效评价管理办法》（云财绩〔2020〕11号）；</w:t>
      </w:r>
    </w:p>
    <w:p w14:paraId="6F6E8367">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3.《中共昆明市委、昆明市人民政府关于全面实施预算绩效管理的实施意见》（昆发〔2019〕12号）；</w:t>
      </w:r>
    </w:p>
    <w:p w14:paraId="298CFA62">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4.《中央对地方专项转移支付绩效目标管理暂行办法》(财预</w:t>
      </w:r>
      <w:r>
        <w:rPr>
          <w:rFonts w:hint="eastAsia" w:hAnsi="仿宋"/>
          <w:szCs w:val="30"/>
          <w:highlight w:val="none"/>
          <w:lang w:eastAsia="zh-CN"/>
        </w:rPr>
        <w:t>〔201</w:t>
      </w:r>
      <w:r>
        <w:rPr>
          <w:rFonts w:hint="eastAsia" w:hAnsi="仿宋"/>
          <w:szCs w:val="30"/>
          <w:highlight w:val="none"/>
          <w:lang w:val="en-US" w:eastAsia="zh-CN"/>
        </w:rPr>
        <w:t>5</w:t>
      </w:r>
      <w:r>
        <w:rPr>
          <w:rFonts w:hint="eastAsia" w:hAnsi="仿宋"/>
          <w:szCs w:val="30"/>
          <w:highlight w:val="none"/>
          <w:lang w:eastAsia="zh-CN"/>
        </w:rPr>
        <w:t>〕</w:t>
      </w:r>
      <w:r>
        <w:rPr>
          <w:rFonts w:hint="eastAsia" w:hAnsi="仿宋" w:cs="Times New Roman"/>
          <w:szCs w:val="30"/>
          <w:lang w:val="en-US" w:eastAsia="zh-CN"/>
        </w:rPr>
        <w:t>163号)；</w:t>
      </w:r>
    </w:p>
    <w:p w14:paraId="5FDD197E">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5.《中共昆明市西山区委昆明市西山区人民政府关于全面实施预算绩效管理的实施意见》(西发〔2020〕3号)；</w:t>
      </w:r>
    </w:p>
    <w:p w14:paraId="74CBF17B">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6.《昆明市财政局关于对预算绩效管理工作考核体系修订的通知》(昆财绩〔2018〕78号)；</w:t>
      </w:r>
    </w:p>
    <w:p w14:paraId="150F5264">
      <w:pPr>
        <w:spacing w:line="579" w:lineRule="exact"/>
        <w:ind w:firstLine="630" w:firstLineChars="200"/>
        <w:rPr>
          <w:rFonts w:hint="default" w:hAnsi="仿宋" w:cs="Times New Roman"/>
          <w:szCs w:val="30"/>
          <w:lang w:val="en-US" w:eastAsia="zh-CN"/>
        </w:rPr>
      </w:pPr>
      <w:r>
        <w:rPr>
          <w:rFonts w:hint="eastAsia" w:hAnsi="仿宋" w:cs="Times New Roman"/>
          <w:szCs w:val="30"/>
          <w:lang w:val="en-US" w:eastAsia="zh-CN"/>
        </w:rPr>
        <w:t>7.</w:t>
      </w:r>
      <w:r>
        <w:rPr>
          <w:rFonts w:hint="default" w:hAnsi="仿宋" w:cs="Times New Roman"/>
          <w:szCs w:val="30"/>
          <w:lang w:val="en-US" w:eastAsia="zh-CN"/>
        </w:rPr>
        <w:t>《昆明市财政局 中共昆明市委宣传部关于提前下达2024年中央补助地方国家电影事业发展专项资金预算的通知》（昆财教〔2023〕224号）</w:t>
      </w:r>
      <w:r>
        <w:rPr>
          <w:rFonts w:hint="eastAsia" w:hAnsi="仿宋" w:cs="Times New Roman"/>
          <w:szCs w:val="30"/>
          <w:lang w:val="en-US" w:eastAsia="zh-CN"/>
        </w:rPr>
        <w:t>；</w:t>
      </w:r>
    </w:p>
    <w:p w14:paraId="47910EBD">
      <w:pPr>
        <w:spacing w:line="579" w:lineRule="exact"/>
        <w:ind w:firstLine="630" w:firstLineChars="200"/>
        <w:rPr>
          <w:rFonts w:hint="default" w:hAnsi="仿宋" w:cs="Times New Roman"/>
          <w:szCs w:val="30"/>
          <w:lang w:val="en-US" w:eastAsia="zh-CN"/>
        </w:rPr>
      </w:pPr>
      <w:r>
        <w:rPr>
          <w:rFonts w:hint="eastAsia" w:hAnsi="仿宋" w:cs="Times New Roman"/>
          <w:szCs w:val="30"/>
          <w:lang w:val="en-US" w:eastAsia="zh-CN"/>
        </w:rPr>
        <w:t>8.《云南省财政厅关于提前下达 2024年中央补助地方国家电影事业发展专项资金预算的通知》(云财教</w:t>
      </w:r>
      <w:r>
        <w:rPr>
          <w:rFonts w:hint="default" w:hAnsi="仿宋"/>
          <w:szCs w:val="30"/>
          <w:highlight w:val="none"/>
          <w:lang w:val="en-US" w:eastAsia="zh-CN"/>
        </w:rPr>
        <w:t>〔2023〕</w:t>
      </w:r>
      <w:r>
        <w:rPr>
          <w:rFonts w:hint="eastAsia" w:hAnsi="仿宋" w:cs="Times New Roman"/>
          <w:szCs w:val="30"/>
          <w:lang w:val="en-US" w:eastAsia="zh-CN"/>
        </w:rPr>
        <w:t>298号)。</w:t>
      </w:r>
    </w:p>
    <w:p w14:paraId="020E1A66">
      <w:pPr>
        <w:spacing w:line="579" w:lineRule="exact"/>
        <w:ind w:firstLine="632"/>
        <w:outlineLvl w:val="1"/>
        <w:rPr>
          <w:rFonts w:hint="eastAsia" w:ascii="楷体" w:hAnsi="楷体" w:eastAsia="楷体"/>
          <w:szCs w:val="30"/>
        </w:rPr>
      </w:pPr>
      <w:bookmarkStart w:id="15" w:name="_Toc21553"/>
      <w:r>
        <w:rPr>
          <w:rFonts w:hint="eastAsia" w:ascii="楷体" w:hAnsi="楷体" w:eastAsia="楷体"/>
          <w:szCs w:val="30"/>
        </w:rPr>
        <w:t>（</w:t>
      </w:r>
      <w:r>
        <w:rPr>
          <w:rFonts w:hint="eastAsia" w:ascii="楷体" w:hAnsi="楷体" w:eastAsia="楷体"/>
          <w:szCs w:val="30"/>
          <w:lang w:val="en-US" w:eastAsia="zh-CN"/>
        </w:rPr>
        <w:t>四</w:t>
      </w:r>
      <w:r>
        <w:rPr>
          <w:rFonts w:hint="eastAsia" w:ascii="楷体" w:hAnsi="楷体" w:eastAsia="楷体"/>
          <w:szCs w:val="30"/>
        </w:rPr>
        <w:t>）</w:t>
      </w:r>
      <w:r>
        <w:rPr>
          <w:rFonts w:hint="eastAsia" w:ascii="楷体" w:hAnsi="楷体" w:eastAsia="楷体"/>
          <w:szCs w:val="30"/>
          <w:lang w:val="en-US" w:eastAsia="zh-CN"/>
        </w:rPr>
        <w:t>绩效</w:t>
      </w:r>
      <w:r>
        <w:rPr>
          <w:rFonts w:hint="eastAsia" w:ascii="楷体" w:hAnsi="楷体" w:eastAsia="楷体"/>
          <w:szCs w:val="30"/>
        </w:rPr>
        <w:t>评价方法</w:t>
      </w:r>
      <w:bookmarkEnd w:id="15"/>
    </w:p>
    <w:p w14:paraId="7A14E89E">
      <w:pPr>
        <w:spacing w:line="579" w:lineRule="exact"/>
        <w:ind w:firstLine="630" w:firstLineChars="200"/>
        <w:rPr>
          <w:rFonts w:hint="eastAsia" w:hAnsi="仿宋"/>
          <w:szCs w:val="30"/>
        </w:rPr>
      </w:pPr>
      <w:r>
        <w:rPr>
          <w:rFonts w:hint="eastAsia" w:hAnsi="仿宋"/>
          <w:szCs w:val="30"/>
        </w:rPr>
        <w:t>绩效评价主要采取的方法包括成本效益分析法、比较法、因素分析法、最低成本法、公众评判法等。结合本次绩效评价项目的具体情况</w:t>
      </w:r>
      <w:r>
        <w:rPr>
          <w:rFonts w:hint="eastAsia" w:hAnsi="仿宋"/>
          <w:szCs w:val="30"/>
          <w:lang w:eastAsia="zh-CN"/>
        </w:rPr>
        <w:t>，</w:t>
      </w:r>
      <w:r>
        <w:rPr>
          <w:rFonts w:hint="eastAsia" w:hAnsi="仿宋"/>
          <w:szCs w:val="30"/>
        </w:rPr>
        <w:t>为确保本次绩效评价工作的真实可靠</w:t>
      </w:r>
      <w:r>
        <w:rPr>
          <w:rFonts w:hint="eastAsia" w:hAnsi="仿宋"/>
          <w:szCs w:val="30"/>
          <w:lang w:eastAsia="zh-CN"/>
        </w:rPr>
        <w:t>，</w:t>
      </w:r>
      <w:r>
        <w:rPr>
          <w:rFonts w:hint="eastAsia" w:hAnsi="仿宋"/>
          <w:szCs w:val="30"/>
        </w:rPr>
        <w:t>采用定量与定性相结合、审阅自评相结合</w:t>
      </w:r>
      <w:r>
        <w:rPr>
          <w:rFonts w:hint="eastAsia" w:hAnsi="仿宋"/>
          <w:szCs w:val="30"/>
          <w:lang w:eastAsia="zh-CN"/>
        </w:rPr>
        <w:t>，</w:t>
      </w:r>
      <w:r>
        <w:rPr>
          <w:rFonts w:hint="eastAsia" w:hAnsi="仿宋"/>
          <w:szCs w:val="30"/>
        </w:rPr>
        <w:t>对收集的相关基础资料、各种技术经济数据</w:t>
      </w:r>
      <w:r>
        <w:rPr>
          <w:rFonts w:hint="eastAsia" w:hAnsi="仿宋"/>
          <w:szCs w:val="30"/>
          <w:lang w:eastAsia="zh-CN"/>
        </w:rPr>
        <w:t>，</w:t>
      </w:r>
      <w:r>
        <w:rPr>
          <w:rFonts w:hint="eastAsia" w:hAnsi="仿宋"/>
          <w:szCs w:val="30"/>
        </w:rPr>
        <w:t>在归集、整理、分析的基础上</w:t>
      </w:r>
      <w:r>
        <w:rPr>
          <w:rFonts w:hint="eastAsia" w:hAnsi="仿宋"/>
          <w:szCs w:val="30"/>
          <w:lang w:eastAsia="zh-CN"/>
        </w:rPr>
        <w:t>，</w:t>
      </w:r>
      <w:r>
        <w:rPr>
          <w:rFonts w:hint="eastAsia" w:hAnsi="仿宋"/>
          <w:szCs w:val="30"/>
        </w:rPr>
        <w:t>结合项目特点确定评价方法。具体如下：</w:t>
      </w:r>
    </w:p>
    <w:p w14:paraId="53116675">
      <w:pPr>
        <w:spacing w:line="579" w:lineRule="exact"/>
        <w:ind w:firstLine="630" w:firstLineChars="200"/>
        <w:rPr>
          <w:rFonts w:hint="eastAsia" w:hAnsi="仿宋"/>
          <w:szCs w:val="30"/>
        </w:rPr>
      </w:pPr>
      <w:r>
        <w:rPr>
          <w:rFonts w:hint="eastAsia" w:hAnsi="仿宋"/>
          <w:szCs w:val="30"/>
          <w:lang w:val="en-US" w:eastAsia="zh-CN"/>
        </w:rPr>
        <w:t>1.</w:t>
      </w:r>
      <w:r>
        <w:rPr>
          <w:rFonts w:hint="eastAsia" w:hAnsi="仿宋"/>
          <w:szCs w:val="30"/>
        </w:rPr>
        <w:t>评价方法</w:t>
      </w:r>
    </w:p>
    <w:p w14:paraId="73558403">
      <w:pPr>
        <w:spacing w:line="579" w:lineRule="exact"/>
        <w:ind w:firstLine="630" w:firstLineChars="200"/>
        <w:rPr>
          <w:rFonts w:hint="eastAsia" w:hAnsi="仿宋"/>
          <w:szCs w:val="30"/>
        </w:rPr>
      </w:pPr>
      <w:r>
        <w:rPr>
          <w:rFonts w:hint="eastAsia" w:hAnsi="仿宋"/>
          <w:szCs w:val="30"/>
        </w:rPr>
        <w:t>本次评价采用比较法、因素分析法和公众评判法等方法对项目的整体情况进行综合评价。包括将实际执行情况与</w:t>
      </w:r>
      <w:r>
        <w:rPr>
          <w:rFonts w:hint="eastAsia" w:hAnsi="仿宋"/>
          <w:szCs w:val="30"/>
          <w:lang w:val="en-US" w:eastAsia="zh-CN"/>
        </w:rPr>
        <w:t>计划</w:t>
      </w:r>
      <w:r>
        <w:rPr>
          <w:rFonts w:hint="eastAsia" w:hAnsi="仿宋"/>
          <w:szCs w:val="30"/>
        </w:rPr>
        <w:t>绩效目标进行比较分析</w:t>
      </w:r>
      <w:r>
        <w:rPr>
          <w:rFonts w:hint="eastAsia" w:hAnsi="仿宋"/>
          <w:szCs w:val="30"/>
          <w:lang w:eastAsia="zh-CN"/>
        </w:rPr>
        <w:t>，</w:t>
      </w:r>
      <w:r>
        <w:rPr>
          <w:rFonts w:hint="eastAsia" w:hAnsi="仿宋"/>
          <w:szCs w:val="30"/>
        </w:rPr>
        <w:t>在评价中综合分析政策执行外部环境、内部控制等因素对绩效目标完成情况的影响</w:t>
      </w:r>
      <w:r>
        <w:rPr>
          <w:rFonts w:hint="eastAsia" w:hAnsi="仿宋"/>
          <w:szCs w:val="30"/>
          <w:lang w:eastAsia="zh-CN"/>
        </w:rPr>
        <w:t>，</w:t>
      </w:r>
      <w:r>
        <w:rPr>
          <w:rFonts w:hint="eastAsia" w:hAnsi="仿宋"/>
          <w:szCs w:val="30"/>
        </w:rPr>
        <w:t>同时通过专家评估、公众问卷和抽样调查等公众评判法</w:t>
      </w:r>
      <w:r>
        <w:rPr>
          <w:rFonts w:hint="eastAsia" w:hAnsi="仿宋"/>
          <w:szCs w:val="30"/>
          <w:lang w:val="en-US" w:eastAsia="zh-CN"/>
        </w:rPr>
        <w:t>进行评价</w:t>
      </w:r>
      <w:r>
        <w:rPr>
          <w:rFonts w:hint="eastAsia" w:hAnsi="仿宋"/>
          <w:szCs w:val="30"/>
          <w:lang w:eastAsia="zh-CN"/>
        </w:rPr>
        <w:t>，</w:t>
      </w:r>
      <w:r>
        <w:rPr>
          <w:rFonts w:hint="eastAsia" w:hAnsi="仿宋"/>
          <w:szCs w:val="30"/>
        </w:rPr>
        <w:t>实地了解预算资金执行情况</w:t>
      </w:r>
      <w:r>
        <w:rPr>
          <w:rFonts w:hint="eastAsia" w:hAnsi="仿宋"/>
          <w:szCs w:val="30"/>
          <w:lang w:eastAsia="zh-CN"/>
        </w:rPr>
        <w:t>，</w:t>
      </w:r>
      <w:r>
        <w:rPr>
          <w:rFonts w:hint="eastAsia" w:hAnsi="仿宋"/>
          <w:szCs w:val="30"/>
        </w:rPr>
        <w:t>社会公众满意度情况。</w:t>
      </w:r>
    </w:p>
    <w:p w14:paraId="7C60BE86">
      <w:pPr>
        <w:spacing w:line="579" w:lineRule="exact"/>
        <w:ind w:firstLine="630" w:firstLineChars="200"/>
        <w:rPr>
          <w:rFonts w:hint="eastAsia" w:hAnsi="仿宋"/>
          <w:szCs w:val="30"/>
        </w:rPr>
      </w:pPr>
      <w:r>
        <w:rPr>
          <w:rFonts w:hint="eastAsia" w:hAnsi="仿宋"/>
          <w:szCs w:val="30"/>
          <w:lang w:val="en-US" w:eastAsia="zh-CN"/>
        </w:rPr>
        <w:t>2.</w:t>
      </w:r>
      <w:r>
        <w:rPr>
          <w:rFonts w:hint="eastAsia" w:hAnsi="仿宋"/>
          <w:szCs w:val="30"/>
        </w:rPr>
        <w:t>评价方式</w:t>
      </w:r>
    </w:p>
    <w:p w14:paraId="309D7DE6">
      <w:pPr>
        <w:spacing w:line="579" w:lineRule="exact"/>
        <w:ind w:firstLine="630" w:firstLineChars="200"/>
        <w:rPr>
          <w:rFonts w:hint="eastAsia" w:hAnsi="仿宋"/>
          <w:szCs w:val="30"/>
        </w:rPr>
      </w:pPr>
      <w:r>
        <w:rPr>
          <w:rFonts w:hint="eastAsia" w:hAnsi="仿宋"/>
          <w:szCs w:val="30"/>
        </w:rPr>
        <w:t>一是资料审阅。从被评价部门收集与项目预算、管理、绩效相关的评价数据</w:t>
      </w:r>
      <w:r>
        <w:rPr>
          <w:rFonts w:hint="eastAsia" w:hAnsi="仿宋"/>
          <w:szCs w:val="30"/>
          <w:lang w:eastAsia="zh-CN"/>
        </w:rPr>
        <w:t>，</w:t>
      </w:r>
      <w:r>
        <w:rPr>
          <w:rFonts w:hint="eastAsia" w:hAnsi="仿宋"/>
          <w:szCs w:val="30"/>
        </w:rPr>
        <w:t>形成绩效评价的基础资料</w:t>
      </w:r>
      <w:r>
        <w:rPr>
          <w:rFonts w:hint="eastAsia" w:hAnsi="仿宋"/>
          <w:szCs w:val="30"/>
          <w:lang w:eastAsia="zh-CN"/>
        </w:rPr>
        <w:t>，</w:t>
      </w:r>
      <w:r>
        <w:rPr>
          <w:rFonts w:hint="eastAsia" w:hAnsi="仿宋"/>
          <w:szCs w:val="30"/>
        </w:rPr>
        <w:t>并对基础资料的真实性、可靠性进行审阅。具体为包括对各实施单位上报的自评报告进行认真审阅</w:t>
      </w:r>
      <w:r>
        <w:rPr>
          <w:rFonts w:hint="eastAsia" w:hAnsi="仿宋"/>
          <w:szCs w:val="30"/>
          <w:lang w:eastAsia="zh-CN"/>
        </w:rPr>
        <w:t>，</w:t>
      </w:r>
      <w:r>
        <w:rPr>
          <w:rFonts w:hint="eastAsia" w:hAnsi="仿宋"/>
          <w:szCs w:val="30"/>
        </w:rPr>
        <w:t>核实各项目单位自评工作是否按要求完成</w:t>
      </w:r>
      <w:r>
        <w:rPr>
          <w:rFonts w:hint="eastAsia" w:hAnsi="仿宋"/>
          <w:szCs w:val="30"/>
          <w:lang w:eastAsia="zh-CN"/>
        </w:rPr>
        <w:t>，</w:t>
      </w:r>
      <w:r>
        <w:rPr>
          <w:rFonts w:hint="eastAsia" w:hAnsi="仿宋"/>
          <w:szCs w:val="30"/>
        </w:rPr>
        <w:t>评价完成的效益和质量；收集绩效评价的基础数据</w:t>
      </w:r>
      <w:r>
        <w:rPr>
          <w:rFonts w:hint="eastAsia" w:hAnsi="仿宋"/>
          <w:szCs w:val="30"/>
          <w:lang w:eastAsia="zh-CN"/>
        </w:rPr>
        <w:t>，</w:t>
      </w:r>
      <w:r>
        <w:rPr>
          <w:rFonts w:hint="eastAsia" w:hAnsi="仿宋"/>
          <w:szCs w:val="30"/>
        </w:rPr>
        <w:t>对项目实施单位填报的项目完成情况表、数据采集表、资金使用情况表进行审阅</w:t>
      </w:r>
      <w:r>
        <w:rPr>
          <w:rFonts w:hint="eastAsia" w:hAnsi="仿宋"/>
          <w:szCs w:val="30"/>
          <w:lang w:eastAsia="zh-CN"/>
        </w:rPr>
        <w:t>，</w:t>
      </w:r>
      <w:r>
        <w:rPr>
          <w:rFonts w:hint="eastAsia" w:hAnsi="仿宋"/>
          <w:szCs w:val="30"/>
        </w:rPr>
        <w:t>对异常的资金使用通过实地调查、原始凭证查阅等进行核实；收集项目绩效的相关资料并结合问卷调查、座谈访谈结果对项目绩效进行客观评价。</w:t>
      </w:r>
    </w:p>
    <w:p w14:paraId="39CAA642">
      <w:pPr>
        <w:spacing w:line="579" w:lineRule="exact"/>
        <w:ind w:firstLine="630" w:firstLineChars="200"/>
        <w:rPr>
          <w:rFonts w:hint="eastAsia" w:hAnsi="仿宋"/>
          <w:szCs w:val="30"/>
        </w:rPr>
      </w:pPr>
      <w:r>
        <w:rPr>
          <w:rFonts w:hint="eastAsia" w:hAnsi="仿宋"/>
          <w:szCs w:val="30"/>
          <w:lang w:val="en-US" w:eastAsia="zh-CN"/>
        </w:rPr>
        <w:t>二</w:t>
      </w:r>
      <w:r>
        <w:rPr>
          <w:rFonts w:hint="eastAsia" w:hAnsi="仿宋"/>
          <w:szCs w:val="30"/>
        </w:rPr>
        <w:t>是实地评价。绩效评价工作组根据分工</w:t>
      </w:r>
      <w:r>
        <w:rPr>
          <w:rFonts w:hint="eastAsia" w:hAnsi="仿宋"/>
          <w:szCs w:val="30"/>
          <w:lang w:eastAsia="zh-CN"/>
        </w:rPr>
        <w:t>，</w:t>
      </w:r>
      <w:r>
        <w:rPr>
          <w:rFonts w:hint="eastAsia" w:hAnsi="仿宋"/>
          <w:szCs w:val="30"/>
        </w:rPr>
        <w:t>采用资料收集与数据填报、问卷调查等方式</w:t>
      </w:r>
      <w:r>
        <w:rPr>
          <w:rFonts w:hint="eastAsia" w:hAnsi="仿宋"/>
          <w:szCs w:val="30"/>
          <w:lang w:eastAsia="zh-CN"/>
        </w:rPr>
        <w:t>，</w:t>
      </w:r>
      <w:r>
        <w:rPr>
          <w:rFonts w:hint="eastAsia" w:hAnsi="仿宋"/>
          <w:szCs w:val="30"/>
        </w:rPr>
        <w:t>组织开展实地评价。在绩效评价实施过程中</w:t>
      </w:r>
      <w:r>
        <w:rPr>
          <w:rFonts w:hint="eastAsia" w:hAnsi="仿宋"/>
          <w:szCs w:val="30"/>
          <w:lang w:eastAsia="zh-CN"/>
        </w:rPr>
        <w:t>，</w:t>
      </w:r>
      <w:r>
        <w:rPr>
          <w:rFonts w:hint="eastAsia" w:hAnsi="仿宋"/>
          <w:szCs w:val="30"/>
        </w:rPr>
        <w:t>根据评价对象的具体情况</w:t>
      </w:r>
      <w:r>
        <w:rPr>
          <w:rFonts w:hint="eastAsia" w:hAnsi="仿宋"/>
          <w:szCs w:val="30"/>
          <w:lang w:eastAsia="zh-CN"/>
        </w:rPr>
        <w:t>，</w:t>
      </w:r>
      <w:r>
        <w:rPr>
          <w:rFonts w:hint="eastAsia" w:hAnsi="仿宋"/>
          <w:szCs w:val="30"/>
        </w:rPr>
        <w:t>设计数据收集表格收集评价数据、资料；同时发放调查问卷调查项目的公众满意度、管理人员意见以及评价相关的信息。</w:t>
      </w:r>
    </w:p>
    <w:p w14:paraId="527411F5">
      <w:pPr>
        <w:spacing w:line="579" w:lineRule="exact"/>
        <w:ind w:firstLine="630" w:firstLineChars="200"/>
        <w:outlineLvl w:val="1"/>
        <w:rPr>
          <w:rFonts w:ascii="楷体" w:hAnsi="楷体" w:eastAsia="楷体"/>
          <w:szCs w:val="30"/>
        </w:rPr>
      </w:pPr>
      <w:bookmarkStart w:id="16" w:name="_Toc26465"/>
      <w:r>
        <w:rPr>
          <w:rFonts w:hint="eastAsia" w:ascii="楷体" w:hAnsi="楷体" w:eastAsia="楷体"/>
          <w:szCs w:val="30"/>
        </w:rPr>
        <w:t>（</w:t>
      </w:r>
      <w:r>
        <w:rPr>
          <w:rFonts w:hint="eastAsia" w:ascii="楷体" w:hAnsi="楷体" w:eastAsia="楷体"/>
          <w:szCs w:val="30"/>
          <w:lang w:val="en-US" w:eastAsia="zh-CN"/>
        </w:rPr>
        <w:t>五</w:t>
      </w:r>
      <w:r>
        <w:rPr>
          <w:rFonts w:hint="eastAsia" w:ascii="楷体" w:hAnsi="楷体" w:eastAsia="楷体"/>
          <w:szCs w:val="30"/>
        </w:rPr>
        <w:t>）评价指标体系</w:t>
      </w:r>
      <w:bookmarkEnd w:id="16"/>
    </w:p>
    <w:p w14:paraId="29AFF073">
      <w:pPr>
        <w:spacing w:line="579" w:lineRule="exact"/>
        <w:ind w:firstLine="630" w:firstLineChars="200"/>
        <w:rPr>
          <w:rFonts w:hAnsi="仿宋"/>
          <w:szCs w:val="30"/>
        </w:rPr>
      </w:pPr>
      <w:r>
        <w:rPr>
          <w:rFonts w:hint="eastAsia" w:hAnsi="仿宋"/>
          <w:szCs w:val="30"/>
        </w:rPr>
        <w:t>1.指标体系</w:t>
      </w:r>
    </w:p>
    <w:p w14:paraId="1F7EFD18">
      <w:pPr>
        <w:spacing w:line="579" w:lineRule="exact"/>
        <w:ind w:firstLine="630" w:firstLineChars="200"/>
        <w:rPr>
          <w:rFonts w:hAnsi="仿宋"/>
          <w:szCs w:val="30"/>
          <w:highlight w:val="none"/>
        </w:rPr>
      </w:pPr>
      <w:r>
        <w:rPr>
          <w:rFonts w:hint="eastAsia" w:hAnsi="仿宋"/>
          <w:szCs w:val="30"/>
        </w:rPr>
        <w:t>本次绩效评价</w:t>
      </w:r>
      <w:r>
        <w:rPr>
          <w:rFonts w:hint="eastAsia" w:hAnsi="仿宋"/>
          <w:szCs w:val="30"/>
          <w:lang w:eastAsia="zh-CN"/>
        </w:rPr>
        <w:t>，</w:t>
      </w:r>
      <w:r>
        <w:rPr>
          <w:rFonts w:hint="eastAsia" w:hAnsi="仿宋"/>
          <w:szCs w:val="30"/>
        </w:rPr>
        <w:t>针对项目设置绩效评价指标体系</w:t>
      </w:r>
      <w:r>
        <w:rPr>
          <w:rFonts w:hint="eastAsia" w:hAnsi="仿宋"/>
          <w:szCs w:val="30"/>
          <w:lang w:eastAsia="zh-CN"/>
        </w:rPr>
        <w:t>，</w:t>
      </w:r>
      <w:r>
        <w:rPr>
          <w:rFonts w:hint="eastAsia" w:hAnsi="仿宋"/>
          <w:szCs w:val="30"/>
        </w:rPr>
        <w:t>设计思路是：本次对项目的绩效评价从项目的设立、执行、产出及效果的全过程的绩效评价</w:t>
      </w:r>
      <w:r>
        <w:rPr>
          <w:rFonts w:hint="eastAsia" w:hAnsi="仿宋"/>
          <w:szCs w:val="30"/>
          <w:lang w:eastAsia="zh-CN"/>
        </w:rPr>
        <w:t>，</w:t>
      </w:r>
      <w:r>
        <w:rPr>
          <w:rFonts w:hint="eastAsia" w:hAnsi="仿宋"/>
          <w:szCs w:val="30"/>
        </w:rPr>
        <w:t>一级指标即共性指标</w:t>
      </w:r>
      <w:r>
        <w:rPr>
          <w:rFonts w:hint="eastAsia" w:hAnsi="仿宋"/>
          <w:szCs w:val="30"/>
          <w:lang w:eastAsia="zh-CN"/>
        </w:rPr>
        <w:t>，</w:t>
      </w:r>
      <w:r>
        <w:rPr>
          <w:rFonts w:hint="eastAsia" w:hAnsi="仿宋"/>
          <w:szCs w:val="30"/>
        </w:rPr>
        <w:t>反映项目评价的通用要素</w:t>
      </w:r>
      <w:r>
        <w:rPr>
          <w:rFonts w:hint="eastAsia" w:hAnsi="仿宋"/>
          <w:szCs w:val="30"/>
          <w:lang w:eastAsia="zh-CN"/>
        </w:rPr>
        <w:t>，</w:t>
      </w:r>
      <w:r>
        <w:rPr>
          <w:rFonts w:hint="eastAsia" w:hAnsi="仿宋"/>
          <w:szCs w:val="30"/>
        </w:rPr>
        <w:t>适合所有的项目评价。即:投入、过程、产出、效果4个一级指标。在此基础上</w:t>
      </w:r>
      <w:r>
        <w:rPr>
          <w:rFonts w:hint="eastAsia" w:hAnsi="仿宋"/>
          <w:szCs w:val="30"/>
          <w:lang w:eastAsia="zh-CN"/>
        </w:rPr>
        <w:t>，</w:t>
      </w:r>
      <w:r>
        <w:rPr>
          <w:rFonts w:hint="eastAsia" w:hAnsi="仿宋"/>
          <w:szCs w:val="30"/>
        </w:rPr>
        <w:t>根据项目自身特</w:t>
      </w:r>
      <w:r>
        <w:rPr>
          <w:rFonts w:hint="eastAsia" w:hAnsi="仿宋"/>
          <w:szCs w:val="30"/>
          <w:highlight w:val="none"/>
        </w:rPr>
        <w:t>性进行细化</w:t>
      </w:r>
      <w:r>
        <w:rPr>
          <w:rFonts w:hint="eastAsia" w:hAnsi="仿宋"/>
          <w:szCs w:val="30"/>
          <w:highlight w:val="none"/>
          <w:lang w:eastAsia="zh-CN"/>
        </w:rPr>
        <w:t>，</w:t>
      </w:r>
      <w:r>
        <w:rPr>
          <w:rFonts w:hint="eastAsia" w:hAnsi="仿宋"/>
          <w:szCs w:val="30"/>
          <w:highlight w:val="none"/>
        </w:rPr>
        <w:t>分解明确项目立项、资金落实</w:t>
      </w:r>
      <w:r>
        <w:rPr>
          <w:rFonts w:hint="eastAsia" w:hAnsi="仿宋"/>
          <w:szCs w:val="30"/>
          <w:highlight w:val="none"/>
          <w:lang w:eastAsia="zh-CN"/>
        </w:rPr>
        <w:t>、业务管理、财务管理、项目产出、项目效益、满意</w:t>
      </w:r>
      <w:r>
        <w:rPr>
          <w:rFonts w:hint="eastAsia" w:hAnsi="仿宋"/>
          <w:szCs w:val="30"/>
          <w:highlight w:val="none"/>
          <w:lang w:val="en-US" w:eastAsia="zh-CN"/>
        </w:rPr>
        <w:t>度7</w:t>
      </w:r>
      <w:r>
        <w:rPr>
          <w:rFonts w:hint="eastAsia" w:hAnsi="仿宋"/>
          <w:szCs w:val="30"/>
          <w:highlight w:val="none"/>
        </w:rPr>
        <w:t>个二级指标</w:t>
      </w:r>
      <w:r>
        <w:rPr>
          <w:rFonts w:hint="eastAsia" w:hAnsi="仿宋"/>
          <w:szCs w:val="30"/>
          <w:highlight w:val="none"/>
          <w:lang w:eastAsia="zh-CN"/>
        </w:rPr>
        <w:t>，</w:t>
      </w:r>
      <w:r>
        <w:rPr>
          <w:rFonts w:hint="eastAsia" w:hAnsi="仿宋"/>
          <w:szCs w:val="30"/>
          <w:highlight w:val="none"/>
        </w:rPr>
        <w:t>在此基础上细化分解为</w:t>
      </w:r>
      <w:r>
        <w:rPr>
          <w:rFonts w:hint="eastAsia" w:hAnsi="仿宋"/>
          <w:szCs w:val="30"/>
          <w:highlight w:val="none"/>
          <w:lang w:val="en-US" w:eastAsia="zh-CN"/>
        </w:rPr>
        <w:t>18</w:t>
      </w:r>
      <w:r>
        <w:rPr>
          <w:rFonts w:hint="eastAsia" w:hAnsi="仿宋"/>
          <w:szCs w:val="30"/>
          <w:highlight w:val="none"/>
        </w:rPr>
        <w:t>个三级指标。</w:t>
      </w:r>
    </w:p>
    <w:p w14:paraId="008DA072">
      <w:pPr>
        <w:spacing w:line="579" w:lineRule="exact"/>
        <w:ind w:firstLine="630" w:firstLineChars="200"/>
        <w:rPr>
          <w:rFonts w:hint="eastAsia" w:hAnsi="仿宋" w:cs="Times New Roman"/>
          <w:szCs w:val="30"/>
          <w:highlight w:val="none"/>
        </w:rPr>
      </w:pPr>
      <w:r>
        <w:rPr>
          <w:rFonts w:hint="eastAsia" w:hAnsi="仿宋" w:cs="Times New Roman"/>
          <w:szCs w:val="30"/>
          <w:highlight w:val="none"/>
        </w:rPr>
        <w:t>2.指标权重</w:t>
      </w:r>
    </w:p>
    <w:p w14:paraId="490BBF11">
      <w:pPr>
        <w:spacing w:line="579" w:lineRule="exact"/>
        <w:ind w:firstLine="630" w:firstLineChars="200"/>
        <w:rPr>
          <w:rFonts w:hint="default" w:hAnsi="仿宋" w:cs="Times New Roman"/>
          <w:szCs w:val="30"/>
          <w:highlight w:val="none"/>
          <w:lang w:val="en-US" w:eastAsia="zh-CN"/>
        </w:rPr>
      </w:pPr>
      <w:r>
        <w:rPr>
          <w:rFonts w:hint="default" w:hAnsi="仿宋" w:cs="Times New Roman"/>
          <w:szCs w:val="30"/>
          <w:highlight w:val="none"/>
          <w:lang w:val="en-US" w:eastAsia="zh-CN"/>
        </w:rPr>
        <w:t>结合</w:t>
      </w:r>
      <w:r>
        <w:rPr>
          <w:rFonts w:hint="eastAsia" w:hAnsi="仿宋" w:cs="Times New Roman"/>
          <w:szCs w:val="30"/>
          <w:highlight w:val="none"/>
          <w:lang w:val="en-US" w:eastAsia="zh-CN"/>
        </w:rPr>
        <w:t>项目</w:t>
      </w:r>
      <w:r>
        <w:rPr>
          <w:rFonts w:hint="default" w:hAnsi="仿宋" w:cs="Times New Roman"/>
          <w:szCs w:val="30"/>
          <w:highlight w:val="none"/>
          <w:lang w:val="en-US" w:eastAsia="zh-CN"/>
        </w:rPr>
        <w:t>目标、工作任务</w:t>
      </w:r>
      <w:r>
        <w:rPr>
          <w:rFonts w:hint="eastAsia" w:hAnsi="仿宋" w:cs="Times New Roman"/>
          <w:szCs w:val="30"/>
          <w:highlight w:val="none"/>
          <w:lang w:val="en-US" w:eastAsia="zh-CN"/>
        </w:rPr>
        <w:t>，</w:t>
      </w:r>
      <w:r>
        <w:rPr>
          <w:rFonts w:hint="default" w:hAnsi="仿宋" w:cs="Times New Roman"/>
          <w:szCs w:val="30"/>
          <w:highlight w:val="none"/>
          <w:lang w:val="en-US" w:eastAsia="zh-CN"/>
        </w:rPr>
        <w:t>通过查询相关资料、政策</w:t>
      </w:r>
      <w:r>
        <w:rPr>
          <w:rFonts w:hint="eastAsia" w:hAnsi="仿宋" w:cs="Times New Roman"/>
          <w:szCs w:val="30"/>
          <w:highlight w:val="none"/>
          <w:lang w:val="en-US" w:eastAsia="zh-CN"/>
        </w:rPr>
        <w:t>，</w:t>
      </w:r>
      <w:r>
        <w:rPr>
          <w:rFonts w:hint="default" w:hAnsi="仿宋" w:cs="Times New Roman"/>
          <w:szCs w:val="30"/>
          <w:highlight w:val="none"/>
          <w:lang w:val="en-US" w:eastAsia="zh-CN"/>
        </w:rPr>
        <w:t>与相关专业人员开展讨论</w:t>
      </w:r>
      <w:r>
        <w:rPr>
          <w:rFonts w:hint="eastAsia" w:hAnsi="仿宋" w:cs="Times New Roman"/>
          <w:szCs w:val="30"/>
          <w:highlight w:val="none"/>
          <w:lang w:val="en-US" w:eastAsia="zh-CN"/>
        </w:rPr>
        <w:t>，</w:t>
      </w:r>
      <w:r>
        <w:rPr>
          <w:rFonts w:hint="default" w:hAnsi="仿宋" w:cs="Times New Roman"/>
          <w:szCs w:val="30"/>
          <w:highlight w:val="none"/>
          <w:lang w:val="en-US" w:eastAsia="zh-CN"/>
        </w:rPr>
        <w:t>咨询专家意见</w:t>
      </w:r>
      <w:r>
        <w:rPr>
          <w:rFonts w:hint="eastAsia" w:hAnsi="仿宋" w:cs="Times New Roman"/>
          <w:szCs w:val="30"/>
          <w:highlight w:val="none"/>
          <w:lang w:val="en-US" w:eastAsia="zh-CN"/>
        </w:rPr>
        <w:t>，</w:t>
      </w:r>
      <w:r>
        <w:rPr>
          <w:rFonts w:hint="default" w:hAnsi="仿宋" w:cs="Times New Roman"/>
          <w:szCs w:val="30"/>
          <w:highlight w:val="none"/>
          <w:lang w:val="en-US" w:eastAsia="zh-CN"/>
        </w:rPr>
        <w:t>征求主管部门意见</w:t>
      </w:r>
      <w:r>
        <w:rPr>
          <w:rFonts w:hint="eastAsia" w:hAnsi="仿宋" w:cs="Times New Roman"/>
          <w:szCs w:val="30"/>
          <w:highlight w:val="none"/>
          <w:lang w:val="en-US" w:eastAsia="zh-CN"/>
        </w:rPr>
        <w:t>，</w:t>
      </w:r>
      <w:r>
        <w:rPr>
          <w:rFonts w:hint="default" w:hAnsi="仿宋" w:cs="Times New Roman"/>
          <w:szCs w:val="30"/>
          <w:highlight w:val="none"/>
          <w:lang w:val="en-US" w:eastAsia="zh-CN"/>
        </w:rPr>
        <w:t>综合判断各级评价指标对实现绩效目标的关键程度基础</w:t>
      </w:r>
      <w:r>
        <w:rPr>
          <w:rFonts w:hint="eastAsia" w:hAnsi="仿宋" w:cs="Times New Roman"/>
          <w:szCs w:val="30"/>
          <w:highlight w:val="none"/>
          <w:lang w:val="en-US" w:eastAsia="zh-CN"/>
        </w:rPr>
        <w:t>，</w:t>
      </w:r>
      <w:r>
        <w:rPr>
          <w:rFonts w:hint="default" w:hAnsi="仿宋" w:cs="Times New Roman"/>
          <w:szCs w:val="30"/>
          <w:highlight w:val="none"/>
          <w:lang w:val="en-US" w:eastAsia="zh-CN"/>
        </w:rPr>
        <w:t>确定各评价指标的分值权重。一级指标</w:t>
      </w:r>
      <w:r>
        <w:rPr>
          <w:rFonts w:hint="eastAsia" w:hAnsi="仿宋" w:cs="Times New Roman"/>
          <w:szCs w:val="30"/>
          <w:highlight w:val="none"/>
          <w:lang w:val="en-US" w:eastAsia="zh-CN"/>
        </w:rPr>
        <w:t>投入</w:t>
      </w:r>
      <w:r>
        <w:rPr>
          <w:rFonts w:hint="default" w:hAnsi="仿宋" w:cs="Times New Roman"/>
          <w:szCs w:val="30"/>
          <w:highlight w:val="none"/>
          <w:lang w:val="en-US" w:eastAsia="zh-CN"/>
        </w:rPr>
        <w:t>、过程、产出、</w:t>
      </w:r>
      <w:r>
        <w:rPr>
          <w:rFonts w:hint="eastAsia" w:hAnsi="仿宋" w:cs="Times New Roman"/>
          <w:szCs w:val="30"/>
          <w:highlight w:val="none"/>
          <w:lang w:val="en-US" w:eastAsia="zh-CN"/>
        </w:rPr>
        <w:t>效果</w:t>
      </w:r>
      <w:r>
        <w:rPr>
          <w:rFonts w:hint="default" w:hAnsi="仿宋" w:cs="Times New Roman"/>
          <w:szCs w:val="30"/>
          <w:highlight w:val="none"/>
          <w:lang w:val="en-US" w:eastAsia="zh-CN"/>
        </w:rPr>
        <w:t>分值权重分别为：</w:t>
      </w:r>
      <w:r>
        <w:rPr>
          <w:rFonts w:hint="eastAsia" w:hAnsi="仿宋" w:cs="Times New Roman"/>
          <w:szCs w:val="30"/>
          <w:highlight w:val="none"/>
          <w:lang w:val="en-US" w:eastAsia="zh-CN"/>
        </w:rPr>
        <w:t>10</w:t>
      </w:r>
      <w:r>
        <w:rPr>
          <w:rFonts w:hint="default" w:hAnsi="仿宋" w:cs="Times New Roman"/>
          <w:szCs w:val="30"/>
          <w:highlight w:val="none"/>
          <w:lang w:val="en-US" w:eastAsia="zh-CN"/>
        </w:rPr>
        <w:t>%、</w:t>
      </w:r>
      <w:r>
        <w:rPr>
          <w:rFonts w:hint="eastAsia" w:hAnsi="仿宋" w:cs="Times New Roman"/>
          <w:szCs w:val="30"/>
          <w:highlight w:val="none"/>
          <w:lang w:val="en-US" w:eastAsia="zh-CN"/>
        </w:rPr>
        <w:t>34</w:t>
      </w:r>
      <w:r>
        <w:rPr>
          <w:rFonts w:hint="default" w:hAnsi="仿宋" w:cs="Times New Roman"/>
          <w:szCs w:val="30"/>
          <w:highlight w:val="none"/>
          <w:lang w:val="en-US" w:eastAsia="zh-CN"/>
        </w:rPr>
        <w:t>%、3</w:t>
      </w:r>
      <w:r>
        <w:rPr>
          <w:rFonts w:hint="eastAsia" w:hAnsi="仿宋" w:cs="Times New Roman"/>
          <w:szCs w:val="30"/>
          <w:highlight w:val="none"/>
          <w:lang w:val="en-US" w:eastAsia="zh-CN"/>
        </w:rPr>
        <w:t>4</w:t>
      </w:r>
      <w:r>
        <w:rPr>
          <w:rFonts w:hint="default" w:hAnsi="仿宋" w:cs="Times New Roman"/>
          <w:szCs w:val="30"/>
          <w:highlight w:val="none"/>
          <w:lang w:val="en-US" w:eastAsia="zh-CN"/>
        </w:rPr>
        <w:t>%、</w:t>
      </w:r>
      <w:r>
        <w:rPr>
          <w:rFonts w:hint="eastAsia" w:hAnsi="仿宋" w:cs="Times New Roman"/>
          <w:szCs w:val="30"/>
          <w:highlight w:val="none"/>
          <w:lang w:val="en-US" w:eastAsia="zh-CN"/>
        </w:rPr>
        <w:t>22</w:t>
      </w:r>
      <w:r>
        <w:rPr>
          <w:rFonts w:hint="default" w:hAnsi="仿宋" w:cs="Times New Roman"/>
          <w:szCs w:val="30"/>
          <w:highlight w:val="none"/>
          <w:lang w:val="en-US" w:eastAsia="zh-CN"/>
        </w:rPr>
        <w:t>%。</w:t>
      </w:r>
    </w:p>
    <w:p w14:paraId="4737E846">
      <w:pPr>
        <w:spacing w:line="579" w:lineRule="exact"/>
        <w:ind w:firstLine="630" w:firstLineChars="200"/>
        <w:rPr>
          <w:rFonts w:hint="eastAsia" w:hAnsi="仿宋"/>
          <w:szCs w:val="30"/>
        </w:rPr>
      </w:pPr>
      <w:r>
        <w:rPr>
          <w:rFonts w:hint="eastAsia" w:hAnsi="仿宋"/>
          <w:szCs w:val="30"/>
        </w:rPr>
        <w:t>“</w:t>
      </w:r>
      <w:r>
        <w:rPr>
          <w:rFonts w:hint="eastAsia" w:hAnsi="仿宋"/>
          <w:szCs w:val="30"/>
          <w:lang w:val="en-US" w:eastAsia="zh-CN"/>
        </w:rPr>
        <w:t>投入</w:t>
      </w:r>
      <w:r>
        <w:rPr>
          <w:rFonts w:hint="eastAsia" w:hAnsi="仿宋"/>
          <w:szCs w:val="30"/>
        </w:rPr>
        <w:t>”指标由“项目立项、资金落实”</w:t>
      </w:r>
      <w:r>
        <w:rPr>
          <w:rFonts w:hint="eastAsia" w:hAnsi="仿宋"/>
          <w:szCs w:val="30"/>
          <w:lang w:val="en-US" w:eastAsia="zh-CN"/>
        </w:rPr>
        <w:t>2</w:t>
      </w:r>
      <w:r>
        <w:rPr>
          <w:rFonts w:hint="eastAsia" w:hAnsi="仿宋"/>
          <w:szCs w:val="30"/>
        </w:rPr>
        <w:t>个二级指标构成</w:t>
      </w:r>
      <w:r>
        <w:rPr>
          <w:rFonts w:hint="eastAsia" w:hAnsi="仿宋"/>
          <w:szCs w:val="30"/>
          <w:lang w:eastAsia="zh-CN"/>
        </w:rPr>
        <w:t>，</w:t>
      </w:r>
      <w:r>
        <w:rPr>
          <w:rFonts w:hint="eastAsia" w:hAnsi="仿宋"/>
          <w:szCs w:val="30"/>
        </w:rPr>
        <w:t>同时将</w:t>
      </w:r>
      <w:r>
        <w:rPr>
          <w:rFonts w:hint="eastAsia" w:hAnsi="仿宋"/>
          <w:szCs w:val="30"/>
          <w:lang w:val="en-US" w:eastAsia="zh-CN"/>
        </w:rPr>
        <w:t>2</w:t>
      </w:r>
      <w:r>
        <w:rPr>
          <w:rFonts w:hint="eastAsia" w:hAnsi="仿宋"/>
          <w:szCs w:val="30"/>
        </w:rPr>
        <w:t>个二级指标细化为</w:t>
      </w:r>
      <w:r>
        <w:rPr>
          <w:rFonts w:hint="eastAsia" w:hAnsi="仿宋"/>
          <w:szCs w:val="30"/>
          <w:lang w:val="en-US" w:eastAsia="zh-CN"/>
        </w:rPr>
        <w:t>5</w:t>
      </w:r>
      <w:r>
        <w:rPr>
          <w:rFonts w:hint="eastAsia" w:hAnsi="仿宋"/>
          <w:szCs w:val="30"/>
        </w:rPr>
        <w:t>个三级指标。考核项目立项规范性、绩效目标合理性</w:t>
      </w:r>
      <w:r>
        <w:rPr>
          <w:rFonts w:hint="eastAsia" w:hAnsi="仿宋"/>
          <w:szCs w:val="30"/>
          <w:lang w:eastAsia="zh-CN"/>
        </w:rPr>
        <w:t>、绩效指标明确性、资金到位率、</w:t>
      </w:r>
      <w:r>
        <w:rPr>
          <w:rFonts w:hint="eastAsia" w:hAnsi="仿宋"/>
          <w:szCs w:val="30"/>
        </w:rPr>
        <w:t>到位及时率。</w:t>
      </w:r>
    </w:p>
    <w:p w14:paraId="47424DE4">
      <w:pPr>
        <w:spacing w:line="579" w:lineRule="exact"/>
        <w:ind w:firstLine="630" w:firstLineChars="200"/>
        <w:rPr>
          <w:rFonts w:hint="eastAsia" w:hAnsi="仿宋"/>
          <w:szCs w:val="30"/>
        </w:rPr>
      </w:pPr>
      <w:r>
        <w:rPr>
          <w:rFonts w:hint="eastAsia" w:hAnsi="仿宋"/>
          <w:szCs w:val="30"/>
        </w:rPr>
        <w:t>“过程”指标由“</w:t>
      </w:r>
      <w:r>
        <w:rPr>
          <w:rFonts w:hint="eastAsia" w:hAnsi="仿宋"/>
          <w:szCs w:val="30"/>
          <w:lang w:val="en-US" w:eastAsia="zh-CN"/>
        </w:rPr>
        <w:t>业务管理、财务管理</w:t>
      </w:r>
      <w:r>
        <w:rPr>
          <w:rFonts w:hint="eastAsia" w:hAnsi="仿宋"/>
          <w:szCs w:val="30"/>
        </w:rPr>
        <w:t>”</w:t>
      </w:r>
      <w:r>
        <w:rPr>
          <w:rFonts w:hint="eastAsia" w:hAnsi="仿宋"/>
          <w:szCs w:val="30"/>
          <w:lang w:val="en-US" w:eastAsia="zh-CN"/>
        </w:rPr>
        <w:t>2</w:t>
      </w:r>
      <w:r>
        <w:rPr>
          <w:rFonts w:hint="eastAsia" w:hAnsi="仿宋"/>
          <w:szCs w:val="30"/>
        </w:rPr>
        <w:t>个二级指标构成</w:t>
      </w:r>
      <w:r>
        <w:rPr>
          <w:rFonts w:hint="eastAsia" w:hAnsi="仿宋"/>
          <w:szCs w:val="30"/>
          <w:lang w:eastAsia="zh-CN"/>
        </w:rPr>
        <w:t>，</w:t>
      </w:r>
      <w:r>
        <w:rPr>
          <w:rFonts w:hint="eastAsia" w:hAnsi="仿宋"/>
          <w:szCs w:val="30"/>
        </w:rPr>
        <w:t>同时将</w:t>
      </w:r>
      <w:r>
        <w:rPr>
          <w:rFonts w:hint="eastAsia" w:hAnsi="仿宋"/>
          <w:szCs w:val="30"/>
          <w:lang w:val="en-US" w:eastAsia="zh-CN"/>
        </w:rPr>
        <w:t>2</w:t>
      </w:r>
      <w:r>
        <w:rPr>
          <w:rFonts w:hint="eastAsia" w:hAnsi="仿宋"/>
          <w:szCs w:val="30"/>
        </w:rPr>
        <w:t>个二级指标分解为</w:t>
      </w:r>
      <w:r>
        <w:rPr>
          <w:rFonts w:hint="eastAsia" w:hAnsi="仿宋"/>
          <w:szCs w:val="30"/>
          <w:lang w:val="en-US" w:eastAsia="zh-CN"/>
        </w:rPr>
        <w:t>6</w:t>
      </w:r>
      <w:r>
        <w:rPr>
          <w:rFonts w:hint="eastAsia" w:hAnsi="仿宋"/>
          <w:szCs w:val="30"/>
        </w:rPr>
        <w:t>个三级指标。主要考核</w:t>
      </w:r>
      <w:r>
        <w:rPr>
          <w:rFonts w:hint="eastAsia" w:hAnsi="仿宋"/>
          <w:szCs w:val="30"/>
          <w:lang w:val="en-US" w:eastAsia="zh-CN"/>
        </w:rPr>
        <w:t>业务</w:t>
      </w:r>
      <w:r>
        <w:rPr>
          <w:rFonts w:hint="eastAsia" w:hAnsi="仿宋"/>
          <w:szCs w:val="30"/>
        </w:rPr>
        <w:t>管理制度健全性</w:t>
      </w:r>
      <w:r>
        <w:rPr>
          <w:rFonts w:hint="eastAsia" w:hAnsi="仿宋"/>
          <w:szCs w:val="30"/>
          <w:lang w:eastAsia="zh-CN"/>
        </w:rPr>
        <w:t>、制度执行有效性、项目质量可控性、</w:t>
      </w:r>
      <w:r>
        <w:rPr>
          <w:rFonts w:hint="eastAsia" w:hAnsi="仿宋"/>
          <w:szCs w:val="30"/>
          <w:lang w:val="en-US" w:eastAsia="zh-CN"/>
        </w:rPr>
        <w:t>财务</w:t>
      </w:r>
      <w:r>
        <w:rPr>
          <w:rFonts w:hint="eastAsia" w:hAnsi="仿宋"/>
          <w:szCs w:val="30"/>
          <w:lang w:eastAsia="zh-CN"/>
        </w:rPr>
        <w:t>管理制度健全性、资金使用合规性、财务监控有效性</w:t>
      </w:r>
      <w:r>
        <w:rPr>
          <w:rFonts w:hint="eastAsia" w:hAnsi="仿宋"/>
          <w:szCs w:val="30"/>
        </w:rPr>
        <w:t>。</w:t>
      </w:r>
    </w:p>
    <w:p w14:paraId="57C6553A">
      <w:pPr>
        <w:spacing w:line="579" w:lineRule="exact"/>
        <w:ind w:firstLine="630" w:firstLineChars="200"/>
        <w:rPr>
          <w:rFonts w:hint="default" w:hAnsi="仿宋" w:cs="Times New Roman"/>
          <w:szCs w:val="30"/>
          <w:lang w:val="en-US" w:eastAsia="zh-CN"/>
        </w:rPr>
      </w:pPr>
      <w:r>
        <w:rPr>
          <w:rFonts w:hint="eastAsia" w:hAnsi="仿宋" w:cs="Times New Roman"/>
          <w:szCs w:val="30"/>
        </w:rPr>
        <w:t>“产出”指标由“项目产出”</w:t>
      </w:r>
      <w:r>
        <w:rPr>
          <w:rFonts w:hint="eastAsia" w:hAnsi="仿宋" w:cs="Times New Roman"/>
          <w:szCs w:val="30"/>
          <w:lang w:val="en-US" w:eastAsia="zh-CN"/>
        </w:rPr>
        <w:t>1</w:t>
      </w:r>
      <w:r>
        <w:rPr>
          <w:rFonts w:hint="eastAsia" w:hAnsi="仿宋" w:cs="Times New Roman"/>
          <w:szCs w:val="30"/>
        </w:rPr>
        <w:t>个二级指标构成</w:t>
      </w:r>
      <w:r>
        <w:rPr>
          <w:rFonts w:hint="eastAsia" w:hAnsi="仿宋" w:cs="Times New Roman"/>
          <w:szCs w:val="30"/>
          <w:lang w:eastAsia="zh-CN"/>
        </w:rPr>
        <w:t>，</w:t>
      </w:r>
      <w:r>
        <w:rPr>
          <w:rFonts w:hint="eastAsia" w:hAnsi="仿宋" w:cs="Times New Roman"/>
          <w:szCs w:val="30"/>
        </w:rPr>
        <w:t>同时将</w:t>
      </w:r>
      <w:r>
        <w:rPr>
          <w:rFonts w:hint="eastAsia" w:hAnsi="仿宋" w:cs="Times New Roman"/>
          <w:szCs w:val="30"/>
          <w:lang w:val="en-US" w:eastAsia="zh-CN"/>
        </w:rPr>
        <w:t>1</w:t>
      </w:r>
      <w:r>
        <w:rPr>
          <w:rFonts w:hint="eastAsia" w:hAnsi="仿宋" w:cs="Times New Roman"/>
          <w:szCs w:val="30"/>
        </w:rPr>
        <w:t>个二级指标分解为</w:t>
      </w:r>
      <w:r>
        <w:rPr>
          <w:rFonts w:hint="eastAsia" w:hAnsi="仿宋" w:cs="Times New Roman"/>
          <w:szCs w:val="30"/>
          <w:lang w:val="en-US" w:eastAsia="zh-CN"/>
        </w:rPr>
        <w:t>4</w:t>
      </w:r>
      <w:r>
        <w:rPr>
          <w:rFonts w:hint="eastAsia" w:hAnsi="仿宋" w:cs="Times New Roman"/>
          <w:szCs w:val="30"/>
        </w:rPr>
        <w:t>个三级指标</w:t>
      </w:r>
      <w:r>
        <w:rPr>
          <w:rFonts w:hint="eastAsia" w:hAnsi="仿宋" w:cs="Times New Roman"/>
          <w:szCs w:val="30"/>
          <w:lang w:val="en-US" w:eastAsia="zh-CN"/>
        </w:rPr>
        <w:t>实际完成率、完成及时率、质量达标率、成本节约率</w:t>
      </w:r>
      <w:r>
        <w:rPr>
          <w:rFonts w:hint="eastAsia" w:hAnsi="仿宋" w:cs="Times New Roman"/>
          <w:szCs w:val="30"/>
        </w:rPr>
        <w:t>。主要</w:t>
      </w:r>
      <w:r>
        <w:rPr>
          <w:rFonts w:hint="eastAsia" w:hAnsi="仿宋" w:cs="Times New Roman"/>
          <w:szCs w:val="30"/>
          <w:lang w:val="en-US" w:eastAsia="zh-CN"/>
        </w:rPr>
        <w:t>考核</w:t>
      </w:r>
      <w:r>
        <w:rPr>
          <w:rFonts w:hint="default" w:hAnsi="仿宋" w:cs="Times New Roman"/>
          <w:szCs w:val="30"/>
          <w:lang w:val="en-US" w:eastAsia="zh-CN"/>
        </w:rPr>
        <w:t>项目产出数量目标的实现程度、项目产出质量目标的实现程度、项目产出时效目标的实现程度等情况。</w:t>
      </w:r>
    </w:p>
    <w:p w14:paraId="309D1D6B">
      <w:pPr>
        <w:spacing w:line="579" w:lineRule="exact"/>
        <w:ind w:firstLine="630" w:firstLineChars="200"/>
        <w:rPr>
          <w:rFonts w:hint="eastAsia" w:hAnsi="仿宋"/>
          <w:szCs w:val="30"/>
        </w:rPr>
      </w:pPr>
      <w:r>
        <w:rPr>
          <w:rFonts w:hint="eastAsia" w:hAnsi="仿宋"/>
          <w:szCs w:val="30"/>
        </w:rPr>
        <w:t>“效</w:t>
      </w:r>
      <w:r>
        <w:rPr>
          <w:rFonts w:hint="eastAsia" w:hAnsi="仿宋"/>
          <w:szCs w:val="30"/>
          <w:lang w:val="en-US" w:eastAsia="zh-CN"/>
        </w:rPr>
        <w:t>果</w:t>
      </w:r>
      <w:r>
        <w:rPr>
          <w:rFonts w:hint="eastAsia" w:hAnsi="仿宋"/>
          <w:szCs w:val="30"/>
        </w:rPr>
        <w:t>”指标由</w:t>
      </w:r>
      <w:r>
        <w:rPr>
          <w:rFonts w:hint="eastAsia" w:hAnsi="仿宋"/>
          <w:szCs w:val="30"/>
          <w:lang w:eastAsia="zh-CN"/>
        </w:rPr>
        <w:t>“</w:t>
      </w:r>
      <w:r>
        <w:rPr>
          <w:rFonts w:hint="eastAsia" w:hAnsi="仿宋"/>
          <w:szCs w:val="30"/>
        </w:rPr>
        <w:t>项目效益</w:t>
      </w:r>
      <w:r>
        <w:rPr>
          <w:rFonts w:hint="eastAsia" w:hAnsi="仿宋"/>
          <w:szCs w:val="30"/>
          <w:lang w:eastAsia="zh-CN"/>
        </w:rPr>
        <w:t>、满意度</w:t>
      </w:r>
      <w:r>
        <w:rPr>
          <w:rFonts w:hint="eastAsia" w:hAnsi="仿宋"/>
          <w:szCs w:val="30"/>
        </w:rPr>
        <w:t>”</w:t>
      </w:r>
      <w:r>
        <w:rPr>
          <w:rFonts w:hint="eastAsia" w:hAnsi="仿宋"/>
          <w:szCs w:val="30"/>
          <w:lang w:val="en-US" w:eastAsia="zh-CN"/>
        </w:rPr>
        <w:t>2</w:t>
      </w:r>
      <w:r>
        <w:rPr>
          <w:rFonts w:hint="eastAsia" w:hAnsi="仿宋"/>
          <w:szCs w:val="30"/>
        </w:rPr>
        <w:t>个二级指标构成</w:t>
      </w:r>
      <w:r>
        <w:rPr>
          <w:rFonts w:hint="eastAsia" w:hAnsi="仿宋"/>
          <w:szCs w:val="30"/>
          <w:lang w:eastAsia="zh-CN"/>
        </w:rPr>
        <w:t>，</w:t>
      </w:r>
      <w:r>
        <w:rPr>
          <w:rFonts w:hint="eastAsia" w:hAnsi="仿宋"/>
          <w:szCs w:val="30"/>
        </w:rPr>
        <w:t>同时将</w:t>
      </w:r>
      <w:r>
        <w:rPr>
          <w:rFonts w:hint="eastAsia" w:hAnsi="仿宋"/>
          <w:szCs w:val="30"/>
          <w:lang w:val="en-US" w:eastAsia="zh-CN"/>
        </w:rPr>
        <w:t>2</w:t>
      </w:r>
      <w:r>
        <w:rPr>
          <w:rFonts w:hint="eastAsia" w:hAnsi="仿宋"/>
          <w:szCs w:val="30"/>
        </w:rPr>
        <w:t>个二级指标细化为</w:t>
      </w:r>
      <w:r>
        <w:rPr>
          <w:rFonts w:hint="eastAsia" w:hAnsi="仿宋"/>
          <w:szCs w:val="30"/>
          <w:lang w:val="en-US" w:eastAsia="zh-CN"/>
        </w:rPr>
        <w:t>3</w:t>
      </w:r>
      <w:r>
        <w:rPr>
          <w:rFonts w:hint="eastAsia" w:hAnsi="仿宋"/>
          <w:szCs w:val="30"/>
        </w:rPr>
        <w:t>个三级指标经济效益</w:t>
      </w:r>
      <w:r>
        <w:rPr>
          <w:rFonts w:hint="eastAsia" w:hAnsi="仿宋"/>
          <w:szCs w:val="30"/>
          <w:lang w:eastAsia="zh-CN"/>
        </w:rPr>
        <w:t>、社会效益、</w:t>
      </w:r>
      <w:r>
        <w:rPr>
          <w:rFonts w:hint="eastAsia" w:hAnsi="仿宋"/>
          <w:szCs w:val="30"/>
          <w:lang w:val="en-US" w:eastAsia="zh-CN"/>
        </w:rPr>
        <w:t>满意度</w:t>
      </w:r>
      <w:r>
        <w:rPr>
          <w:rFonts w:hint="eastAsia" w:hAnsi="仿宋"/>
          <w:szCs w:val="30"/>
          <w:lang w:eastAsia="zh-CN"/>
        </w:rPr>
        <w:t>。</w:t>
      </w:r>
      <w:r>
        <w:rPr>
          <w:rFonts w:hint="eastAsia" w:hAnsi="仿宋"/>
          <w:szCs w:val="30"/>
        </w:rPr>
        <w:t>主要</w:t>
      </w:r>
      <w:r>
        <w:rPr>
          <w:rFonts w:hint="eastAsia" w:hAnsi="仿宋"/>
          <w:szCs w:val="30"/>
          <w:lang w:val="en-US" w:eastAsia="zh-CN"/>
        </w:rPr>
        <w:t>考核受补助影院年度票房指获补影院年度放映票务总收入影响</w:t>
      </w:r>
      <w:r>
        <w:rPr>
          <w:rFonts w:hint="eastAsia" w:hAnsi="仿宋"/>
          <w:szCs w:val="30"/>
          <w:lang w:eastAsia="zh-CN"/>
        </w:rPr>
        <w:t>。完善基层观影服务、推广优秀影片，既增进群众文化福祉，又助力文化传播与产业发展。社会公众或服务对象对项目实施效果的满意程度</w:t>
      </w:r>
      <w:r>
        <w:rPr>
          <w:rFonts w:hint="eastAsia" w:hAnsi="仿宋"/>
          <w:szCs w:val="30"/>
        </w:rPr>
        <w:t>。</w:t>
      </w:r>
    </w:p>
    <w:p w14:paraId="2446685D">
      <w:pPr>
        <w:spacing w:line="579" w:lineRule="exact"/>
        <w:ind w:firstLine="632"/>
        <w:outlineLvl w:val="1"/>
        <w:rPr>
          <w:rFonts w:hint="eastAsia" w:ascii="楷体" w:hAnsi="楷体" w:eastAsia="楷体"/>
          <w:szCs w:val="30"/>
          <w:lang w:val="en-US" w:eastAsia="zh-CN"/>
        </w:rPr>
      </w:pPr>
      <w:bookmarkStart w:id="17" w:name="_Toc81575277"/>
      <w:bookmarkStart w:id="18" w:name="_Toc9916"/>
      <w:bookmarkStart w:id="19" w:name="_Toc81575278"/>
      <w:r>
        <w:rPr>
          <w:rFonts w:hint="eastAsia" w:ascii="楷体" w:hAnsi="楷体" w:eastAsia="楷体"/>
          <w:szCs w:val="30"/>
        </w:rPr>
        <w:t>（</w:t>
      </w:r>
      <w:r>
        <w:rPr>
          <w:rFonts w:hint="eastAsia" w:ascii="楷体" w:hAnsi="楷体" w:eastAsia="楷体"/>
          <w:szCs w:val="30"/>
          <w:lang w:val="en-US" w:eastAsia="zh-CN"/>
        </w:rPr>
        <w:t>六</w:t>
      </w:r>
      <w:r>
        <w:rPr>
          <w:rFonts w:hint="eastAsia" w:ascii="楷体" w:hAnsi="楷体" w:eastAsia="楷体"/>
          <w:szCs w:val="30"/>
        </w:rPr>
        <w:t>）</w:t>
      </w:r>
      <w:bookmarkStart w:id="20" w:name="_Toc80023565"/>
      <w:bookmarkStart w:id="21" w:name="_Toc11427721"/>
      <w:r>
        <w:rPr>
          <w:rFonts w:hint="eastAsia" w:ascii="楷体" w:hAnsi="楷体" w:eastAsia="楷体"/>
          <w:szCs w:val="30"/>
          <w:lang w:val="en-US" w:eastAsia="zh-CN"/>
        </w:rPr>
        <w:t>绩效</w:t>
      </w:r>
      <w:r>
        <w:rPr>
          <w:rFonts w:hint="eastAsia" w:ascii="楷体" w:hAnsi="楷体" w:eastAsia="楷体"/>
          <w:szCs w:val="30"/>
        </w:rPr>
        <w:t>评价</w:t>
      </w:r>
      <w:bookmarkEnd w:id="17"/>
      <w:bookmarkEnd w:id="20"/>
      <w:bookmarkEnd w:id="21"/>
      <w:r>
        <w:rPr>
          <w:rFonts w:hint="eastAsia" w:ascii="楷体" w:hAnsi="楷体" w:eastAsia="楷体"/>
          <w:szCs w:val="30"/>
          <w:lang w:val="en-US" w:eastAsia="zh-CN"/>
        </w:rPr>
        <w:t>抽样</w:t>
      </w:r>
      <w:bookmarkEnd w:id="18"/>
    </w:p>
    <w:p w14:paraId="62B329F0">
      <w:pPr>
        <w:spacing w:line="579" w:lineRule="exact"/>
        <w:ind w:firstLine="630" w:firstLineChars="200"/>
        <w:rPr>
          <w:rFonts w:hint="default" w:hAnsi="仿宋" w:eastAsia="仿宋"/>
          <w:szCs w:val="30"/>
          <w:lang w:val="en-US" w:eastAsia="zh-CN"/>
        </w:rPr>
      </w:pPr>
      <w:r>
        <w:rPr>
          <w:rFonts w:hint="eastAsia" w:hAnsi="仿宋"/>
          <w:szCs w:val="30"/>
          <w:lang w:val="en-US" w:eastAsia="zh-CN"/>
        </w:rPr>
        <w:t>本次</w:t>
      </w:r>
      <w:r>
        <w:rPr>
          <w:rFonts w:hint="eastAsia" w:hAnsi="仿宋"/>
          <w:szCs w:val="30"/>
          <w:lang w:eastAsia="zh-CN"/>
        </w:rPr>
        <w:t>2024年中央补助地方国家电影事业发展专项资金</w:t>
      </w:r>
      <w:r>
        <w:rPr>
          <w:rFonts w:hint="eastAsia" w:hAnsi="仿宋"/>
          <w:szCs w:val="30"/>
          <w:lang w:val="en-US" w:eastAsia="zh-CN"/>
        </w:rPr>
        <w:t>绩效评价采取100%抽样的方式，对项目进行核查。</w:t>
      </w:r>
    </w:p>
    <w:bookmarkEnd w:id="19"/>
    <w:p w14:paraId="3D6836F5">
      <w:pPr>
        <w:spacing w:line="579" w:lineRule="exact"/>
        <w:ind w:firstLine="630" w:firstLineChars="200"/>
        <w:outlineLvl w:val="0"/>
        <w:rPr>
          <w:rFonts w:ascii="黑体" w:hAnsi="宋体" w:eastAsia="黑体" w:cs="宋体"/>
          <w:szCs w:val="30"/>
        </w:rPr>
      </w:pPr>
      <w:bookmarkStart w:id="22" w:name="_Toc348"/>
      <w:r>
        <w:rPr>
          <w:rFonts w:hint="eastAsia" w:ascii="黑体" w:hAnsi="宋体" w:eastAsia="黑体" w:cs="宋体"/>
          <w:szCs w:val="30"/>
          <w:lang w:val="en-US" w:eastAsia="zh-CN"/>
        </w:rPr>
        <w:t>三</w:t>
      </w:r>
      <w:r>
        <w:rPr>
          <w:rFonts w:hint="eastAsia" w:ascii="黑体" w:hAnsi="宋体" w:eastAsia="黑体" w:cs="宋体"/>
          <w:szCs w:val="30"/>
        </w:rPr>
        <w:t>、</w:t>
      </w:r>
      <w:r>
        <w:rPr>
          <w:rFonts w:hint="eastAsia" w:ascii="黑体" w:hAnsi="黑体" w:eastAsia="黑体"/>
          <w:lang w:val="en-US" w:eastAsia="zh-CN"/>
        </w:rPr>
        <w:t>绩效评价</w:t>
      </w:r>
      <w:r>
        <w:rPr>
          <w:rFonts w:hint="eastAsia" w:ascii="黑体" w:hAnsi="黑体" w:eastAsia="黑体"/>
        </w:rPr>
        <w:t>结论</w:t>
      </w:r>
      <w:bookmarkEnd w:id="22"/>
    </w:p>
    <w:p w14:paraId="38472F43">
      <w:pPr>
        <w:spacing w:line="579" w:lineRule="exact"/>
        <w:ind w:firstLine="630" w:firstLineChars="200"/>
        <w:outlineLvl w:val="1"/>
        <w:rPr>
          <w:rFonts w:ascii="楷体" w:hAnsi="楷体" w:eastAsia="楷体"/>
          <w:szCs w:val="30"/>
        </w:rPr>
      </w:pPr>
      <w:bookmarkStart w:id="23" w:name="_Toc23831"/>
      <w:r>
        <w:rPr>
          <w:rFonts w:hint="eastAsia" w:ascii="楷体" w:hAnsi="楷体" w:eastAsia="楷体"/>
          <w:szCs w:val="30"/>
        </w:rPr>
        <w:t>（一）绩效评价综合结论</w:t>
      </w:r>
      <w:bookmarkEnd w:id="23"/>
    </w:p>
    <w:p w14:paraId="5F34EA4D">
      <w:pPr>
        <w:spacing w:line="579" w:lineRule="exact"/>
        <w:ind w:firstLine="630" w:firstLineChars="200"/>
        <w:rPr>
          <w:rFonts w:hint="eastAsia" w:hAnsi="仿宋"/>
          <w:szCs w:val="30"/>
          <w:highlight w:val="none"/>
        </w:rPr>
      </w:pPr>
      <w:bookmarkStart w:id="24" w:name="_Hlk525314439"/>
      <w:r>
        <w:rPr>
          <w:rFonts w:hint="eastAsia" w:hAnsi="仿宋"/>
          <w:szCs w:val="30"/>
          <w:highlight w:val="none"/>
          <w:lang w:eastAsia="zh-CN"/>
        </w:rPr>
        <w:t>2024年中央补助地方国家电影事业发展专项资金项目</w:t>
      </w:r>
      <w:r>
        <w:rPr>
          <w:rFonts w:hint="eastAsia" w:hAnsi="仿宋"/>
          <w:szCs w:val="30"/>
          <w:highlight w:val="none"/>
        </w:rPr>
        <w:t>绩效评价得分</w:t>
      </w:r>
      <w:r>
        <w:rPr>
          <w:rFonts w:hint="eastAsia" w:hAnsi="仿宋"/>
          <w:szCs w:val="30"/>
          <w:highlight w:val="none"/>
          <w:lang w:val="en-US" w:eastAsia="zh-CN"/>
        </w:rPr>
        <w:t>89.80</w:t>
      </w:r>
      <w:r>
        <w:rPr>
          <w:rFonts w:hint="eastAsia" w:hAnsi="仿宋"/>
          <w:szCs w:val="30"/>
          <w:highlight w:val="none"/>
        </w:rPr>
        <w:t>分</w:t>
      </w:r>
      <w:r>
        <w:rPr>
          <w:rFonts w:hint="eastAsia" w:hAnsi="仿宋"/>
          <w:szCs w:val="30"/>
          <w:highlight w:val="none"/>
          <w:lang w:eastAsia="zh-CN"/>
        </w:rPr>
        <w:t>，</w:t>
      </w:r>
      <w:r>
        <w:rPr>
          <w:rFonts w:hint="eastAsia" w:hAnsi="仿宋"/>
          <w:szCs w:val="30"/>
          <w:highlight w:val="none"/>
        </w:rPr>
        <w:t>评价等级为“</w:t>
      </w:r>
      <w:r>
        <w:rPr>
          <w:rFonts w:hint="eastAsia" w:hAnsi="仿宋"/>
          <w:szCs w:val="30"/>
          <w:highlight w:val="none"/>
          <w:lang w:val="en-US" w:eastAsia="zh-CN"/>
        </w:rPr>
        <w:t>良</w:t>
      </w:r>
      <w:r>
        <w:rPr>
          <w:rFonts w:hint="eastAsia" w:hAnsi="仿宋"/>
          <w:szCs w:val="30"/>
          <w:highlight w:val="none"/>
        </w:rPr>
        <w:t>”。一级指标具体得分情况详见下表：</w:t>
      </w:r>
    </w:p>
    <w:p w14:paraId="574ED40E">
      <w:pPr>
        <w:jc w:val="center"/>
        <w:rPr>
          <w:rFonts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 xml:space="preserve">2 </w:t>
      </w:r>
      <w:r>
        <w:rPr>
          <w:rFonts w:hint="eastAsia" w:ascii="黑体" w:hAnsi="黑体" w:eastAsia="黑体" w:cs="宋体"/>
          <w:bCs/>
          <w:sz w:val="24"/>
          <w:szCs w:val="24"/>
        </w:rPr>
        <w:t>绩效评价得分情况表</w:t>
      </w:r>
    </w:p>
    <w:tbl>
      <w:tblPr>
        <w:tblStyle w:val="2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0F85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3" w:hRule="atLeast"/>
          <w:tblHeader/>
          <w:jc w:val="center"/>
        </w:trPr>
        <w:tc>
          <w:tcPr>
            <w:tcW w:w="2212" w:type="dxa"/>
            <w:tcBorders>
              <w:top w:val="single" w:color="auto" w:sz="4" w:space="0"/>
            </w:tcBorders>
            <w:vAlign w:val="center"/>
          </w:tcPr>
          <w:p w14:paraId="466CED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一级指标</w:t>
            </w:r>
          </w:p>
        </w:tc>
        <w:tc>
          <w:tcPr>
            <w:tcW w:w="2211" w:type="dxa"/>
            <w:tcBorders>
              <w:top w:val="single" w:color="auto" w:sz="4" w:space="0"/>
            </w:tcBorders>
            <w:vAlign w:val="center"/>
          </w:tcPr>
          <w:p w14:paraId="74A6A1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指标分值</w:t>
            </w:r>
          </w:p>
        </w:tc>
        <w:tc>
          <w:tcPr>
            <w:tcW w:w="2211" w:type="dxa"/>
            <w:tcBorders>
              <w:top w:val="single" w:color="auto" w:sz="4" w:space="0"/>
            </w:tcBorders>
            <w:vAlign w:val="center"/>
          </w:tcPr>
          <w:p w14:paraId="5F06EE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评价得分</w:t>
            </w:r>
          </w:p>
        </w:tc>
        <w:tc>
          <w:tcPr>
            <w:tcW w:w="2211" w:type="dxa"/>
            <w:tcBorders>
              <w:top w:val="single" w:color="auto" w:sz="4" w:space="0"/>
            </w:tcBorders>
            <w:vAlign w:val="center"/>
          </w:tcPr>
          <w:p w14:paraId="70D9C5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得分率</w:t>
            </w:r>
          </w:p>
        </w:tc>
      </w:tr>
      <w:tr w14:paraId="06F5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2212" w:type="dxa"/>
            <w:vAlign w:val="center"/>
          </w:tcPr>
          <w:p w14:paraId="062ED99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hAnsi="仿宋" w:eastAsia="仿宋" w:cs="宋体"/>
                <w:bCs/>
                <w:spacing w:val="6"/>
                <w:sz w:val="21"/>
                <w:highlight w:val="none"/>
                <w:lang w:val="en-US" w:eastAsia="zh-CN"/>
              </w:rPr>
            </w:pPr>
            <w:r>
              <w:rPr>
                <w:rFonts w:hint="eastAsia" w:hAnsi="仿宋" w:cs="仿宋"/>
                <w:i w:val="0"/>
                <w:iCs w:val="0"/>
                <w:color w:val="000000"/>
                <w:kern w:val="0"/>
                <w:sz w:val="21"/>
                <w:szCs w:val="21"/>
                <w:u w:val="none"/>
                <w:lang w:val="en-US" w:eastAsia="zh-CN" w:bidi="ar"/>
              </w:rPr>
              <w:t>投入</w:t>
            </w:r>
          </w:p>
        </w:tc>
        <w:tc>
          <w:tcPr>
            <w:tcW w:w="2211" w:type="dxa"/>
            <w:vAlign w:val="center"/>
          </w:tcPr>
          <w:p w14:paraId="48AA71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宋体"/>
                <w:bCs/>
                <w:spacing w:val="6"/>
                <w:sz w:val="21"/>
                <w:highlight w:val="none"/>
                <w:lang w:val="en-US"/>
              </w:rPr>
            </w:pPr>
            <w:r>
              <w:rPr>
                <w:rFonts w:hint="eastAsia" w:hAnsi="仿宋" w:cs="仿宋"/>
                <w:i w:val="0"/>
                <w:iCs w:val="0"/>
                <w:color w:val="000000"/>
                <w:kern w:val="0"/>
                <w:sz w:val="21"/>
                <w:szCs w:val="21"/>
                <w:u w:val="none"/>
                <w:lang w:val="en-US" w:eastAsia="zh-CN" w:bidi="ar"/>
              </w:rPr>
              <w:t>10</w:t>
            </w:r>
          </w:p>
        </w:tc>
        <w:tc>
          <w:tcPr>
            <w:tcW w:w="2211" w:type="dxa"/>
            <w:vAlign w:val="center"/>
          </w:tcPr>
          <w:p w14:paraId="5EC06C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8</w:t>
            </w:r>
          </w:p>
        </w:tc>
        <w:tc>
          <w:tcPr>
            <w:tcW w:w="2211" w:type="dxa"/>
            <w:vAlign w:val="center"/>
          </w:tcPr>
          <w:p w14:paraId="070DE9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80%</w:t>
            </w:r>
          </w:p>
        </w:tc>
      </w:tr>
      <w:tr w14:paraId="08F2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atLeast"/>
          <w:jc w:val="center"/>
        </w:trPr>
        <w:tc>
          <w:tcPr>
            <w:tcW w:w="2212" w:type="dxa"/>
            <w:vAlign w:val="center"/>
          </w:tcPr>
          <w:p w14:paraId="1C25EE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过程</w:t>
            </w:r>
          </w:p>
        </w:tc>
        <w:tc>
          <w:tcPr>
            <w:tcW w:w="2211" w:type="dxa"/>
            <w:vAlign w:val="center"/>
          </w:tcPr>
          <w:p w14:paraId="3991D0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宋体"/>
                <w:bCs/>
                <w:spacing w:val="6"/>
                <w:sz w:val="21"/>
                <w:highlight w:val="none"/>
                <w:lang w:val="en-US"/>
              </w:rPr>
            </w:pPr>
            <w:r>
              <w:rPr>
                <w:rFonts w:hint="eastAsia" w:hAnsi="仿宋" w:cs="仿宋"/>
                <w:i w:val="0"/>
                <w:iCs w:val="0"/>
                <w:color w:val="000000"/>
                <w:kern w:val="0"/>
                <w:sz w:val="21"/>
                <w:szCs w:val="21"/>
                <w:u w:val="none"/>
                <w:lang w:val="en-US" w:eastAsia="zh-CN" w:bidi="ar"/>
              </w:rPr>
              <w:t>34</w:t>
            </w:r>
          </w:p>
        </w:tc>
        <w:tc>
          <w:tcPr>
            <w:tcW w:w="2211" w:type="dxa"/>
            <w:vAlign w:val="center"/>
          </w:tcPr>
          <w:p w14:paraId="246EE0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32.80</w:t>
            </w:r>
          </w:p>
        </w:tc>
        <w:tc>
          <w:tcPr>
            <w:tcW w:w="2211" w:type="dxa"/>
            <w:vAlign w:val="center"/>
          </w:tcPr>
          <w:p w14:paraId="456782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96.47%</w:t>
            </w:r>
          </w:p>
        </w:tc>
      </w:tr>
      <w:tr w14:paraId="3416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2212" w:type="dxa"/>
            <w:vAlign w:val="center"/>
          </w:tcPr>
          <w:p w14:paraId="47DE96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产出</w:t>
            </w:r>
          </w:p>
        </w:tc>
        <w:tc>
          <w:tcPr>
            <w:tcW w:w="2211" w:type="dxa"/>
            <w:vAlign w:val="center"/>
          </w:tcPr>
          <w:p w14:paraId="770E37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eastAsia="仿宋" w:cs="宋体"/>
                <w:bCs/>
                <w:spacing w:val="6"/>
                <w:sz w:val="21"/>
                <w:highlight w:val="none"/>
                <w:lang w:val="en-US" w:eastAsia="zh-CN"/>
              </w:rPr>
            </w:pPr>
            <w:r>
              <w:rPr>
                <w:rFonts w:hint="eastAsia" w:hAnsi="仿宋" w:cs="仿宋"/>
                <w:i w:val="0"/>
                <w:iCs w:val="0"/>
                <w:color w:val="000000"/>
                <w:kern w:val="0"/>
                <w:sz w:val="21"/>
                <w:szCs w:val="21"/>
                <w:u w:val="none"/>
                <w:lang w:val="en-US" w:eastAsia="zh-CN" w:bidi="ar"/>
              </w:rPr>
              <w:t>34</w:t>
            </w:r>
          </w:p>
        </w:tc>
        <w:tc>
          <w:tcPr>
            <w:tcW w:w="2211" w:type="dxa"/>
            <w:vAlign w:val="center"/>
          </w:tcPr>
          <w:p w14:paraId="7453D8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34</w:t>
            </w:r>
          </w:p>
        </w:tc>
        <w:tc>
          <w:tcPr>
            <w:tcW w:w="2211" w:type="dxa"/>
            <w:vAlign w:val="center"/>
          </w:tcPr>
          <w:p w14:paraId="5AACA1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100%</w:t>
            </w:r>
          </w:p>
        </w:tc>
      </w:tr>
      <w:tr w14:paraId="557E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2212" w:type="dxa"/>
            <w:vAlign w:val="center"/>
          </w:tcPr>
          <w:p w14:paraId="57B781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效果</w:t>
            </w:r>
          </w:p>
        </w:tc>
        <w:tc>
          <w:tcPr>
            <w:tcW w:w="2211" w:type="dxa"/>
            <w:vAlign w:val="center"/>
          </w:tcPr>
          <w:p w14:paraId="17CD26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22</w:t>
            </w:r>
          </w:p>
        </w:tc>
        <w:tc>
          <w:tcPr>
            <w:tcW w:w="2211" w:type="dxa"/>
            <w:vAlign w:val="center"/>
          </w:tcPr>
          <w:p w14:paraId="036B57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15</w:t>
            </w:r>
          </w:p>
        </w:tc>
        <w:tc>
          <w:tcPr>
            <w:tcW w:w="2211" w:type="dxa"/>
            <w:vAlign w:val="center"/>
          </w:tcPr>
          <w:p w14:paraId="454810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68.18%</w:t>
            </w:r>
          </w:p>
        </w:tc>
      </w:tr>
      <w:tr w14:paraId="5A5F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2" w:hRule="atLeast"/>
          <w:jc w:val="center"/>
        </w:trPr>
        <w:tc>
          <w:tcPr>
            <w:tcW w:w="2212" w:type="dxa"/>
            <w:vAlign w:val="center"/>
          </w:tcPr>
          <w:p w14:paraId="4BFCAE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合</w:t>
            </w:r>
            <w:r>
              <w:rPr>
                <w:rStyle w:val="48"/>
                <w:lang w:val="en-US" w:eastAsia="zh-CN" w:bidi="ar"/>
              </w:rPr>
              <w:t xml:space="preserve"> 计</w:t>
            </w:r>
          </w:p>
        </w:tc>
        <w:tc>
          <w:tcPr>
            <w:tcW w:w="2211" w:type="dxa"/>
            <w:vAlign w:val="center"/>
          </w:tcPr>
          <w:p w14:paraId="1F0238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100</w:t>
            </w:r>
          </w:p>
        </w:tc>
        <w:tc>
          <w:tcPr>
            <w:tcW w:w="2211" w:type="dxa"/>
            <w:vAlign w:val="center"/>
          </w:tcPr>
          <w:p w14:paraId="261B90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eastAsia="仿宋" w:cs="宋体"/>
                <w:b/>
                <w:bCs/>
                <w:spacing w:val="6"/>
                <w:sz w:val="21"/>
                <w:highlight w:val="none"/>
                <w:lang w:val="en-US" w:eastAsia="zh-CN"/>
              </w:rPr>
            </w:pPr>
            <w:r>
              <w:rPr>
                <w:rFonts w:hint="eastAsia" w:hAnsi="仿宋" w:cs="宋体"/>
                <w:b/>
                <w:bCs/>
                <w:spacing w:val="6"/>
                <w:sz w:val="21"/>
                <w:highlight w:val="none"/>
                <w:lang w:val="en-US" w:eastAsia="zh-CN"/>
              </w:rPr>
              <w:t>89.80</w:t>
            </w:r>
          </w:p>
        </w:tc>
        <w:tc>
          <w:tcPr>
            <w:tcW w:w="2211" w:type="dxa"/>
            <w:vAlign w:val="center"/>
          </w:tcPr>
          <w:p w14:paraId="72F44B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hAnsi="仿宋" w:cs="宋体"/>
                <w:b/>
                <w:bCs/>
                <w:spacing w:val="6"/>
                <w:sz w:val="21"/>
                <w:highlight w:val="none"/>
                <w:lang w:val="en-US" w:eastAsia="zh-CN"/>
              </w:rPr>
              <w:t>89.80</w:t>
            </w:r>
            <w:r>
              <w:rPr>
                <w:rFonts w:hint="eastAsia" w:ascii="仿宋" w:hAnsi="仿宋" w:eastAsia="仿宋" w:cs="仿宋"/>
                <w:b/>
                <w:bCs/>
                <w:i w:val="0"/>
                <w:iCs w:val="0"/>
                <w:color w:val="000000"/>
                <w:kern w:val="0"/>
                <w:sz w:val="21"/>
                <w:szCs w:val="21"/>
                <w:u w:val="none"/>
                <w:lang w:val="en-US" w:eastAsia="zh-CN" w:bidi="ar"/>
              </w:rPr>
              <w:t>%</w:t>
            </w:r>
          </w:p>
        </w:tc>
      </w:tr>
      <w:bookmarkEnd w:id="24"/>
    </w:tbl>
    <w:p w14:paraId="7BC1A138">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szCs w:val="30"/>
          <w:highlight w:val="none"/>
          <w:lang w:val="en-US" w:eastAsia="zh-CN"/>
        </w:rPr>
      </w:pPr>
      <w:r>
        <w:rPr>
          <w:rFonts w:hint="eastAsia" w:hAnsi="仿宋"/>
          <w:szCs w:val="30"/>
          <w:highlight w:val="none"/>
          <w:lang w:val="en-US" w:eastAsia="zh-CN"/>
        </w:rPr>
        <w:t>整体来看，2024年中央补助地方国家电影事业发展专项资金项目，以资金扶持引导地方影院扩大国产及特色/艺术影片放映、提升基层观影可及性，完成西山区影院先进设备升级以优化放映质量，借基层影院建设与设备升级助力国产影片市场影响力提升，推动地方电影事业均衡发展。立项依据充分、程序规范，政策杠杆效应与公共文化效益同频放大。</w:t>
      </w:r>
    </w:p>
    <w:p w14:paraId="48D3D572">
      <w:pPr>
        <w:spacing w:line="579" w:lineRule="exact"/>
        <w:ind w:firstLine="630" w:firstLineChars="200"/>
        <w:rPr>
          <w:rFonts w:hint="eastAsia" w:hAnsi="仿宋" w:cs="Times New Roman"/>
          <w:szCs w:val="30"/>
          <w:highlight w:val="yellow"/>
          <w:lang w:val="en-US" w:eastAsia="zh-CN"/>
        </w:rPr>
      </w:pPr>
      <w:r>
        <w:rPr>
          <w:rFonts w:hint="eastAsia" w:hAnsi="仿宋"/>
          <w:szCs w:val="30"/>
          <w:highlight w:val="none"/>
          <w:lang w:val="en-US" w:eastAsia="zh-CN"/>
        </w:rPr>
        <w:t>2024年中央补助地方国家电影事业发展专项资金严格遵循相关管理规定，审批程序规范、手续完备，实现专款专用，未发现挤占、挪用等违规情况。通过对影城IMAX等先进技术设备改造的精准资助，推动影院放映技术升级，借助超大银幕、超高清晰度、环绕音响系统等核心技术打造沉浸式观影体验，既有效吸引了广大观众及企事业单位参与观影消费，丰富了群众精神文化生活，又助力影院拓展多元化经营模式、提升市场竞争力，最终落实“繁荣电影市场、鼓励影院采用新技术新工艺”的政策目标，推动电影产业提质增效，促进文化消费升级，让公共文化服务更贴合群众高品质需求，助力地方文化事业与文化产业协同发展。</w:t>
      </w:r>
    </w:p>
    <w:p w14:paraId="582DDF9D">
      <w:pPr>
        <w:spacing w:line="579" w:lineRule="exact"/>
        <w:ind w:firstLine="630" w:firstLineChars="200"/>
        <w:outlineLvl w:val="1"/>
        <w:rPr>
          <w:rFonts w:ascii="楷体" w:hAnsi="楷体" w:eastAsia="楷体"/>
          <w:szCs w:val="30"/>
        </w:rPr>
      </w:pPr>
      <w:bookmarkStart w:id="25" w:name="_Toc9732"/>
      <w:r>
        <w:rPr>
          <w:rFonts w:hint="eastAsia" w:ascii="楷体" w:hAnsi="楷体" w:eastAsia="楷体"/>
          <w:szCs w:val="30"/>
        </w:rPr>
        <w:t>（二）绩效目标实现情况</w:t>
      </w:r>
      <w:bookmarkEnd w:id="25"/>
    </w:p>
    <w:p w14:paraId="52B4CB7B">
      <w:pPr>
        <w:ind w:firstLine="630"/>
        <w:rPr>
          <w:rFonts w:hint="eastAsia" w:hAnsi="仿宋"/>
          <w:sz w:val="30"/>
          <w:szCs w:val="30"/>
          <w:highlight w:val="none"/>
          <w:lang w:val="en-US" w:eastAsia="zh-CN"/>
        </w:rPr>
      </w:pPr>
      <w:bookmarkStart w:id="26" w:name="_Hlk525314457"/>
      <w:r>
        <w:rPr>
          <w:rFonts w:hint="eastAsia" w:hAnsi="仿宋"/>
          <w:sz w:val="30"/>
          <w:szCs w:val="30"/>
          <w:highlight w:val="none"/>
          <w:lang w:val="en-US" w:eastAsia="zh-CN"/>
        </w:rPr>
        <w:t>根据评价情况，2024年中央补助地方国家电影事业发展专项资金项目支出实施状态良好，预期的绩效目标对应的18项具体绩效指标中有13项实现预期目标，5项部分实现预期目标。从具体目标上看，项目立项规范性、资金到位率、到位及时率、制度执行有效性、管理制度健全性、项目质量可控性、实际完成率、完成及时率、质量达标率、经济效益等达到预期目标。但部分绩效目标合理性、绩效指标明确性、资金使用合规性、社会效益及群众满意度等指标完成情况与预期目标之间还存在一定差距，如：西山区委宣传部将绩效目标细化分解为具体的绩效指标；未通过清晰、可衡量的指标值予以体现；与项目目标任务数或计划数相对应。但存在未将任务完成时效与各项工作质量作为任务目标的情况。缺少时效及社会效益指标。该项目实施区域人民群众满意度仅达到80.00%。</w:t>
      </w:r>
    </w:p>
    <w:p w14:paraId="7E812E57">
      <w:pPr>
        <w:ind w:firstLine="630"/>
        <w:rPr>
          <w:rFonts w:hint="eastAsia" w:ascii="黑体" w:hAnsi="黑体" w:eastAsia="黑体" w:cs="宋体"/>
          <w:bCs/>
          <w:sz w:val="30"/>
          <w:szCs w:val="30"/>
          <w:highlight w:val="none"/>
        </w:rPr>
      </w:pPr>
      <w:r>
        <w:rPr>
          <w:rFonts w:hint="eastAsia" w:hAnsi="仿宋"/>
          <w:sz w:val="30"/>
          <w:szCs w:val="30"/>
          <w:highlight w:val="none"/>
        </w:rPr>
        <w:t>各指标完成情况详见下表：</w:t>
      </w:r>
    </w:p>
    <w:p w14:paraId="423DF36A">
      <w:pPr>
        <w:ind w:firstLine="630"/>
        <w:jc w:val="center"/>
        <w:rPr>
          <w:rFonts w:hint="eastAsia"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 xml:space="preserve">3 </w:t>
      </w:r>
      <w:r>
        <w:rPr>
          <w:rFonts w:hint="eastAsia" w:ascii="黑体" w:hAnsi="黑体" w:eastAsia="黑体" w:cs="宋体"/>
          <w:bCs/>
          <w:sz w:val="24"/>
          <w:szCs w:val="24"/>
        </w:rPr>
        <w:t>绩效指标完成情况表</w:t>
      </w:r>
    </w:p>
    <w:bookmarkEnd w:id="26"/>
    <w:tbl>
      <w:tblPr>
        <w:tblStyle w:val="20"/>
        <w:tblW w:w="9610"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0"/>
        <w:gridCol w:w="390"/>
        <w:gridCol w:w="760"/>
        <w:gridCol w:w="4010"/>
        <w:gridCol w:w="380"/>
        <w:gridCol w:w="3730"/>
      </w:tblGrid>
      <w:tr w14:paraId="6549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blHeader/>
        </w:trPr>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7F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42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二级指标</w:t>
            </w:r>
          </w:p>
        </w:tc>
        <w:tc>
          <w:tcPr>
            <w:tcW w:w="760" w:type="dxa"/>
            <w:tcBorders>
              <w:top w:val="single" w:color="000000" w:sz="4" w:space="0"/>
              <w:left w:val="single" w:color="000000" w:sz="4" w:space="0"/>
              <w:bottom w:val="single" w:color="000000" w:sz="4" w:space="0"/>
              <w:right w:val="single" w:color="auto" w:sz="4" w:space="0"/>
            </w:tcBorders>
            <w:shd w:val="clear" w:color="auto" w:fill="auto"/>
            <w:vAlign w:val="center"/>
          </w:tcPr>
          <w:p w14:paraId="022E49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三级指标</w:t>
            </w:r>
          </w:p>
        </w:tc>
        <w:tc>
          <w:tcPr>
            <w:tcW w:w="4010" w:type="dxa"/>
            <w:tcBorders>
              <w:top w:val="single" w:color="auto" w:sz="4" w:space="0"/>
              <w:left w:val="single" w:color="auto" w:sz="4" w:space="0"/>
              <w:bottom w:val="single" w:color="auto" w:sz="4" w:space="0"/>
              <w:right w:val="single" w:color="auto" w:sz="4" w:space="0"/>
            </w:tcBorders>
            <w:shd w:val="clear" w:color="auto" w:fill="auto"/>
            <w:vAlign w:val="center"/>
          </w:tcPr>
          <w:p w14:paraId="1C43F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指标说明</w:t>
            </w:r>
          </w:p>
        </w:tc>
        <w:tc>
          <w:tcPr>
            <w:tcW w:w="380" w:type="dxa"/>
            <w:tcBorders>
              <w:top w:val="single" w:color="auto" w:sz="4" w:space="0"/>
              <w:left w:val="single" w:color="auto" w:sz="4" w:space="0"/>
              <w:bottom w:val="single" w:color="auto" w:sz="4" w:space="0"/>
              <w:right w:val="single" w:color="auto" w:sz="4" w:space="0"/>
            </w:tcBorders>
            <w:shd w:val="clear" w:color="auto" w:fill="auto"/>
            <w:vAlign w:val="center"/>
          </w:tcPr>
          <w:p w14:paraId="5E7983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指标实现情况</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57A3DF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完成情况说明</w:t>
            </w:r>
          </w:p>
        </w:tc>
      </w:tr>
      <w:tr w14:paraId="7773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04" w:hRule="atLeast"/>
        </w:trPr>
        <w:tc>
          <w:tcPr>
            <w:tcW w:w="3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B53E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   入（10分）</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827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立项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C3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项目立项规范性（2分）</w:t>
            </w:r>
          </w:p>
        </w:tc>
        <w:tc>
          <w:tcPr>
            <w:tcW w:w="4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2BF648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①项目是否按照规定的程序申请设立；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②所提交的文件、材料是否符合相关要求；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③事前是否已经过必要的可行性研究、专家论证、风险评估、集体决策等。</w:t>
            </w:r>
          </w:p>
        </w:tc>
        <w:tc>
          <w:tcPr>
            <w:tcW w:w="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2ADF4E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0"/>
                <w:szCs w:val="20"/>
                <w:u w:val="none"/>
                <w:lang w:val="en-US" w:eastAsia="zh-CN"/>
              </w:rPr>
            </w:pPr>
            <w:r>
              <w:rPr>
                <w:rFonts w:hint="eastAsia" w:hAnsi="仿宋" w:cs="仿宋"/>
                <w:i w:val="0"/>
                <w:iCs w:val="0"/>
                <w:color w:val="000000"/>
                <w:sz w:val="20"/>
                <w:szCs w:val="20"/>
                <w:u w:val="none"/>
                <w:lang w:val="en-US" w:eastAsia="zh-CN"/>
              </w:rPr>
              <w:t>全部完成</w:t>
            </w:r>
          </w:p>
        </w:tc>
        <w:tc>
          <w:tcPr>
            <w:tcW w:w="3730" w:type="dxa"/>
            <w:tcBorders>
              <w:top w:val="single" w:color="auto" w:sz="4" w:space="0"/>
              <w:left w:val="single" w:color="000000" w:sz="4" w:space="0"/>
              <w:bottom w:val="single" w:color="000000" w:sz="4" w:space="0"/>
              <w:right w:val="single" w:color="000000" w:sz="4" w:space="0"/>
            </w:tcBorders>
            <w:shd w:val="clear" w:color="auto" w:fill="auto"/>
            <w:vAlign w:val="center"/>
          </w:tcPr>
          <w:p w14:paraId="43A9EB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西山区委宣传部已按规定的程序申请设立</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所提交的文件、材料符合相关要求</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事前已经过必要的集体决策。</w:t>
            </w:r>
          </w:p>
        </w:tc>
      </w:tr>
      <w:tr w14:paraId="4BD4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2931B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C302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07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绩效目标合理性（2分）</w:t>
            </w:r>
          </w:p>
        </w:tc>
        <w:tc>
          <w:tcPr>
            <w:tcW w:w="4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6D782B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①是否符合国家相关法律法规、国民经济发展规划和党委政府决策；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②是否与项目实施单位或委托单位职责密切相关；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③项目是否为促进事业发展所必需；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④项目预期产出效益和效果是否符合正常的业绩水平。</w:t>
            </w:r>
          </w:p>
        </w:tc>
        <w:tc>
          <w:tcPr>
            <w:tcW w:w="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545BBB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部分完成</w:t>
            </w:r>
          </w:p>
        </w:tc>
        <w:tc>
          <w:tcPr>
            <w:tcW w:w="3730" w:type="dxa"/>
            <w:tcBorders>
              <w:top w:val="single" w:color="auto" w:sz="4" w:space="0"/>
              <w:left w:val="single" w:color="000000" w:sz="4" w:space="0"/>
              <w:bottom w:val="single" w:color="000000" w:sz="4" w:space="0"/>
              <w:right w:val="single" w:color="000000" w:sz="4" w:space="0"/>
            </w:tcBorders>
            <w:shd w:val="clear" w:color="auto" w:fill="auto"/>
            <w:vAlign w:val="center"/>
          </w:tcPr>
          <w:p w14:paraId="4E0E04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西山区委宣传部将绩效目标细化分解为具体的绩效指标；未通过清晰、可衡量的指标值予以体现</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扣0.5分；与项目目标任务数或计划数相对应。但存在未将任务完成时效与各项工作质量作为任务目标的情况。缺少时效及社会效益指标</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扣0.5分。</w:t>
            </w:r>
          </w:p>
        </w:tc>
      </w:tr>
      <w:tr w14:paraId="5B6ED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F9878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413B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22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绩效指标明确性（2分）</w:t>
            </w:r>
          </w:p>
        </w:tc>
        <w:tc>
          <w:tcPr>
            <w:tcW w:w="4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520E9D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①是否将项目绩效目标细化分解为具体的绩效指标；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②是否通过清晰、可衡量的指标值予以体现；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③是否与项目年度任务数或计划数相对应；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④是否与预算确定的项目投资额或资金量相匹配。</w:t>
            </w:r>
          </w:p>
        </w:tc>
        <w:tc>
          <w:tcPr>
            <w:tcW w:w="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68F569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部分完成</w:t>
            </w:r>
          </w:p>
        </w:tc>
        <w:tc>
          <w:tcPr>
            <w:tcW w:w="3730" w:type="dxa"/>
            <w:tcBorders>
              <w:top w:val="single" w:color="auto" w:sz="4" w:space="0"/>
              <w:left w:val="single" w:color="000000" w:sz="4" w:space="0"/>
              <w:bottom w:val="single" w:color="000000" w:sz="4" w:space="0"/>
              <w:right w:val="single" w:color="000000" w:sz="4" w:space="0"/>
            </w:tcBorders>
            <w:shd w:val="clear" w:color="auto" w:fill="auto"/>
            <w:vAlign w:val="center"/>
          </w:tcPr>
          <w:p w14:paraId="7ADBA8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西山区委宣传部未将项目绩效目标细化分解为具体的绩效指标</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扣0.5分。未通过清晰、可衡量的指标值予以体现</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扣0.5分</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项目与项目年度任务数或计划数相相对应</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与预算确定的项目投资额或资金量相匹配。</w:t>
            </w:r>
          </w:p>
        </w:tc>
      </w:tr>
      <w:tr w14:paraId="6C7AA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7EC15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6ED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落实</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65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资金到位率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（2分）</w:t>
            </w:r>
          </w:p>
        </w:tc>
        <w:tc>
          <w:tcPr>
            <w:tcW w:w="4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744C11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资金到位率=（实际到位资金/计划投入资金）×100%。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实际到位资金：一定时期（本年度或项目期）内实际落实到具体项目的资金。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计划投入资金：一定时期（本年度或项目期）内计划投入到具体项目的资金。</w:t>
            </w:r>
          </w:p>
        </w:tc>
        <w:tc>
          <w:tcPr>
            <w:tcW w:w="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7A93B1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0"/>
                <w:szCs w:val="20"/>
                <w:u w:val="none"/>
                <w:lang w:val="en-US" w:eastAsia="zh-CN"/>
              </w:rPr>
            </w:pPr>
            <w:r>
              <w:rPr>
                <w:rFonts w:hint="eastAsia" w:hAnsi="仿宋" w:cs="仿宋"/>
                <w:i w:val="0"/>
                <w:iCs w:val="0"/>
                <w:color w:val="000000"/>
                <w:sz w:val="20"/>
                <w:szCs w:val="20"/>
                <w:u w:val="none"/>
                <w:lang w:val="en-US" w:eastAsia="zh-CN"/>
              </w:rPr>
              <w:t>全部完成</w:t>
            </w:r>
          </w:p>
        </w:tc>
        <w:tc>
          <w:tcPr>
            <w:tcW w:w="3730" w:type="dxa"/>
            <w:tcBorders>
              <w:top w:val="single" w:color="auto" w:sz="4" w:space="0"/>
              <w:left w:val="single" w:color="000000" w:sz="4" w:space="0"/>
              <w:bottom w:val="single" w:color="000000" w:sz="4" w:space="0"/>
              <w:right w:val="single" w:color="000000" w:sz="4" w:space="0"/>
            </w:tcBorders>
            <w:shd w:val="clear" w:color="auto" w:fill="auto"/>
            <w:vAlign w:val="center"/>
          </w:tcPr>
          <w:p w14:paraId="6FAD26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项目预算资金500,000.00元</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实际到位资金500,000.00元。资金到位率100.00%。</w:t>
            </w:r>
          </w:p>
        </w:tc>
      </w:tr>
      <w:tr w14:paraId="46F7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97F3D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0964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E5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到位及时率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（2分）</w:t>
            </w:r>
          </w:p>
        </w:tc>
        <w:tc>
          <w:tcPr>
            <w:tcW w:w="4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6D0F5B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到位及时率=（及时到位资金/应到位资金）×100%。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及时到位资金：截至规定时点实际落实到具体项目的资金。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应到位资金：按照合同或项目进度要求截至规定时点应落实到具体项目的资金。</w:t>
            </w:r>
          </w:p>
        </w:tc>
        <w:tc>
          <w:tcPr>
            <w:tcW w:w="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2A5B76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730" w:type="dxa"/>
            <w:tcBorders>
              <w:top w:val="single" w:color="auto" w:sz="4" w:space="0"/>
              <w:left w:val="single" w:color="000000" w:sz="4" w:space="0"/>
              <w:bottom w:val="single" w:color="000000" w:sz="4" w:space="0"/>
              <w:right w:val="single" w:color="000000" w:sz="4" w:space="0"/>
            </w:tcBorders>
            <w:shd w:val="clear" w:color="auto" w:fill="auto"/>
            <w:vAlign w:val="center"/>
          </w:tcPr>
          <w:p w14:paraId="0C2D3C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项目实际到位资金500,000.00元</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截止2024年12月31日实际支出资金500,000.00元</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预算执行率100%。</w:t>
            </w:r>
          </w:p>
        </w:tc>
      </w:tr>
      <w:tr w14:paraId="2F731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7F97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过程（34分）</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C1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管理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41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管理制度健全性（5分）</w:t>
            </w:r>
          </w:p>
        </w:tc>
        <w:tc>
          <w:tcPr>
            <w:tcW w:w="4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20AD33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①是否已制定或具有相应的业务管理制度；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②业务管理制度是否合法、合规、完整。</w:t>
            </w:r>
          </w:p>
        </w:tc>
        <w:tc>
          <w:tcPr>
            <w:tcW w:w="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7F966B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0"/>
                <w:szCs w:val="20"/>
                <w:u w:val="none"/>
                <w:lang w:val="en-US" w:eastAsia="zh-CN"/>
              </w:rPr>
            </w:pPr>
            <w:r>
              <w:rPr>
                <w:rFonts w:hint="eastAsia" w:hAnsi="仿宋" w:cs="仿宋"/>
                <w:i w:val="0"/>
                <w:iCs w:val="0"/>
                <w:color w:val="000000"/>
                <w:sz w:val="20"/>
                <w:szCs w:val="20"/>
                <w:u w:val="none"/>
                <w:lang w:val="en-US" w:eastAsia="zh-CN"/>
              </w:rPr>
              <w:t>全部完成</w:t>
            </w:r>
          </w:p>
        </w:tc>
        <w:tc>
          <w:tcPr>
            <w:tcW w:w="3730" w:type="dxa"/>
            <w:tcBorders>
              <w:top w:val="single" w:color="auto" w:sz="4" w:space="0"/>
              <w:left w:val="single" w:color="000000" w:sz="4" w:space="0"/>
              <w:bottom w:val="single" w:color="000000" w:sz="4" w:space="0"/>
              <w:right w:val="single" w:color="000000" w:sz="4" w:space="0"/>
            </w:tcBorders>
            <w:shd w:val="clear" w:color="auto" w:fill="auto"/>
            <w:vAlign w:val="center"/>
          </w:tcPr>
          <w:p w14:paraId="67C1C4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项目已制定或具有相应的财务和业务管理制度；财务和业务管理制度合法、合规、完整。且根据国家、省相关规定</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单独制定了《中共西山区委宣传部内部控制基本制度》《中共西山区委宣传部内部控制制度-预算管理办法》《中共西山区委宣传部内部控制制度-收支管理办法》等管理办法。</w:t>
            </w:r>
          </w:p>
        </w:tc>
      </w:tr>
      <w:tr w14:paraId="65A28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D013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过程（34分）</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A78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管理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A4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制度执行有效性（6分）</w:t>
            </w:r>
          </w:p>
        </w:tc>
        <w:tc>
          <w:tcPr>
            <w:tcW w:w="4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20D307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①是否遵守相关法律法规和业务管理规定；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②项目调整及支出调整手续是否完备；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③项目合同书、验收报告、技术鉴定等资料是否齐全并及时归档；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④项目实施的人员条件、场地设备、信息支撑等是否落实到位。</w:t>
            </w:r>
          </w:p>
        </w:tc>
        <w:tc>
          <w:tcPr>
            <w:tcW w:w="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2C2421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730" w:type="dxa"/>
            <w:tcBorders>
              <w:top w:val="single" w:color="auto" w:sz="4" w:space="0"/>
              <w:left w:val="single" w:color="000000" w:sz="4" w:space="0"/>
              <w:bottom w:val="single" w:color="000000" w:sz="4" w:space="0"/>
              <w:right w:val="single" w:color="000000" w:sz="4" w:space="0"/>
            </w:tcBorders>
            <w:shd w:val="clear" w:color="auto" w:fill="auto"/>
            <w:vAlign w:val="center"/>
          </w:tcPr>
          <w:p w14:paraId="65CE7C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西山区委宣传部遵守相关法律法规和业务管理规定；暂无项目调整及支出调整手续；有项目合同书、验收单等证明材料并归档；已配备项目实施的人员、场地、信息支撑等。</w:t>
            </w:r>
          </w:p>
        </w:tc>
      </w:tr>
      <w:tr w14:paraId="4AB35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C2C70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0F19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FA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项目质量可控性（5分）</w:t>
            </w:r>
          </w:p>
        </w:tc>
        <w:tc>
          <w:tcPr>
            <w:tcW w:w="4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597084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①是否已制定或具有相应的项目质量要求或标准；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②是否采取了相应的项目质量检查、验收等必需的控制措施或手段。</w:t>
            </w:r>
          </w:p>
        </w:tc>
        <w:tc>
          <w:tcPr>
            <w:tcW w:w="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31DD50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730" w:type="dxa"/>
            <w:tcBorders>
              <w:top w:val="single" w:color="auto" w:sz="4" w:space="0"/>
              <w:left w:val="single" w:color="000000" w:sz="4" w:space="0"/>
              <w:bottom w:val="single" w:color="000000" w:sz="4" w:space="0"/>
              <w:right w:val="single" w:color="000000" w:sz="4" w:space="0"/>
            </w:tcBorders>
            <w:shd w:val="clear" w:color="auto" w:fill="auto"/>
            <w:vAlign w:val="center"/>
          </w:tcPr>
          <w:p w14:paraId="531C28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西山区委宣传部对项目具有相应质量要求或标准</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并采取了相应的项目质量检查、验收等必需的控制措施或手段。</w:t>
            </w:r>
          </w:p>
        </w:tc>
      </w:tr>
      <w:tr w14:paraId="65B2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1AB04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D6A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管理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03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管理制度健全性（6分）</w:t>
            </w:r>
          </w:p>
        </w:tc>
        <w:tc>
          <w:tcPr>
            <w:tcW w:w="4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7FAC21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①是否已制定或具有相应的项目资金管理办法；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②项目资金管理办法是否符合相关财务会计制度的规定。</w:t>
            </w:r>
          </w:p>
        </w:tc>
        <w:tc>
          <w:tcPr>
            <w:tcW w:w="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3BFE73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730" w:type="dxa"/>
            <w:tcBorders>
              <w:top w:val="single" w:color="auto" w:sz="4" w:space="0"/>
              <w:left w:val="single" w:color="000000" w:sz="4" w:space="0"/>
              <w:bottom w:val="single" w:color="000000" w:sz="4" w:space="0"/>
              <w:right w:val="single" w:color="000000" w:sz="4" w:space="0"/>
            </w:tcBorders>
            <w:shd w:val="clear" w:color="auto" w:fill="auto"/>
            <w:vAlign w:val="center"/>
          </w:tcPr>
          <w:p w14:paraId="3849BC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项目已制定或具有相应的财务和业务管理制度；财务和业务管理制度合法、合规、完整。且根据国家、省相关规定</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单独制定了《中共西山区委宣传部内部控制基本制度》《中共西山区委宣传部内部控制制度-预算管理办法》《中共西山区委宣传部内部控制制度-收支管理办法》等管理办法。</w:t>
            </w:r>
          </w:p>
        </w:tc>
      </w:tr>
      <w:tr w14:paraId="0D618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BB4C2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89EF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04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资金使用合规性（6分）</w:t>
            </w:r>
          </w:p>
        </w:tc>
        <w:tc>
          <w:tcPr>
            <w:tcW w:w="4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4F4E12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①是否符合国家财经法规和财务管理制度以及有关专项资金管理办法的规定；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②资金的拨付是否有完整的审批程序和手续；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③项目的重大开支是否经过评估认证；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④是否符合项目预算批复或合同规定的用途；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⑤是否存在截留、挤占、挪用、虚列支出等情况。</w:t>
            </w:r>
          </w:p>
        </w:tc>
        <w:tc>
          <w:tcPr>
            <w:tcW w:w="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788BC8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部分完成</w:t>
            </w:r>
          </w:p>
        </w:tc>
        <w:tc>
          <w:tcPr>
            <w:tcW w:w="3730" w:type="dxa"/>
            <w:tcBorders>
              <w:top w:val="single" w:color="auto" w:sz="4" w:space="0"/>
              <w:left w:val="single" w:color="000000" w:sz="4" w:space="0"/>
              <w:bottom w:val="single" w:color="000000" w:sz="4" w:space="0"/>
              <w:right w:val="single" w:color="000000" w:sz="4" w:space="0"/>
            </w:tcBorders>
            <w:shd w:val="clear" w:color="auto" w:fill="auto"/>
            <w:vAlign w:val="center"/>
          </w:tcPr>
          <w:p w14:paraId="29E870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中共昆明市西山区委宣传部“2024年中央补助地方国家电影事业发展专项资金”资金使用符合国家财经法规和财务管理制度以及有关专项资金管理办法的规定；资金的拨付有完整的审批程序和手续；项目的重大开支未经过评估认证</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扣1.2分；符合项目预算批复或合同规定的用途；不存在截留、挤占、挪用、虚列支出等情况。</w:t>
            </w:r>
          </w:p>
        </w:tc>
      </w:tr>
      <w:tr w14:paraId="16291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6FCF9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EFFE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82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财务监控有效性（6分）</w:t>
            </w:r>
          </w:p>
        </w:tc>
        <w:tc>
          <w:tcPr>
            <w:tcW w:w="4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7B1F8A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①是否已制定或具有相应的监控机制；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②是否采取了相应的财务检查等必要的监控措施或手段。</w:t>
            </w:r>
          </w:p>
        </w:tc>
        <w:tc>
          <w:tcPr>
            <w:tcW w:w="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13F149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730" w:type="dxa"/>
            <w:tcBorders>
              <w:top w:val="single" w:color="auto" w:sz="4" w:space="0"/>
              <w:left w:val="single" w:color="000000" w:sz="4" w:space="0"/>
              <w:bottom w:val="single" w:color="000000" w:sz="4" w:space="0"/>
              <w:right w:val="single" w:color="000000" w:sz="4" w:space="0"/>
            </w:tcBorders>
            <w:shd w:val="clear" w:color="auto" w:fill="auto"/>
            <w:vAlign w:val="center"/>
          </w:tcPr>
          <w:p w14:paraId="4A7044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西山区委宣传部已制定相应的监控机制</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已采取了相应的财务检查等必要的监控措施或手段。</w:t>
            </w:r>
          </w:p>
        </w:tc>
      </w:tr>
      <w:tr w14:paraId="10946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D24C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产出（34分）</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87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AB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实际完成率（9分）</w:t>
            </w:r>
          </w:p>
        </w:tc>
        <w:tc>
          <w:tcPr>
            <w:tcW w:w="4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46701D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实际完成率=（实际产出数/计划产出数）×100%。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实际产出数：一定时期（本年度或项目期）内项目实际产出的产品或提供的服务数量。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计划产出数：项目绩效目标确定的在一定时期（本年度或项目期）内计划产出的产品或提供的服务数量。</w:t>
            </w:r>
          </w:p>
        </w:tc>
        <w:tc>
          <w:tcPr>
            <w:tcW w:w="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47ABAD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730" w:type="dxa"/>
            <w:tcBorders>
              <w:top w:val="single" w:color="auto" w:sz="4" w:space="0"/>
              <w:left w:val="single" w:color="000000" w:sz="4" w:space="0"/>
              <w:bottom w:val="single" w:color="000000" w:sz="4" w:space="0"/>
              <w:right w:val="single" w:color="000000" w:sz="4" w:space="0"/>
            </w:tcBorders>
            <w:shd w:val="clear" w:color="auto" w:fill="auto"/>
            <w:vAlign w:val="center"/>
          </w:tcPr>
          <w:p w14:paraId="430851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中共昆明市西山区委宣传部“2024年中央补助地方国家电影事业发展专项资金”预算经费500,000.00元；根据该项目账务支出明细截止评价日支出合计500,000.00元</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即实际完成率=（500,000.00/500,000.00）×100%=100%。</w:t>
            </w:r>
          </w:p>
          <w:p w14:paraId="09F620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完成了IMAX银幕改造、放映机配套设备及产品供应、放映机房及影厅安装与调试、双机观察窗口、双机观察窗口的安装、放映幕墙、影厅PVC板、台阶灯、场灯、地毯、广告宣发招募、开业现场活动补贴。完成率为100%。</w:t>
            </w:r>
          </w:p>
        </w:tc>
      </w:tr>
      <w:tr w14:paraId="4CCF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4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1C9A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产出（34分）</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90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15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完成及时率（9分）</w:t>
            </w:r>
          </w:p>
        </w:tc>
        <w:tc>
          <w:tcPr>
            <w:tcW w:w="4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5C8B86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完成及时率=[（计划完成时间-实际完成时间）/计划完成时间]×100%。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实际完成时间：项目实施单位完成该项目实际所耗用的时间。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计划完成时间：按照项目实施计划或相关规定完成该项目所需的时间。</w:t>
            </w:r>
          </w:p>
        </w:tc>
        <w:tc>
          <w:tcPr>
            <w:tcW w:w="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44C8F6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730" w:type="dxa"/>
            <w:tcBorders>
              <w:top w:val="single" w:color="auto" w:sz="4" w:space="0"/>
              <w:left w:val="single" w:color="000000" w:sz="4" w:space="0"/>
              <w:bottom w:val="single" w:color="000000" w:sz="4" w:space="0"/>
              <w:right w:val="single" w:color="000000" w:sz="4" w:space="0"/>
            </w:tcBorders>
            <w:shd w:val="clear" w:color="auto" w:fill="auto"/>
            <w:vAlign w:val="center"/>
          </w:tcPr>
          <w:p w14:paraId="253F2B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经查看项目资料</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计划开工时间2019年6月26日</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计划竣工日期2019年9月20日</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实际开工时间2019年6月26日</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实际竣工日期2019年9月20日</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验收时间2019年10月29日</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已完成的工作任务均已达到计划时效标准。完成及时性</w:t>
            </w:r>
            <w:r>
              <w:rPr>
                <w:rFonts w:hint="eastAsia" w:hAnsi="仿宋" w:cs="仿宋"/>
                <w:i w:val="0"/>
                <w:iCs w:val="0"/>
                <w:color w:val="000000"/>
                <w:kern w:val="0"/>
                <w:sz w:val="20"/>
                <w:szCs w:val="20"/>
                <w:u w:val="none"/>
                <w:lang w:val="en-US" w:eastAsia="zh-CN" w:bidi="ar"/>
              </w:rPr>
              <w:t>为</w:t>
            </w:r>
            <w:r>
              <w:rPr>
                <w:rFonts w:hint="eastAsia" w:ascii="仿宋" w:hAnsi="仿宋" w:eastAsia="仿宋" w:cs="仿宋"/>
                <w:i w:val="0"/>
                <w:iCs w:val="0"/>
                <w:color w:val="000000"/>
                <w:kern w:val="0"/>
                <w:sz w:val="20"/>
                <w:szCs w:val="20"/>
                <w:u w:val="none"/>
                <w:lang w:val="en-US" w:eastAsia="zh-CN" w:bidi="ar"/>
              </w:rPr>
              <w:t>100%。</w:t>
            </w:r>
          </w:p>
        </w:tc>
      </w:tr>
      <w:tr w14:paraId="467FB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227D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产出（34分）</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376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6C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质量达标率（8分）</w:t>
            </w:r>
          </w:p>
        </w:tc>
        <w:tc>
          <w:tcPr>
            <w:tcW w:w="4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62BB9B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质量达标率=（质量达标产出数/实际产出数）×100%。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质量达标产出数：一定时期（本年度或项目期）内实际达到既定质量标准的产品或服务数量。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既定质量标准是指项目实施单位设立绩效目标时依据计划标准、行业标准、历史标准或其他标准而设定的绩效指标值。</w:t>
            </w:r>
          </w:p>
        </w:tc>
        <w:tc>
          <w:tcPr>
            <w:tcW w:w="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354B08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730" w:type="dxa"/>
            <w:tcBorders>
              <w:top w:val="single" w:color="auto" w:sz="4" w:space="0"/>
              <w:left w:val="single" w:color="000000" w:sz="4" w:space="0"/>
              <w:bottom w:val="single" w:color="000000" w:sz="4" w:space="0"/>
              <w:right w:val="single" w:color="000000" w:sz="4" w:space="0"/>
            </w:tcBorders>
            <w:shd w:val="clear" w:color="auto" w:fill="auto"/>
            <w:vAlign w:val="center"/>
          </w:tcPr>
          <w:p w14:paraId="79EF22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中共昆明市西山区委宣传部“2024年中央补助地方国家电影事业发展专项资金”已达到既定质量标准的产品或服务数量。</w:t>
            </w:r>
          </w:p>
        </w:tc>
      </w:tr>
      <w:tr w14:paraId="43433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E1DBA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6AEC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96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成本节约率（8分）</w:t>
            </w:r>
          </w:p>
        </w:tc>
        <w:tc>
          <w:tcPr>
            <w:tcW w:w="4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74A760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成本节约率=[（计划成本-实际成本）/计划成本]×100%。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实际成本：项目实施单位如期、保质、保量完成既定工作目标实际所耗费的支出。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计划成本：项目实施单位为完成工作目标计划安排的支出</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一般以项目预算为参考。</w:t>
            </w:r>
          </w:p>
        </w:tc>
        <w:tc>
          <w:tcPr>
            <w:tcW w:w="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3D104A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730" w:type="dxa"/>
            <w:tcBorders>
              <w:top w:val="single" w:color="auto" w:sz="4" w:space="0"/>
              <w:left w:val="single" w:color="000000" w:sz="4" w:space="0"/>
              <w:bottom w:val="single" w:color="000000" w:sz="4" w:space="0"/>
              <w:right w:val="single" w:color="000000" w:sz="4" w:space="0"/>
            </w:tcBorders>
            <w:shd w:val="clear" w:color="auto" w:fill="auto"/>
            <w:vAlign w:val="center"/>
          </w:tcPr>
          <w:p w14:paraId="70FFC2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中共昆明市西山区委宣传部“2024年中央补助地方国家电影事业发展专项资金”预算经费500,000.00元；根据该项目账务支出明细截止评价日支出合计500,000.00元</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即成本节约率=[（500,000.00-500,000.00）/500,000.00]×100%=0%。</w:t>
            </w:r>
          </w:p>
        </w:tc>
      </w:tr>
      <w:tr w14:paraId="57377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CC48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效果（22分）</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6C7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项目效益</w:t>
            </w:r>
            <w:r>
              <w:rPr>
                <w:rFonts w:hint="eastAsia" w:hAnsi="仿宋" w:cs="仿宋"/>
                <w:i w:val="0"/>
                <w:iCs w:val="0"/>
                <w:color w:val="000000"/>
                <w:kern w:val="0"/>
                <w:sz w:val="20"/>
                <w:szCs w:val="20"/>
                <w:u w:val="none"/>
                <w:lang w:val="en-US" w:eastAsia="zh-CN" w:bidi="ar"/>
              </w:rPr>
              <w:t>（12分）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AE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经济效益（6分）</w:t>
            </w:r>
          </w:p>
        </w:tc>
        <w:tc>
          <w:tcPr>
            <w:tcW w:w="4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1CA140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受补助影院年度票房指获补影院年度放映票务总收入（含线上线下）</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是衡量运营成效与补助带动作用的核心指标；带动社会投资指补助引发示范效应吸引的非财政投资额</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反映资金杠杆价值。</w:t>
            </w:r>
          </w:p>
        </w:tc>
        <w:tc>
          <w:tcPr>
            <w:tcW w:w="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66551F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730" w:type="dxa"/>
            <w:tcBorders>
              <w:top w:val="single" w:color="auto" w:sz="4" w:space="0"/>
              <w:left w:val="single" w:color="000000" w:sz="4" w:space="0"/>
              <w:bottom w:val="single" w:color="000000" w:sz="4" w:space="0"/>
              <w:right w:val="single" w:color="000000" w:sz="4" w:space="0"/>
            </w:tcBorders>
            <w:shd w:val="clear" w:color="auto" w:fill="auto"/>
            <w:vAlign w:val="center"/>
          </w:tcPr>
          <w:p w14:paraId="0CB129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根据问卷调查结果汇总情况。</w:t>
            </w:r>
            <w:r>
              <w:rPr>
                <w:rFonts w:hint="eastAsia" w:hAnsi="仿宋" w:cs="仿宋"/>
                <w:i w:val="0"/>
                <w:iCs w:val="0"/>
                <w:color w:val="000000"/>
                <w:kern w:val="0"/>
                <w:sz w:val="20"/>
                <w:szCs w:val="20"/>
                <w:u w:val="none"/>
                <w:lang w:val="en-US" w:eastAsia="zh-CN" w:bidi="ar"/>
              </w:rPr>
              <w:t>同时</w:t>
            </w:r>
            <w:r>
              <w:rPr>
                <w:rFonts w:hint="eastAsia" w:ascii="仿宋" w:hAnsi="仿宋" w:eastAsia="仿宋" w:cs="仿宋"/>
                <w:i w:val="0"/>
                <w:iCs w:val="0"/>
                <w:color w:val="000000"/>
                <w:kern w:val="0"/>
                <w:sz w:val="20"/>
                <w:szCs w:val="20"/>
                <w:u w:val="none"/>
                <w:lang w:val="en-US" w:eastAsia="zh-CN" w:bidi="ar"/>
              </w:rPr>
              <w:t>从项目关联影院历史运营数据及现有佐证材料来看</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专项资金支持的影院升级改造（如IMAX影厅建设）对票房提升具有显著带动作用：根据影院提供的直接经济效益证明及问卷调查结果汇总</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2019年该影院实现票房收入2083万元</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较2018年的666万元增长1417万元</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票房增长率达200%。直观体现了技术升级与资金投入对影院经营效益的正向拉动作用。</w:t>
            </w:r>
          </w:p>
          <w:p w14:paraId="1C31DA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lang w:eastAsia="zh-CN"/>
              </w:rPr>
            </w:pPr>
            <w:r>
              <w:rPr>
                <w:rFonts w:hint="eastAsia" w:ascii="仿宋" w:hAnsi="仿宋" w:eastAsia="仿宋" w:cs="仿宋"/>
                <w:i w:val="0"/>
                <w:iCs w:val="0"/>
                <w:color w:val="000000"/>
                <w:kern w:val="0"/>
                <w:sz w:val="20"/>
                <w:szCs w:val="20"/>
                <w:u w:val="none"/>
                <w:lang w:val="en-US" w:eastAsia="zh-CN" w:bidi="ar"/>
              </w:rPr>
              <w:t>从（1）通过受补助影院的电影票价与之前相比（2）受补助影院的一些优惠活动（如特价场次、会员优惠等）而增加了观影次数（3）受补助影院的设施和服务提升后</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对周边商业（如餐饮、购物等）的带动作用</w:t>
            </w:r>
            <w:r>
              <w:rPr>
                <w:rFonts w:hint="eastAsia" w:hAnsi="仿宋" w:cs="仿宋"/>
                <w:i w:val="0"/>
                <w:iCs w:val="0"/>
                <w:color w:val="000000"/>
                <w:kern w:val="0"/>
                <w:sz w:val="20"/>
                <w:szCs w:val="20"/>
                <w:u w:val="none"/>
                <w:lang w:val="en-US" w:eastAsia="zh-CN" w:bidi="ar"/>
              </w:rPr>
              <w:t>3个</w:t>
            </w:r>
            <w:r>
              <w:rPr>
                <w:rFonts w:hint="eastAsia" w:ascii="仿宋" w:hAnsi="仿宋" w:eastAsia="仿宋" w:cs="仿宋"/>
                <w:i w:val="0"/>
                <w:iCs w:val="0"/>
                <w:color w:val="000000"/>
                <w:kern w:val="0"/>
                <w:sz w:val="20"/>
                <w:szCs w:val="20"/>
                <w:u w:val="none"/>
                <w:lang w:val="en-US" w:eastAsia="zh-CN" w:bidi="ar"/>
              </w:rPr>
              <w:t>方面来设置调查问卷</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得分率100%</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最终得分6分。</w:t>
            </w:r>
          </w:p>
        </w:tc>
      </w:tr>
      <w:tr w14:paraId="741E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D3FC7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50C8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CB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社会效益（6分）</w:t>
            </w:r>
          </w:p>
        </w:tc>
        <w:tc>
          <w:tcPr>
            <w:tcW w:w="4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5027AA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用于反映中央补助资金通过支持基层影院建设升级、扩大优秀影片（含国产片、特色/艺术影片）放映规模，在提升群众文化获得感、传播优秀文化、推动电影产业提质增效方面的综合成效。</w:t>
            </w:r>
          </w:p>
        </w:tc>
        <w:tc>
          <w:tcPr>
            <w:tcW w:w="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5AA5E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部分完成</w:t>
            </w:r>
          </w:p>
        </w:tc>
        <w:tc>
          <w:tcPr>
            <w:tcW w:w="3730" w:type="dxa"/>
            <w:tcBorders>
              <w:top w:val="single" w:color="auto" w:sz="4" w:space="0"/>
              <w:left w:val="single" w:color="000000" w:sz="4" w:space="0"/>
              <w:bottom w:val="single" w:color="000000" w:sz="4" w:space="0"/>
              <w:right w:val="single" w:color="000000" w:sz="4" w:space="0"/>
            </w:tcBorders>
            <w:shd w:val="clear" w:color="auto" w:fill="auto"/>
            <w:vAlign w:val="center"/>
          </w:tcPr>
          <w:p w14:paraId="5AF622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根据问卷调查结果汇总情况。中央补助资金支持下，基层影院硬件升级、优秀影片放映占比提升，有效满足群众观影需求、强化文化认同，但仍存在偏远区域可及性不足、影片供需匹配度不高、文化传播与产业联动待加强等问题。</w:t>
            </w:r>
          </w:p>
          <w:p w14:paraId="39313B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从（1）对本地基层影院的观影服务（设施、便利性等）及国产/特色/艺术影片供给的整体满意度（2）基层观影服务完善与优秀影片推广，是否有效丰富了您的精神文化生活、增强了对中华优秀文化的了解2个方面来设置调查问卷，得分率=（15×100%+15×80%）/30×100%=90%。100%得满分，每下降5%扣1.5分，扣3分。</w:t>
            </w:r>
          </w:p>
        </w:tc>
      </w:tr>
      <w:tr w14:paraId="782B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0" w:hRule="atLeast"/>
        </w:trPr>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8B0CA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9C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满意度（10分）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68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群众满意度（10分）</w:t>
            </w:r>
          </w:p>
        </w:tc>
        <w:tc>
          <w:tcPr>
            <w:tcW w:w="4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2E9A9C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社会公众或服务对象是指因该项目实施而受到影响的部门（单位）、群体或个人。一般采取社会调查的方式。</w:t>
            </w:r>
          </w:p>
        </w:tc>
        <w:tc>
          <w:tcPr>
            <w:tcW w:w="380" w:type="dxa"/>
            <w:tcBorders>
              <w:top w:val="single" w:color="auto" w:sz="4" w:space="0"/>
              <w:left w:val="single" w:color="000000" w:sz="4" w:space="0"/>
              <w:bottom w:val="single" w:color="000000" w:sz="4" w:space="0"/>
              <w:right w:val="single" w:color="000000" w:sz="4" w:space="0"/>
            </w:tcBorders>
            <w:shd w:val="clear" w:color="auto" w:fill="auto"/>
            <w:vAlign w:val="center"/>
          </w:tcPr>
          <w:p w14:paraId="1BD260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部分完成</w:t>
            </w:r>
          </w:p>
        </w:tc>
        <w:tc>
          <w:tcPr>
            <w:tcW w:w="3730" w:type="dxa"/>
            <w:tcBorders>
              <w:top w:val="single" w:color="auto" w:sz="4" w:space="0"/>
              <w:left w:val="single" w:color="000000" w:sz="4" w:space="0"/>
              <w:bottom w:val="single" w:color="000000" w:sz="4" w:space="0"/>
              <w:right w:val="single" w:color="000000" w:sz="4" w:space="0"/>
            </w:tcBorders>
            <w:shd w:val="clear" w:color="auto" w:fill="auto"/>
            <w:vAlign w:val="center"/>
          </w:tcPr>
          <w:p w14:paraId="7BA126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根据问卷调查结果汇总情况。本次绩效评价共发放问卷30份</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收回有效问卷30份</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满意问卷29份</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不满意1份。得分率=（12×100%+11×80%+6×50%+1×10%）/30×100%=80%。满意度90%以上满分</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每下降5%扣2分</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扣4分。</w:t>
            </w:r>
          </w:p>
        </w:tc>
      </w:tr>
    </w:tbl>
    <w:p w14:paraId="5B75FB7A">
      <w:pPr>
        <w:spacing w:line="579" w:lineRule="exact"/>
        <w:ind w:firstLine="630" w:firstLineChars="200"/>
        <w:outlineLvl w:val="0"/>
        <w:rPr>
          <w:rFonts w:ascii="黑体" w:hAnsi="宋体" w:eastAsia="黑体" w:cs="宋体"/>
          <w:szCs w:val="30"/>
        </w:rPr>
      </w:pPr>
      <w:bookmarkStart w:id="27" w:name="_Toc6673"/>
      <w:r>
        <w:rPr>
          <w:rFonts w:hint="eastAsia" w:ascii="黑体" w:hAnsi="宋体" w:eastAsia="黑体" w:cs="宋体"/>
          <w:szCs w:val="30"/>
          <w:lang w:val="en-US" w:eastAsia="zh-CN"/>
        </w:rPr>
        <w:t>四</w:t>
      </w:r>
      <w:r>
        <w:rPr>
          <w:rFonts w:hint="eastAsia" w:ascii="黑体" w:hAnsi="宋体" w:eastAsia="黑体" w:cs="宋体"/>
          <w:szCs w:val="30"/>
        </w:rPr>
        <w:t>、绩效评价情况分析</w:t>
      </w:r>
      <w:bookmarkEnd w:id="27"/>
    </w:p>
    <w:p w14:paraId="291957B5">
      <w:pPr>
        <w:spacing w:line="579" w:lineRule="exact"/>
        <w:ind w:firstLine="630" w:firstLineChars="200"/>
        <w:outlineLvl w:val="1"/>
        <w:rPr>
          <w:rFonts w:ascii="楷体" w:hAnsi="楷体" w:eastAsia="楷体"/>
          <w:szCs w:val="30"/>
        </w:rPr>
      </w:pPr>
      <w:bookmarkStart w:id="28" w:name="_Toc26592"/>
      <w:r>
        <w:rPr>
          <w:rFonts w:hint="eastAsia" w:ascii="楷体" w:hAnsi="楷体" w:eastAsia="楷体"/>
          <w:szCs w:val="30"/>
        </w:rPr>
        <w:t>（一）</w:t>
      </w:r>
      <w:r>
        <w:rPr>
          <w:rFonts w:hint="eastAsia" w:ascii="楷体" w:hAnsi="楷体" w:eastAsia="楷体"/>
          <w:szCs w:val="30"/>
          <w:lang w:val="en-US" w:eastAsia="zh-CN"/>
        </w:rPr>
        <w:t>项目投入</w:t>
      </w:r>
      <w:r>
        <w:rPr>
          <w:rFonts w:hint="eastAsia" w:ascii="楷体" w:hAnsi="楷体" w:eastAsia="楷体"/>
          <w:szCs w:val="30"/>
        </w:rPr>
        <w:t>情况</w:t>
      </w:r>
      <w:bookmarkEnd w:id="28"/>
    </w:p>
    <w:p w14:paraId="47C9C313">
      <w:pPr>
        <w:spacing w:line="579" w:lineRule="exact"/>
        <w:ind w:firstLine="630" w:firstLineChars="200"/>
        <w:rPr>
          <w:rFonts w:hint="eastAsia" w:hAnsi="仿宋"/>
          <w:szCs w:val="30"/>
        </w:rPr>
      </w:pPr>
      <w:r>
        <w:rPr>
          <w:rFonts w:hint="eastAsia" w:hAnsi="仿宋"/>
          <w:szCs w:val="30"/>
        </w:rPr>
        <w:t>项目</w:t>
      </w:r>
      <w:r>
        <w:rPr>
          <w:rFonts w:hint="eastAsia" w:hAnsi="仿宋"/>
          <w:szCs w:val="30"/>
          <w:lang w:val="en-US" w:eastAsia="zh-CN"/>
        </w:rPr>
        <w:t>投入情况</w:t>
      </w:r>
      <w:r>
        <w:rPr>
          <w:rFonts w:hint="eastAsia" w:hAnsi="仿宋"/>
          <w:szCs w:val="30"/>
        </w:rPr>
        <w:t>包括项目立项</w:t>
      </w:r>
      <w:r>
        <w:rPr>
          <w:rFonts w:hint="eastAsia" w:hAnsi="仿宋"/>
          <w:szCs w:val="30"/>
          <w:lang w:eastAsia="zh-CN"/>
        </w:rPr>
        <w:t>、</w:t>
      </w:r>
      <w:r>
        <w:rPr>
          <w:rFonts w:hint="eastAsia" w:hAnsi="仿宋"/>
          <w:szCs w:val="30"/>
        </w:rPr>
        <w:t>资金</w:t>
      </w:r>
      <w:r>
        <w:rPr>
          <w:rFonts w:hint="eastAsia" w:hAnsi="仿宋"/>
          <w:szCs w:val="30"/>
          <w:lang w:val="en-US" w:eastAsia="zh-CN"/>
        </w:rPr>
        <w:t>落实2个</w:t>
      </w:r>
      <w:r>
        <w:rPr>
          <w:rFonts w:hint="eastAsia" w:hAnsi="仿宋"/>
          <w:szCs w:val="30"/>
        </w:rPr>
        <w:t>方面。该项满分为1</w:t>
      </w:r>
      <w:r>
        <w:rPr>
          <w:rFonts w:hint="eastAsia" w:hAnsi="仿宋"/>
          <w:szCs w:val="30"/>
          <w:lang w:val="en-US" w:eastAsia="zh-CN"/>
        </w:rPr>
        <w:t>0</w:t>
      </w:r>
      <w:r>
        <w:rPr>
          <w:rFonts w:hint="eastAsia" w:hAnsi="仿宋"/>
          <w:szCs w:val="30"/>
        </w:rPr>
        <w:t>分</w:t>
      </w:r>
      <w:r>
        <w:rPr>
          <w:rFonts w:hint="eastAsia" w:hAnsi="仿宋"/>
          <w:szCs w:val="30"/>
          <w:lang w:eastAsia="zh-CN"/>
        </w:rPr>
        <w:t>，</w:t>
      </w:r>
      <w:r>
        <w:rPr>
          <w:rFonts w:hint="eastAsia" w:hAnsi="仿宋"/>
          <w:szCs w:val="30"/>
        </w:rPr>
        <w:t>评价得分</w:t>
      </w:r>
      <w:r>
        <w:rPr>
          <w:rFonts w:hint="eastAsia" w:hAnsi="仿宋"/>
          <w:szCs w:val="30"/>
          <w:lang w:val="en-US" w:eastAsia="zh-CN"/>
        </w:rPr>
        <w:t>8</w:t>
      </w:r>
      <w:r>
        <w:rPr>
          <w:rFonts w:hint="eastAsia" w:hAnsi="仿宋"/>
          <w:szCs w:val="30"/>
        </w:rPr>
        <w:t>分</w:t>
      </w:r>
      <w:r>
        <w:rPr>
          <w:rFonts w:hint="eastAsia" w:hAnsi="仿宋"/>
          <w:szCs w:val="30"/>
          <w:lang w:eastAsia="zh-CN"/>
        </w:rPr>
        <w:t>，</w:t>
      </w:r>
      <w:r>
        <w:rPr>
          <w:rFonts w:hint="eastAsia" w:hAnsi="仿宋"/>
          <w:szCs w:val="30"/>
        </w:rPr>
        <w:t>得分率</w:t>
      </w:r>
      <w:r>
        <w:rPr>
          <w:rFonts w:hint="eastAsia" w:hAnsi="仿宋"/>
          <w:szCs w:val="30"/>
          <w:lang w:val="en-US" w:eastAsia="zh-CN"/>
        </w:rPr>
        <w:t>80</w:t>
      </w:r>
      <w:r>
        <w:rPr>
          <w:rFonts w:hAnsi="仿宋"/>
          <w:szCs w:val="30"/>
        </w:rPr>
        <w:t>%</w:t>
      </w:r>
      <w:r>
        <w:rPr>
          <w:rFonts w:hint="eastAsia" w:hAnsi="仿宋"/>
          <w:szCs w:val="30"/>
        </w:rPr>
        <w:t>。</w:t>
      </w:r>
    </w:p>
    <w:p w14:paraId="34F34442">
      <w:pPr>
        <w:spacing w:line="579" w:lineRule="exact"/>
        <w:ind w:firstLine="630" w:firstLineChars="200"/>
        <w:rPr>
          <w:rFonts w:hint="eastAsia" w:hAnsi="仿宋"/>
          <w:szCs w:val="30"/>
          <w:lang w:val="en-US" w:eastAsia="zh-CN"/>
        </w:rPr>
      </w:pPr>
      <w:r>
        <w:rPr>
          <w:rFonts w:hint="eastAsia" w:hAnsi="仿宋"/>
          <w:szCs w:val="30"/>
          <w:lang w:val="en-US" w:eastAsia="zh-CN"/>
        </w:rPr>
        <w:t>1.项目立项</w:t>
      </w:r>
    </w:p>
    <w:p w14:paraId="33C9A185">
      <w:pPr>
        <w:spacing w:line="579" w:lineRule="exact"/>
        <w:ind w:firstLine="630" w:firstLineChars="200"/>
        <w:rPr>
          <w:rFonts w:hint="default" w:hAnsi="仿宋"/>
          <w:szCs w:val="30"/>
          <w:lang w:val="en-US" w:eastAsia="zh-CN"/>
        </w:rPr>
      </w:pPr>
      <w:r>
        <w:rPr>
          <w:rFonts w:hint="default" w:hAnsi="仿宋"/>
          <w:szCs w:val="30"/>
          <w:lang w:val="en-US" w:eastAsia="zh-CN"/>
        </w:rPr>
        <w:t>项目立项指标满分为</w:t>
      </w:r>
      <w:r>
        <w:rPr>
          <w:rFonts w:hint="eastAsia" w:hAnsi="仿宋"/>
          <w:szCs w:val="30"/>
          <w:lang w:val="en-US" w:eastAsia="zh-CN"/>
        </w:rPr>
        <w:t>6</w:t>
      </w:r>
      <w:r>
        <w:rPr>
          <w:rFonts w:hint="default" w:hAnsi="仿宋"/>
          <w:szCs w:val="30"/>
          <w:lang w:val="en-US" w:eastAsia="zh-CN"/>
        </w:rPr>
        <w:t>分</w:t>
      </w:r>
      <w:r>
        <w:rPr>
          <w:rFonts w:hint="eastAsia" w:hAnsi="仿宋"/>
          <w:szCs w:val="30"/>
          <w:lang w:val="en-US" w:eastAsia="zh-CN"/>
        </w:rPr>
        <w:t>，</w:t>
      </w:r>
      <w:r>
        <w:rPr>
          <w:rFonts w:hint="default" w:hAnsi="仿宋"/>
          <w:szCs w:val="30"/>
          <w:lang w:val="en-US" w:eastAsia="zh-CN"/>
        </w:rPr>
        <w:t>针对项目立项规范性</w:t>
      </w:r>
      <w:r>
        <w:rPr>
          <w:rFonts w:hint="eastAsia" w:hAnsi="仿宋"/>
          <w:szCs w:val="30"/>
          <w:lang w:val="en-US" w:eastAsia="zh-CN"/>
        </w:rPr>
        <w:t>、</w:t>
      </w:r>
      <w:r>
        <w:rPr>
          <w:rFonts w:hint="default" w:hAnsi="仿宋"/>
          <w:szCs w:val="30"/>
          <w:lang w:val="en-US" w:eastAsia="zh-CN"/>
        </w:rPr>
        <w:t>绩效目标合理性</w:t>
      </w:r>
      <w:r>
        <w:rPr>
          <w:rFonts w:hint="eastAsia" w:hAnsi="仿宋"/>
          <w:szCs w:val="30"/>
          <w:lang w:val="en-US" w:eastAsia="zh-CN"/>
        </w:rPr>
        <w:t>及绩效指标明确性</w:t>
      </w:r>
      <w:r>
        <w:rPr>
          <w:rFonts w:hint="default" w:hAnsi="仿宋"/>
          <w:szCs w:val="30"/>
          <w:lang w:val="en-US" w:eastAsia="zh-CN"/>
        </w:rPr>
        <w:t>进行评价。此项综合评价得分为</w:t>
      </w:r>
      <w:r>
        <w:rPr>
          <w:rFonts w:hint="eastAsia" w:hAnsi="仿宋"/>
          <w:szCs w:val="30"/>
          <w:lang w:val="en-US" w:eastAsia="zh-CN"/>
        </w:rPr>
        <w:t>4</w:t>
      </w:r>
      <w:r>
        <w:rPr>
          <w:rFonts w:hint="default" w:hAnsi="仿宋"/>
          <w:szCs w:val="30"/>
          <w:lang w:val="en-US" w:eastAsia="zh-CN"/>
        </w:rPr>
        <w:t>分</w:t>
      </w:r>
      <w:r>
        <w:rPr>
          <w:rFonts w:hint="eastAsia" w:hAnsi="仿宋"/>
          <w:szCs w:val="30"/>
          <w:lang w:val="en-US" w:eastAsia="zh-CN"/>
        </w:rPr>
        <w:t>，</w:t>
      </w:r>
      <w:r>
        <w:rPr>
          <w:rFonts w:hint="default" w:hAnsi="仿宋"/>
          <w:szCs w:val="30"/>
          <w:lang w:val="en-US" w:eastAsia="zh-CN"/>
        </w:rPr>
        <w:t>得分率</w:t>
      </w:r>
      <w:r>
        <w:rPr>
          <w:rFonts w:hint="eastAsia" w:hAnsi="仿宋"/>
          <w:szCs w:val="30"/>
          <w:lang w:val="en-US" w:eastAsia="zh-CN"/>
        </w:rPr>
        <w:t>66.67</w:t>
      </w:r>
      <w:r>
        <w:rPr>
          <w:rFonts w:hint="default" w:hAnsi="仿宋"/>
          <w:szCs w:val="30"/>
          <w:lang w:val="en-US" w:eastAsia="zh-CN"/>
        </w:rPr>
        <w:t>%。</w:t>
      </w:r>
    </w:p>
    <w:p w14:paraId="6E7DB9EC">
      <w:pPr>
        <w:spacing w:line="579" w:lineRule="exact"/>
        <w:ind w:firstLine="630" w:firstLineChars="200"/>
        <w:rPr>
          <w:rFonts w:hint="eastAsia" w:hAnsi="仿宋" w:cs="Times New Roman"/>
          <w:szCs w:val="30"/>
          <w:lang w:val="en-US" w:eastAsia="zh-CN"/>
        </w:rPr>
      </w:pPr>
      <w:r>
        <w:rPr>
          <w:rFonts w:hint="eastAsia" w:hAnsi="仿宋"/>
          <w:szCs w:val="30"/>
          <w:lang w:val="en-US" w:eastAsia="zh-CN"/>
        </w:rPr>
        <w:t>西山区委宣传部将绩效目标细化分解为具体的绩效指标；未通过清晰、可衡量的指标值予以体现，扣0.5分；与项目目标任务数或计划数相对应。但存在未将任务完成时效与各项工作质量</w:t>
      </w:r>
      <w:r>
        <w:rPr>
          <w:rFonts w:hint="eastAsia" w:hAnsi="仿宋" w:cs="Times New Roman"/>
          <w:szCs w:val="30"/>
          <w:lang w:val="en-US" w:eastAsia="zh-CN"/>
        </w:rPr>
        <w:t>作为任务目标的情况。缺少时效及社会效益指标，扣0.5分。</w:t>
      </w:r>
    </w:p>
    <w:p w14:paraId="0D2E8809">
      <w:pPr>
        <w:spacing w:line="579" w:lineRule="exact"/>
        <w:ind w:firstLine="630" w:firstLineChars="200"/>
        <w:rPr>
          <w:rFonts w:hint="default" w:hAnsi="仿宋" w:cs="Times New Roman"/>
          <w:szCs w:val="30"/>
          <w:lang w:val="en-US" w:eastAsia="zh-CN"/>
        </w:rPr>
      </w:pPr>
      <w:r>
        <w:rPr>
          <w:rFonts w:hint="eastAsia" w:hAnsi="仿宋" w:cs="Times New Roman"/>
          <w:szCs w:val="30"/>
          <w:lang w:val="en-US" w:eastAsia="zh-CN"/>
        </w:rPr>
        <w:t>绩效目标合理性、绩效指标明确性均未通过清晰、可衡量的指标值予以体现，分别扣0.5分；缺少时效及社会效益指标，分别扣0.5分。共计扣分2分。</w:t>
      </w:r>
    </w:p>
    <w:p w14:paraId="509008FD">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2.资金落实</w:t>
      </w:r>
    </w:p>
    <w:p w14:paraId="5EF973B8">
      <w:pPr>
        <w:numPr>
          <w:ilvl w:val="0"/>
          <w:numId w:val="0"/>
        </w:numPr>
        <w:spacing w:line="579" w:lineRule="exact"/>
        <w:ind w:firstLine="630" w:firstLineChars="200"/>
        <w:rPr>
          <w:rFonts w:hint="default" w:hAnsi="仿宋"/>
          <w:szCs w:val="30"/>
          <w:highlight w:val="none"/>
          <w:lang w:val="en-US" w:eastAsia="zh-CN"/>
        </w:rPr>
      </w:pPr>
      <w:r>
        <w:rPr>
          <w:rFonts w:hint="default" w:hAnsi="仿宋"/>
          <w:szCs w:val="30"/>
          <w:highlight w:val="none"/>
          <w:lang w:val="en-US" w:eastAsia="zh-CN"/>
        </w:rPr>
        <w:t>资金</w:t>
      </w:r>
      <w:r>
        <w:rPr>
          <w:rFonts w:hint="eastAsia" w:hAnsi="仿宋" w:cs="Times New Roman"/>
          <w:szCs w:val="30"/>
          <w:lang w:val="en-US" w:eastAsia="zh-CN"/>
        </w:rPr>
        <w:t>落实</w:t>
      </w:r>
      <w:r>
        <w:rPr>
          <w:rFonts w:hint="default" w:hAnsi="仿宋"/>
          <w:szCs w:val="30"/>
          <w:highlight w:val="none"/>
          <w:lang w:val="en-US" w:eastAsia="zh-CN"/>
        </w:rPr>
        <w:t>指标满分为</w:t>
      </w:r>
      <w:r>
        <w:rPr>
          <w:rFonts w:hint="eastAsia" w:hAnsi="仿宋"/>
          <w:szCs w:val="30"/>
          <w:highlight w:val="none"/>
          <w:lang w:val="en-US" w:eastAsia="zh-CN"/>
        </w:rPr>
        <w:t>4</w:t>
      </w:r>
      <w:r>
        <w:rPr>
          <w:rFonts w:hint="default" w:hAnsi="仿宋"/>
          <w:szCs w:val="30"/>
          <w:highlight w:val="none"/>
          <w:lang w:val="en-US" w:eastAsia="zh-CN"/>
        </w:rPr>
        <w:t>分</w:t>
      </w:r>
      <w:r>
        <w:rPr>
          <w:rFonts w:hint="eastAsia" w:hAnsi="仿宋"/>
          <w:szCs w:val="30"/>
          <w:highlight w:val="none"/>
          <w:lang w:val="en-US" w:eastAsia="zh-CN"/>
        </w:rPr>
        <w:t>，</w:t>
      </w:r>
      <w:r>
        <w:rPr>
          <w:rFonts w:hint="default" w:hAnsi="仿宋"/>
          <w:szCs w:val="30"/>
          <w:highlight w:val="none"/>
          <w:lang w:val="en-US" w:eastAsia="zh-CN"/>
        </w:rPr>
        <w:t>针对资金到位率</w:t>
      </w:r>
      <w:r>
        <w:rPr>
          <w:rFonts w:hint="eastAsia" w:hAnsi="仿宋"/>
          <w:szCs w:val="30"/>
          <w:highlight w:val="none"/>
          <w:lang w:val="en-US" w:eastAsia="zh-CN"/>
        </w:rPr>
        <w:t>、到位及时率</w:t>
      </w:r>
      <w:r>
        <w:rPr>
          <w:rFonts w:hint="default" w:hAnsi="仿宋"/>
          <w:szCs w:val="30"/>
          <w:highlight w:val="none"/>
          <w:lang w:val="en-US" w:eastAsia="zh-CN"/>
        </w:rPr>
        <w:t>进行评价。此项综合评价得分为</w:t>
      </w:r>
      <w:r>
        <w:rPr>
          <w:rFonts w:hint="eastAsia" w:hAnsi="仿宋"/>
          <w:szCs w:val="30"/>
          <w:highlight w:val="none"/>
          <w:lang w:val="en-US" w:eastAsia="zh-CN"/>
        </w:rPr>
        <w:t>4</w:t>
      </w:r>
      <w:r>
        <w:rPr>
          <w:rFonts w:hint="default" w:hAnsi="仿宋"/>
          <w:szCs w:val="30"/>
          <w:highlight w:val="none"/>
          <w:lang w:val="en-US" w:eastAsia="zh-CN"/>
        </w:rPr>
        <w:t>分</w:t>
      </w:r>
      <w:r>
        <w:rPr>
          <w:rFonts w:hint="eastAsia" w:hAnsi="仿宋"/>
          <w:szCs w:val="30"/>
          <w:highlight w:val="none"/>
          <w:lang w:val="en-US" w:eastAsia="zh-CN"/>
        </w:rPr>
        <w:t>，</w:t>
      </w:r>
      <w:r>
        <w:rPr>
          <w:rFonts w:hint="default" w:hAnsi="仿宋"/>
          <w:szCs w:val="30"/>
          <w:highlight w:val="none"/>
          <w:lang w:val="en-US" w:eastAsia="zh-CN"/>
        </w:rPr>
        <w:t>得分率</w:t>
      </w:r>
      <w:r>
        <w:rPr>
          <w:rFonts w:hint="eastAsia" w:hAnsi="仿宋"/>
          <w:szCs w:val="30"/>
          <w:highlight w:val="none"/>
          <w:lang w:val="en-US" w:eastAsia="zh-CN"/>
        </w:rPr>
        <w:t>100</w:t>
      </w:r>
      <w:r>
        <w:rPr>
          <w:rFonts w:hint="default" w:hAnsi="仿宋"/>
          <w:szCs w:val="30"/>
          <w:highlight w:val="none"/>
          <w:lang w:val="en-US" w:eastAsia="zh-CN"/>
        </w:rPr>
        <w:t>%</w:t>
      </w:r>
      <w:r>
        <w:rPr>
          <w:rFonts w:hint="eastAsia" w:hAnsi="仿宋"/>
          <w:szCs w:val="30"/>
          <w:highlight w:val="none"/>
          <w:lang w:val="en-US" w:eastAsia="zh-CN"/>
        </w:rPr>
        <w:t>。</w:t>
      </w:r>
    </w:p>
    <w:p w14:paraId="0DC1B801">
      <w:pPr>
        <w:spacing w:line="579" w:lineRule="exact"/>
        <w:ind w:firstLine="630" w:firstLineChars="200"/>
        <w:rPr>
          <w:rFonts w:hint="eastAsia" w:hAnsi="仿宋" w:cs="Times New Roman"/>
          <w:sz w:val="30"/>
          <w:szCs w:val="30"/>
          <w:highlight w:val="none"/>
          <w:lang w:val="en-US" w:eastAsia="zh-CN"/>
        </w:rPr>
      </w:pPr>
      <w:r>
        <w:rPr>
          <w:rFonts w:hint="eastAsia" w:hAnsi="仿宋" w:cs="Times New Roman"/>
          <w:sz w:val="30"/>
          <w:szCs w:val="30"/>
          <w:highlight w:val="none"/>
          <w:lang w:val="en-US" w:eastAsia="zh-CN"/>
        </w:rPr>
        <w:t>资金到位率方面，2024年中央补助地方国家电影事业发展专项资金50.00万元，实际到位资金50.00万元，资金到位率100%。</w:t>
      </w:r>
    </w:p>
    <w:p w14:paraId="5017F1D9">
      <w:pPr>
        <w:spacing w:line="579" w:lineRule="exact"/>
        <w:ind w:firstLine="630" w:firstLineChars="200"/>
        <w:rPr>
          <w:rFonts w:hint="default" w:hAnsi="仿宋" w:cs="Times New Roman"/>
          <w:sz w:val="30"/>
          <w:szCs w:val="30"/>
          <w:highlight w:val="none"/>
          <w:lang w:val="en-US" w:eastAsia="zh-CN"/>
        </w:rPr>
      </w:pPr>
      <w:r>
        <w:rPr>
          <w:rFonts w:hint="eastAsia" w:hAnsi="仿宋" w:cs="Times New Roman"/>
          <w:sz w:val="30"/>
          <w:szCs w:val="30"/>
          <w:highlight w:val="none"/>
          <w:lang w:val="en-US" w:eastAsia="zh-CN"/>
        </w:rPr>
        <w:t>资金使用率方面，截至2024年12月31日，实际支出资金50.00万元，资金使用率为100%。</w:t>
      </w:r>
    </w:p>
    <w:p w14:paraId="13DFCD03">
      <w:pPr>
        <w:keepNext/>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1"/>
        <w:rPr>
          <w:rFonts w:ascii="楷体" w:hAnsi="楷体" w:eastAsia="楷体"/>
          <w:szCs w:val="30"/>
        </w:rPr>
      </w:pPr>
      <w:bookmarkStart w:id="29" w:name="_Toc32060"/>
      <w:r>
        <w:rPr>
          <w:rFonts w:hint="eastAsia" w:ascii="楷体" w:hAnsi="楷体" w:eastAsia="楷体"/>
          <w:szCs w:val="30"/>
        </w:rPr>
        <w:t>（二）</w:t>
      </w:r>
      <w:r>
        <w:rPr>
          <w:rFonts w:hint="eastAsia" w:ascii="楷体" w:hAnsi="楷体" w:eastAsia="楷体"/>
          <w:szCs w:val="30"/>
          <w:lang w:val="en-US" w:eastAsia="zh-CN"/>
        </w:rPr>
        <w:t>项目</w:t>
      </w:r>
      <w:r>
        <w:rPr>
          <w:rFonts w:hint="eastAsia" w:ascii="楷体" w:hAnsi="楷体" w:eastAsia="楷体"/>
          <w:szCs w:val="30"/>
        </w:rPr>
        <w:t>过程情况</w:t>
      </w:r>
      <w:bookmarkEnd w:id="29"/>
    </w:p>
    <w:p w14:paraId="56BE241F">
      <w:pPr>
        <w:spacing w:line="579" w:lineRule="exact"/>
        <w:ind w:firstLine="630" w:firstLineChars="200"/>
        <w:rPr>
          <w:rFonts w:hint="eastAsia" w:hAnsi="仿宋" w:cs="Times New Roman"/>
          <w:sz w:val="30"/>
          <w:szCs w:val="30"/>
          <w:highlight w:val="none"/>
          <w:lang w:val="en-US" w:eastAsia="zh-CN"/>
        </w:rPr>
      </w:pPr>
      <w:r>
        <w:rPr>
          <w:rFonts w:hint="eastAsia" w:hAnsi="仿宋" w:cs="Times New Roman"/>
          <w:sz w:val="30"/>
          <w:szCs w:val="30"/>
          <w:highlight w:val="none"/>
          <w:lang w:val="en-US" w:eastAsia="zh-CN"/>
        </w:rPr>
        <w:t>过程情况包括业务管理、财务管理2个方面。该项满分为34分，评价得分32.80分，得分率96.47%。</w:t>
      </w:r>
    </w:p>
    <w:p w14:paraId="266696FD">
      <w:pPr>
        <w:spacing w:line="579" w:lineRule="exact"/>
        <w:ind w:firstLine="630" w:firstLineChars="200"/>
        <w:rPr>
          <w:rFonts w:hint="eastAsia" w:hAnsi="仿宋"/>
          <w:szCs w:val="30"/>
          <w:lang w:val="en-US" w:eastAsia="zh-CN"/>
        </w:rPr>
      </w:pPr>
      <w:r>
        <w:rPr>
          <w:rFonts w:hint="eastAsia" w:hAnsi="仿宋"/>
          <w:szCs w:val="30"/>
          <w:lang w:val="en-US" w:eastAsia="zh-CN"/>
        </w:rPr>
        <w:t>1.业务管理</w:t>
      </w:r>
    </w:p>
    <w:p w14:paraId="044A697D">
      <w:pPr>
        <w:spacing w:line="579" w:lineRule="exact"/>
        <w:ind w:firstLine="630" w:firstLineChars="200"/>
        <w:rPr>
          <w:rFonts w:hint="default" w:hAnsi="仿宋" w:cs="Times New Roman"/>
          <w:sz w:val="30"/>
          <w:szCs w:val="30"/>
          <w:highlight w:val="none"/>
          <w:lang w:val="en-US" w:eastAsia="zh-CN"/>
        </w:rPr>
      </w:pPr>
      <w:r>
        <w:rPr>
          <w:rFonts w:hint="eastAsia" w:hAnsi="仿宋" w:cs="Times New Roman"/>
          <w:sz w:val="30"/>
          <w:szCs w:val="30"/>
          <w:highlight w:val="none"/>
          <w:lang w:val="en-US" w:eastAsia="zh-CN"/>
        </w:rPr>
        <w:t>业务管理指标满分为16分，针对管理制度健全性、制度执行有效性、施工合规性、采购程序规范性进行评价。此项综合评价得分为16分，得分率100%。</w:t>
      </w:r>
    </w:p>
    <w:p w14:paraId="308AA227">
      <w:pPr>
        <w:spacing w:line="579" w:lineRule="exact"/>
        <w:ind w:firstLine="630" w:firstLineChars="200"/>
        <w:rPr>
          <w:rFonts w:hint="default" w:hAnsi="仿宋" w:cs="Times New Roman"/>
          <w:sz w:val="30"/>
          <w:szCs w:val="30"/>
          <w:highlight w:val="none"/>
          <w:lang w:val="en-US" w:eastAsia="zh-CN"/>
        </w:rPr>
      </w:pPr>
      <w:r>
        <w:rPr>
          <w:rFonts w:hint="eastAsia" w:hAnsi="仿宋" w:cs="Times New Roman"/>
          <w:sz w:val="30"/>
          <w:szCs w:val="30"/>
          <w:highlight w:val="none"/>
          <w:lang w:val="en-US" w:eastAsia="zh-CN"/>
        </w:rPr>
        <w:t>项目单位已构建起以《中共西山区委宣传部内部控制基本制度》为统领，涵盖《预算管理办法》《收支管理办法》等专项制度的“1+N”内控体系，所有制度均对标《行政事业单位内部控制规范（试行）》及国家、云南省、昆明市最新财经纪律要求，逐项细化预算编制、资金支付、票据管理、审批权限、风险预警、绩效评价等关键节点，形成“岗位分权、流程控权、监督限权”的闭环链条，并通过年度合规性审查、季度专项检查、问题即查即改机制实现动态更新与刚性执行，确保财务和业务管理全过程合法、合规、完整、可溯源</w:t>
      </w:r>
      <w:r>
        <w:rPr>
          <w:rFonts w:hint="default" w:hAnsi="仿宋" w:cs="Times New Roman"/>
          <w:sz w:val="30"/>
          <w:szCs w:val="30"/>
          <w:highlight w:val="none"/>
          <w:lang w:val="en-US" w:eastAsia="zh-CN"/>
        </w:rPr>
        <w:t>。</w:t>
      </w:r>
    </w:p>
    <w:p w14:paraId="303FD712">
      <w:pPr>
        <w:spacing w:line="579" w:lineRule="exact"/>
        <w:ind w:firstLine="630" w:firstLineChars="200"/>
        <w:rPr>
          <w:rFonts w:hint="default" w:hAnsi="仿宋" w:cs="Times New Roman"/>
          <w:sz w:val="30"/>
          <w:szCs w:val="30"/>
          <w:highlight w:val="none"/>
          <w:lang w:val="en-US" w:eastAsia="zh-CN"/>
        </w:rPr>
      </w:pPr>
      <w:r>
        <w:rPr>
          <w:rFonts w:hint="eastAsia" w:hAnsi="仿宋" w:cs="Times New Roman"/>
          <w:sz w:val="30"/>
          <w:szCs w:val="30"/>
          <w:highlight w:val="none"/>
          <w:lang w:val="en-US" w:eastAsia="zh-CN"/>
        </w:rPr>
        <w:t>2019年10月29日，由昆明万达电影城有限公司组织，江苏七彩虹建筑装饰工程有限公司、中国建筑技术集团有限公司三方组成验收组，依据设计图纸、合同约定的技术规范及国家现行《建筑装饰装修工程质量验收标准》《建筑工程施工质量验收统一标准》等规定，对IMAX影厅墙面软包、IMAX影厅吊顶音响钢架、IMAX影厅墙面乳胶漆弹涂、IMAX影厅后排钢护栏、IMAX影厅回风管改造等工程进行验收工作。综合验收结论：工程质量控制资料完整、实体质量合格、使用功能满足设计及规范要求，一次性验收合格。</w:t>
      </w:r>
    </w:p>
    <w:p w14:paraId="7394B890">
      <w:pPr>
        <w:spacing w:line="579" w:lineRule="exact"/>
        <w:ind w:firstLine="630" w:firstLineChars="200"/>
        <w:rPr>
          <w:rFonts w:hint="eastAsia" w:hAnsi="仿宋"/>
          <w:szCs w:val="30"/>
          <w:lang w:val="en-US" w:eastAsia="zh-CN"/>
        </w:rPr>
      </w:pPr>
      <w:r>
        <w:rPr>
          <w:rFonts w:hint="eastAsia" w:hAnsi="仿宋"/>
          <w:szCs w:val="30"/>
          <w:lang w:val="en-US" w:eastAsia="zh-CN"/>
        </w:rPr>
        <w:t>2.财务管理</w:t>
      </w:r>
    </w:p>
    <w:p w14:paraId="1E0128B6">
      <w:pPr>
        <w:spacing w:line="579" w:lineRule="exact"/>
        <w:ind w:firstLine="630" w:firstLineChars="200"/>
        <w:rPr>
          <w:rFonts w:hint="default" w:hAnsi="仿宋"/>
          <w:szCs w:val="30"/>
          <w:lang w:val="en-US" w:eastAsia="zh-CN"/>
        </w:rPr>
      </w:pPr>
      <w:r>
        <w:rPr>
          <w:rFonts w:hint="eastAsia" w:hAnsi="仿宋"/>
          <w:szCs w:val="30"/>
          <w:highlight w:val="none"/>
          <w:lang w:val="en-US" w:eastAsia="zh-CN"/>
        </w:rPr>
        <w:t>财务管理指标满分为18分，针对财务管理制度健全性、资金使用合规性和财务监控有效性进行评价。此项综合评价得分为16.80分，得分率93.33%。</w:t>
      </w:r>
    </w:p>
    <w:p w14:paraId="7CE7015A">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中共昆明市西山区委宣传部“2024年中央补助地方国家电影事业发展专项资金”资金使用符合国家财经法规和财务管理制度以及有关专项资金管理办法的规定；资金的拨付有完整的审批程序和手续；项目的重大开支未经过评估认证，扣1.2分；符合项目预算批复或合同规定的用途；不存在截留、挤占、挪用、虚列支出等情况。依法设置了会计账簿、会计凭证，确保账表相符、账账相符，保证账证的真实性、合法性、完整性。</w:t>
      </w:r>
    </w:p>
    <w:p w14:paraId="0FC914CE">
      <w:pPr>
        <w:spacing w:line="579" w:lineRule="exact"/>
        <w:ind w:firstLine="630" w:firstLineChars="200"/>
        <w:outlineLvl w:val="1"/>
        <w:rPr>
          <w:rFonts w:ascii="楷体" w:hAnsi="楷体" w:eastAsia="楷体"/>
          <w:szCs w:val="30"/>
          <w:highlight w:val="none"/>
        </w:rPr>
      </w:pPr>
      <w:bookmarkStart w:id="30" w:name="_Toc2748"/>
      <w:r>
        <w:rPr>
          <w:rFonts w:hint="eastAsia" w:ascii="楷体" w:hAnsi="楷体" w:eastAsia="楷体"/>
          <w:szCs w:val="30"/>
          <w:highlight w:val="none"/>
        </w:rPr>
        <w:t>（三）</w:t>
      </w:r>
      <w:r>
        <w:rPr>
          <w:rFonts w:hint="eastAsia" w:ascii="楷体" w:hAnsi="楷体" w:eastAsia="楷体"/>
          <w:szCs w:val="30"/>
          <w:highlight w:val="none"/>
          <w:lang w:val="en-US" w:eastAsia="zh-CN"/>
        </w:rPr>
        <w:t>项目</w:t>
      </w:r>
      <w:r>
        <w:rPr>
          <w:rFonts w:hint="eastAsia" w:ascii="楷体" w:hAnsi="楷体" w:eastAsia="楷体"/>
          <w:szCs w:val="30"/>
          <w:highlight w:val="none"/>
        </w:rPr>
        <w:t>产出情况</w:t>
      </w:r>
      <w:bookmarkEnd w:id="30"/>
    </w:p>
    <w:p w14:paraId="6F190CFF">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项目产出从实际完成率、完成及时率、质量达标率、成本节约率四个方面进行评价。该项满分为34分，得分34分，得分率100%。</w:t>
      </w:r>
    </w:p>
    <w:p w14:paraId="5EA56DEC">
      <w:pPr>
        <w:spacing w:line="579" w:lineRule="exact"/>
        <w:ind w:firstLine="630" w:firstLineChars="200"/>
        <w:rPr>
          <w:rFonts w:hint="default" w:hAnsi="仿宋" w:cs="Times New Roman"/>
          <w:szCs w:val="30"/>
          <w:highlight w:val="none"/>
          <w:lang w:val="en-US" w:eastAsia="zh-CN"/>
        </w:rPr>
      </w:pPr>
      <w:r>
        <w:rPr>
          <w:rFonts w:hint="eastAsia" w:hAnsi="仿宋" w:cs="Times New Roman"/>
          <w:szCs w:val="30"/>
          <w:highlight w:val="none"/>
          <w:lang w:val="en-US" w:eastAsia="zh-CN"/>
        </w:rPr>
        <w:t>1.</w:t>
      </w:r>
      <w:r>
        <w:rPr>
          <w:rFonts w:hint="default" w:hAnsi="仿宋" w:cs="Times New Roman"/>
          <w:szCs w:val="30"/>
          <w:highlight w:val="none"/>
          <w:lang w:val="en-US" w:eastAsia="zh-CN"/>
        </w:rPr>
        <w:t>实际完成率</w:t>
      </w:r>
    </w:p>
    <w:p w14:paraId="4ED98F7E">
      <w:pPr>
        <w:spacing w:line="579" w:lineRule="exact"/>
        <w:ind w:firstLine="630" w:firstLineChars="200"/>
        <w:rPr>
          <w:rFonts w:hint="eastAsia" w:hAnsi="仿宋"/>
          <w:szCs w:val="30"/>
          <w:highlight w:val="none"/>
          <w:lang w:val="en-US" w:eastAsia="zh-CN"/>
        </w:rPr>
      </w:pPr>
      <w:r>
        <w:rPr>
          <w:rFonts w:hint="eastAsia" w:hAnsi="仿宋" w:cs="Times New Roman"/>
          <w:szCs w:val="30"/>
          <w:highlight w:val="none"/>
          <w:lang w:val="en-US" w:eastAsia="zh-CN"/>
        </w:rPr>
        <w:t>该项满分为9分，得分9分，得分率100%。</w:t>
      </w:r>
    </w:p>
    <w:p w14:paraId="1BF3CAD6">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中共昆明市西山区委宣传部“2024年中央补助地方国家电影事业发展专项资金”预算经费500,000.00元；根据该项目账务支出明细截止评价日支出合计500,000.00元，即实际完成率=（500,000.00/500,000.00）×100%=100%。</w:t>
      </w:r>
    </w:p>
    <w:p w14:paraId="7353AF43">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完成了IMAX银幕改造、放映机配套设备及产品供应、放映机房及影厅安装与调试、双机观察窗口、双机观察窗口的安装、放映幕墙、影厅PVC板、台阶灯、场灯、地毯、广告宣发招募、开业现场活动补贴。完成率为100%。</w:t>
      </w:r>
    </w:p>
    <w:p w14:paraId="48220092">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2.完成及时率</w:t>
      </w:r>
    </w:p>
    <w:p w14:paraId="074FF013">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该项满分为9分，得分9分，得分率100%。</w:t>
      </w:r>
    </w:p>
    <w:p w14:paraId="49DDE0F9">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经查看项目资料，计划开工时间2019年6月26日，计划竣工日期2019年9月20日，实际开工时间2019年6月26日，实际竣工日期2019年9月20日，验收时间2019年10月29日，已完成的工作任务均已达到计划时效标准。完成及时性为100%。</w:t>
      </w:r>
    </w:p>
    <w:p w14:paraId="430C5292">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3.质量达标率</w:t>
      </w:r>
    </w:p>
    <w:p w14:paraId="1C61FC06">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该项满分为8分，得分8分，得分率100%。</w:t>
      </w:r>
    </w:p>
    <w:p w14:paraId="2A71DB10">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中共昆明市西山区委宣传部“2024年中央补助地方国家电影事业发展专项资金”已达到既定质量标准的产品或服务数量。</w:t>
      </w:r>
    </w:p>
    <w:p w14:paraId="76F6EBDA">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4.成本节约率</w:t>
      </w:r>
    </w:p>
    <w:p w14:paraId="5E36E853">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该项满分为8分，得分8分，得分率100%。</w:t>
      </w:r>
    </w:p>
    <w:p w14:paraId="7772EE39">
      <w:pPr>
        <w:spacing w:line="579" w:lineRule="exact"/>
        <w:ind w:firstLine="630" w:firstLineChars="200"/>
        <w:outlineLvl w:val="9"/>
        <w:rPr>
          <w:rFonts w:hint="eastAsia" w:hAnsi="仿宋" w:cs="Times New Roman"/>
          <w:szCs w:val="30"/>
          <w:highlight w:val="none"/>
          <w:lang w:val="en-US" w:eastAsia="zh-CN"/>
        </w:rPr>
      </w:pPr>
      <w:r>
        <w:rPr>
          <w:rFonts w:hint="eastAsia" w:hAnsi="仿宋" w:cs="Times New Roman"/>
          <w:szCs w:val="30"/>
          <w:highlight w:val="none"/>
          <w:lang w:val="en-US" w:eastAsia="zh-CN"/>
        </w:rPr>
        <w:t>中共昆明市西山区委宣传部“2024年中央补助地方国家电影事业发展专项资金”预算经费500,000.00元；根据该项目账务支出明细截止评价日支出合计500,000.00元，即成本节约率=[（500,000.00-500,000.00）/500,000.00]×100%=0%。</w:t>
      </w:r>
    </w:p>
    <w:p w14:paraId="4204F563">
      <w:pPr>
        <w:spacing w:line="579" w:lineRule="exact"/>
        <w:ind w:firstLine="630" w:firstLineChars="200"/>
        <w:outlineLvl w:val="1"/>
        <w:rPr>
          <w:rFonts w:ascii="楷体" w:hAnsi="楷体" w:eastAsia="楷体"/>
          <w:szCs w:val="30"/>
          <w:highlight w:val="none"/>
        </w:rPr>
      </w:pPr>
      <w:bookmarkStart w:id="31" w:name="_Toc23477"/>
      <w:r>
        <w:rPr>
          <w:rFonts w:hint="eastAsia" w:ascii="楷体" w:hAnsi="楷体" w:eastAsia="楷体"/>
          <w:szCs w:val="30"/>
          <w:highlight w:val="none"/>
        </w:rPr>
        <w:t>（四）</w:t>
      </w:r>
      <w:r>
        <w:rPr>
          <w:rFonts w:hint="eastAsia" w:ascii="楷体" w:hAnsi="楷体" w:eastAsia="楷体"/>
          <w:szCs w:val="30"/>
          <w:highlight w:val="none"/>
          <w:lang w:val="en-US" w:eastAsia="zh-CN"/>
        </w:rPr>
        <w:t>项目效益</w:t>
      </w:r>
      <w:r>
        <w:rPr>
          <w:rFonts w:hint="eastAsia" w:ascii="楷体" w:hAnsi="楷体" w:eastAsia="楷体"/>
          <w:szCs w:val="30"/>
          <w:highlight w:val="none"/>
        </w:rPr>
        <w:t>情况</w:t>
      </w:r>
      <w:bookmarkEnd w:id="31"/>
    </w:p>
    <w:p w14:paraId="1A79E58B">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项目效益情况包括经济效益、社会效益、满意度三个方面，满分为22分，得分15分，得分率68.18%。</w:t>
      </w:r>
    </w:p>
    <w:p w14:paraId="3B4ADF9B">
      <w:pPr>
        <w:spacing w:line="579" w:lineRule="exact"/>
        <w:ind w:firstLine="630" w:firstLineChars="200"/>
        <w:rPr>
          <w:rFonts w:hint="eastAsia" w:hAnsi="仿宋"/>
          <w:szCs w:val="30"/>
          <w:lang w:val="en-US" w:eastAsia="zh-CN"/>
        </w:rPr>
      </w:pPr>
      <w:r>
        <w:rPr>
          <w:rFonts w:hint="eastAsia" w:hAnsi="仿宋"/>
          <w:szCs w:val="30"/>
          <w:lang w:val="en-US" w:eastAsia="zh-CN"/>
        </w:rPr>
        <w:t>1.</w:t>
      </w:r>
      <w:r>
        <w:rPr>
          <w:rFonts w:hint="eastAsia" w:hAnsi="仿宋" w:cs="Times New Roman"/>
          <w:szCs w:val="30"/>
          <w:highlight w:val="none"/>
          <w:lang w:val="en-US" w:eastAsia="zh-CN"/>
        </w:rPr>
        <w:t>经济</w:t>
      </w:r>
      <w:r>
        <w:rPr>
          <w:rFonts w:hint="eastAsia" w:hAnsi="仿宋"/>
          <w:szCs w:val="30"/>
          <w:lang w:val="en-US" w:eastAsia="zh-CN"/>
        </w:rPr>
        <w:t>效益</w:t>
      </w:r>
    </w:p>
    <w:p w14:paraId="065E1EC7">
      <w:pPr>
        <w:spacing w:line="579" w:lineRule="exact"/>
        <w:ind w:firstLine="630" w:firstLineChars="200"/>
        <w:rPr>
          <w:rFonts w:hint="default" w:hAnsi="仿宋" w:cs="Times New Roman"/>
          <w:szCs w:val="30"/>
          <w:highlight w:val="none"/>
          <w:lang w:val="en-US" w:eastAsia="zh-CN"/>
        </w:rPr>
      </w:pPr>
      <w:r>
        <w:rPr>
          <w:rFonts w:hint="eastAsia" w:hAnsi="仿宋" w:cs="Times New Roman"/>
          <w:szCs w:val="30"/>
          <w:highlight w:val="none"/>
          <w:lang w:val="en-US" w:eastAsia="zh-CN"/>
        </w:rPr>
        <w:t>经济效益指标满分为6分，受补助影院年度票房指获补影院年度放映票务总收入</w:t>
      </w:r>
      <w:r>
        <w:rPr>
          <w:rFonts w:hint="eastAsia" w:hAnsi="仿宋"/>
          <w:szCs w:val="30"/>
          <w:lang w:val="en-US" w:eastAsia="zh-CN"/>
        </w:rPr>
        <w:t>进行评价</w:t>
      </w:r>
      <w:r>
        <w:rPr>
          <w:rFonts w:hint="eastAsia" w:hAnsi="仿宋" w:cs="Times New Roman"/>
          <w:szCs w:val="30"/>
          <w:highlight w:val="none"/>
          <w:lang w:val="en-US" w:eastAsia="zh-CN"/>
        </w:rPr>
        <w:t>。</w:t>
      </w:r>
      <w:r>
        <w:rPr>
          <w:rFonts w:hint="default" w:hAnsi="仿宋" w:cs="Times New Roman"/>
          <w:szCs w:val="30"/>
          <w:highlight w:val="none"/>
          <w:lang w:val="en-US" w:eastAsia="zh-CN"/>
        </w:rPr>
        <w:t>此项综合评价得分为</w:t>
      </w:r>
      <w:r>
        <w:rPr>
          <w:rFonts w:hint="eastAsia" w:hAnsi="仿宋" w:cs="Times New Roman"/>
          <w:szCs w:val="30"/>
          <w:highlight w:val="none"/>
          <w:lang w:val="en-US" w:eastAsia="zh-CN"/>
        </w:rPr>
        <w:t>6</w:t>
      </w:r>
      <w:r>
        <w:rPr>
          <w:rFonts w:hint="default" w:hAnsi="仿宋" w:cs="Times New Roman"/>
          <w:szCs w:val="30"/>
          <w:highlight w:val="none"/>
          <w:lang w:val="en-US" w:eastAsia="zh-CN"/>
        </w:rPr>
        <w:t>分</w:t>
      </w:r>
      <w:r>
        <w:rPr>
          <w:rFonts w:hint="eastAsia" w:hAnsi="仿宋" w:cs="Times New Roman"/>
          <w:szCs w:val="30"/>
          <w:highlight w:val="none"/>
          <w:lang w:val="en-US" w:eastAsia="zh-CN"/>
        </w:rPr>
        <w:t>，得分率100%。</w:t>
      </w:r>
    </w:p>
    <w:p w14:paraId="467873CB">
      <w:pPr>
        <w:spacing w:line="579" w:lineRule="exact"/>
        <w:ind w:firstLine="630" w:firstLineChars="200"/>
        <w:rPr>
          <w:rFonts w:hint="eastAsia" w:hAnsi="仿宋" w:cs="Times New Roman"/>
          <w:szCs w:val="30"/>
          <w:highlight w:val="none"/>
          <w:lang w:val="en-US" w:eastAsia="zh-CN"/>
        </w:rPr>
      </w:pPr>
      <w:r>
        <w:rPr>
          <w:rFonts w:hint="eastAsia" w:hAnsi="仿宋"/>
          <w:szCs w:val="30"/>
          <w:highlight w:val="none"/>
          <w:lang w:val="en-US" w:eastAsia="zh-CN"/>
        </w:rPr>
        <w:t>通过受补助影院年度票房指获补影院年度放映票务总收入（含线上线下），是衡量运营成效与补助带动作用的核心指标；带动社会投资指补助引发示范效应吸引的非财政投资额，反映资金杠杆价值。同时从项目关联影院历史运营数据及现有佐证材料来看，专项资金支持的影院升级改造（如IMAX影厅建设）对票房提升具有显著带动作用：根据影院提供的直接经济效益证明及问卷调查结果汇总，2019年该影院实现票房收入2083万元，较</w:t>
      </w:r>
      <w:r>
        <w:rPr>
          <w:rFonts w:hint="eastAsia" w:hAnsi="仿宋" w:cs="Times New Roman"/>
          <w:szCs w:val="30"/>
          <w:highlight w:val="none"/>
          <w:lang w:val="en-US" w:eastAsia="zh-CN"/>
        </w:rPr>
        <w:t>2018年的666万元增长1417万元，票房增长率达200%。直观体现了技术升级与资金投入对影院经营效益的正向拉动作用。</w:t>
      </w:r>
    </w:p>
    <w:p w14:paraId="34295274">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从（1）通过受补助影院的电影票价与之前相比（2）受补助影院的一些优惠活动（如特价场次、会员优惠等）而增加了观影次数（3）受补助影院的设施和服务提升后，对周边商业（如餐饮、购物等）的带动作用3个方面来设置调查问卷，最终得分6分。</w:t>
      </w:r>
    </w:p>
    <w:p w14:paraId="0FB3C001">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2.社会效益</w:t>
      </w:r>
    </w:p>
    <w:p w14:paraId="04958289">
      <w:pPr>
        <w:spacing w:line="579" w:lineRule="exact"/>
        <w:ind w:firstLine="630" w:firstLineChars="200"/>
        <w:rPr>
          <w:rFonts w:hint="default" w:hAnsi="仿宋"/>
          <w:szCs w:val="30"/>
          <w:lang w:val="en-US" w:eastAsia="zh-CN"/>
        </w:rPr>
      </w:pPr>
      <w:r>
        <w:rPr>
          <w:rFonts w:hint="eastAsia" w:hAnsi="仿宋"/>
          <w:szCs w:val="30"/>
          <w:lang w:val="en-US" w:eastAsia="zh-CN"/>
        </w:rPr>
        <w:t>社会效益指标满分为6分，通过译制语种数量进行评价。</w:t>
      </w:r>
      <w:r>
        <w:rPr>
          <w:rFonts w:hint="default" w:hAnsi="仿宋"/>
          <w:szCs w:val="30"/>
          <w:lang w:val="en-US" w:eastAsia="zh-CN"/>
        </w:rPr>
        <w:t>此项综合评价得分为</w:t>
      </w:r>
      <w:r>
        <w:rPr>
          <w:rFonts w:hint="eastAsia" w:hAnsi="仿宋"/>
          <w:szCs w:val="30"/>
          <w:lang w:val="en-US" w:eastAsia="zh-CN"/>
        </w:rPr>
        <w:t>3</w:t>
      </w:r>
      <w:r>
        <w:rPr>
          <w:rFonts w:hint="default" w:hAnsi="仿宋"/>
          <w:szCs w:val="30"/>
          <w:lang w:val="en-US" w:eastAsia="zh-CN"/>
        </w:rPr>
        <w:t>分</w:t>
      </w:r>
      <w:r>
        <w:rPr>
          <w:rFonts w:hint="eastAsia" w:hAnsi="仿宋"/>
          <w:szCs w:val="30"/>
          <w:lang w:val="en-US" w:eastAsia="zh-CN"/>
        </w:rPr>
        <w:t>，得分率50%。</w:t>
      </w:r>
    </w:p>
    <w:p w14:paraId="173F26F1">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根据问卷调查结果汇总情况。中央补助资金支持下，基层影院硬件升级、优秀影片放映占比提升，有效满足群众观影需求、强化文化认同，但仍存在偏远区域可及性不足、影片供需匹配度不高、文化传播与产业联动待加强等问题。</w:t>
      </w:r>
    </w:p>
    <w:p w14:paraId="2E667346">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从（1）对本地基层影院的观影服务（设施、便利性等）及国产/特色/艺术影片供给的整体满意度（2）基层观影服务完善与优秀影片推广，是否有效丰富了您的精神文化生活、增强了对中华优秀文化的了解2个方面来设置调查问卷，得分率=（15×100%+15×80%）/30×100%=90%。100%得满分，每下降5%扣1.5分，扣3分。</w:t>
      </w:r>
    </w:p>
    <w:p w14:paraId="1264EB10">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3.满意度指标</w:t>
      </w:r>
    </w:p>
    <w:p w14:paraId="75A8ADDB">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满意度指标满分为10分，对社会公众或服务对象对项目实施效果的满意程度进行评价。此项综合评价得分为6分，得分率60%。</w:t>
      </w:r>
    </w:p>
    <w:p w14:paraId="175951FD">
      <w:pPr>
        <w:spacing w:line="579" w:lineRule="exact"/>
        <w:ind w:firstLine="630" w:firstLineChars="200"/>
        <w:rPr>
          <w:rFonts w:hint="default" w:hAnsi="仿宋" w:cs="Times New Roman"/>
          <w:szCs w:val="30"/>
          <w:highlight w:val="none"/>
          <w:lang w:val="en-US" w:eastAsia="zh-CN"/>
        </w:rPr>
      </w:pPr>
      <w:r>
        <w:rPr>
          <w:rFonts w:hint="eastAsia" w:hAnsi="仿宋" w:cs="Times New Roman"/>
          <w:szCs w:val="30"/>
          <w:highlight w:val="none"/>
          <w:lang w:val="en-US" w:eastAsia="zh-CN"/>
        </w:rPr>
        <w:t>通过对受益对象发放调查问卷，了解社会群众的满意程度，本次绩效评价共发放问卷30份，收回有效问卷30份，满意问卷29份，不满意1份。得分率=（12×100%+11×80%+6×50%+1×10%）/30×100%=80%。满意度90%以上满分，每下降5%扣2分，扣4分。</w:t>
      </w:r>
    </w:p>
    <w:p w14:paraId="67FF87C0">
      <w:pPr>
        <w:spacing w:line="579" w:lineRule="exact"/>
        <w:ind w:firstLine="630" w:firstLineChars="200"/>
        <w:outlineLvl w:val="0"/>
        <w:rPr>
          <w:rFonts w:ascii="黑体" w:hAnsi="宋体" w:eastAsia="黑体" w:cs="宋体"/>
          <w:szCs w:val="30"/>
          <w:highlight w:val="none"/>
        </w:rPr>
      </w:pPr>
      <w:bookmarkStart w:id="32" w:name="_Toc5586"/>
      <w:r>
        <w:rPr>
          <w:rFonts w:hint="eastAsia" w:ascii="黑体" w:hAnsi="宋体" w:eastAsia="黑体" w:cs="宋体"/>
          <w:szCs w:val="30"/>
          <w:highlight w:val="none"/>
          <w:lang w:val="en-US" w:eastAsia="zh-CN"/>
        </w:rPr>
        <w:t>五</w:t>
      </w:r>
      <w:r>
        <w:rPr>
          <w:rFonts w:hint="eastAsia" w:ascii="黑体" w:hAnsi="宋体" w:eastAsia="黑体" w:cs="宋体"/>
          <w:szCs w:val="30"/>
          <w:highlight w:val="none"/>
        </w:rPr>
        <w:t>、主要经验及做法</w:t>
      </w:r>
      <w:bookmarkEnd w:id="32"/>
    </w:p>
    <w:p w14:paraId="7A94900C">
      <w:pPr>
        <w:spacing w:line="579" w:lineRule="exact"/>
        <w:ind w:firstLine="630" w:firstLineChars="200"/>
        <w:rPr>
          <w:rFonts w:hint="eastAsia" w:hAnsi="仿宋"/>
          <w:szCs w:val="30"/>
          <w:lang w:val="en-US" w:eastAsia="zh-CN"/>
        </w:rPr>
      </w:pPr>
      <w:r>
        <w:rPr>
          <w:rFonts w:hint="eastAsia" w:hAnsi="仿宋"/>
          <w:szCs w:val="30"/>
          <w:lang w:val="en-US" w:eastAsia="zh-CN"/>
        </w:rPr>
        <w:t>无。</w:t>
      </w:r>
    </w:p>
    <w:p w14:paraId="206A3648">
      <w:pPr>
        <w:keepNext/>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0"/>
        <w:rPr>
          <w:rFonts w:hint="eastAsia" w:ascii="楷体" w:hAnsi="楷体" w:eastAsia="楷体"/>
          <w:szCs w:val="30"/>
          <w:highlight w:val="none"/>
        </w:rPr>
      </w:pPr>
      <w:bookmarkStart w:id="33" w:name="_Toc21520"/>
      <w:r>
        <w:rPr>
          <w:rFonts w:hint="eastAsia" w:ascii="黑体" w:hAnsi="宋体" w:eastAsia="黑体" w:cs="宋体"/>
          <w:szCs w:val="30"/>
          <w:highlight w:val="none"/>
          <w:lang w:val="en-US" w:eastAsia="zh-CN"/>
        </w:rPr>
        <w:t>六</w:t>
      </w:r>
      <w:r>
        <w:rPr>
          <w:rFonts w:hint="eastAsia" w:ascii="黑体" w:hAnsi="宋体" w:eastAsia="黑体" w:cs="宋体"/>
          <w:szCs w:val="30"/>
          <w:highlight w:val="none"/>
        </w:rPr>
        <w:t>、存在问题及原因分析</w:t>
      </w:r>
      <w:bookmarkEnd w:id="33"/>
      <w:bookmarkStart w:id="34" w:name="_Toc30571"/>
      <w:bookmarkStart w:id="35" w:name="_Toc25742923"/>
      <w:bookmarkStart w:id="36" w:name="_Toc19045"/>
      <w:bookmarkStart w:id="37" w:name="_Toc6890"/>
    </w:p>
    <w:bookmarkEnd w:id="34"/>
    <w:bookmarkEnd w:id="35"/>
    <w:bookmarkEnd w:id="36"/>
    <w:bookmarkEnd w:id="37"/>
    <w:p w14:paraId="53C92825">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default" w:ascii="仿宋" w:hAnsi="仿宋" w:eastAsia="仿宋" w:cs="仿宋"/>
          <w:b/>
          <w:bCs/>
          <w:sz w:val="30"/>
          <w:szCs w:val="30"/>
          <w:highlight w:val="none"/>
          <w:lang w:val="en-US" w:eastAsia="zh-CN"/>
        </w:rPr>
      </w:pPr>
      <w:r>
        <w:rPr>
          <w:rFonts w:hint="eastAsia" w:hAnsi="仿宋" w:cs="仿宋"/>
          <w:b/>
          <w:bCs/>
          <w:sz w:val="30"/>
          <w:szCs w:val="30"/>
          <w:highlight w:val="none"/>
          <w:lang w:val="en-US" w:eastAsia="zh-CN"/>
        </w:rPr>
        <w:t>（一）</w:t>
      </w:r>
      <w:r>
        <w:rPr>
          <w:rFonts w:hint="eastAsia" w:ascii="仿宋" w:hAnsi="仿宋" w:eastAsia="仿宋" w:cs="仿宋"/>
          <w:b/>
          <w:bCs/>
          <w:sz w:val="30"/>
          <w:szCs w:val="30"/>
          <w:highlight w:val="none"/>
          <w:lang w:val="en-US" w:eastAsia="zh-CN"/>
        </w:rPr>
        <w:t>绩效工作重视程度不高</w:t>
      </w:r>
    </w:p>
    <w:p w14:paraId="0AD304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eastAsia" w:hAnsi="仿宋" w:cs="Times New Roman"/>
          <w:szCs w:val="30"/>
          <w:highlight w:val="none"/>
          <w:lang w:val="en-US" w:eastAsia="zh-CN"/>
        </w:rPr>
      </w:pPr>
      <w:r>
        <w:rPr>
          <w:rFonts w:hint="eastAsia" w:hAnsi="仿宋" w:cs="Times New Roman"/>
          <w:szCs w:val="30"/>
          <w:highlight w:val="none"/>
          <w:lang w:val="en-US" w:eastAsia="zh-CN"/>
        </w:rPr>
        <w:t>1.绩效目标不完整：缺少时效及社会效益指标；</w:t>
      </w:r>
    </w:p>
    <w:p w14:paraId="70CCC5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default" w:hAnsi="仿宋" w:cs="Times New Roman"/>
          <w:szCs w:val="30"/>
          <w:highlight w:val="none"/>
          <w:lang w:val="en-US" w:eastAsia="zh-CN"/>
        </w:rPr>
      </w:pPr>
      <w:r>
        <w:rPr>
          <w:rFonts w:hint="eastAsia" w:hAnsi="仿宋" w:cs="Times New Roman"/>
          <w:szCs w:val="30"/>
          <w:highlight w:val="none"/>
          <w:lang w:val="en-US" w:eastAsia="zh-CN"/>
        </w:rPr>
        <w:t>2.</w:t>
      </w:r>
      <w:r>
        <w:rPr>
          <w:rFonts w:hint="default" w:hAnsi="仿宋" w:cs="Times New Roman"/>
          <w:szCs w:val="30"/>
          <w:highlight w:val="none"/>
          <w:lang w:val="en-US" w:eastAsia="zh-CN"/>
        </w:rPr>
        <w:t>绩效目标设置无法衡量：设置的绩效指标未通过清晰、可衡量的指标值予以体现。具体表现为核心绩效指标未明确对应清晰、量化或可验证的指标值。部分指标仅以定性描述方式界定工作方向（如“补助安装先进技术设备影院数量”“补助影院安装先进技术设备金额”等）</w:t>
      </w:r>
      <w:r>
        <w:rPr>
          <w:rFonts w:hint="eastAsia" w:hAnsi="仿宋" w:cs="Times New Roman"/>
          <w:szCs w:val="30"/>
          <w:highlight w:val="none"/>
          <w:lang w:val="en-US" w:eastAsia="zh-CN"/>
        </w:rPr>
        <w:t>，</w:t>
      </w:r>
      <w:r>
        <w:rPr>
          <w:rFonts w:hint="default" w:hAnsi="仿宋" w:cs="Times New Roman"/>
          <w:szCs w:val="30"/>
          <w:highlight w:val="none"/>
          <w:lang w:val="en-US" w:eastAsia="zh-CN"/>
        </w:rPr>
        <w:t>未结合项目实际工作内容制定具体可量化的评判标准</w:t>
      </w:r>
      <w:r>
        <w:rPr>
          <w:rFonts w:hint="eastAsia" w:hAnsi="仿宋" w:cs="Times New Roman"/>
          <w:szCs w:val="30"/>
          <w:highlight w:val="none"/>
          <w:lang w:val="en-US" w:eastAsia="zh-CN"/>
        </w:rPr>
        <w:t>，</w:t>
      </w:r>
      <w:r>
        <w:rPr>
          <w:rFonts w:hint="default" w:hAnsi="仿宋" w:cs="Times New Roman"/>
          <w:szCs w:val="30"/>
          <w:highlight w:val="none"/>
          <w:lang w:val="en-US" w:eastAsia="zh-CN"/>
        </w:rPr>
        <w:t>缺乏明确的数值、比例、时限等可衡量维度。例如</w:t>
      </w:r>
      <w:r>
        <w:rPr>
          <w:rFonts w:hint="eastAsia" w:hAnsi="仿宋" w:cs="Times New Roman"/>
          <w:szCs w:val="30"/>
          <w:highlight w:val="none"/>
          <w:lang w:val="en-US" w:eastAsia="zh-CN"/>
        </w:rPr>
        <w:t>，</w:t>
      </w:r>
      <w:r>
        <w:rPr>
          <w:rFonts w:hint="default" w:hAnsi="仿宋" w:cs="Times New Roman"/>
          <w:szCs w:val="30"/>
          <w:highlight w:val="none"/>
          <w:lang w:val="en-US" w:eastAsia="zh-CN"/>
        </w:rPr>
        <w:t>针对服务类项目未明确“服务覆盖人数”“服务满意度达标率”等量化指标</w:t>
      </w:r>
      <w:r>
        <w:rPr>
          <w:rFonts w:hint="eastAsia" w:hAnsi="仿宋" w:cs="Times New Roman"/>
          <w:szCs w:val="30"/>
          <w:highlight w:val="none"/>
          <w:lang w:val="en-US" w:eastAsia="zh-CN"/>
        </w:rPr>
        <w:t>，</w:t>
      </w:r>
      <w:r>
        <w:rPr>
          <w:rFonts w:hint="default" w:hAnsi="仿宋" w:cs="Times New Roman"/>
          <w:szCs w:val="30"/>
          <w:highlight w:val="none"/>
          <w:lang w:val="en-US" w:eastAsia="zh-CN"/>
        </w:rPr>
        <w:t>针对资金使用类项目未明确“资金执行进度阈值”“成本控制比率”等具体参数</w:t>
      </w:r>
      <w:r>
        <w:rPr>
          <w:rFonts w:hint="eastAsia" w:hAnsi="仿宋" w:cs="Times New Roman"/>
          <w:szCs w:val="30"/>
          <w:highlight w:val="none"/>
          <w:lang w:val="en-US" w:eastAsia="zh-CN"/>
        </w:rPr>
        <w:t>，</w:t>
      </w:r>
      <w:r>
        <w:rPr>
          <w:rFonts w:hint="default" w:hAnsi="仿宋" w:cs="Times New Roman"/>
          <w:szCs w:val="30"/>
          <w:highlight w:val="none"/>
          <w:lang w:val="en-US" w:eastAsia="zh-CN"/>
        </w:rPr>
        <w:t>导致绩效目标在实际执行过程中缺乏明确的评判依据</w:t>
      </w:r>
      <w:r>
        <w:rPr>
          <w:rFonts w:hint="eastAsia" w:hAnsi="仿宋" w:cs="Times New Roman"/>
          <w:szCs w:val="30"/>
          <w:highlight w:val="none"/>
          <w:lang w:val="en-US" w:eastAsia="zh-CN"/>
        </w:rPr>
        <w:t>，</w:t>
      </w:r>
      <w:r>
        <w:rPr>
          <w:rFonts w:hint="default" w:hAnsi="仿宋" w:cs="Times New Roman"/>
          <w:szCs w:val="30"/>
          <w:highlight w:val="none"/>
          <w:lang w:val="en-US" w:eastAsia="zh-CN"/>
        </w:rPr>
        <w:t>既无法精准衡量项目实施成效与预期目标的契合程度</w:t>
      </w:r>
      <w:r>
        <w:rPr>
          <w:rFonts w:hint="eastAsia" w:hAnsi="仿宋" w:cs="Times New Roman"/>
          <w:szCs w:val="30"/>
          <w:highlight w:val="none"/>
          <w:lang w:val="en-US" w:eastAsia="zh-CN"/>
        </w:rPr>
        <w:t>，</w:t>
      </w:r>
      <w:r>
        <w:rPr>
          <w:rFonts w:hint="default" w:hAnsi="仿宋" w:cs="Times New Roman"/>
          <w:szCs w:val="30"/>
          <w:highlight w:val="none"/>
          <w:lang w:val="en-US" w:eastAsia="zh-CN"/>
        </w:rPr>
        <w:t>也难以在绩效评价阶段进行客观、公正的量化考核</w:t>
      </w:r>
      <w:r>
        <w:rPr>
          <w:rFonts w:hint="eastAsia" w:hAnsi="仿宋" w:cs="Times New Roman"/>
          <w:szCs w:val="30"/>
          <w:highlight w:val="none"/>
          <w:lang w:val="en-US" w:eastAsia="zh-CN"/>
        </w:rPr>
        <w:t>，</w:t>
      </w:r>
      <w:r>
        <w:rPr>
          <w:rFonts w:hint="default" w:hAnsi="仿宋" w:cs="Times New Roman"/>
          <w:szCs w:val="30"/>
          <w:highlight w:val="none"/>
          <w:lang w:val="en-US" w:eastAsia="zh-CN"/>
        </w:rPr>
        <w:t>影响绩效评价结果的科学性和权威性</w:t>
      </w:r>
      <w:r>
        <w:rPr>
          <w:rFonts w:hint="eastAsia" w:hAnsi="仿宋" w:cs="Times New Roman"/>
          <w:szCs w:val="30"/>
          <w:highlight w:val="none"/>
          <w:lang w:val="en-US" w:eastAsia="zh-CN"/>
        </w:rPr>
        <w:t>，</w:t>
      </w:r>
      <w:r>
        <w:rPr>
          <w:rFonts w:hint="default" w:hAnsi="仿宋" w:cs="Times New Roman"/>
          <w:szCs w:val="30"/>
          <w:highlight w:val="none"/>
          <w:lang w:val="en-US" w:eastAsia="zh-CN"/>
        </w:rPr>
        <w:t>不利于后续项目成效的复盘与改进。</w:t>
      </w:r>
    </w:p>
    <w:p w14:paraId="6288858A">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（二）</w:t>
      </w:r>
      <w:r>
        <w:rPr>
          <w:rFonts w:hint="default" w:ascii="仿宋" w:hAnsi="仿宋" w:eastAsia="仿宋" w:cs="仿宋"/>
          <w:b/>
          <w:bCs/>
          <w:sz w:val="30"/>
          <w:szCs w:val="30"/>
          <w:highlight w:val="none"/>
          <w:lang w:val="en-US" w:eastAsia="zh-CN"/>
        </w:rPr>
        <w:t>绩效跟踪管理不到位</w:t>
      </w:r>
      <w:r>
        <w:rPr>
          <w:rFonts w:hint="eastAsia" w:hAnsi="仿宋" w:cs="仿宋"/>
          <w:b/>
          <w:bCs/>
          <w:sz w:val="30"/>
          <w:szCs w:val="30"/>
          <w:highlight w:val="none"/>
          <w:lang w:val="en-US" w:eastAsia="zh-CN"/>
        </w:rPr>
        <w:t>，</w:t>
      </w:r>
      <w:r>
        <w:rPr>
          <w:rFonts w:hint="default" w:ascii="仿宋" w:hAnsi="仿宋" w:eastAsia="仿宋" w:cs="仿宋"/>
          <w:b/>
          <w:bCs/>
          <w:sz w:val="30"/>
          <w:szCs w:val="30"/>
          <w:highlight w:val="none"/>
          <w:lang w:val="en-US" w:eastAsia="zh-CN"/>
        </w:rPr>
        <w:t>资金使用监管薄弱</w:t>
      </w:r>
    </w:p>
    <w:p w14:paraId="61C92D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eastAsia" w:hAnsi="仿宋" w:cs="Times New Roman"/>
          <w:szCs w:val="30"/>
          <w:highlight w:val="none"/>
          <w:lang w:val="en-US" w:eastAsia="zh-CN"/>
        </w:rPr>
      </w:pPr>
      <w:r>
        <w:rPr>
          <w:rFonts w:hint="default" w:hAnsi="仿宋" w:cs="Times New Roman"/>
          <w:szCs w:val="30"/>
          <w:highlight w:val="none"/>
          <w:lang w:val="en-US" w:eastAsia="zh-CN"/>
        </w:rPr>
        <w:t>项目绩效跟踪管理聚焦不足</w:t>
      </w:r>
      <w:r>
        <w:rPr>
          <w:rFonts w:hint="eastAsia" w:hAnsi="仿宋" w:cs="Times New Roman"/>
          <w:szCs w:val="30"/>
          <w:highlight w:val="none"/>
          <w:lang w:val="en-US" w:eastAsia="zh-CN"/>
        </w:rPr>
        <w:t>，</w:t>
      </w:r>
      <w:r>
        <w:rPr>
          <w:rFonts w:hint="default" w:hAnsi="仿宋" w:cs="Times New Roman"/>
          <w:szCs w:val="30"/>
          <w:highlight w:val="none"/>
          <w:lang w:val="en-US" w:eastAsia="zh-CN"/>
        </w:rPr>
        <w:t>核心短板集中在资金使用全流程监管环节。未建立常态化资金使用跟踪机制</w:t>
      </w:r>
      <w:r>
        <w:rPr>
          <w:rFonts w:hint="eastAsia" w:hAnsi="仿宋" w:cs="Times New Roman"/>
          <w:szCs w:val="30"/>
          <w:highlight w:val="none"/>
          <w:lang w:val="en-US" w:eastAsia="zh-CN"/>
        </w:rPr>
        <w:t>，</w:t>
      </w:r>
      <w:r>
        <w:rPr>
          <w:rFonts w:hint="default" w:hAnsi="仿宋" w:cs="Times New Roman"/>
          <w:szCs w:val="30"/>
          <w:highlight w:val="none"/>
          <w:lang w:val="en-US" w:eastAsia="zh-CN"/>
        </w:rPr>
        <w:t>对中央补助资金的拨付进度、实际支出流向、使用合规性等缺乏动态监控与定期核查</w:t>
      </w:r>
      <w:r>
        <w:rPr>
          <w:rFonts w:hint="eastAsia" w:hAnsi="仿宋" w:cs="Times New Roman"/>
          <w:szCs w:val="30"/>
          <w:highlight w:val="none"/>
          <w:lang w:val="en-US" w:eastAsia="zh-CN"/>
        </w:rPr>
        <w:t>，</w:t>
      </w:r>
      <w:r>
        <w:rPr>
          <w:rFonts w:hint="default" w:hAnsi="仿宋" w:cs="Times New Roman"/>
          <w:szCs w:val="30"/>
          <w:highlight w:val="none"/>
          <w:lang w:val="en-US" w:eastAsia="zh-CN"/>
        </w:rPr>
        <w:t>未及时掌握资金是否严格按照批准用途用于影院设备升级、国产影片放映等专项支出；同时</w:t>
      </w:r>
      <w:r>
        <w:rPr>
          <w:rFonts w:hint="eastAsia" w:hAnsi="仿宋" w:cs="Times New Roman"/>
          <w:szCs w:val="30"/>
          <w:highlight w:val="none"/>
          <w:lang w:val="en-US" w:eastAsia="zh-CN"/>
        </w:rPr>
        <w:t>，</w:t>
      </w:r>
      <w:r>
        <w:rPr>
          <w:rFonts w:hint="default" w:hAnsi="仿宋" w:cs="Times New Roman"/>
          <w:szCs w:val="30"/>
          <w:highlight w:val="none"/>
          <w:lang w:val="en-US" w:eastAsia="zh-CN"/>
        </w:rPr>
        <w:t>资金使用与绩效目标执行的联动跟踪不足</w:t>
      </w:r>
      <w:r>
        <w:rPr>
          <w:rFonts w:hint="eastAsia" w:hAnsi="仿宋" w:cs="Times New Roman"/>
          <w:szCs w:val="30"/>
          <w:highlight w:val="none"/>
          <w:lang w:val="en-US" w:eastAsia="zh-CN"/>
        </w:rPr>
        <w:t>，</w:t>
      </w:r>
      <w:r>
        <w:rPr>
          <w:rFonts w:hint="default" w:hAnsi="仿宋" w:cs="Times New Roman"/>
          <w:szCs w:val="30"/>
          <w:highlight w:val="none"/>
          <w:lang w:val="en-US" w:eastAsia="zh-CN"/>
        </w:rPr>
        <w:t>未定期对照绩效目标分析资金使用效率与项目实施成效的匹配度</w:t>
      </w:r>
      <w:r>
        <w:rPr>
          <w:rFonts w:hint="eastAsia" w:hAnsi="仿宋" w:cs="Times New Roman"/>
          <w:szCs w:val="30"/>
          <w:highlight w:val="none"/>
          <w:lang w:val="en-US" w:eastAsia="zh-CN"/>
        </w:rPr>
        <w:t>，</w:t>
      </w:r>
      <w:r>
        <w:rPr>
          <w:rFonts w:hint="default" w:hAnsi="仿宋" w:cs="Times New Roman"/>
          <w:szCs w:val="30"/>
          <w:highlight w:val="none"/>
          <w:lang w:val="en-US" w:eastAsia="zh-CN"/>
        </w:rPr>
        <w:t>难以及时发现资金使用不规范、支出进度滞后、资金闲置或用途偏离等问题</w:t>
      </w:r>
      <w:r>
        <w:rPr>
          <w:rFonts w:hint="eastAsia" w:hAnsi="仿宋" w:cs="Times New Roman"/>
          <w:szCs w:val="30"/>
          <w:highlight w:val="none"/>
          <w:lang w:val="en-US" w:eastAsia="zh-CN"/>
        </w:rPr>
        <w:t>，</w:t>
      </w:r>
      <w:r>
        <w:rPr>
          <w:rFonts w:hint="default" w:hAnsi="仿宋" w:cs="Times New Roman"/>
          <w:szCs w:val="30"/>
          <w:highlight w:val="none"/>
          <w:lang w:val="en-US" w:eastAsia="zh-CN"/>
        </w:rPr>
        <w:t>导致绩效跟踪未能充分发挥过程管控作用</w:t>
      </w:r>
      <w:r>
        <w:rPr>
          <w:rFonts w:hint="eastAsia" w:hAnsi="仿宋" w:cs="Times New Roman"/>
          <w:szCs w:val="30"/>
          <w:highlight w:val="none"/>
          <w:lang w:val="en-US" w:eastAsia="zh-CN"/>
        </w:rPr>
        <w:t>，</w:t>
      </w:r>
      <w:r>
        <w:rPr>
          <w:rFonts w:hint="default" w:hAnsi="仿宋" w:cs="Times New Roman"/>
          <w:szCs w:val="30"/>
          <w:highlight w:val="none"/>
          <w:lang w:val="en-US" w:eastAsia="zh-CN"/>
        </w:rPr>
        <w:t>影响补助资金使用效益与项目绩效目标的顺利达成。</w:t>
      </w:r>
    </w:p>
    <w:p w14:paraId="2BDCA9B4">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b/>
          <w:bCs/>
          <w:sz w:val="30"/>
          <w:szCs w:val="30"/>
          <w:highlight w:val="none"/>
          <w:lang w:val="en-US" w:eastAsia="zh-CN"/>
        </w:rPr>
      </w:pPr>
      <w:r>
        <w:rPr>
          <w:rFonts w:hint="eastAsia" w:ascii="仿宋" w:hAnsi="仿宋" w:eastAsia="仿宋" w:cs="仿宋"/>
          <w:b/>
          <w:bCs/>
          <w:sz w:val="30"/>
          <w:szCs w:val="30"/>
          <w:highlight w:val="none"/>
          <w:lang w:val="en-US" w:eastAsia="zh-CN"/>
        </w:rPr>
        <w:t>（</w:t>
      </w:r>
      <w:r>
        <w:rPr>
          <w:rFonts w:hint="eastAsia" w:hAnsi="仿宋" w:cs="仿宋"/>
          <w:b/>
          <w:bCs/>
          <w:sz w:val="30"/>
          <w:szCs w:val="30"/>
          <w:highlight w:val="none"/>
          <w:lang w:val="en-US" w:eastAsia="zh-CN"/>
        </w:rPr>
        <w:t>三</w:t>
      </w:r>
      <w:r>
        <w:rPr>
          <w:rFonts w:hint="eastAsia" w:ascii="仿宋" w:hAnsi="仿宋" w:eastAsia="仿宋" w:cs="仿宋"/>
          <w:b/>
          <w:bCs/>
          <w:sz w:val="30"/>
          <w:szCs w:val="30"/>
          <w:highlight w:val="none"/>
          <w:lang w:val="en-US" w:eastAsia="zh-CN"/>
        </w:rPr>
        <w:t>）监管</w:t>
      </w:r>
      <w:r>
        <w:rPr>
          <w:rFonts w:hint="default" w:ascii="仿宋" w:hAnsi="仿宋" w:eastAsia="仿宋" w:cs="仿宋"/>
          <w:b/>
          <w:bCs/>
          <w:sz w:val="30"/>
          <w:szCs w:val="30"/>
          <w:highlight w:val="none"/>
          <w:lang w:val="en-US" w:eastAsia="zh-CN"/>
        </w:rPr>
        <w:t>监控流于形式</w:t>
      </w:r>
    </w:p>
    <w:p w14:paraId="483A72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eastAsia" w:hAnsi="仿宋" w:cs="Times New Roman"/>
          <w:szCs w:val="30"/>
          <w:highlight w:val="none"/>
          <w:lang w:val="en-US" w:eastAsia="zh-CN"/>
        </w:rPr>
      </w:pPr>
      <w:r>
        <w:rPr>
          <w:rFonts w:hint="eastAsia" w:hAnsi="仿宋" w:cs="Times New Roman"/>
          <w:szCs w:val="30"/>
          <w:highlight w:val="none"/>
          <w:lang w:val="en-US" w:eastAsia="zh-CN"/>
        </w:rPr>
        <w:t>未建立明确的绩效跟踪流程、时间节点及责任分工，跟踪工作流于形式，多依赖人工零散记录，无统一的跟踪工具或数据台账，导致绩效数据分散、不完整。</w:t>
      </w:r>
      <w:r>
        <w:rPr>
          <w:rFonts w:hint="default" w:hAnsi="仿宋" w:cs="Times New Roman"/>
          <w:szCs w:val="30"/>
          <w:highlight w:val="none"/>
          <w:lang w:val="en-US" w:eastAsia="zh-CN"/>
        </w:rPr>
        <w:t>仅在项目结束后开展一次性考核</w:t>
      </w:r>
      <w:r>
        <w:rPr>
          <w:rFonts w:hint="eastAsia" w:hAnsi="仿宋" w:cs="Times New Roman"/>
          <w:szCs w:val="30"/>
          <w:highlight w:val="none"/>
          <w:lang w:val="en-US" w:eastAsia="zh-CN"/>
        </w:rPr>
        <w:t>，</w:t>
      </w:r>
      <w:r>
        <w:rPr>
          <w:rFonts w:hint="default" w:hAnsi="仿宋" w:cs="Times New Roman"/>
          <w:szCs w:val="30"/>
          <w:highlight w:val="none"/>
          <w:lang w:val="en-US" w:eastAsia="zh-CN"/>
        </w:rPr>
        <w:t>未对影院设备使用效率、影片宣发进度等进行动态跟踪</w:t>
      </w:r>
      <w:r>
        <w:rPr>
          <w:rFonts w:hint="eastAsia" w:hAnsi="仿宋" w:cs="Times New Roman"/>
          <w:szCs w:val="30"/>
          <w:highlight w:val="none"/>
          <w:lang w:val="en-US" w:eastAsia="zh-CN"/>
        </w:rPr>
        <w:t>，</w:t>
      </w:r>
      <w:r>
        <w:rPr>
          <w:rFonts w:hint="default" w:hAnsi="仿宋" w:cs="Times New Roman"/>
          <w:szCs w:val="30"/>
          <w:highlight w:val="none"/>
          <w:lang w:val="en-US" w:eastAsia="zh-CN"/>
        </w:rPr>
        <w:t>难以及时发现项目实施与承诺不符的问题。</w:t>
      </w:r>
    </w:p>
    <w:p w14:paraId="0FCDCBF4">
      <w:pPr>
        <w:spacing w:line="579" w:lineRule="exact"/>
        <w:ind w:firstLine="630" w:firstLineChars="200"/>
        <w:outlineLvl w:val="0"/>
        <w:rPr>
          <w:rFonts w:ascii="黑体" w:hAnsi="宋体" w:eastAsia="黑体" w:cs="宋体"/>
          <w:szCs w:val="30"/>
          <w:highlight w:val="none"/>
        </w:rPr>
      </w:pPr>
      <w:bookmarkStart w:id="38" w:name="_Toc14472"/>
      <w:r>
        <w:rPr>
          <w:rFonts w:hint="eastAsia" w:ascii="黑体" w:hAnsi="宋体" w:eastAsia="黑体" w:cs="宋体"/>
          <w:szCs w:val="30"/>
          <w:highlight w:val="none"/>
          <w:lang w:val="en-US" w:eastAsia="zh-CN"/>
        </w:rPr>
        <w:t>七</w:t>
      </w:r>
      <w:r>
        <w:rPr>
          <w:rFonts w:hint="eastAsia" w:ascii="黑体" w:hAnsi="宋体" w:eastAsia="黑体" w:cs="宋体"/>
          <w:szCs w:val="30"/>
          <w:highlight w:val="none"/>
        </w:rPr>
        <w:t>、建议</w:t>
      </w:r>
      <w:bookmarkEnd w:id="38"/>
    </w:p>
    <w:p w14:paraId="47B502AB">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default" w:ascii="仿宋" w:hAnsi="仿宋" w:eastAsia="仿宋" w:cs="仿宋"/>
          <w:b/>
          <w:bCs/>
          <w:sz w:val="30"/>
          <w:szCs w:val="30"/>
          <w:highlight w:val="none"/>
          <w:lang w:val="en-US" w:eastAsia="zh-CN"/>
        </w:rPr>
      </w:pPr>
      <w:bookmarkStart w:id="39" w:name="_Hlk525314575"/>
      <w:r>
        <w:rPr>
          <w:rFonts w:hint="eastAsia" w:hAnsi="仿宋" w:cs="仿宋"/>
          <w:b/>
          <w:bCs/>
          <w:sz w:val="30"/>
          <w:szCs w:val="30"/>
          <w:highlight w:val="none"/>
          <w:lang w:val="en-US" w:eastAsia="zh-CN"/>
        </w:rPr>
        <w:t>（一）</w:t>
      </w:r>
      <w:r>
        <w:rPr>
          <w:rFonts w:hint="eastAsia" w:ascii="仿宋" w:hAnsi="仿宋" w:eastAsia="仿宋" w:cs="仿宋"/>
          <w:b/>
          <w:bCs/>
          <w:sz w:val="30"/>
          <w:szCs w:val="30"/>
          <w:highlight w:val="none"/>
          <w:lang w:val="en-US" w:eastAsia="zh-CN"/>
        </w:rPr>
        <w:t>强化绩效目标管理</w:t>
      </w:r>
    </w:p>
    <w:p w14:paraId="0B7991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eastAsia" w:hAnsi="仿宋" w:cs="Times New Roman"/>
          <w:szCs w:val="30"/>
          <w:highlight w:val="none"/>
          <w:lang w:val="en-US" w:eastAsia="zh-CN"/>
        </w:rPr>
      </w:pPr>
      <w:r>
        <w:rPr>
          <w:rFonts w:hint="eastAsia" w:hAnsi="仿宋" w:cs="Times New Roman"/>
          <w:szCs w:val="30"/>
          <w:highlight w:val="none"/>
          <w:lang w:val="en-US" w:eastAsia="zh-CN"/>
        </w:rPr>
        <w:t>建议1.补全时效（如完成时限、进度节点）及社会效益（如行业赋能、公共服务提升）指标，完善绩效目标体系；</w:t>
      </w:r>
    </w:p>
    <w:p w14:paraId="3134B7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default" w:hAnsi="仿宋" w:cs="Times New Roman"/>
          <w:szCs w:val="30"/>
          <w:highlight w:val="none"/>
          <w:lang w:val="en-US" w:eastAsia="zh-CN"/>
        </w:rPr>
      </w:pPr>
      <w:r>
        <w:rPr>
          <w:rFonts w:hint="eastAsia" w:hAnsi="仿宋" w:cs="Times New Roman"/>
          <w:szCs w:val="30"/>
          <w:highlight w:val="none"/>
          <w:lang w:val="en-US" w:eastAsia="zh-CN"/>
        </w:rPr>
        <w:t>2.</w:t>
      </w:r>
      <w:r>
        <w:rPr>
          <w:rFonts w:hint="default" w:hAnsi="仿宋" w:cs="Times New Roman"/>
          <w:szCs w:val="30"/>
          <w:highlight w:val="none"/>
          <w:lang w:val="en-US" w:eastAsia="zh-CN"/>
        </w:rPr>
        <w:t>量化核心绩效指标</w:t>
      </w:r>
      <w:r>
        <w:rPr>
          <w:rFonts w:hint="eastAsia" w:hAnsi="仿宋" w:cs="Times New Roman"/>
          <w:szCs w:val="30"/>
          <w:highlight w:val="none"/>
          <w:lang w:val="en-US" w:eastAsia="zh-CN"/>
        </w:rPr>
        <w:t>，</w:t>
      </w:r>
      <w:r>
        <w:rPr>
          <w:rFonts w:hint="default" w:hAnsi="仿宋" w:cs="Times New Roman"/>
          <w:szCs w:val="30"/>
          <w:highlight w:val="none"/>
          <w:lang w:val="en-US" w:eastAsia="zh-CN"/>
        </w:rPr>
        <w:t>明确补助影院数量、资金额度等数值标准及资金执行进度、满意度达标率等参数</w:t>
      </w:r>
      <w:r>
        <w:rPr>
          <w:rFonts w:hint="eastAsia" w:hAnsi="仿宋" w:cs="Times New Roman"/>
          <w:szCs w:val="30"/>
          <w:highlight w:val="none"/>
          <w:lang w:val="en-US" w:eastAsia="zh-CN"/>
        </w:rPr>
        <w:t>，</w:t>
      </w:r>
      <w:r>
        <w:rPr>
          <w:rFonts w:hint="default" w:hAnsi="仿宋" w:cs="Times New Roman"/>
          <w:szCs w:val="30"/>
          <w:highlight w:val="none"/>
          <w:lang w:val="en-US" w:eastAsia="zh-CN"/>
        </w:rPr>
        <w:t>提升目标可衡量性。</w:t>
      </w:r>
    </w:p>
    <w:p w14:paraId="540F7A20">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b/>
          <w:bCs/>
          <w:sz w:val="30"/>
          <w:szCs w:val="30"/>
          <w:highlight w:val="none"/>
          <w:lang w:val="en-US" w:eastAsia="zh-CN"/>
        </w:rPr>
      </w:pPr>
      <w:r>
        <w:rPr>
          <w:rFonts w:hint="eastAsia" w:hAnsi="仿宋" w:cs="仿宋"/>
          <w:b/>
          <w:bCs/>
          <w:sz w:val="30"/>
          <w:szCs w:val="30"/>
          <w:highlight w:val="none"/>
          <w:lang w:val="en-US" w:eastAsia="zh-CN"/>
        </w:rPr>
        <w:t>（二）</w:t>
      </w:r>
      <w:r>
        <w:rPr>
          <w:rFonts w:hint="default" w:hAnsi="仿宋" w:cs="仿宋"/>
          <w:b/>
          <w:bCs/>
          <w:sz w:val="30"/>
          <w:szCs w:val="30"/>
          <w:highlight w:val="none"/>
          <w:lang w:val="en-US" w:eastAsia="zh-CN"/>
        </w:rPr>
        <w:t>健全资金使用全流程跟踪机制</w:t>
      </w:r>
      <w:r>
        <w:rPr>
          <w:rFonts w:hint="eastAsia" w:hAnsi="仿宋" w:cs="仿宋"/>
          <w:b/>
          <w:bCs/>
          <w:sz w:val="30"/>
          <w:szCs w:val="30"/>
          <w:highlight w:val="none"/>
          <w:lang w:val="en-US" w:eastAsia="zh-CN"/>
        </w:rPr>
        <w:t>，</w:t>
      </w:r>
      <w:r>
        <w:rPr>
          <w:rFonts w:hint="default" w:hAnsi="仿宋" w:cs="仿宋"/>
          <w:b/>
          <w:bCs/>
          <w:sz w:val="30"/>
          <w:szCs w:val="30"/>
          <w:highlight w:val="none"/>
          <w:lang w:val="en-US" w:eastAsia="zh-CN"/>
        </w:rPr>
        <w:t>强化绩效联动监管</w:t>
      </w:r>
    </w:p>
    <w:p w14:paraId="5705E9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eastAsia" w:hAnsi="仿宋" w:cs="Times New Roman"/>
          <w:szCs w:val="30"/>
          <w:highlight w:val="none"/>
          <w:lang w:val="en-US" w:eastAsia="zh-CN"/>
        </w:rPr>
      </w:pPr>
      <w:r>
        <w:rPr>
          <w:rFonts w:hint="default" w:hAnsi="仿宋" w:cs="Times New Roman"/>
          <w:szCs w:val="30"/>
          <w:highlight w:val="none"/>
          <w:lang w:val="en-US" w:eastAsia="zh-CN"/>
        </w:rPr>
        <w:t>建议以资金使用合规性与效益性为核心</w:t>
      </w:r>
      <w:r>
        <w:rPr>
          <w:rFonts w:hint="eastAsia" w:hAnsi="仿宋" w:cs="Times New Roman"/>
          <w:szCs w:val="30"/>
          <w:highlight w:val="none"/>
          <w:lang w:val="en-US" w:eastAsia="zh-CN"/>
        </w:rPr>
        <w:t>，</w:t>
      </w:r>
      <w:r>
        <w:rPr>
          <w:rFonts w:hint="default" w:hAnsi="仿宋" w:cs="Times New Roman"/>
          <w:szCs w:val="30"/>
          <w:highlight w:val="none"/>
          <w:lang w:val="en-US" w:eastAsia="zh-CN"/>
        </w:rPr>
        <w:t>构建常态化绩效跟踪监管体系。一是建立资金动态跟踪机制</w:t>
      </w:r>
      <w:r>
        <w:rPr>
          <w:rFonts w:hint="eastAsia" w:hAnsi="仿宋" w:cs="Times New Roman"/>
          <w:szCs w:val="30"/>
          <w:highlight w:val="none"/>
          <w:lang w:val="en-US" w:eastAsia="zh-CN"/>
        </w:rPr>
        <w:t>，</w:t>
      </w:r>
      <w:r>
        <w:rPr>
          <w:rFonts w:hint="default" w:hAnsi="仿宋" w:cs="Times New Roman"/>
          <w:szCs w:val="30"/>
          <w:highlight w:val="none"/>
          <w:lang w:val="en-US" w:eastAsia="zh-CN"/>
        </w:rPr>
        <w:t>明确主管部门与实施单位的跟踪责任</w:t>
      </w:r>
      <w:r>
        <w:rPr>
          <w:rFonts w:hint="eastAsia" w:hAnsi="仿宋" w:cs="Times New Roman"/>
          <w:szCs w:val="30"/>
          <w:highlight w:val="none"/>
          <w:lang w:val="en-US" w:eastAsia="zh-CN"/>
        </w:rPr>
        <w:t>，</w:t>
      </w:r>
      <w:r>
        <w:rPr>
          <w:rFonts w:hint="default" w:hAnsi="仿宋" w:cs="Times New Roman"/>
          <w:szCs w:val="30"/>
          <w:highlight w:val="none"/>
          <w:lang w:val="en-US" w:eastAsia="zh-CN"/>
        </w:rPr>
        <w:t>定期收集资金拨付凭证、支出明细、项目进展台账等资料</w:t>
      </w:r>
      <w:r>
        <w:rPr>
          <w:rFonts w:hint="eastAsia" w:hAnsi="仿宋" w:cs="Times New Roman"/>
          <w:szCs w:val="30"/>
          <w:highlight w:val="none"/>
          <w:lang w:val="en-US" w:eastAsia="zh-CN"/>
        </w:rPr>
        <w:t>，</w:t>
      </w:r>
      <w:r>
        <w:rPr>
          <w:rFonts w:hint="default" w:hAnsi="仿宋" w:cs="Times New Roman"/>
          <w:szCs w:val="30"/>
          <w:highlight w:val="none"/>
          <w:lang w:val="en-US" w:eastAsia="zh-CN"/>
        </w:rPr>
        <w:t>重点监控资金支出进度、流向及使用合规性</w:t>
      </w:r>
      <w:r>
        <w:rPr>
          <w:rFonts w:hint="eastAsia" w:hAnsi="仿宋" w:cs="Times New Roman"/>
          <w:szCs w:val="30"/>
          <w:highlight w:val="none"/>
          <w:lang w:val="en-US" w:eastAsia="zh-CN"/>
        </w:rPr>
        <w:t>，</w:t>
      </w:r>
      <w:r>
        <w:rPr>
          <w:rFonts w:hint="default" w:hAnsi="仿宋" w:cs="Times New Roman"/>
          <w:szCs w:val="30"/>
          <w:highlight w:val="none"/>
          <w:lang w:val="en-US" w:eastAsia="zh-CN"/>
        </w:rPr>
        <w:t>确保资金严格用于影院设备升级、国产影片放映等专项用途。二是强化资金使用与绩效目标的联动跟踪</w:t>
      </w:r>
      <w:r>
        <w:rPr>
          <w:rFonts w:hint="eastAsia" w:hAnsi="仿宋" w:cs="Times New Roman"/>
          <w:szCs w:val="30"/>
          <w:highlight w:val="none"/>
          <w:lang w:val="en-US" w:eastAsia="zh-CN"/>
        </w:rPr>
        <w:t>，</w:t>
      </w:r>
      <w:r>
        <w:rPr>
          <w:rFonts w:hint="default" w:hAnsi="仿宋" w:cs="Times New Roman"/>
          <w:szCs w:val="30"/>
          <w:highlight w:val="none"/>
          <w:lang w:val="en-US" w:eastAsia="zh-CN"/>
        </w:rPr>
        <w:t>定期对照设备升级完成率、影片放映场次等核心绩效指标</w:t>
      </w:r>
      <w:r>
        <w:rPr>
          <w:rFonts w:hint="eastAsia" w:hAnsi="仿宋" w:cs="Times New Roman"/>
          <w:szCs w:val="30"/>
          <w:highlight w:val="none"/>
          <w:lang w:val="en-US" w:eastAsia="zh-CN"/>
        </w:rPr>
        <w:t>，</w:t>
      </w:r>
      <w:r>
        <w:rPr>
          <w:rFonts w:hint="default" w:hAnsi="仿宋" w:cs="Times New Roman"/>
          <w:szCs w:val="30"/>
          <w:highlight w:val="none"/>
          <w:lang w:val="en-US" w:eastAsia="zh-CN"/>
        </w:rPr>
        <w:t>分析资金使用效率与项目成效的匹配度</w:t>
      </w:r>
      <w:r>
        <w:rPr>
          <w:rFonts w:hint="eastAsia" w:hAnsi="仿宋" w:cs="Times New Roman"/>
          <w:szCs w:val="30"/>
          <w:highlight w:val="none"/>
          <w:lang w:val="en-US" w:eastAsia="zh-CN"/>
        </w:rPr>
        <w:t>，</w:t>
      </w:r>
      <w:r>
        <w:rPr>
          <w:rFonts w:hint="default" w:hAnsi="仿宋" w:cs="Times New Roman"/>
          <w:szCs w:val="30"/>
          <w:highlight w:val="none"/>
          <w:lang w:val="en-US" w:eastAsia="zh-CN"/>
        </w:rPr>
        <w:t>及时排查整改支出滞后、资金闲置、用途偏离等问题。</w:t>
      </w:r>
    </w:p>
    <w:p w14:paraId="214ACF51">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b/>
          <w:bCs/>
          <w:sz w:val="30"/>
          <w:szCs w:val="30"/>
          <w:highlight w:val="none"/>
          <w:lang w:val="en-US" w:eastAsia="zh-CN"/>
        </w:rPr>
      </w:pPr>
      <w:r>
        <w:rPr>
          <w:rFonts w:hint="eastAsia" w:hAnsi="仿宋" w:cs="仿宋"/>
          <w:b/>
          <w:bCs/>
          <w:sz w:val="30"/>
          <w:szCs w:val="30"/>
          <w:highlight w:val="none"/>
          <w:lang w:val="en-US" w:eastAsia="zh-CN"/>
        </w:rPr>
        <w:t>（三）搭建系统化绩效跟踪机制</w:t>
      </w:r>
    </w:p>
    <w:p w14:paraId="42D643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eastAsia" w:hAnsi="仿宋" w:cs="Times New Roman"/>
          <w:szCs w:val="30"/>
          <w:highlight w:val="none"/>
          <w:lang w:val="en-US" w:eastAsia="zh-CN"/>
        </w:rPr>
      </w:pPr>
      <w:r>
        <w:rPr>
          <w:rFonts w:hint="eastAsia" w:hAnsi="仿宋" w:cs="Times New Roman"/>
          <w:szCs w:val="30"/>
          <w:highlight w:val="none"/>
          <w:lang w:val="en-US" w:eastAsia="zh-CN"/>
        </w:rPr>
        <w:t>建议制定《绩效跟踪管理办法》，明确跟踪对象（各岗位/部门核心绩效指标）、跟踪周期（周跟踪+月汇总+季复盘）、责任主体（直属上级为第一责任人，HR部门统筹监督）。</w:t>
      </w:r>
    </w:p>
    <w:p w14:paraId="114E19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eastAsia" w:hAnsi="仿宋" w:cs="Times New Roman"/>
          <w:szCs w:val="30"/>
          <w:highlight w:val="none"/>
          <w:lang w:val="en-US" w:eastAsia="zh-CN"/>
        </w:rPr>
      </w:pPr>
      <w:r>
        <w:rPr>
          <w:rFonts w:hint="eastAsia" w:hAnsi="仿宋" w:cs="Times New Roman"/>
          <w:szCs w:val="30"/>
          <w:highlight w:val="none"/>
          <w:lang w:val="en-US" w:eastAsia="zh-CN"/>
        </w:rPr>
        <w:t>统一跟踪工具，如搭建Excel台账、使用绩效管理系统，规范数据录入字段（指标名称、目标值、当前完成值、偏差原因、整改措施等），实现绩效数据集中管理。</w:t>
      </w:r>
    </w:p>
    <w:p w14:paraId="3FEB629A">
      <w:pPr>
        <w:spacing w:line="579" w:lineRule="exact"/>
        <w:ind w:firstLine="630" w:firstLineChars="200"/>
        <w:outlineLvl w:val="0"/>
        <w:rPr>
          <w:rFonts w:hint="default" w:ascii="黑体" w:hAnsi="宋体" w:eastAsia="黑体" w:cs="宋体"/>
          <w:szCs w:val="30"/>
          <w:highlight w:val="none"/>
          <w:lang w:val="en-US" w:eastAsia="zh-CN"/>
        </w:rPr>
      </w:pPr>
      <w:bookmarkStart w:id="40" w:name="_Toc16056"/>
      <w:r>
        <w:rPr>
          <w:rFonts w:hint="eastAsia" w:ascii="黑体" w:hAnsi="宋体" w:eastAsia="黑体" w:cs="宋体"/>
          <w:szCs w:val="30"/>
          <w:highlight w:val="none"/>
          <w:lang w:val="en-US" w:eastAsia="zh-CN"/>
        </w:rPr>
        <w:t>八、其它需说明的情况</w:t>
      </w:r>
      <w:bookmarkEnd w:id="40"/>
    </w:p>
    <w:bookmarkEnd w:id="39"/>
    <w:p w14:paraId="075A8C8E">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资金拨付与项目实施的关联性说明：昆明万达电影城有限公司南亚风情第壹城店IMAX改造项目于2019年启动，因后续设备升级、少数民族语影片译制需持续投入，2024年中央补助资金50万元用于该项目的后续运维及内容扩充（如新增译制设备、优化放映系统），并非用于初始改造。</w:t>
      </w:r>
    </w:p>
    <w:p w14:paraId="4467A215">
      <w:pPr>
        <w:spacing w:line="579" w:lineRule="exact"/>
        <w:ind w:firstLine="630" w:firstLineChars="200"/>
        <w:rPr>
          <w:rFonts w:hint="eastAsia" w:hAnsi="仿宋"/>
          <w:szCs w:val="30"/>
        </w:rPr>
      </w:pPr>
    </w:p>
    <w:p w14:paraId="1F4FE0D4">
      <w:pPr>
        <w:spacing w:line="579" w:lineRule="exact"/>
        <w:ind w:firstLine="630" w:firstLineChars="200"/>
        <w:rPr>
          <w:rFonts w:hint="eastAsia" w:hAnsi="仿宋"/>
          <w:szCs w:val="30"/>
        </w:rPr>
      </w:pPr>
    </w:p>
    <w:p w14:paraId="4FBE2342">
      <w:pPr>
        <w:spacing w:line="579" w:lineRule="exact"/>
        <w:ind w:firstLine="630" w:firstLineChars="200"/>
        <w:rPr>
          <w:rFonts w:hint="eastAsia" w:hAnsi="仿宋"/>
          <w:szCs w:val="30"/>
        </w:rPr>
      </w:pPr>
    </w:p>
    <w:p w14:paraId="629C38ED">
      <w:pPr>
        <w:spacing w:line="579" w:lineRule="exact"/>
        <w:ind w:firstLine="630" w:firstLineChars="200"/>
        <w:rPr>
          <w:rFonts w:hint="eastAsia" w:hAnsi="仿宋"/>
          <w:szCs w:val="30"/>
        </w:rPr>
      </w:pPr>
    </w:p>
    <w:p w14:paraId="30AE6047">
      <w:pPr>
        <w:spacing w:line="579" w:lineRule="exact"/>
        <w:ind w:firstLine="630" w:firstLineChars="200"/>
        <w:rPr>
          <w:rFonts w:hAnsi="仿宋"/>
          <w:szCs w:val="30"/>
        </w:rPr>
      </w:pPr>
      <w:r>
        <w:rPr>
          <w:rFonts w:hint="eastAsia" w:hAnsi="仿宋"/>
          <w:szCs w:val="30"/>
        </w:rPr>
        <w:t>附件：1.绩效目标</w:t>
      </w:r>
      <w:r>
        <w:rPr>
          <w:rFonts w:hint="eastAsia" w:hAnsi="仿宋"/>
          <w:szCs w:val="30"/>
          <w:lang w:val="en-US" w:eastAsia="zh-CN"/>
        </w:rPr>
        <w:t>申报</w:t>
      </w:r>
      <w:r>
        <w:rPr>
          <w:rFonts w:hint="eastAsia" w:hAnsi="仿宋"/>
          <w:szCs w:val="30"/>
        </w:rPr>
        <w:t>表</w:t>
      </w:r>
    </w:p>
    <w:p w14:paraId="6D0F7201">
      <w:pPr>
        <w:spacing w:line="579" w:lineRule="exact"/>
        <w:ind w:left="1871" w:leftChars="500" w:hanging="296" w:hangingChars="94"/>
        <w:rPr>
          <w:rFonts w:hAnsi="仿宋"/>
          <w:szCs w:val="30"/>
        </w:rPr>
      </w:pPr>
      <w:r>
        <w:rPr>
          <w:rFonts w:hint="eastAsia" w:hAnsi="仿宋"/>
          <w:szCs w:val="30"/>
        </w:rPr>
        <w:t>2</w:t>
      </w:r>
      <w:r>
        <w:rPr>
          <w:rFonts w:hAnsi="仿宋"/>
          <w:szCs w:val="30"/>
        </w:rPr>
        <w:t>.</w:t>
      </w:r>
      <w:bookmarkStart w:id="41" w:name="_Hlk527019547"/>
      <w:r>
        <w:rPr>
          <w:rFonts w:hint="eastAsia" w:hAnsi="仿宋"/>
          <w:szCs w:val="30"/>
        </w:rPr>
        <w:t>绩效评价指标体系及评分表</w:t>
      </w:r>
      <w:bookmarkEnd w:id="41"/>
    </w:p>
    <w:p w14:paraId="7A17DF00">
      <w:pPr>
        <w:spacing w:line="579" w:lineRule="exact"/>
        <w:ind w:left="1871" w:leftChars="500" w:hanging="296" w:hangingChars="94"/>
        <w:rPr>
          <w:rFonts w:hAnsi="仿宋"/>
          <w:szCs w:val="30"/>
        </w:rPr>
      </w:pPr>
      <w:r>
        <w:rPr>
          <w:rFonts w:hint="eastAsia" w:hAnsi="仿宋"/>
          <w:szCs w:val="30"/>
        </w:rPr>
        <w:t>3.资金</w:t>
      </w:r>
      <w:r>
        <w:rPr>
          <w:rFonts w:hint="eastAsia" w:hAnsi="仿宋"/>
          <w:szCs w:val="30"/>
          <w:lang w:val="en-US" w:eastAsia="zh-CN"/>
        </w:rPr>
        <w:t>到位及</w:t>
      </w:r>
      <w:r>
        <w:rPr>
          <w:rFonts w:hint="eastAsia" w:hAnsi="仿宋"/>
          <w:szCs w:val="30"/>
        </w:rPr>
        <w:t>使用情况表</w:t>
      </w:r>
    </w:p>
    <w:p w14:paraId="437E17C3">
      <w:pPr>
        <w:spacing w:line="579" w:lineRule="exact"/>
        <w:ind w:firstLine="1575" w:firstLineChars="500"/>
        <w:rPr>
          <w:rFonts w:hint="eastAsia" w:hAnsi="仿宋"/>
          <w:szCs w:val="30"/>
          <w:lang w:val="en-US" w:eastAsia="zh-CN"/>
        </w:rPr>
      </w:pPr>
      <w:r>
        <w:rPr>
          <w:rFonts w:hint="eastAsia" w:hAnsi="仿宋"/>
          <w:szCs w:val="30"/>
        </w:rPr>
        <w:t>4.</w:t>
      </w:r>
      <w:bookmarkStart w:id="42" w:name="_Hlk527019673"/>
      <w:r>
        <w:rPr>
          <w:rFonts w:hint="eastAsia" w:hAnsi="仿宋"/>
          <w:szCs w:val="30"/>
        </w:rPr>
        <w:t>调查问卷结果汇</w:t>
      </w:r>
      <w:bookmarkEnd w:id="42"/>
      <w:r>
        <w:rPr>
          <w:rFonts w:hint="eastAsia" w:hAnsi="仿宋"/>
          <w:szCs w:val="30"/>
          <w:lang w:val="en-US" w:eastAsia="zh-CN"/>
        </w:rPr>
        <w:t>表</w:t>
      </w:r>
    </w:p>
    <w:p w14:paraId="6E4CA517">
      <w:pPr>
        <w:spacing w:line="579" w:lineRule="exact"/>
        <w:ind w:firstLine="1575" w:firstLineChars="500"/>
        <w:rPr>
          <w:rFonts w:hint="eastAsia" w:hAnsi="仿宋"/>
          <w:szCs w:val="30"/>
          <w:lang w:val="en-US" w:eastAsia="zh-CN"/>
        </w:rPr>
      </w:pPr>
      <w:r>
        <w:rPr>
          <w:rFonts w:hint="eastAsia" w:hAnsi="仿宋"/>
          <w:szCs w:val="30"/>
          <w:lang w:val="en-US" w:eastAsia="zh-CN"/>
        </w:rPr>
        <w:t>5.绩效评价报告意见反馈表(财政局)</w:t>
      </w:r>
    </w:p>
    <w:p w14:paraId="14026B51">
      <w:pPr>
        <w:spacing w:line="579" w:lineRule="exact"/>
        <w:ind w:firstLine="1575" w:firstLineChars="500"/>
        <w:rPr>
          <w:rFonts w:hint="eastAsia" w:hAnsi="仿宋"/>
          <w:szCs w:val="30"/>
          <w:lang w:val="en-US" w:eastAsia="zh-CN"/>
        </w:rPr>
      </w:pPr>
      <w:r>
        <w:rPr>
          <w:rFonts w:hint="eastAsia" w:hAnsi="仿宋"/>
          <w:szCs w:val="30"/>
          <w:lang w:val="en-US" w:eastAsia="zh-CN"/>
        </w:rPr>
        <w:t>6.绩效评价报告意见反馈表(项目实施单位)</w:t>
      </w:r>
    </w:p>
    <w:p w14:paraId="09B6FF30">
      <w:pPr>
        <w:pStyle w:val="2"/>
      </w:pPr>
    </w:p>
    <w:p w14:paraId="6013C634">
      <w:pPr>
        <w:spacing w:line="579" w:lineRule="exact"/>
        <w:rPr>
          <w:rFonts w:hAnsi="仿宋"/>
          <w:szCs w:val="30"/>
        </w:rPr>
      </w:pPr>
    </w:p>
    <w:sectPr>
      <w:footerReference r:id="rId6" w:type="default"/>
      <w:footerReference r:id="rId7" w:type="even"/>
      <w:pgSz w:w="11906" w:h="16838"/>
      <w:pgMar w:top="2098" w:right="1474" w:bottom="1985" w:left="1588" w:header="851" w:footer="1474" w:gutter="0"/>
      <w:pgNumType w:fmt="decimal" w:start="1"/>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A75E8">
    <w:pPr>
      <w:pStyle w:val="14"/>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D03A2">
    <w:pPr>
      <w:pStyle w:val="14"/>
      <w:rPr>
        <w:rFonts w:ascii="仿宋" w:hAnsi="仿宋" w:eastAsia="仿宋"/>
        <w:sz w:val="28"/>
        <w:szCs w:val="28"/>
      </w:rPr>
    </w:pPr>
    <w:r>
      <w:rPr>
        <w:sz w:val="28"/>
      </w:rPr>
      <w:pict>
        <v:shape id="_x0000_s4109" o:spid="_x0000_s410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097089D">
                <w:pPr>
                  <w:pStyle w:val="14"/>
                </w:pPr>
                <w:r>
                  <w:fldChar w:fldCharType="begin"/>
                </w:r>
                <w:r>
                  <w:instrText xml:space="preserve"> PAGE  \* MERGEFORMAT </w:instrText>
                </w:r>
                <w:r>
                  <w:fldChar w:fldCharType="separate"/>
                </w:r>
                <w:r>
                  <w:t>iii</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47CA4">
    <w:pPr>
      <w:pStyle w:val="14"/>
      <w:rPr>
        <w:rFonts w:ascii="仿宋" w:hAnsi="仿宋" w:eastAsia="仿宋"/>
        <w:sz w:val="28"/>
        <w:szCs w:val="28"/>
      </w:rPr>
    </w:pPr>
    <w:r>
      <w:rPr>
        <w:sz w:val="28"/>
      </w:rPr>
      <w:pict>
        <v:shape id="_x0000_s4110" o:spid="_x0000_s411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C0F3A3A">
                <w:pPr>
                  <w:pStyle w:val="14"/>
                </w:pPr>
                <w:r>
                  <w:fldChar w:fldCharType="begin"/>
                </w:r>
                <w:r>
                  <w:instrText xml:space="preserve"> PAGE  \* MERGEFORMAT </w:instrText>
                </w:r>
                <w:r>
                  <w:fldChar w:fldCharType="separate"/>
                </w:r>
                <w:r>
                  <w:t>ii</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630D">
    <w:pPr>
      <w:pStyle w:val="14"/>
      <w:rPr>
        <w:rFonts w:ascii="仿宋" w:hAnsi="仿宋" w:eastAsia="仿宋"/>
        <w:sz w:val="28"/>
        <w:szCs w:val="28"/>
      </w:rPr>
    </w:pPr>
    <w:r>
      <w:rPr>
        <w:sz w:val="28"/>
      </w:rPr>
      <w:pict>
        <v:shape id="_x0000_s4111" o:spid="_x0000_s411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F33889B">
                <w:pPr>
                  <w:pStyle w:val="14"/>
                </w:pPr>
                <w:r>
                  <w:fldChar w:fldCharType="begin"/>
                </w:r>
                <w:r>
                  <w:instrText xml:space="preserve"> PAGE  \* MERGEFORMAT </w:instrText>
                </w:r>
                <w:r>
                  <w:fldChar w:fldCharType="separate"/>
                </w:r>
                <w:r>
                  <w:t>iii</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378FE">
    <w:pPr>
      <w:pStyle w:val="14"/>
      <w:rPr>
        <w:rFonts w:ascii="仿宋" w:hAnsi="仿宋" w:eastAsia="仿宋"/>
        <w:sz w:val="28"/>
        <w:szCs w:val="28"/>
      </w:rPr>
    </w:pPr>
    <w:r>
      <w:rPr>
        <w:sz w:val="28"/>
      </w:rPr>
      <w:pict>
        <v:shape id="_x0000_s4112" o:spid="_x0000_s411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2750779">
                <w:pPr>
                  <w:pStyle w:val="14"/>
                </w:pPr>
                <w:r>
                  <w:fldChar w:fldCharType="begin"/>
                </w:r>
                <w:r>
                  <w:instrText xml:space="preserve"> PAGE  \* MERGEFORMAT </w:instrText>
                </w:r>
                <w:r>
                  <w:fldChar w:fldCharType="separate"/>
                </w:r>
                <w:r>
                  <w:t>ii</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VmYmVmNWE3NGRlNTU2ODA3NmZjYWQxNWRlMTZmOWQifQ=="/>
  </w:docVars>
  <w:rsids>
    <w:rsidRoot w:val="00763D8D"/>
    <w:rsid w:val="000027B8"/>
    <w:rsid w:val="00003457"/>
    <w:rsid w:val="000053D4"/>
    <w:rsid w:val="00007F56"/>
    <w:rsid w:val="000101DC"/>
    <w:rsid w:val="000109E6"/>
    <w:rsid w:val="00011162"/>
    <w:rsid w:val="000163D2"/>
    <w:rsid w:val="00017395"/>
    <w:rsid w:val="00020A87"/>
    <w:rsid w:val="00021B6D"/>
    <w:rsid w:val="00022FFA"/>
    <w:rsid w:val="00023438"/>
    <w:rsid w:val="00023D70"/>
    <w:rsid w:val="00023FF0"/>
    <w:rsid w:val="000267F0"/>
    <w:rsid w:val="000302F4"/>
    <w:rsid w:val="00030BA6"/>
    <w:rsid w:val="00032A27"/>
    <w:rsid w:val="00032BAE"/>
    <w:rsid w:val="000377E6"/>
    <w:rsid w:val="00037F46"/>
    <w:rsid w:val="0004014B"/>
    <w:rsid w:val="00043A7F"/>
    <w:rsid w:val="00044EEC"/>
    <w:rsid w:val="00046291"/>
    <w:rsid w:val="00046463"/>
    <w:rsid w:val="00050813"/>
    <w:rsid w:val="000563A3"/>
    <w:rsid w:val="00062BA9"/>
    <w:rsid w:val="00067604"/>
    <w:rsid w:val="00073C73"/>
    <w:rsid w:val="00075831"/>
    <w:rsid w:val="000761D2"/>
    <w:rsid w:val="00077515"/>
    <w:rsid w:val="0008006D"/>
    <w:rsid w:val="0008270C"/>
    <w:rsid w:val="00082DC6"/>
    <w:rsid w:val="000910C9"/>
    <w:rsid w:val="0009125B"/>
    <w:rsid w:val="000913F5"/>
    <w:rsid w:val="000926D7"/>
    <w:rsid w:val="00093656"/>
    <w:rsid w:val="00094C11"/>
    <w:rsid w:val="00095539"/>
    <w:rsid w:val="000A002F"/>
    <w:rsid w:val="000A2576"/>
    <w:rsid w:val="000A3ED9"/>
    <w:rsid w:val="000A4562"/>
    <w:rsid w:val="000A60AC"/>
    <w:rsid w:val="000C04DE"/>
    <w:rsid w:val="000C0984"/>
    <w:rsid w:val="000C1909"/>
    <w:rsid w:val="000C29DC"/>
    <w:rsid w:val="000C3CE0"/>
    <w:rsid w:val="000C5033"/>
    <w:rsid w:val="000D71DD"/>
    <w:rsid w:val="000E21D8"/>
    <w:rsid w:val="000E6F75"/>
    <w:rsid w:val="000F1534"/>
    <w:rsid w:val="000F3E60"/>
    <w:rsid w:val="000F46ED"/>
    <w:rsid w:val="000F5FA5"/>
    <w:rsid w:val="000F6595"/>
    <w:rsid w:val="00106A8B"/>
    <w:rsid w:val="001075E2"/>
    <w:rsid w:val="001114F0"/>
    <w:rsid w:val="00114580"/>
    <w:rsid w:val="001146BA"/>
    <w:rsid w:val="00116445"/>
    <w:rsid w:val="00122361"/>
    <w:rsid w:val="0012393D"/>
    <w:rsid w:val="00124FFE"/>
    <w:rsid w:val="00125D9C"/>
    <w:rsid w:val="001308E4"/>
    <w:rsid w:val="00134DC9"/>
    <w:rsid w:val="00142242"/>
    <w:rsid w:val="001439E1"/>
    <w:rsid w:val="001473A6"/>
    <w:rsid w:val="00147856"/>
    <w:rsid w:val="00147F84"/>
    <w:rsid w:val="00150F3E"/>
    <w:rsid w:val="001513E5"/>
    <w:rsid w:val="00152B2B"/>
    <w:rsid w:val="001537D8"/>
    <w:rsid w:val="00153BC6"/>
    <w:rsid w:val="001556BF"/>
    <w:rsid w:val="00155A7C"/>
    <w:rsid w:val="00157E96"/>
    <w:rsid w:val="0016290B"/>
    <w:rsid w:val="00162B90"/>
    <w:rsid w:val="00167E57"/>
    <w:rsid w:val="001702EB"/>
    <w:rsid w:val="001722F7"/>
    <w:rsid w:val="00173C14"/>
    <w:rsid w:val="00175976"/>
    <w:rsid w:val="00177059"/>
    <w:rsid w:val="00180B66"/>
    <w:rsid w:val="00182613"/>
    <w:rsid w:val="001836BB"/>
    <w:rsid w:val="00183D89"/>
    <w:rsid w:val="001844AE"/>
    <w:rsid w:val="00184577"/>
    <w:rsid w:val="00184C8F"/>
    <w:rsid w:val="0018788E"/>
    <w:rsid w:val="001905A5"/>
    <w:rsid w:val="001A2410"/>
    <w:rsid w:val="001A2D6F"/>
    <w:rsid w:val="001A644B"/>
    <w:rsid w:val="001A77EE"/>
    <w:rsid w:val="001A7B0F"/>
    <w:rsid w:val="001B1BDE"/>
    <w:rsid w:val="001B4784"/>
    <w:rsid w:val="001B5EDA"/>
    <w:rsid w:val="001D4E03"/>
    <w:rsid w:val="001D58D7"/>
    <w:rsid w:val="001E07CC"/>
    <w:rsid w:val="001E3BF6"/>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0DFC"/>
    <w:rsid w:val="002229E2"/>
    <w:rsid w:val="0022365E"/>
    <w:rsid w:val="002260C9"/>
    <w:rsid w:val="00226E95"/>
    <w:rsid w:val="00227678"/>
    <w:rsid w:val="00227A48"/>
    <w:rsid w:val="00227EAF"/>
    <w:rsid w:val="00230719"/>
    <w:rsid w:val="00230C67"/>
    <w:rsid w:val="002335C1"/>
    <w:rsid w:val="00235C5D"/>
    <w:rsid w:val="002422DC"/>
    <w:rsid w:val="00243F53"/>
    <w:rsid w:val="00246276"/>
    <w:rsid w:val="00251346"/>
    <w:rsid w:val="00252898"/>
    <w:rsid w:val="002532A4"/>
    <w:rsid w:val="0025396D"/>
    <w:rsid w:val="00254804"/>
    <w:rsid w:val="00254B91"/>
    <w:rsid w:val="002554E5"/>
    <w:rsid w:val="002567E0"/>
    <w:rsid w:val="00256D4E"/>
    <w:rsid w:val="002606F4"/>
    <w:rsid w:val="0026498A"/>
    <w:rsid w:val="00265F34"/>
    <w:rsid w:val="00274648"/>
    <w:rsid w:val="00277ACC"/>
    <w:rsid w:val="00282CC8"/>
    <w:rsid w:val="0028388B"/>
    <w:rsid w:val="00283F38"/>
    <w:rsid w:val="00285265"/>
    <w:rsid w:val="00290595"/>
    <w:rsid w:val="002917E5"/>
    <w:rsid w:val="002920DF"/>
    <w:rsid w:val="0029356B"/>
    <w:rsid w:val="002957FB"/>
    <w:rsid w:val="002A020A"/>
    <w:rsid w:val="002A1DF7"/>
    <w:rsid w:val="002A5AD2"/>
    <w:rsid w:val="002A6EAA"/>
    <w:rsid w:val="002B2CEA"/>
    <w:rsid w:val="002B3F00"/>
    <w:rsid w:val="002B7B5E"/>
    <w:rsid w:val="002C46F4"/>
    <w:rsid w:val="002C555C"/>
    <w:rsid w:val="002D1D67"/>
    <w:rsid w:val="002D3C45"/>
    <w:rsid w:val="002D498A"/>
    <w:rsid w:val="002D55A2"/>
    <w:rsid w:val="002E06C9"/>
    <w:rsid w:val="002E1041"/>
    <w:rsid w:val="002E1500"/>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21CF"/>
    <w:rsid w:val="003270CD"/>
    <w:rsid w:val="003305B8"/>
    <w:rsid w:val="0033130B"/>
    <w:rsid w:val="0033489A"/>
    <w:rsid w:val="0033762E"/>
    <w:rsid w:val="00337718"/>
    <w:rsid w:val="003427D3"/>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77A2E"/>
    <w:rsid w:val="00380118"/>
    <w:rsid w:val="003807BD"/>
    <w:rsid w:val="00381F0D"/>
    <w:rsid w:val="0038336A"/>
    <w:rsid w:val="00384495"/>
    <w:rsid w:val="0038465D"/>
    <w:rsid w:val="003875C8"/>
    <w:rsid w:val="00392745"/>
    <w:rsid w:val="00393295"/>
    <w:rsid w:val="003948E5"/>
    <w:rsid w:val="003A3987"/>
    <w:rsid w:val="003A5711"/>
    <w:rsid w:val="003A6AB4"/>
    <w:rsid w:val="003B2170"/>
    <w:rsid w:val="003B2603"/>
    <w:rsid w:val="003B355C"/>
    <w:rsid w:val="003B5FE1"/>
    <w:rsid w:val="003B643A"/>
    <w:rsid w:val="003B74B5"/>
    <w:rsid w:val="003D112A"/>
    <w:rsid w:val="003D12B5"/>
    <w:rsid w:val="003D2104"/>
    <w:rsid w:val="003D35C0"/>
    <w:rsid w:val="003D6830"/>
    <w:rsid w:val="003E0E49"/>
    <w:rsid w:val="003E28AB"/>
    <w:rsid w:val="003E37CD"/>
    <w:rsid w:val="003F11BD"/>
    <w:rsid w:val="003F1515"/>
    <w:rsid w:val="003F16E7"/>
    <w:rsid w:val="003F1FDD"/>
    <w:rsid w:val="003F402E"/>
    <w:rsid w:val="003F6354"/>
    <w:rsid w:val="00400D06"/>
    <w:rsid w:val="0040199E"/>
    <w:rsid w:val="0040239B"/>
    <w:rsid w:val="00402CE7"/>
    <w:rsid w:val="00405226"/>
    <w:rsid w:val="00405C75"/>
    <w:rsid w:val="00406D6A"/>
    <w:rsid w:val="00407218"/>
    <w:rsid w:val="004107CB"/>
    <w:rsid w:val="00420BEC"/>
    <w:rsid w:val="0042251D"/>
    <w:rsid w:val="00426FE5"/>
    <w:rsid w:val="004272A6"/>
    <w:rsid w:val="0043119F"/>
    <w:rsid w:val="00433CAA"/>
    <w:rsid w:val="00436B3B"/>
    <w:rsid w:val="00437980"/>
    <w:rsid w:val="004401ED"/>
    <w:rsid w:val="00440843"/>
    <w:rsid w:val="00440F20"/>
    <w:rsid w:val="0044349C"/>
    <w:rsid w:val="00452585"/>
    <w:rsid w:val="00452895"/>
    <w:rsid w:val="00453319"/>
    <w:rsid w:val="004542C8"/>
    <w:rsid w:val="004549D1"/>
    <w:rsid w:val="00457099"/>
    <w:rsid w:val="00460E4C"/>
    <w:rsid w:val="00462343"/>
    <w:rsid w:val="00464A91"/>
    <w:rsid w:val="00465B8C"/>
    <w:rsid w:val="00466165"/>
    <w:rsid w:val="004671F2"/>
    <w:rsid w:val="00472258"/>
    <w:rsid w:val="00474787"/>
    <w:rsid w:val="00474A62"/>
    <w:rsid w:val="0048081D"/>
    <w:rsid w:val="0048089A"/>
    <w:rsid w:val="004811D4"/>
    <w:rsid w:val="004839EA"/>
    <w:rsid w:val="00484612"/>
    <w:rsid w:val="004860CD"/>
    <w:rsid w:val="004866EA"/>
    <w:rsid w:val="00490547"/>
    <w:rsid w:val="00493698"/>
    <w:rsid w:val="004949AC"/>
    <w:rsid w:val="00495FB3"/>
    <w:rsid w:val="004A0A75"/>
    <w:rsid w:val="004A3AAE"/>
    <w:rsid w:val="004A3DDB"/>
    <w:rsid w:val="004A4700"/>
    <w:rsid w:val="004A52B5"/>
    <w:rsid w:val="004A711A"/>
    <w:rsid w:val="004B34FB"/>
    <w:rsid w:val="004B448D"/>
    <w:rsid w:val="004C0BC9"/>
    <w:rsid w:val="004C1CCF"/>
    <w:rsid w:val="004C51F5"/>
    <w:rsid w:val="004C5D7B"/>
    <w:rsid w:val="004C5F17"/>
    <w:rsid w:val="004C6BF0"/>
    <w:rsid w:val="004D0D4D"/>
    <w:rsid w:val="004D2649"/>
    <w:rsid w:val="004D31B0"/>
    <w:rsid w:val="004D34AD"/>
    <w:rsid w:val="004D5F2D"/>
    <w:rsid w:val="004D678B"/>
    <w:rsid w:val="004E013B"/>
    <w:rsid w:val="004E0646"/>
    <w:rsid w:val="004E0906"/>
    <w:rsid w:val="004E5E85"/>
    <w:rsid w:val="004F0288"/>
    <w:rsid w:val="004F0B47"/>
    <w:rsid w:val="004F43AA"/>
    <w:rsid w:val="004F47FC"/>
    <w:rsid w:val="004F5DE3"/>
    <w:rsid w:val="004F6CCC"/>
    <w:rsid w:val="00501100"/>
    <w:rsid w:val="005102A2"/>
    <w:rsid w:val="00510BAB"/>
    <w:rsid w:val="00513B3D"/>
    <w:rsid w:val="00514671"/>
    <w:rsid w:val="00515734"/>
    <w:rsid w:val="00522A6C"/>
    <w:rsid w:val="00526431"/>
    <w:rsid w:val="0053063F"/>
    <w:rsid w:val="00532714"/>
    <w:rsid w:val="005344A8"/>
    <w:rsid w:val="00536F5B"/>
    <w:rsid w:val="00542670"/>
    <w:rsid w:val="00545001"/>
    <w:rsid w:val="00550937"/>
    <w:rsid w:val="0055330D"/>
    <w:rsid w:val="005578D6"/>
    <w:rsid w:val="00561795"/>
    <w:rsid w:val="0056186F"/>
    <w:rsid w:val="00562BA8"/>
    <w:rsid w:val="0056376A"/>
    <w:rsid w:val="00564552"/>
    <w:rsid w:val="00566921"/>
    <w:rsid w:val="005671E8"/>
    <w:rsid w:val="00570BF9"/>
    <w:rsid w:val="005750C4"/>
    <w:rsid w:val="00576CB6"/>
    <w:rsid w:val="00576FBF"/>
    <w:rsid w:val="00577548"/>
    <w:rsid w:val="00577FAD"/>
    <w:rsid w:val="00585784"/>
    <w:rsid w:val="00587462"/>
    <w:rsid w:val="00587C8D"/>
    <w:rsid w:val="00591EF2"/>
    <w:rsid w:val="00592198"/>
    <w:rsid w:val="0059320E"/>
    <w:rsid w:val="005953FB"/>
    <w:rsid w:val="00597B52"/>
    <w:rsid w:val="005A2E6F"/>
    <w:rsid w:val="005A3998"/>
    <w:rsid w:val="005A50E5"/>
    <w:rsid w:val="005A7959"/>
    <w:rsid w:val="005B0482"/>
    <w:rsid w:val="005B6066"/>
    <w:rsid w:val="005B70F0"/>
    <w:rsid w:val="005B74AE"/>
    <w:rsid w:val="005C19D7"/>
    <w:rsid w:val="005C2473"/>
    <w:rsid w:val="005C40D3"/>
    <w:rsid w:val="005D06E4"/>
    <w:rsid w:val="005E0F3C"/>
    <w:rsid w:val="005E4ABD"/>
    <w:rsid w:val="005E6172"/>
    <w:rsid w:val="005E718D"/>
    <w:rsid w:val="005F1102"/>
    <w:rsid w:val="006026DD"/>
    <w:rsid w:val="00613763"/>
    <w:rsid w:val="00620526"/>
    <w:rsid w:val="00621602"/>
    <w:rsid w:val="00623AF9"/>
    <w:rsid w:val="006251E6"/>
    <w:rsid w:val="00626208"/>
    <w:rsid w:val="00627439"/>
    <w:rsid w:val="006323C6"/>
    <w:rsid w:val="00634466"/>
    <w:rsid w:val="00636016"/>
    <w:rsid w:val="00643CC5"/>
    <w:rsid w:val="0064402F"/>
    <w:rsid w:val="0064527F"/>
    <w:rsid w:val="0065445B"/>
    <w:rsid w:val="00655674"/>
    <w:rsid w:val="00656020"/>
    <w:rsid w:val="00656A9A"/>
    <w:rsid w:val="00656F7D"/>
    <w:rsid w:val="006571CA"/>
    <w:rsid w:val="00657FEB"/>
    <w:rsid w:val="0066192E"/>
    <w:rsid w:val="006633E2"/>
    <w:rsid w:val="00663BBB"/>
    <w:rsid w:val="00664AE8"/>
    <w:rsid w:val="0066531C"/>
    <w:rsid w:val="00667C12"/>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10D"/>
    <w:rsid w:val="006B5BCF"/>
    <w:rsid w:val="006B610A"/>
    <w:rsid w:val="006B70DE"/>
    <w:rsid w:val="006C0244"/>
    <w:rsid w:val="006C0E35"/>
    <w:rsid w:val="006D012E"/>
    <w:rsid w:val="006D2836"/>
    <w:rsid w:val="006D6F3B"/>
    <w:rsid w:val="006E342B"/>
    <w:rsid w:val="006E36CF"/>
    <w:rsid w:val="006E3A23"/>
    <w:rsid w:val="006E4449"/>
    <w:rsid w:val="006E76CA"/>
    <w:rsid w:val="006E79B8"/>
    <w:rsid w:val="006E7FBA"/>
    <w:rsid w:val="006F09DA"/>
    <w:rsid w:val="006F38A5"/>
    <w:rsid w:val="00701599"/>
    <w:rsid w:val="00703419"/>
    <w:rsid w:val="00704906"/>
    <w:rsid w:val="00704B20"/>
    <w:rsid w:val="0070532D"/>
    <w:rsid w:val="007061AB"/>
    <w:rsid w:val="00706C0E"/>
    <w:rsid w:val="00707272"/>
    <w:rsid w:val="0070727C"/>
    <w:rsid w:val="00711BD6"/>
    <w:rsid w:val="0071646D"/>
    <w:rsid w:val="00723885"/>
    <w:rsid w:val="007258CC"/>
    <w:rsid w:val="0072647A"/>
    <w:rsid w:val="00727017"/>
    <w:rsid w:val="007319A2"/>
    <w:rsid w:val="00733D12"/>
    <w:rsid w:val="00733E02"/>
    <w:rsid w:val="0073677A"/>
    <w:rsid w:val="007412B5"/>
    <w:rsid w:val="00741C0D"/>
    <w:rsid w:val="007431B7"/>
    <w:rsid w:val="00744DB6"/>
    <w:rsid w:val="00746DEF"/>
    <w:rsid w:val="007474F3"/>
    <w:rsid w:val="0075085D"/>
    <w:rsid w:val="00751985"/>
    <w:rsid w:val="00752CA1"/>
    <w:rsid w:val="00753514"/>
    <w:rsid w:val="00754346"/>
    <w:rsid w:val="007622C7"/>
    <w:rsid w:val="00763D8D"/>
    <w:rsid w:val="00763F0B"/>
    <w:rsid w:val="00766A2A"/>
    <w:rsid w:val="00771DBA"/>
    <w:rsid w:val="00774178"/>
    <w:rsid w:val="00774689"/>
    <w:rsid w:val="00775421"/>
    <w:rsid w:val="00780354"/>
    <w:rsid w:val="00780EAF"/>
    <w:rsid w:val="00780F68"/>
    <w:rsid w:val="00783983"/>
    <w:rsid w:val="007854FB"/>
    <w:rsid w:val="00786B54"/>
    <w:rsid w:val="00795893"/>
    <w:rsid w:val="00796558"/>
    <w:rsid w:val="007A0D31"/>
    <w:rsid w:val="007A157F"/>
    <w:rsid w:val="007A1C7C"/>
    <w:rsid w:val="007A2BCD"/>
    <w:rsid w:val="007A58C0"/>
    <w:rsid w:val="007A6474"/>
    <w:rsid w:val="007A7277"/>
    <w:rsid w:val="007B064B"/>
    <w:rsid w:val="007B2D33"/>
    <w:rsid w:val="007B72C4"/>
    <w:rsid w:val="007C023F"/>
    <w:rsid w:val="007C1423"/>
    <w:rsid w:val="007C18CF"/>
    <w:rsid w:val="007C2CA2"/>
    <w:rsid w:val="007C38FA"/>
    <w:rsid w:val="007C3BD4"/>
    <w:rsid w:val="007C3CB2"/>
    <w:rsid w:val="007C7E73"/>
    <w:rsid w:val="007D051F"/>
    <w:rsid w:val="007D0BBA"/>
    <w:rsid w:val="007D2550"/>
    <w:rsid w:val="007D3332"/>
    <w:rsid w:val="007D333C"/>
    <w:rsid w:val="007D360D"/>
    <w:rsid w:val="007D5E47"/>
    <w:rsid w:val="007D6583"/>
    <w:rsid w:val="007D778F"/>
    <w:rsid w:val="007E0FFD"/>
    <w:rsid w:val="007E18FC"/>
    <w:rsid w:val="007E494F"/>
    <w:rsid w:val="007E5BBF"/>
    <w:rsid w:val="007E68BF"/>
    <w:rsid w:val="007F0B94"/>
    <w:rsid w:val="007F26DD"/>
    <w:rsid w:val="007F2884"/>
    <w:rsid w:val="007F2CFD"/>
    <w:rsid w:val="007F3CED"/>
    <w:rsid w:val="008012F3"/>
    <w:rsid w:val="00801696"/>
    <w:rsid w:val="008035C2"/>
    <w:rsid w:val="00803F6D"/>
    <w:rsid w:val="00803FFB"/>
    <w:rsid w:val="00805C6A"/>
    <w:rsid w:val="00807246"/>
    <w:rsid w:val="00812AFF"/>
    <w:rsid w:val="00814803"/>
    <w:rsid w:val="00814C48"/>
    <w:rsid w:val="008162D6"/>
    <w:rsid w:val="008207F7"/>
    <w:rsid w:val="00821495"/>
    <w:rsid w:val="00822129"/>
    <w:rsid w:val="00827365"/>
    <w:rsid w:val="0083033C"/>
    <w:rsid w:val="00832C5F"/>
    <w:rsid w:val="00833991"/>
    <w:rsid w:val="00834B6A"/>
    <w:rsid w:val="008369B8"/>
    <w:rsid w:val="00837E6A"/>
    <w:rsid w:val="0084288D"/>
    <w:rsid w:val="008429AF"/>
    <w:rsid w:val="008444BD"/>
    <w:rsid w:val="00846B79"/>
    <w:rsid w:val="00847259"/>
    <w:rsid w:val="008476D2"/>
    <w:rsid w:val="00851B24"/>
    <w:rsid w:val="00851F54"/>
    <w:rsid w:val="00854621"/>
    <w:rsid w:val="0086105D"/>
    <w:rsid w:val="008625ED"/>
    <w:rsid w:val="00864A1B"/>
    <w:rsid w:val="00866AB0"/>
    <w:rsid w:val="00867F1E"/>
    <w:rsid w:val="008704E6"/>
    <w:rsid w:val="00870D8D"/>
    <w:rsid w:val="008735D5"/>
    <w:rsid w:val="00873D83"/>
    <w:rsid w:val="00873EA1"/>
    <w:rsid w:val="0087571E"/>
    <w:rsid w:val="00877854"/>
    <w:rsid w:val="00882E11"/>
    <w:rsid w:val="00884635"/>
    <w:rsid w:val="00885EF1"/>
    <w:rsid w:val="00886215"/>
    <w:rsid w:val="00890F31"/>
    <w:rsid w:val="008929D8"/>
    <w:rsid w:val="00894CB7"/>
    <w:rsid w:val="00896267"/>
    <w:rsid w:val="00896DBE"/>
    <w:rsid w:val="008A096F"/>
    <w:rsid w:val="008A2CA9"/>
    <w:rsid w:val="008A3471"/>
    <w:rsid w:val="008A5EF0"/>
    <w:rsid w:val="008A658D"/>
    <w:rsid w:val="008B035B"/>
    <w:rsid w:val="008B4790"/>
    <w:rsid w:val="008C134F"/>
    <w:rsid w:val="008C1413"/>
    <w:rsid w:val="008C33C4"/>
    <w:rsid w:val="008C3699"/>
    <w:rsid w:val="008D007F"/>
    <w:rsid w:val="008D4DB3"/>
    <w:rsid w:val="008D5ECA"/>
    <w:rsid w:val="008D6C00"/>
    <w:rsid w:val="008D7D2E"/>
    <w:rsid w:val="008E077D"/>
    <w:rsid w:val="008E0FBB"/>
    <w:rsid w:val="008E30EF"/>
    <w:rsid w:val="008E70EF"/>
    <w:rsid w:val="008F0F5E"/>
    <w:rsid w:val="008F2D6C"/>
    <w:rsid w:val="008F2F92"/>
    <w:rsid w:val="008F689B"/>
    <w:rsid w:val="00901D0E"/>
    <w:rsid w:val="009034E6"/>
    <w:rsid w:val="00903C2E"/>
    <w:rsid w:val="009041C2"/>
    <w:rsid w:val="0090678C"/>
    <w:rsid w:val="00910CE3"/>
    <w:rsid w:val="00914E87"/>
    <w:rsid w:val="00915956"/>
    <w:rsid w:val="00920E07"/>
    <w:rsid w:val="0092374D"/>
    <w:rsid w:val="00923BAA"/>
    <w:rsid w:val="00924970"/>
    <w:rsid w:val="009267F6"/>
    <w:rsid w:val="009317C0"/>
    <w:rsid w:val="009326BF"/>
    <w:rsid w:val="00936024"/>
    <w:rsid w:val="0093787B"/>
    <w:rsid w:val="00937BC1"/>
    <w:rsid w:val="00942C8E"/>
    <w:rsid w:val="0095111A"/>
    <w:rsid w:val="009546AB"/>
    <w:rsid w:val="00954A89"/>
    <w:rsid w:val="00954F31"/>
    <w:rsid w:val="009607A3"/>
    <w:rsid w:val="00961330"/>
    <w:rsid w:val="00961BEE"/>
    <w:rsid w:val="00963095"/>
    <w:rsid w:val="00964F1C"/>
    <w:rsid w:val="00965869"/>
    <w:rsid w:val="0096633E"/>
    <w:rsid w:val="009669C6"/>
    <w:rsid w:val="009672A4"/>
    <w:rsid w:val="00973859"/>
    <w:rsid w:val="00974A70"/>
    <w:rsid w:val="00976E34"/>
    <w:rsid w:val="00982ABB"/>
    <w:rsid w:val="00983C33"/>
    <w:rsid w:val="00983EB5"/>
    <w:rsid w:val="009900E6"/>
    <w:rsid w:val="00990F17"/>
    <w:rsid w:val="009912B5"/>
    <w:rsid w:val="00991437"/>
    <w:rsid w:val="009914DC"/>
    <w:rsid w:val="00993E30"/>
    <w:rsid w:val="009A3DA3"/>
    <w:rsid w:val="009A3DE0"/>
    <w:rsid w:val="009B0758"/>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9F6719"/>
    <w:rsid w:val="00A000D9"/>
    <w:rsid w:val="00A00612"/>
    <w:rsid w:val="00A01AD8"/>
    <w:rsid w:val="00A02D03"/>
    <w:rsid w:val="00A02E94"/>
    <w:rsid w:val="00A057DC"/>
    <w:rsid w:val="00A0725B"/>
    <w:rsid w:val="00A10153"/>
    <w:rsid w:val="00A11EC9"/>
    <w:rsid w:val="00A121FB"/>
    <w:rsid w:val="00A12F69"/>
    <w:rsid w:val="00A17A74"/>
    <w:rsid w:val="00A22A04"/>
    <w:rsid w:val="00A23FCD"/>
    <w:rsid w:val="00A24BDC"/>
    <w:rsid w:val="00A24E49"/>
    <w:rsid w:val="00A25F38"/>
    <w:rsid w:val="00A27411"/>
    <w:rsid w:val="00A27C51"/>
    <w:rsid w:val="00A31048"/>
    <w:rsid w:val="00A33005"/>
    <w:rsid w:val="00A34C99"/>
    <w:rsid w:val="00A36910"/>
    <w:rsid w:val="00A370A6"/>
    <w:rsid w:val="00A375F1"/>
    <w:rsid w:val="00A40483"/>
    <w:rsid w:val="00A41B24"/>
    <w:rsid w:val="00A43DC7"/>
    <w:rsid w:val="00A444BF"/>
    <w:rsid w:val="00A47A9A"/>
    <w:rsid w:val="00A5152D"/>
    <w:rsid w:val="00A5630B"/>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4FF4"/>
    <w:rsid w:val="00A8504E"/>
    <w:rsid w:val="00A86EA4"/>
    <w:rsid w:val="00A91A3E"/>
    <w:rsid w:val="00A92139"/>
    <w:rsid w:val="00A92FCE"/>
    <w:rsid w:val="00A95E98"/>
    <w:rsid w:val="00AA01D4"/>
    <w:rsid w:val="00AA2D96"/>
    <w:rsid w:val="00AB0EEC"/>
    <w:rsid w:val="00AB312A"/>
    <w:rsid w:val="00AB5B2F"/>
    <w:rsid w:val="00AB738C"/>
    <w:rsid w:val="00AC1118"/>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16986"/>
    <w:rsid w:val="00B20A9D"/>
    <w:rsid w:val="00B21437"/>
    <w:rsid w:val="00B2516C"/>
    <w:rsid w:val="00B2587E"/>
    <w:rsid w:val="00B300AD"/>
    <w:rsid w:val="00B3120A"/>
    <w:rsid w:val="00B327D2"/>
    <w:rsid w:val="00B35B22"/>
    <w:rsid w:val="00B36265"/>
    <w:rsid w:val="00B45B74"/>
    <w:rsid w:val="00B53412"/>
    <w:rsid w:val="00B54DC6"/>
    <w:rsid w:val="00B55B57"/>
    <w:rsid w:val="00B567D7"/>
    <w:rsid w:val="00B57693"/>
    <w:rsid w:val="00B61B4E"/>
    <w:rsid w:val="00B63EAD"/>
    <w:rsid w:val="00B70DE9"/>
    <w:rsid w:val="00B74E74"/>
    <w:rsid w:val="00B87192"/>
    <w:rsid w:val="00B873B5"/>
    <w:rsid w:val="00B93260"/>
    <w:rsid w:val="00B93F28"/>
    <w:rsid w:val="00B972CB"/>
    <w:rsid w:val="00BA0FD9"/>
    <w:rsid w:val="00BA40D9"/>
    <w:rsid w:val="00BA75F2"/>
    <w:rsid w:val="00BB0BA8"/>
    <w:rsid w:val="00BB2CA7"/>
    <w:rsid w:val="00BB37A8"/>
    <w:rsid w:val="00BB6206"/>
    <w:rsid w:val="00BC66F9"/>
    <w:rsid w:val="00BC6820"/>
    <w:rsid w:val="00BC6C03"/>
    <w:rsid w:val="00BC6F02"/>
    <w:rsid w:val="00BC6F77"/>
    <w:rsid w:val="00BD1031"/>
    <w:rsid w:val="00BD455D"/>
    <w:rsid w:val="00BE1D81"/>
    <w:rsid w:val="00BE2CD8"/>
    <w:rsid w:val="00BE2E79"/>
    <w:rsid w:val="00BE36D4"/>
    <w:rsid w:val="00BF212F"/>
    <w:rsid w:val="00BF373E"/>
    <w:rsid w:val="00BF43FA"/>
    <w:rsid w:val="00BF62F2"/>
    <w:rsid w:val="00BF652B"/>
    <w:rsid w:val="00C02FA4"/>
    <w:rsid w:val="00C045BB"/>
    <w:rsid w:val="00C06CB9"/>
    <w:rsid w:val="00C12325"/>
    <w:rsid w:val="00C12472"/>
    <w:rsid w:val="00C127E3"/>
    <w:rsid w:val="00C12993"/>
    <w:rsid w:val="00C14194"/>
    <w:rsid w:val="00C1562E"/>
    <w:rsid w:val="00C15C47"/>
    <w:rsid w:val="00C1769E"/>
    <w:rsid w:val="00C20FD7"/>
    <w:rsid w:val="00C21C6A"/>
    <w:rsid w:val="00C226BA"/>
    <w:rsid w:val="00C25D38"/>
    <w:rsid w:val="00C30655"/>
    <w:rsid w:val="00C3203F"/>
    <w:rsid w:val="00C322A8"/>
    <w:rsid w:val="00C342E1"/>
    <w:rsid w:val="00C349B8"/>
    <w:rsid w:val="00C377A0"/>
    <w:rsid w:val="00C40B0E"/>
    <w:rsid w:val="00C40B4E"/>
    <w:rsid w:val="00C40CCE"/>
    <w:rsid w:val="00C41346"/>
    <w:rsid w:val="00C4210A"/>
    <w:rsid w:val="00C43BD6"/>
    <w:rsid w:val="00C45B16"/>
    <w:rsid w:val="00C45EBD"/>
    <w:rsid w:val="00C466DC"/>
    <w:rsid w:val="00C468DC"/>
    <w:rsid w:val="00C47B12"/>
    <w:rsid w:val="00C534CE"/>
    <w:rsid w:val="00C5415C"/>
    <w:rsid w:val="00C541D9"/>
    <w:rsid w:val="00C60313"/>
    <w:rsid w:val="00C62615"/>
    <w:rsid w:val="00C6335B"/>
    <w:rsid w:val="00C63F3D"/>
    <w:rsid w:val="00C645D0"/>
    <w:rsid w:val="00C65119"/>
    <w:rsid w:val="00C67B4F"/>
    <w:rsid w:val="00C71AC0"/>
    <w:rsid w:val="00C72787"/>
    <w:rsid w:val="00C74EDF"/>
    <w:rsid w:val="00C80468"/>
    <w:rsid w:val="00C82335"/>
    <w:rsid w:val="00C82510"/>
    <w:rsid w:val="00C83288"/>
    <w:rsid w:val="00C83A49"/>
    <w:rsid w:val="00C846E1"/>
    <w:rsid w:val="00C85B33"/>
    <w:rsid w:val="00C87F34"/>
    <w:rsid w:val="00C90211"/>
    <w:rsid w:val="00C90783"/>
    <w:rsid w:val="00C95C0B"/>
    <w:rsid w:val="00CA0927"/>
    <w:rsid w:val="00CA0E05"/>
    <w:rsid w:val="00CA4623"/>
    <w:rsid w:val="00CA4B6A"/>
    <w:rsid w:val="00CA54F1"/>
    <w:rsid w:val="00CA7A9C"/>
    <w:rsid w:val="00CB007D"/>
    <w:rsid w:val="00CB0544"/>
    <w:rsid w:val="00CB140F"/>
    <w:rsid w:val="00CB545A"/>
    <w:rsid w:val="00CB7BE6"/>
    <w:rsid w:val="00CC1977"/>
    <w:rsid w:val="00CC1F56"/>
    <w:rsid w:val="00CC2185"/>
    <w:rsid w:val="00CC28DD"/>
    <w:rsid w:val="00CC32D9"/>
    <w:rsid w:val="00CC390A"/>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1782"/>
    <w:rsid w:val="00D226A0"/>
    <w:rsid w:val="00D27175"/>
    <w:rsid w:val="00D304CE"/>
    <w:rsid w:val="00D3157C"/>
    <w:rsid w:val="00D32626"/>
    <w:rsid w:val="00D33323"/>
    <w:rsid w:val="00D33D96"/>
    <w:rsid w:val="00D35671"/>
    <w:rsid w:val="00D364E5"/>
    <w:rsid w:val="00D37658"/>
    <w:rsid w:val="00D41184"/>
    <w:rsid w:val="00D42666"/>
    <w:rsid w:val="00D428E9"/>
    <w:rsid w:val="00D429FE"/>
    <w:rsid w:val="00D434B3"/>
    <w:rsid w:val="00D47CF4"/>
    <w:rsid w:val="00D517DB"/>
    <w:rsid w:val="00D520F7"/>
    <w:rsid w:val="00D5212F"/>
    <w:rsid w:val="00D52D57"/>
    <w:rsid w:val="00D52EB8"/>
    <w:rsid w:val="00D53012"/>
    <w:rsid w:val="00D543E3"/>
    <w:rsid w:val="00D557FA"/>
    <w:rsid w:val="00D56D8A"/>
    <w:rsid w:val="00D60D81"/>
    <w:rsid w:val="00D6208B"/>
    <w:rsid w:val="00D6323D"/>
    <w:rsid w:val="00D65736"/>
    <w:rsid w:val="00D67916"/>
    <w:rsid w:val="00D70277"/>
    <w:rsid w:val="00D7082A"/>
    <w:rsid w:val="00D76498"/>
    <w:rsid w:val="00D84828"/>
    <w:rsid w:val="00D86780"/>
    <w:rsid w:val="00D86E4E"/>
    <w:rsid w:val="00D878B0"/>
    <w:rsid w:val="00D94156"/>
    <w:rsid w:val="00D94439"/>
    <w:rsid w:val="00DA105E"/>
    <w:rsid w:val="00DA15E3"/>
    <w:rsid w:val="00DB2AE7"/>
    <w:rsid w:val="00DB4813"/>
    <w:rsid w:val="00DB6228"/>
    <w:rsid w:val="00DB6967"/>
    <w:rsid w:val="00DB7A9F"/>
    <w:rsid w:val="00DC5F49"/>
    <w:rsid w:val="00DC77D8"/>
    <w:rsid w:val="00DC7BEC"/>
    <w:rsid w:val="00DE073C"/>
    <w:rsid w:val="00DE16E9"/>
    <w:rsid w:val="00DE4365"/>
    <w:rsid w:val="00DE4C6F"/>
    <w:rsid w:val="00E01B46"/>
    <w:rsid w:val="00E05F95"/>
    <w:rsid w:val="00E06324"/>
    <w:rsid w:val="00E109B2"/>
    <w:rsid w:val="00E11C47"/>
    <w:rsid w:val="00E125EB"/>
    <w:rsid w:val="00E1400B"/>
    <w:rsid w:val="00E15547"/>
    <w:rsid w:val="00E17B51"/>
    <w:rsid w:val="00E2082F"/>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1774"/>
    <w:rsid w:val="00E57717"/>
    <w:rsid w:val="00E6040B"/>
    <w:rsid w:val="00E610C7"/>
    <w:rsid w:val="00E63F8C"/>
    <w:rsid w:val="00E664E3"/>
    <w:rsid w:val="00E66C39"/>
    <w:rsid w:val="00E67AC7"/>
    <w:rsid w:val="00E70CC7"/>
    <w:rsid w:val="00E727B4"/>
    <w:rsid w:val="00E733CB"/>
    <w:rsid w:val="00E758B8"/>
    <w:rsid w:val="00E75A4F"/>
    <w:rsid w:val="00E75D25"/>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C62D7"/>
    <w:rsid w:val="00ED063F"/>
    <w:rsid w:val="00ED7CDD"/>
    <w:rsid w:val="00ED7FF2"/>
    <w:rsid w:val="00EE72CF"/>
    <w:rsid w:val="00EE7F07"/>
    <w:rsid w:val="00EF18F6"/>
    <w:rsid w:val="00EF51B8"/>
    <w:rsid w:val="00EF6E58"/>
    <w:rsid w:val="00F00DC9"/>
    <w:rsid w:val="00F03A6F"/>
    <w:rsid w:val="00F078B5"/>
    <w:rsid w:val="00F12E05"/>
    <w:rsid w:val="00F1540B"/>
    <w:rsid w:val="00F15CE1"/>
    <w:rsid w:val="00F15F42"/>
    <w:rsid w:val="00F1642E"/>
    <w:rsid w:val="00F1677C"/>
    <w:rsid w:val="00F22E84"/>
    <w:rsid w:val="00F24F9C"/>
    <w:rsid w:val="00F30AB9"/>
    <w:rsid w:val="00F30ADA"/>
    <w:rsid w:val="00F361CB"/>
    <w:rsid w:val="00F36F88"/>
    <w:rsid w:val="00F3751F"/>
    <w:rsid w:val="00F448F4"/>
    <w:rsid w:val="00F50CF8"/>
    <w:rsid w:val="00F50FEA"/>
    <w:rsid w:val="00F51A53"/>
    <w:rsid w:val="00F52C04"/>
    <w:rsid w:val="00F53597"/>
    <w:rsid w:val="00F56C74"/>
    <w:rsid w:val="00F57207"/>
    <w:rsid w:val="00F5747F"/>
    <w:rsid w:val="00F606DB"/>
    <w:rsid w:val="00F63A66"/>
    <w:rsid w:val="00F644D9"/>
    <w:rsid w:val="00F64B31"/>
    <w:rsid w:val="00F656A9"/>
    <w:rsid w:val="00F65A75"/>
    <w:rsid w:val="00F66DF8"/>
    <w:rsid w:val="00F67ECF"/>
    <w:rsid w:val="00F70081"/>
    <w:rsid w:val="00F70120"/>
    <w:rsid w:val="00F72138"/>
    <w:rsid w:val="00F72321"/>
    <w:rsid w:val="00F73E58"/>
    <w:rsid w:val="00F74539"/>
    <w:rsid w:val="00F75E34"/>
    <w:rsid w:val="00F80DE2"/>
    <w:rsid w:val="00F8246D"/>
    <w:rsid w:val="00F842CC"/>
    <w:rsid w:val="00F8543D"/>
    <w:rsid w:val="00F86C2F"/>
    <w:rsid w:val="00F9086D"/>
    <w:rsid w:val="00F908C4"/>
    <w:rsid w:val="00F90B56"/>
    <w:rsid w:val="00F9496E"/>
    <w:rsid w:val="00F96741"/>
    <w:rsid w:val="00FA0419"/>
    <w:rsid w:val="00FA211A"/>
    <w:rsid w:val="00FA215F"/>
    <w:rsid w:val="00FA390E"/>
    <w:rsid w:val="00FA3A5D"/>
    <w:rsid w:val="00FA4A3D"/>
    <w:rsid w:val="00FA5054"/>
    <w:rsid w:val="00FA6159"/>
    <w:rsid w:val="00FA6FA2"/>
    <w:rsid w:val="00FB1764"/>
    <w:rsid w:val="00FB2D5E"/>
    <w:rsid w:val="00FB5172"/>
    <w:rsid w:val="00FB664F"/>
    <w:rsid w:val="00FB698D"/>
    <w:rsid w:val="00FC0283"/>
    <w:rsid w:val="00FC076E"/>
    <w:rsid w:val="00FC11EF"/>
    <w:rsid w:val="00FC24B4"/>
    <w:rsid w:val="00FC27A0"/>
    <w:rsid w:val="00FC2B68"/>
    <w:rsid w:val="00FC49E1"/>
    <w:rsid w:val="00FD1537"/>
    <w:rsid w:val="00FD4B91"/>
    <w:rsid w:val="00FD65F4"/>
    <w:rsid w:val="00FD7AFE"/>
    <w:rsid w:val="00FE0ABD"/>
    <w:rsid w:val="00FE0BF8"/>
    <w:rsid w:val="00FE12EB"/>
    <w:rsid w:val="00FE1A58"/>
    <w:rsid w:val="00FE2D4E"/>
    <w:rsid w:val="00FE3AFA"/>
    <w:rsid w:val="00FE6D8D"/>
    <w:rsid w:val="00FE7045"/>
    <w:rsid w:val="00FF362B"/>
    <w:rsid w:val="00FF5F8D"/>
    <w:rsid w:val="01295B51"/>
    <w:rsid w:val="019F7472"/>
    <w:rsid w:val="01F37685"/>
    <w:rsid w:val="021D0A31"/>
    <w:rsid w:val="02512666"/>
    <w:rsid w:val="026076C2"/>
    <w:rsid w:val="02881E0B"/>
    <w:rsid w:val="02ED03C9"/>
    <w:rsid w:val="03544F93"/>
    <w:rsid w:val="03F607AD"/>
    <w:rsid w:val="04473C19"/>
    <w:rsid w:val="05097E4F"/>
    <w:rsid w:val="05AA02EA"/>
    <w:rsid w:val="05D75216"/>
    <w:rsid w:val="05DF768C"/>
    <w:rsid w:val="06151EA9"/>
    <w:rsid w:val="06301323"/>
    <w:rsid w:val="063522A9"/>
    <w:rsid w:val="0674730E"/>
    <w:rsid w:val="069D39AB"/>
    <w:rsid w:val="07E04497"/>
    <w:rsid w:val="07E60F51"/>
    <w:rsid w:val="08057A5A"/>
    <w:rsid w:val="082603F6"/>
    <w:rsid w:val="08D60932"/>
    <w:rsid w:val="08EB30F3"/>
    <w:rsid w:val="095F690B"/>
    <w:rsid w:val="09F36369"/>
    <w:rsid w:val="0A422001"/>
    <w:rsid w:val="0AF97041"/>
    <w:rsid w:val="0B095AB3"/>
    <w:rsid w:val="0B1701D0"/>
    <w:rsid w:val="0B5120F4"/>
    <w:rsid w:val="0B5C5332"/>
    <w:rsid w:val="0B670C36"/>
    <w:rsid w:val="0B7F3FC7"/>
    <w:rsid w:val="0B9510F4"/>
    <w:rsid w:val="0BBD34B5"/>
    <w:rsid w:val="0BC76E15"/>
    <w:rsid w:val="0BF40511"/>
    <w:rsid w:val="0C192996"/>
    <w:rsid w:val="0C726DE1"/>
    <w:rsid w:val="0CE85C83"/>
    <w:rsid w:val="0D42705A"/>
    <w:rsid w:val="0D4D675A"/>
    <w:rsid w:val="0D6A51E7"/>
    <w:rsid w:val="0D706A8C"/>
    <w:rsid w:val="0DA158CF"/>
    <w:rsid w:val="0DC02ACC"/>
    <w:rsid w:val="0DE52F3D"/>
    <w:rsid w:val="0DF40736"/>
    <w:rsid w:val="0E087302"/>
    <w:rsid w:val="0E467005"/>
    <w:rsid w:val="0E5935E8"/>
    <w:rsid w:val="0E5C065A"/>
    <w:rsid w:val="0E951FAD"/>
    <w:rsid w:val="0E95550D"/>
    <w:rsid w:val="0EAF74F2"/>
    <w:rsid w:val="0EB712F3"/>
    <w:rsid w:val="0EC10829"/>
    <w:rsid w:val="0EC66D9E"/>
    <w:rsid w:val="0FB51E18"/>
    <w:rsid w:val="0FBD1D31"/>
    <w:rsid w:val="0FC621C4"/>
    <w:rsid w:val="1025415A"/>
    <w:rsid w:val="103E459E"/>
    <w:rsid w:val="106E7982"/>
    <w:rsid w:val="10F90CDB"/>
    <w:rsid w:val="11365128"/>
    <w:rsid w:val="11560662"/>
    <w:rsid w:val="119005E6"/>
    <w:rsid w:val="122818C5"/>
    <w:rsid w:val="12545E87"/>
    <w:rsid w:val="134F75DC"/>
    <w:rsid w:val="13A31C6C"/>
    <w:rsid w:val="14057954"/>
    <w:rsid w:val="141F2BB8"/>
    <w:rsid w:val="147C10A3"/>
    <w:rsid w:val="14B13E06"/>
    <w:rsid w:val="14C8300A"/>
    <w:rsid w:val="14D02784"/>
    <w:rsid w:val="14F21366"/>
    <w:rsid w:val="15126879"/>
    <w:rsid w:val="151429BA"/>
    <w:rsid w:val="15351FDD"/>
    <w:rsid w:val="156B12DC"/>
    <w:rsid w:val="1594241D"/>
    <w:rsid w:val="15966195"/>
    <w:rsid w:val="16104199"/>
    <w:rsid w:val="1666200B"/>
    <w:rsid w:val="167101BC"/>
    <w:rsid w:val="16BC1C2B"/>
    <w:rsid w:val="16C52E71"/>
    <w:rsid w:val="16E52514"/>
    <w:rsid w:val="16F5263F"/>
    <w:rsid w:val="16FA7CA6"/>
    <w:rsid w:val="17B31280"/>
    <w:rsid w:val="182716B9"/>
    <w:rsid w:val="18463EA2"/>
    <w:rsid w:val="18E84DF2"/>
    <w:rsid w:val="19E962B5"/>
    <w:rsid w:val="1A821473"/>
    <w:rsid w:val="1B495A57"/>
    <w:rsid w:val="1B7C140E"/>
    <w:rsid w:val="1CE65C54"/>
    <w:rsid w:val="1DB23C8B"/>
    <w:rsid w:val="1DF54FD5"/>
    <w:rsid w:val="1F3C07EF"/>
    <w:rsid w:val="1FD049A3"/>
    <w:rsid w:val="1FEF4FE6"/>
    <w:rsid w:val="1FF51002"/>
    <w:rsid w:val="200B35B9"/>
    <w:rsid w:val="2020322B"/>
    <w:rsid w:val="207B2B57"/>
    <w:rsid w:val="20AA5A04"/>
    <w:rsid w:val="20D43CCC"/>
    <w:rsid w:val="20D86C9F"/>
    <w:rsid w:val="20F546B7"/>
    <w:rsid w:val="21693ADA"/>
    <w:rsid w:val="21912EA5"/>
    <w:rsid w:val="21923936"/>
    <w:rsid w:val="21FA7AAB"/>
    <w:rsid w:val="225F5AA9"/>
    <w:rsid w:val="22786B5D"/>
    <w:rsid w:val="244F2331"/>
    <w:rsid w:val="245103DE"/>
    <w:rsid w:val="24AA7567"/>
    <w:rsid w:val="259F4BF2"/>
    <w:rsid w:val="25A36113"/>
    <w:rsid w:val="25B032A3"/>
    <w:rsid w:val="25DC10B1"/>
    <w:rsid w:val="26731368"/>
    <w:rsid w:val="26D11723"/>
    <w:rsid w:val="27027879"/>
    <w:rsid w:val="28324905"/>
    <w:rsid w:val="28913985"/>
    <w:rsid w:val="289406E2"/>
    <w:rsid w:val="28A56626"/>
    <w:rsid w:val="28C707A9"/>
    <w:rsid w:val="28E55678"/>
    <w:rsid w:val="28E91021"/>
    <w:rsid w:val="297162B9"/>
    <w:rsid w:val="29954C89"/>
    <w:rsid w:val="29B16CB0"/>
    <w:rsid w:val="29EE439A"/>
    <w:rsid w:val="29F30A01"/>
    <w:rsid w:val="2A215643"/>
    <w:rsid w:val="2A282887"/>
    <w:rsid w:val="2A983DED"/>
    <w:rsid w:val="2AB816D3"/>
    <w:rsid w:val="2AE12FF4"/>
    <w:rsid w:val="2B1C189B"/>
    <w:rsid w:val="2B331A1C"/>
    <w:rsid w:val="2B934E09"/>
    <w:rsid w:val="2BCC30F7"/>
    <w:rsid w:val="2BD1187D"/>
    <w:rsid w:val="2C286EC2"/>
    <w:rsid w:val="2C4A2BDB"/>
    <w:rsid w:val="2C7A3CC3"/>
    <w:rsid w:val="2CCB4AF9"/>
    <w:rsid w:val="2CD81EA7"/>
    <w:rsid w:val="2D087B88"/>
    <w:rsid w:val="2D0C07DF"/>
    <w:rsid w:val="2D516D18"/>
    <w:rsid w:val="2D575D26"/>
    <w:rsid w:val="2E550FF1"/>
    <w:rsid w:val="2EA1576A"/>
    <w:rsid w:val="2EA65243"/>
    <w:rsid w:val="2F1E2FC7"/>
    <w:rsid w:val="2FFA4D14"/>
    <w:rsid w:val="302C5C1C"/>
    <w:rsid w:val="306847AE"/>
    <w:rsid w:val="30E16A06"/>
    <w:rsid w:val="30F304E8"/>
    <w:rsid w:val="31036A33"/>
    <w:rsid w:val="310476ED"/>
    <w:rsid w:val="31264419"/>
    <w:rsid w:val="315356A2"/>
    <w:rsid w:val="31882664"/>
    <w:rsid w:val="31CA1248"/>
    <w:rsid w:val="322002DD"/>
    <w:rsid w:val="32FB3683"/>
    <w:rsid w:val="344B0FEE"/>
    <w:rsid w:val="345B3EFC"/>
    <w:rsid w:val="34AE2066"/>
    <w:rsid w:val="34D87802"/>
    <w:rsid w:val="350D0C42"/>
    <w:rsid w:val="350D3B23"/>
    <w:rsid w:val="357C4F4F"/>
    <w:rsid w:val="358E73B8"/>
    <w:rsid w:val="35BE1BD6"/>
    <w:rsid w:val="363675DE"/>
    <w:rsid w:val="364F109D"/>
    <w:rsid w:val="36533F02"/>
    <w:rsid w:val="36E309B3"/>
    <w:rsid w:val="36EB57D1"/>
    <w:rsid w:val="37405446"/>
    <w:rsid w:val="374E43A0"/>
    <w:rsid w:val="37BD0431"/>
    <w:rsid w:val="37CC6E4F"/>
    <w:rsid w:val="37ED5336"/>
    <w:rsid w:val="38011941"/>
    <w:rsid w:val="380A11C8"/>
    <w:rsid w:val="3818153F"/>
    <w:rsid w:val="38485A4B"/>
    <w:rsid w:val="38561A88"/>
    <w:rsid w:val="385E0B43"/>
    <w:rsid w:val="38A8411D"/>
    <w:rsid w:val="390A4563"/>
    <w:rsid w:val="397B72CC"/>
    <w:rsid w:val="399F120C"/>
    <w:rsid w:val="39CD505D"/>
    <w:rsid w:val="39FB592A"/>
    <w:rsid w:val="3A305B92"/>
    <w:rsid w:val="3A43603C"/>
    <w:rsid w:val="3A577D39"/>
    <w:rsid w:val="3A777A93"/>
    <w:rsid w:val="3A9026A1"/>
    <w:rsid w:val="3B0A6B5A"/>
    <w:rsid w:val="3B89766A"/>
    <w:rsid w:val="3BB3118E"/>
    <w:rsid w:val="3BF30A69"/>
    <w:rsid w:val="3C312507"/>
    <w:rsid w:val="3C5B2BF6"/>
    <w:rsid w:val="3C821C6F"/>
    <w:rsid w:val="3CA80C67"/>
    <w:rsid w:val="3CDE3DFA"/>
    <w:rsid w:val="3D874491"/>
    <w:rsid w:val="3E8A40C6"/>
    <w:rsid w:val="3F5D36FC"/>
    <w:rsid w:val="3F8D6A60"/>
    <w:rsid w:val="3FF64E7A"/>
    <w:rsid w:val="402C30CE"/>
    <w:rsid w:val="40662A84"/>
    <w:rsid w:val="41535978"/>
    <w:rsid w:val="418D4040"/>
    <w:rsid w:val="41D1217F"/>
    <w:rsid w:val="421F75A4"/>
    <w:rsid w:val="425125A4"/>
    <w:rsid w:val="425B2DC4"/>
    <w:rsid w:val="425E348A"/>
    <w:rsid w:val="428B67D2"/>
    <w:rsid w:val="42B20202"/>
    <w:rsid w:val="43D84F35"/>
    <w:rsid w:val="440E56A0"/>
    <w:rsid w:val="44A02C93"/>
    <w:rsid w:val="44AB6CB7"/>
    <w:rsid w:val="44F7014F"/>
    <w:rsid w:val="45BD2587"/>
    <w:rsid w:val="45BF7767"/>
    <w:rsid w:val="45E91D27"/>
    <w:rsid w:val="47045BFA"/>
    <w:rsid w:val="473A07C7"/>
    <w:rsid w:val="478D08F6"/>
    <w:rsid w:val="485B7D62"/>
    <w:rsid w:val="48B672F5"/>
    <w:rsid w:val="48D161BE"/>
    <w:rsid w:val="490714E3"/>
    <w:rsid w:val="498A77E3"/>
    <w:rsid w:val="49AD702E"/>
    <w:rsid w:val="49E94869"/>
    <w:rsid w:val="4A211A6D"/>
    <w:rsid w:val="4A301A0D"/>
    <w:rsid w:val="4A541B9F"/>
    <w:rsid w:val="4AD2369D"/>
    <w:rsid w:val="4AF864E8"/>
    <w:rsid w:val="4B277059"/>
    <w:rsid w:val="4B485858"/>
    <w:rsid w:val="4B614187"/>
    <w:rsid w:val="4BA25A26"/>
    <w:rsid w:val="4BF2341E"/>
    <w:rsid w:val="4C000B94"/>
    <w:rsid w:val="4C2C6EC5"/>
    <w:rsid w:val="4C8670D9"/>
    <w:rsid w:val="4C981FB8"/>
    <w:rsid w:val="4D2C63CD"/>
    <w:rsid w:val="4DB34E33"/>
    <w:rsid w:val="4E404914"/>
    <w:rsid w:val="4E8A612C"/>
    <w:rsid w:val="4EA50C1B"/>
    <w:rsid w:val="4F172905"/>
    <w:rsid w:val="4F557A83"/>
    <w:rsid w:val="4F885CEB"/>
    <w:rsid w:val="500B0F52"/>
    <w:rsid w:val="502A2F08"/>
    <w:rsid w:val="50406E4E"/>
    <w:rsid w:val="509B0528"/>
    <w:rsid w:val="509B4084"/>
    <w:rsid w:val="51465B86"/>
    <w:rsid w:val="516960CC"/>
    <w:rsid w:val="517F1F96"/>
    <w:rsid w:val="518E3BE9"/>
    <w:rsid w:val="521560B8"/>
    <w:rsid w:val="5235570C"/>
    <w:rsid w:val="527A5F1B"/>
    <w:rsid w:val="53304295"/>
    <w:rsid w:val="53F73779"/>
    <w:rsid w:val="5449480B"/>
    <w:rsid w:val="549332C4"/>
    <w:rsid w:val="54B57697"/>
    <w:rsid w:val="54C47110"/>
    <w:rsid w:val="550B72FE"/>
    <w:rsid w:val="55515659"/>
    <w:rsid w:val="55702E07"/>
    <w:rsid w:val="55C248A1"/>
    <w:rsid w:val="569A78CF"/>
    <w:rsid w:val="57833AC4"/>
    <w:rsid w:val="578775D4"/>
    <w:rsid w:val="57AC6B77"/>
    <w:rsid w:val="57B34775"/>
    <w:rsid w:val="57CB09C0"/>
    <w:rsid w:val="57F07E88"/>
    <w:rsid w:val="57F34266"/>
    <w:rsid w:val="58BB684A"/>
    <w:rsid w:val="590B7C5F"/>
    <w:rsid w:val="59723DF0"/>
    <w:rsid w:val="599932C4"/>
    <w:rsid w:val="5A32415D"/>
    <w:rsid w:val="5AB441AC"/>
    <w:rsid w:val="5AC17932"/>
    <w:rsid w:val="5ACB73BF"/>
    <w:rsid w:val="5AE66FE3"/>
    <w:rsid w:val="5B544D5A"/>
    <w:rsid w:val="5B9B6420"/>
    <w:rsid w:val="5BCA39C3"/>
    <w:rsid w:val="5BCA3A6F"/>
    <w:rsid w:val="5BD43965"/>
    <w:rsid w:val="5BDC19F5"/>
    <w:rsid w:val="5BDC31D7"/>
    <w:rsid w:val="5BF9320A"/>
    <w:rsid w:val="5C2A604B"/>
    <w:rsid w:val="5C857487"/>
    <w:rsid w:val="5C8A31FF"/>
    <w:rsid w:val="5D6B3030"/>
    <w:rsid w:val="5E193160"/>
    <w:rsid w:val="5E4C10B3"/>
    <w:rsid w:val="5E6737F7"/>
    <w:rsid w:val="5E693A13"/>
    <w:rsid w:val="5E88747F"/>
    <w:rsid w:val="5E94525B"/>
    <w:rsid w:val="5EF003DA"/>
    <w:rsid w:val="5F4955F3"/>
    <w:rsid w:val="60065292"/>
    <w:rsid w:val="60483AFC"/>
    <w:rsid w:val="60574CEF"/>
    <w:rsid w:val="60D37950"/>
    <w:rsid w:val="6105554A"/>
    <w:rsid w:val="613A7416"/>
    <w:rsid w:val="61734BA9"/>
    <w:rsid w:val="61987E77"/>
    <w:rsid w:val="61C579C1"/>
    <w:rsid w:val="62353290"/>
    <w:rsid w:val="62EE2739"/>
    <w:rsid w:val="63273E9D"/>
    <w:rsid w:val="639E52DB"/>
    <w:rsid w:val="63E543CF"/>
    <w:rsid w:val="63EC08F9"/>
    <w:rsid w:val="63F2580D"/>
    <w:rsid w:val="642C250E"/>
    <w:rsid w:val="643839B5"/>
    <w:rsid w:val="647E1E99"/>
    <w:rsid w:val="649607F0"/>
    <w:rsid w:val="64B22597"/>
    <w:rsid w:val="64BF6DED"/>
    <w:rsid w:val="6502797D"/>
    <w:rsid w:val="659F203C"/>
    <w:rsid w:val="65B80DDC"/>
    <w:rsid w:val="65C6174B"/>
    <w:rsid w:val="65EF12F6"/>
    <w:rsid w:val="667B3089"/>
    <w:rsid w:val="67125407"/>
    <w:rsid w:val="6780039A"/>
    <w:rsid w:val="67824A12"/>
    <w:rsid w:val="67832EF6"/>
    <w:rsid w:val="678A5FCA"/>
    <w:rsid w:val="67FA3486"/>
    <w:rsid w:val="68146A3F"/>
    <w:rsid w:val="68324E76"/>
    <w:rsid w:val="68C01144"/>
    <w:rsid w:val="691A5502"/>
    <w:rsid w:val="69C918CD"/>
    <w:rsid w:val="6A100FD1"/>
    <w:rsid w:val="6B1E5B86"/>
    <w:rsid w:val="6B2E1807"/>
    <w:rsid w:val="6B505657"/>
    <w:rsid w:val="6B851FF7"/>
    <w:rsid w:val="6BE141F3"/>
    <w:rsid w:val="6C691082"/>
    <w:rsid w:val="6C9003BD"/>
    <w:rsid w:val="6CC4275D"/>
    <w:rsid w:val="6CEC000A"/>
    <w:rsid w:val="6D241DD6"/>
    <w:rsid w:val="6D516D25"/>
    <w:rsid w:val="6D716B35"/>
    <w:rsid w:val="6DF350A8"/>
    <w:rsid w:val="6DFE24BB"/>
    <w:rsid w:val="6E930639"/>
    <w:rsid w:val="6E9311AE"/>
    <w:rsid w:val="6E933C40"/>
    <w:rsid w:val="6EAE1559"/>
    <w:rsid w:val="6EC32CCC"/>
    <w:rsid w:val="6EE104BA"/>
    <w:rsid w:val="6EFC5484"/>
    <w:rsid w:val="6F040EF3"/>
    <w:rsid w:val="6F061516"/>
    <w:rsid w:val="6F513E19"/>
    <w:rsid w:val="6F5A4CB2"/>
    <w:rsid w:val="6FB6638D"/>
    <w:rsid w:val="6FC02188"/>
    <w:rsid w:val="6FE46603"/>
    <w:rsid w:val="6FFB12AF"/>
    <w:rsid w:val="70381498"/>
    <w:rsid w:val="703C4491"/>
    <w:rsid w:val="708D7E89"/>
    <w:rsid w:val="709637C1"/>
    <w:rsid w:val="70B0102E"/>
    <w:rsid w:val="71547484"/>
    <w:rsid w:val="716D761B"/>
    <w:rsid w:val="71A76928"/>
    <w:rsid w:val="72D3722F"/>
    <w:rsid w:val="731F1983"/>
    <w:rsid w:val="734B3290"/>
    <w:rsid w:val="739E7073"/>
    <w:rsid w:val="744D64A9"/>
    <w:rsid w:val="74A206D3"/>
    <w:rsid w:val="756A0A3D"/>
    <w:rsid w:val="75922929"/>
    <w:rsid w:val="763444AF"/>
    <w:rsid w:val="76375D4D"/>
    <w:rsid w:val="7709607D"/>
    <w:rsid w:val="771D13E7"/>
    <w:rsid w:val="77445D2C"/>
    <w:rsid w:val="774A4831"/>
    <w:rsid w:val="78877820"/>
    <w:rsid w:val="78B6799F"/>
    <w:rsid w:val="78E70A2D"/>
    <w:rsid w:val="79331D62"/>
    <w:rsid w:val="796061A5"/>
    <w:rsid w:val="7A635A80"/>
    <w:rsid w:val="7B0A1790"/>
    <w:rsid w:val="7BB8788F"/>
    <w:rsid w:val="7C3005DF"/>
    <w:rsid w:val="7C71247C"/>
    <w:rsid w:val="7CE22776"/>
    <w:rsid w:val="7D04082D"/>
    <w:rsid w:val="7D471B43"/>
    <w:rsid w:val="7DDD71DA"/>
    <w:rsid w:val="7E1A21DD"/>
    <w:rsid w:val="7EAA3560"/>
    <w:rsid w:val="7EB3493A"/>
    <w:rsid w:val="7EDF4DC2"/>
    <w:rsid w:val="7EE4243A"/>
    <w:rsid w:val="7EFA151F"/>
    <w:rsid w:val="7F2A6733"/>
    <w:rsid w:val="7F7D28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30"/>
      <w:sz w:val="30"/>
      <w:szCs w:val="21"/>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qFormat/>
    <w:uiPriority w:val="99"/>
    <w:pPr>
      <w:keepNext/>
      <w:keepLines/>
      <w:spacing w:before="260" w:after="260" w:line="416" w:lineRule="auto"/>
      <w:outlineLvl w:val="1"/>
    </w:pPr>
    <w:rPr>
      <w:rFonts w:ascii="Cambria" w:hAnsi="Cambria"/>
      <w:b/>
      <w:bCs/>
      <w:kern w:val="0"/>
      <w:sz w:val="32"/>
      <w:szCs w:val="32"/>
    </w:rPr>
  </w:style>
  <w:style w:type="paragraph" w:styleId="2">
    <w:name w:val="heading 3"/>
    <w:basedOn w:val="1"/>
    <w:next w:val="1"/>
    <w:link w:val="29"/>
    <w:qFormat/>
    <w:uiPriority w:val="99"/>
    <w:pPr>
      <w:keepNext/>
      <w:keepLines/>
      <w:spacing w:before="260" w:after="260" w:line="416" w:lineRule="auto"/>
      <w:outlineLvl w:val="2"/>
    </w:pPr>
    <w:rPr>
      <w:b/>
      <w:bCs/>
      <w:kern w:val="0"/>
      <w:sz w:val="32"/>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unhideWhenUsed/>
    <w:qFormat/>
    <w:uiPriority w:val="0"/>
    <w:pPr>
      <w:ind w:firstLine="420" w:firstLineChars="200"/>
    </w:pPr>
  </w:style>
  <w:style w:type="paragraph" w:styleId="7">
    <w:name w:val="caption"/>
    <w:basedOn w:val="1"/>
    <w:next w:val="1"/>
    <w:qFormat/>
    <w:uiPriority w:val="0"/>
    <w:pPr>
      <w:spacing w:before="152" w:after="160"/>
    </w:pPr>
    <w:rPr>
      <w:rFonts w:ascii="Arial" w:hAnsi="Arial" w:eastAsia="黑体" w:cs="Arial"/>
      <w:sz w:val="20"/>
    </w:rPr>
  </w:style>
  <w:style w:type="paragraph" w:styleId="8">
    <w:name w:val="Document Map"/>
    <w:basedOn w:val="1"/>
    <w:link w:val="35"/>
    <w:unhideWhenUsed/>
    <w:qFormat/>
    <w:uiPriority w:val="99"/>
    <w:rPr>
      <w:rFonts w:ascii="宋体"/>
      <w:sz w:val="18"/>
      <w:szCs w:val="18"/>
    </w:rPr>
  </w:style>
  <w:style w:type="paragraph" w:styleId="9">
    <w:name w:val="annotation text"/>
    <w:basedOn w:val="1"/>
    <w:link w:val="33"/>
    <w:unhideWhenUsed/>
    <w:qFormat/>
    <w:uiPriority w:val="99"/>
    <w:pPr>
      <w:jc w:val="left"/>
    </w:pPr>
  </w:style>
  <w:style w:type="paragraph" w:styleId="10">
    <w:name w:val="Body Text"/>
    <w:basedOn w:val="1"/>
    <w:link w:val="40"/>
    <w:qFormat/>
    <w:uiPriority w:val="1"/>
    <w:pPr>
      <w:ind w:left="119"/>
      <w:jc w:val="left"/>
    </w:pPr>
    <w:rPr>
      <w:rFonts w:ascii="仿宋_GB2312" w:hAnsi="仿宋_GB2312" w:eastAsia="仿宋_GB2312" w:cstheme="minorBidi"/>
      <w:kern w:val="0"/>
      <w:szCs w:val="30"/>
      <w:lang w:eastAsia="en-US"/>
    </w:rPr>
  </w:style>
  <w:style w:type="paragraph" w:styleId="11">
    <w:name w:val="Body Text Indent"/>
    <w:basedOn w:val="1"/>
    <w:qFormat/>
    <w:uiPriority w:val="0"/>
    <w:pPr>
      <w:spacing w:after="120"/>
      <w:ind w:left="420" w:leftChars="200"/>
    </w:pPr>
    <w:rPr>
      <w:rFonts w:ascii="Times New Roman" w:hAnsi="Times New Roman" w:eastAsia="宋体" w:cs="Times New Roman"/>
    </w:rPr>
  </w:style>
  <w:style w:type="paragraph" w:styleId="12">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3">
    <w:name w:val="Balloon Text"/>
    <w:basedOn w:val="1"/>
    <w:link w:val="32"/>
    <w:unhideWhenUsed/>
    <w:qFormat/>
    <w:uiPriority w:val="99"/>
    <w:rPr>
      <w:sz w:val="18"/>
      <w:szCs w:val="18"/>
    </w:rPr>
  </w:style>
  <w:style w:type="paragraph" w:styleId="14">
    <w:name w:val="footer"/>
    <w:basedOn w:val="1"/>
    <w:link w:val="3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3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toc 1"/>
    <w:basedOn w:val="1"/>
    <w:next w:val="1"/>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7">
    <w:name w:val="toc 2"/>
    <w:basedOn w:val="1"/>
    <w:next w:val="1"/>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8">
    <w:name w:val="annotation subject"/>
    <w:basedOn w:val="9"/>
    <w:next w:val="9"/>
    <w:link w:val="34"/>
    <w:unhideWhenUsed/>
    <w:qFormat/>
    <w:uiPriority w:val="99"/>
    <w:rPr>
      <w:b/>
      <w:bCs/>
    </w:rPr>
  </w:style>
  <w:style w:type="paragraph" w:styleId="19">
    <w:name w:val="Body Text First Indent 2"/>
    <w:basedOn w:val="11"/>
    <w:qFormat/>
    <w:uiPriority w:val="0"/>
    <w:pPr>
      <w:ind w:firstLine="420" w:firstLineChars="200"/>
    </w:pPr>
  </w:style>
  <w:style w:type="table" w:styleId="21">
    <w:name w:val="Table Grid"/>
    <w:basedOn w:val="20"/>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unhideWhenUsed/>
    <w:qFormat/>
    <w:uiPriority w:val="99"/>
    <w:rPr>
      <w:color w:val="0000FF" w:themeColor="hyperlink"/>
      <w:u w:val="single"/>
    </w:rPr>
  </w:style>
  <w:style w:type="character" w:styleId="26">
    <w:name w:val="annotation reference"/>
    <w:basedOn w:val="22"/>
    <w:unhideWhenUsed/>
    <w:qFormat/>
    <w:uiPriority w:val="99"/>
    <w:rPr>
      <w:sz w:val="21"/>
      <w:szCs w:val="21"/>
    </w:rPr>
  </w:style>
  <w:style w:type="character" w:customStyle="1" w:styleId="27">
    <w:name w:val="标题 1 字符"/>
    <w:basedOn w:val="22"/>
    <w:link w:val="3"/>
    <w:qFormat/>
    <w:uiPriority w:val="9"/>
    <w:rPr>
      <w:rFonts w:ascii="Times New Roman" w:hAnsi="Times New Roman" w:eastAsia="宋体" w:cs="Times New Roman"/>
      <w:b/>
      <w:bCs/>
      <w:kern w:val="44"/>
      <w:sz w:val="44"/>
      <w:szCs w:val="44"/>
    </w:rPr>
  </w:style>
  <w:style w:type="character" w:customStyle="1" w:styleId="28">
    <w:name w:val="标题 2 字符"/>
    <w:basedOn w:val="22"/>
    <w:link w:val="4"/>
    <w:qFormat/>
    <w:uiPriority w:val="99"/>
    <w:rPr>
      <w:rFonts w:ascii="Cambria" w:hAnsi="Cambria" w:eastAsia="宋体" w:cs="Times New Roman"/>
      <w:b/>
      <w:bCs/>
      <w:kern w:val="0"/>
      <w:sz w:val="32"/>
      <w:szCs w:val="32"/>
    </w:rPr>
  </w:style>
  <w:style w:type="character" w:customStyle="1" w:styleId="29">
    <w:name w:val="标题 3 字符"/>
    <w:basedOn w:val="22"/>
    <w:link w:val="2"/>
    <w:qFormat/>
    <w:uiPriority w:val="99"/>
    <w:rPr>
      <w:rFonts w:ascii="Times New Roman" w:hAnsi="Times New Roman" w:eastAsia="宋体" w:cs="Times New Roman"/>
      <w:b/>
      <w:bCs/>
      <w:kern w:val="0"/>
      <w:sz w:val="32"/>
      <w:szCs w:val="32"/>
    </w:rPr>
  </w:style>
  <w:style w:type="character" w:customStyle="1" w:styleId="30">
    <w:name w:val="页眉 字符"/>
    <w:basedOn w:val="22"/>
    <w:link w:val="15"/>
    <w:qFormat/>
    <w:uiPriority w:val="99"/>
    <w:rPr>
      <w:sz w:val="18"/>
      <w:szCs w:val="18"/>
    </w:rPr>
  </w:style>
  <w:style w:type="character" w:customStyle="1" w:styleId="31">
    <w:name w:val="页脚 字符"/>
    <w:basedOn w:val="22"/>
    <w:link w:val="14"/>
    <w:qFormat/>
    <w:uiPriority w:val="0"/>
    <w:rPr>
      <w:sz w:val="18"/>
      <w:szCs w:val="18"/>
    </w:rPr>
  </w:style>
  <w:style w:type="character" w:customStyle="1" w:styleId="32">
    <w:name w:val="批注框文本 字符"/>
    <w:basedOn w:val="22"/>
    <w:link w:val="13"/>
    <w:semiHidden/>
    <w:qFormat/>
    <w:uiPriority w:val="99"/>
    <w:rPr>
      <w:rFonts w:ascii="Times New Roman" w:hAnsi="Times New Roman" w:eastAsia="宋体" w:cs="Times New Roman"/>
      <w:sz w:val="18"/>
      <w:szCs w:val="18"/>
    </w:rPr>
  </w:style>
  <w:style w:type="character" w:customStyle="1" w:styleId="33">
    <w:name w:val="批注文字 字符"/>
    <w:basedOn w:val="22"/>
    <w:link w:val="9"/>
    <w:qFormat/>
    <w:uiPriority w:val="99"/>
    <w:rPr>
      <w:rFonts w:ascii="Times New Roman" w:hAnsi="Times New Roman" w:eastAsia="宋体" w:cs="Times New Roman"/>
      <w:szCs w:val="21"/>
    </w:rPr>
  </w:style>
  <w:style w:type="character" w:customStyle="1" w:styleId="34">
    <w:name w:val="批注主题 字符"/>
    <w:basedOn w:val="33"/>
    <w:link w:val="18"/>
    <w:semiHidden/>
    <w:qFormat/>
    <w:uiPriority w:val="99"/>
    <w:rPr>
      <w:rFonts w:ascii="Times New Roman" w:hAnsi="Times New Roman" w:eastAsia="宋体" w:cs="Times New Roman"/>
      <w:b/>
      <w:bCs/>
      <w:szCs w:val="21"/>
    </w:rPr>
  </w:style>
  <w:style w:type="character" w:customStyle="1" w:styleId="35">
    <w:name w:val="文档结构图 字符"/>
    <w:basedOn w:val="22"/>
    <w:link w:val="8"/>
    <w:semiHidden/>
    <w:qFormat/>
    <w:uiPriority w:val="99"/>
    <w:rPr>
      <w:rFonts w:ascii="宋体" w:hAnsi="Times New Roman" w:eastAsia="宋体" w:cs="Times New Roman"/>
      <w:sz w:val="18"/>
      <w:szCs w:val="18"/>
    </w:rPr>
  </w:style>
  <w:style w:type="paragraph" w:customStyle="1" w:styleId="3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7">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38">
    <w:name w:val="页码 New New"/>
    <w:basedOn w:val="22"/>
    <w:qFormat/>
    <w:uiPriority w:val="0"/>
  </w:style>
  <w:style w:type="paragraph" w:customStyle="1" w:styleId="39">
    <w:name w:val="列表段落1"/>
    <w:basedOn w:val="1"/>
    <w:qFormat/>
    <w:uiPriority w:val="34"/>
    <w:pPr>
      <w:ind w:firstLine="420" w:firstLineChars="200"/>
    </w:pPr>
  </w:style>
  <w:style w:type="character" w:customStyle="1" w:styleId="40">
    <w:name w:val="正文文本 字符"/>
    <w:basedOn w:val="22"/>
    <w:link w:val="10"/>
    <w:qFormat/>
    <w:uiPriority w:val="1"/>
    <w:rPr>
      <w:rFonts w:ascii="仿宋_GB2312" w:hAnsi="仿宋_GB2312" w:eastAsia="仿宋_GB2312"/>
      <w:kern w:val="0"/>
      <w:sz w:val="30"/>
      <w:szCs w:val="30"/>
      <w:lang w:eastAsia="en-US"/>
    </w:rPr>
  </w:style>
  <w:style w:type="character" w:customStyle="1" w:styleId="41">
    <w:name w:val="未处理的提及1"/>
    <w:basedOn w:val="22"/>
    <w:unhideWhenUsed/>
    <w:qFormat/>
    <w:uiPriority w:val="99"/>
    <w:rPr>
      <w:color w:val="605E5C"/>
      <w:shd w:val="clear" w:color="auto" w:fill="E1DFDD"/>
    </w:rPr>
  </w:style>
  <w:style w:type="character" w:customStyle="1" w:styleId="42">
    <w:name w:val="占位符文本1"/>
    <w:basedOn w:val="22"/>
    <w:semiHidden/>
    <w:qFormat/>
    <w:uiPriority w:val="99"/>
    <w:rPr>
      <w:color w:val="808080"/>
    </w:rPr>
  </w:style>
  <w:style w:type="character" w:customStyle="1" w:styleId="43">
    <w:name w:val="font21"/>
    <w:basedOn w:val="22"/>
    <w:qFormat/>
    <w:uiPriority w:val="0"/>
    <w:rPr>
      <w:rFonts w:hint="default" w:ascii="Times New Roman" w:hAnsi="Times New Roman" w:cs="Times New Roman"/>
      <w:color w:val="000000"/>
      <w:sz w:val="20"/>
      <w:szCs w:val="20"/>
      <w:u w:val="none"/>
    </w:rPr>
  </w:style>
  <w:style w:type="character" w:customStyle="1" w:styleId="44">
    <w:name w:val="font41"/>
    <w:basedOn w:val="22"/>
    <w:qFormat/>
    <w:uiPriority w:val="0"/>
    <w:rPr>
      <w:rFonts w:hint="eastAsia" w:ascii="宋体" w:hAnsi="宋体" w:eastAsia="宋体" w:cs="宋体"/>
      <w:color w:val="000000"/>
      <w:sz w:val="20"/>
      <w:szCs w:val="20"/>
      <w:u w:val="none"/>
    </w:rPr>
  </w:style>
  <w:style w:type="character" w:customStyle="1" w:styleId="45">
    <w:name w:val="font31"/>
    <w:basedOn w:val="22"/>
    <w:qFormat/>
    <w:uiPriority w:val="0"/>
    <w:rPr>
      <w:rFonts w:hint="eastAsia" w:ascii="宋体" w:hAnsi="宋体" w:eastAsia="宋体" w:cs="宋体"/>
      <w:color w:val="000000"/>
      <w:sz w:val="20"/>
      <w:szCs w:val="20"/>
      <w:u w:val="none"/>
    </w:rPr>
  </w:style>
  <w:style w:type="character" w:customStyle="1" w:styleId="46">
    <w:name w:val="font11"/>
    <w:basedOn w:val="22"/>
    <w:qFormat/>
    <w:uiPriority w:val="0"/>
    <w:rPr>
      <w:rFonts w:hint="eastAsia" w:ascii="宋体" w:hAnsi="宋体" w:eastAsia="宋体" w:cs="宋体"/>
      <w:color w:val="000000"/>
      <w:sz w:val="20"/>
      <w:szCs w:val="20"/>
      <w:u w:val="none"/>
    </w:rPr>
  </w:style>
  <w:style w:type="paragraph" w:customStyle="1" w:styleId="47">
    <w:name w:val="实施方案正文"/>
    <w:basedOn w:val="1"/>
    <w:qFormat/>
    <w:uiPriority w:val="0"/>
    <w:pPr>
      <w:ind w:firstLine="566" w:firstLineChars="202"/>
    </w:pPr>
    <w:rPr>
      <w:rFonts w:ascii="Calibri" w:hAnsi="Calibri" w:eastAsia="宋体" w:cs="Times New Roman"/>
      <w:sz w:val="21"/>
    </w:rPr>
  </w:style>
  <w:style w:type="character" w:customStyle="1" w:styleId="48">
    <w:name w:val="font01"/>
    <w:basedOn w:val="22"/>
    <w:qFormat/>
    <w:uiPriority w:val="0"/>
    <w:rPr>
      <w:rFonts w:hint="eastAsia" w:ascii="仿宋" w:hAnsi="仿宋" w:eastAsia="仿宋" w:cs="仿宋"/>
      <w:b/>
      <w:bCs/>
      <w:color w:val="000000"/>
      <w:sz w:val="21"/>
      <w:szCs w:val="21"/>
      <w:u w:val="none"/>
    </w:rPr>
  </w:style>
  <w:style w:type="character" w:customStyle="1" w:styleId="49">
    <w:name w:val="公文正文"/>
    <w:basedOn w:val="50"/>
    <w:qFormat/>
    <w:uiPriority w:val="0"/>
    <w:rPr>
      <w:rFonts w:eastAsia="仿宋_GB2312"/>
      <w:sz w:val="32"/>
    </w:rPr>
  </w:style>
  <w:style w:type="character" w:customStyle="1" w:styleId="50">
    <w:name w:val="默认段落字体1"/>
    <w:qFormat/>
    <w:uiPriority w:val="0"/>
  </w:style>
  <w:style w:type="paragraph" w:customStyle="1" w:styleId="51">
    <w:name w:val="图表目录1"/>
    <w:basedOn w:val="52"/>
    <w:next w:val="52"/>
    <w:qFormat/>
    <w:uiPriority w:val="0"/>
    <w:pPr>
      <w:ind w:left="200" w:leftChars="200" w:hanging="200" w:hangingChars="200"/>
    </w:pPr>
    <w:rPr>
      <w:rFonts w:ascii="Calibri" w:hAnsi="Calibri" w:cs="黑体"/>
    </w:r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1"/>
    <w:qFormat/>
    <w:uiPriority w:val="0"/>
    <w:pPr>
      <w:widowControl w:val="0"/>
      <w:jc w:val="both"/>
    </w:pPr>
    <w:rPr>
      <w:rFonts w:ascii="Calibri" w:hAnsi="Calibri" w:eastAsia="宋体" w:cs="黑体"/>
      <w:kern w:val="2"/>
      <w:sz w:val="21"/>
      <w:szCs w:val="24"/>
      <w:lang w:val="en-US" w:eastAsia="zh-CN" w:bidi="ar-SA"/>
    </w:rPr>
  </w:style>
  <w:style w:type="character" w:customStyle="1" w:styleId="53">
    <w:name w:val="font61"/>
    <w:basedOn w:val="22"/>
    <w:qFormat/>
    <w:uiPriority w:val="0"/>
    <w:rPr>
      <w:rFonts w:hint="default" w:ascii="Times New Roman" w:hAnsi="Times New Roman" w:cs="Times New Roman"/>
      <w:color w:val="4D4D4D"/>
      <w:sz w:val="22"/>
      <w:szCs w:val="22"/>
      <w:u w:val="none"/>
    </w:rPr>
  </w:style>
  <w:style w:type="character" w:customStyle="1" w:styleId="54">
    <w:name w:val="font71"/>
    <w:basedOn w:val="22"/>
    <w:qFormat/>
    <w:uiPriority w:val="0"/>
    <w:rPr>
      <w:rFonts w:hint="eastAsia" w:ascii="宋体" w:hAnsi="宋体" w:eastAsia="宋体" w:cs="宋体"/>
      <w:color w:val="4D4D4D"/>
      <w:sz w:val="22"/>
      <w:szCs w:val="22"/>
      <w:u w:val="none"/>
    </w:rPr>
  </w:style>
  <w:style w:type="character" w:customStyle="1" w:styleId="55">
    <w:name w:val="font81"/>
    <w:basedOn w:val="22"/>
    <w:qFormat/>
    <w:uiPriority w:val="0"/>
    <w:rPr>
      <w:rFonts w:hint="default" w:ascii="Times New Roman" w:hAnsi="Times New Roman" w:cs="Times New Roman"/>
      <w:color w:val="2A2A2A"/>
      <w:sz w:val="22"/>
      <w:szCs w:val="22"/>
      <w:u w:val="none"/>
    </w:rPr>
  </w:style>
  <w:style w:type="character" w:customStyle="1" w:styleId="56">
    <w:name w:val="font91"/>
    <w:basedOn w:val="22"/>
    <w:qFormat/>
    <w:uiPriority w:val="0"/>
    <w:rPr>
      <w:rFonts w:hint="eastAsia" w:ascii="宋体" w:hAnsi="宋体" w:eastAsia="宋体" w:cs="宋体"/>
      <w:color w:val="2A2A2A"/>
      <w:sz w:val="22"/>
      <w:szCs w:val="22"/>
      <w:u w:val="none"/>
    </w:rPr>
  </w:style>
  <w:style w:type="character" w:customStyle="1" w:styleId="57">
    <w:name w:val="font101"/>
    <w:basedOn w:val="22"/>
    <w:qFormat/>
    <w:uiPriority w:val="0"/>
    <w:rPr>
      <w:rFonts w:hint="eastAsia" w:ascii="宋体" w:hAnsi="宋体" w:eastAsia="宋体" w:cs="宋体"/>
      <w:color w:val="606060"/>
      <w:sz w:val="22"/>
      <w:szCs w:val="22"/>
      <w:u w:val="none"/>
    </w:rPr>
  </w:style>
  <w:style w:type="character" w:customStyle="1" w:styleId="58">
    <w:name w:val="font111"/>
    <w:basedOn w:val="22"/>
    <w:qFormat/>
    <w:uiPriority w:val="0"/>
    <w:rPr>
      <w:rFonts w:hint="default" w:ascii="Times New Roman" w:hAnsi="Times New Roman" w:cs="Times New Roman"/>
      <w:color w:val="606060"/>
      <w:sz w:val="22"/>
      <w:szCs w:val="22"/>
      <w:u w:val="none"/>
    </w:rPr>
  </w:style>
  <w:style w:type="character" w:customStyle="1" w:styleId="59">
    <w:name w:val="font112"/>
    <w:basedOn w:val="22"/>
    <w:qFormat/>
    <w:uiPriority w:val="0"/>
    <w:rPr>
      <w:rFonts w:hint="eastAsia" w:ascii="宋体" w:hAnsi="宋体" w:eastAsia="宋体" w:cs="宋体"/>
      <w:color w:val="4D4D4D"/>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9" textRotate="1"/>
    <customShpInfo spid="_x0000_s4110" textRotate="1"/>
    <customShpInfo spid="_x0000_s4111" textRotate="1"/>
    <customShpInfo spid="_x0000_s411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C16A0-C524-446D-B2CF-DD49618262C5}">
  <ds:schemaRefs/>
</ds:datastoreItem>
</file>

<file path=docProps/app.xml><?xml version="1.0" encoding="utf-8"?>
<Properties xmlns="http://schemas.openxmlformats.org/officeDocument/2006/extended-properties" xmlns:vt="http://schemas.openxmlformats.org/officeDocument/2006/docPropsVTypes">
  <Template>Normal</Template>
  <Pages>37</Pages>
  <Words>17026</Words>
  <Characters>18284</Characters>
  <Lines>167</Lines>
  <Paragraphs>47</Paragraphs>
  <TotalTime>3</TotalTime>
  <ScaleCrop>false</ScaleCrop>
  <LinksUpToDate>false</LinksUpToDate>
  <CharactersWithSpaces>18388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cp:lastPrinted>2024-05-07T08:20:00Z</cp:lastPrinted>
  <dcterms:modified xsi:type="dcterms:W3CDTF">2025-12-08T12:30:56Z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31FE76F059CC43A4B038A843D8B055D4</vt:lpwstr>
  </property>
  <property fmtid="{D5CDD505-2E9C-101B-9397-08002B2CF9AE}" pid="4" name="KSOTemplateDocerSaveRecord">
    <vt:lpwstr>eyJoZGlkIjoiMDk2ZjE0MjA2OTA1NTJiYzhiNmNiZTJiMjIzMDMyNWYiLCJ1c2VySWQiOiIyNzQ3Mjg5MDUifQ==</vt:lpwstr>
  </property>
</Properties>
</file>