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仿宋" w:hAnsi="Times New Roman" w:eastAsia="仿宋" w:cstheme="majorEastAsia"/>
          <w:b w:val="0"/>
          <w:bCs w:val="0"/>
          <w:sz w:val="30"/>
          <w:szCs w:val="21"/>
          <w:lang w:val="en-US"/>
        </w:rPr>
      </w:sdtEndPr>
      <w:sdtContent>
        <w:p w14:paraId="4930FB4A">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7D8846A0">
          <w:pPr>
            <w:spacing w:line="590" w:lineRule="exact"/>
            <w:jc w:val="center"/>
            <w:rPr>
              <w:rFonts w:ascii="方正小标宋简体" w:hAnsi="方正小标宋简体" w:eastAsia="方正小标宋简体" w:cs="方正小标宋简体"/>
              <w:spacing w:val="6"/>
              <w:kern w:val="0"/>
              <w:sz w:val="40"/>
              <w:szCs w:val="40"/>
            </w:rPr>
          </w:pPr>
        </w:p>
        <w:p w14:paraId="58EA9E3A">
          <w:pPr>
            <w:spacing w:line="590" w:lineRule="exact"/>
            <w:jc w:val="center"/>
            <w:rPr>
              <w:rFonts w:ascii="方正小标宋简体" w:hAnsi="方正小标宋简体" w:eastAsia="方正小标宋简体" w:cs="方正小标宋简体"/>
              <w:spacing w:val="6"/>
              <w:kern w:val="0"/>
              <w:sz w:val="40"/>
              <w:szCs w:val="40"/>
            </w:rPr>
          </w:pPr>
        </w:p>
        <w:p w14:paraId="65F68A44">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2024年西山区海埂片区“观鸥季”</w:t>
          </w:r>
        </w:p>
        <w:p w14:paraId="4309A156">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交通服务保障项目资金项目支出</w:t>
          </w:r>
        </w:p>
        <w:p w14:paraId="0448D32B">
          <w:pPr>
            <w:pStyle w:val="9"/>
          </w:pPr>
        </w:p>
        <w:p w14:paraId="67BD2106">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77F91116">
          <w:pPr>
            <w:spacing w:line="590" w:lineRule="exact"/>
            <w:jc w:val="center"/>
            <w:rPr>
              <w:rFonts w:ascii="方正小标宋简体" w:hAnsi="Arial Narrow" w:eastAsia="方正小标宋简体"/>
              <w:spacing w:val="6"/>
              <w:kern w:val="0"/>
              <w:sz w:val="40"/>
              <w:szCs w:val="40"/>
            </w:rPr>
          </w:pPr>
        </w:p>
        <w:p w14:paraId="0AE24C96">
          <w:pPr>
            <w:spacing w:line="590" w:lineRule="exact"/>
            <w:jc w:val="center"/>
            <w:rPr>
              <w:rFonts w:ascii="方正小标宋简体" w:hAnsi="Arial Narrow" w:eastAsia="方正小标宋简体"/>
              <w:spacing w:val="6"/>
              <w:kern w:val="0"/>
              <w:sz w:val="40"/>
              <w:szCs w:val="40"/>
            </w:rPr>
          </w:pPr>
        </w:p>
        <w:p w14:paraId="1F5A9102">
          <w:pPr>
            <w:spacing w:line="590" w:lineRule="exact"/>
            <w:jc w:val="center"/>
            <w:rPr>
              <w:rFonts w:ascii="方正小标宋简体" w:hAnsi="Arial Narrow" w:eastAsia="方正小标宋简体"/>
              <w:spacing w:val="6"/>
              <w:kern w:val="0"/>
              <w:sz w:val="40"/>
              <w:szCs w:val="40"/>
            </w:rPr>
          </w:pPr>
        </w:p>
        <w:p w14:paraId="4BDFCF3C">
          <w:pPr>
            <w:spacing w:line="590" w:lineRule="exact"/>
            <w:jc w:val="both"/>
            <w:rPr>
              <w:rFonts w:ascii="方正小标宋简体" w:hAnsi="Arial Narrow" w:eastAsia="方正小标宋简体"/>
              <w:spacing w:val="6"/>
              <w:kern w:val="0"/>
              <w:sz w:val="40"/>
              <w:szCs w:val="40"/>
            </w:rPr>
          </w:pPr>
        </w:p>
        <w:p w14:paraId="0BA6967F">
          <w:pPr>
            <w:spacing w:line="590" w:lineRule="exact"/>
            <w:jc w:val="center"/>
            <w:rPr>
              <w:rFonts w:ascii="方正小标宋简体" w:hAnsi="方正小标宋简体" w:eastAsia="方正小标宋简体" w:cs="方正小标宋简体"/>
              <w:spacing w:val="6"/>
              <w:kern w:val="0"/>
              <w:sz w:val="36"/>
              <w:szCs w:val="36"/>
            </w:rPr>
          </w:pPr>
        </w:p>
        <w:tbl>
          <w:tblPr>
            <w:tblStyle w:val="19"/>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113C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E63556D">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4D29D054">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3B79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8E1B2B6">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40BFF0FD">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59E6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6A6DC256">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5796F697">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昆明市西山区住房和城乡建设局</w:t>
                </w:r>
              </w:p>
            </w:tc>
          </w:tr>
          <w:tr w14:paraId="0DCD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0A7D2EB">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45926F4E">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1F1E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5446CB5F">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1C82C9B8">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1FA470FC">
          <w:pPr>
            <w:tabs>
              <w:tab w:val="center" w:pos="4422"/>
            </w:tabs>
            <w:rPr>
              <w:rFonts w:ascii="宋体" w:hAnsi="宋体" w:eastAsia="宋体"/>
              <w:sz w:val="36"/>
              <w:szCs w:val="36"/>
            </w:rPr>
            <w:sectPr>
              <w:footerReference r:id="rId3" w:type="default"/>
              <w:pgSz w:w="11906" w:h="16838"/>
              <w:pgMar w:top="2098" w:right="1474" w:bottom="1985" w:left="1588" w:header="851" w:footer="1474" w:gutter="0"/>
              <w:pgNumType w:fmt="lowerRoman" w:start="1"/>
              <w:cols w:space="425" w:num="1"/>
              <w:docGrid w:type="linesAndChars" w:linePitch="579" w:charSpace="3247"/>
            </w:sectPr>
          </w:pPr>
        </w:p>
        <w:p w14:paraId="422B3BEC">
          <w:pPr>
            <w:tabs>
              <w:tab w:val="center" w:pos="4422"/>
            </w:tabs>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目  录</w:t>
          </w:r>
        </w:p>
        <w:p w14:paraId="5F21BFBC">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_Toc3351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_Toc3351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7AF8007">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_Toc28079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_Toc28079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A46B454">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_Toc2894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7E9FEE9">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_Toc19882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_Toc19882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AF745D9">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_Toc26780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_Toc26780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F7BDF79">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_Toc5800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_Toc5800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AEBC180">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_Toc24846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_Toc24846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4DAF1A1">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_Toc20658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_Toc20658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9C4434">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_Toc28655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_Toc28655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63789D6">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_Toc30630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B0B53FD">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_Toc24678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_Toc24678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1FC2BEB">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_Toc21992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_Toc21992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9E56E77">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_Toc6097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_Toc6097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C0D61AE">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933C029">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_Toc4157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_Toc4157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42AF3A8">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_Toc18026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_Toc18026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FAB9AA2">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_Toc27505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_Toc27505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73AECEF">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_Toc15270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_Toc15270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45B7691">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项目投入</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FA4E7F3">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_Toc8377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过程情况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_Toc8377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AF81681">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_Toc17119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（三）</w:t>
          </w: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产出情况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_Toc17119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ED37F99">
          <w:pPr>
            <w:pStyle w:val="15"/>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_Toc9863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（四）</w:t>
          </w:r>
          <w:r>
            <w:rPr>
              <w:rFonts w:hint="eastAsia" w:ascii="宋体" w:hAnsi="宋体" w:eastAsia="宋体" w:cs="宋体"/>
              <w:b w:val="0"/>
              <w:bCs w:val="0"/>
              <w:sz w:val="28"/>
              <w:szCs w:val="28"/>
              <w:highlight w:val="none"/>
              <w:lang w:val="en-US" w:eastAsia="zh-CN"/>
            </w:rPr>
            <w:t>项目效益</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_Toc9863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784E70A">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_Toc2674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E97CF04">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_Toc10872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_Toc10872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645819E">
          <w:pPr>
            <w:pStyle w:val="14"/>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_Toc15811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_Toc15811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6618F46">
          <w:pPr>
            <w:pStyle w:val="14"/>
            <w:tabs>
              <w:tab w:val="right" w:leader="dot" w:pos="8844"/>
              <w:tab w:val="clear" w:pos="8931"/>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_Toc26040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_Toc26040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3E3763B">
          <w:r>
            <w:rPr>
              <w:rFonts w:hint="eastAsia" w:ascii="宋体" w:hAnsi="宋体" w:eastAsia="宋体" w:cs="宋体"/>
              <w:bCs w:val="0"/>
              <w:szCs w:val="28"/>
            </w:rPr>
            <w:fldChar w:fldCharType="end"/>
          </w:r>
        </w:p>
      </w:sdtContent>
    </w:sdt>
    <w:p w14:paraId="7D67698E">
      <w:pPr>
        <w:overflowPunct w:val="0"/>
        <w:spacing w:line="579" w:lineRule="exact"/>
        <w:outlineLvl w:val="0"/>
        <w:rPr>
          <w:rFonts w:ascii="方正小标宋简体" w:eastAsia="方正小标宋简体"/>
          <w:sz w:val="44"/>
          <w:szCs w:val="44"/>
        </w:rPr>
        <w:sectPr>
          <w:pgSz w:w="11906" w:h="16838"/>
          <w:pgMar w:top="2098" w:right="1474" w:bottom="1985" w:left="1588" w:header="851" w:footer="1474" w:gutter="0"/>
          <w:pgNumType w:fmt="lowerRoman" w:start="1"/>
          <w:cols w:space="425" w:num="1"/>
          <w:docGrid w:type="linesAndChars" w:linePitch="579" w:charSpace="3247"/>
        </w:sectPr>
      </w:pPr>
    </w:p>
    <w:p w14:paraId="68EED0DC">
      <w:pPr>
        <w:overflowPunct w:val="0"/>
        <w:spacing w:line="579" w:lineRule="exact"/>
        <w:jc w:val="center"/>
        <w:outlineLvl w:val="0"/>
        <w:rPr>
          <w:rFonts w:ascii="方正小标宋简体" w:eastAsia="方正小标宋简体"/>
          <w:sz w:val="44"/>
          <w:szCs w:val="44"/>
          <w:highlight w:val="none"/>
        </w:rPr>
      </w:pPr>
      <w:bookmarkStart w:id="0" w:name="_Toc3351"/>
      <w:bookmarkStart w:id="1" w:name="_Toc20378"/>
      <w:r>
        <w:rPr>
          <w:rFonts w:hint="eastAsia" w:ascii="方正小标宋简体" w:eastAsia="方正小标宋简体"/>
          <w:sz w:val="44"/>
          <w:szCs w:val="44"/>
          <w:highlight w:val="none"/>
        </w:rPr>
        <w:t>摘  要</w:t>
      </w:r>
      <w:bookmarkEnd w:id="0"/>
      <w:bookmarkEnd w:id="1"/>
    </w:p>
    <w:p w14:paraId="38E42378">
      <w:pPr>
        <w:spacing w:line="579" w:lineRule="exact"/>
        <w:jc w:val="center"/>
        <w:rPr>
          <w:rFonts w:ascii="方正小标宋简体" w:eastAsia="方正小标宋简体"/>
          <w:sz w:val="44"/>
          <w:szCs w:val="44"/>
          <w:highlight w:val="none"/>
        </w:rPr>
      </w:pPr>
    </w:p>
    <w:p w14:paraId="1CB0C4DF">
      <w:pPr>
        <w:overflowPunct w:val="0"/>
        <w:spacing w:line="579" w:lineRule="exact"/>
        <w:ind w:firstLine="629"/>
        <w:rPr>
          <w:rFonts w:hint="eastAsia" w:ascii="方正小标宋简体" w:eastAsia="方正小标宋简体"/>
          <w:sz w:val="44"/>
          <w:szCs w:val="44"/>
          <w:highlight w:val="none"/>
          <w:lang w:val="en-US" w:eastAsia="zh-CN"/>
        </w:rPr>
      </w:pPr>
      <w:r>
        <w:rPr>
          <w:rFonts w:hint="eastAsia" w:ascii="黑体" w:hAnsi="黑体" w:eastAsia="黑体"/>
          <w:szCs w:val="30"/>
          <w:highlight w:val="none"/>
        </w:rPr>
        <w:t>一、基本情况</w:t>
      </w:r>
    </w:p>
    <w:p w14:paraId="6494B173">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eastAsia="zh-CN"/>
        </w:rPr>
        <w:t>根据</w:t>
      </w:r>
      <w:r>
        <w:rPr>
          <w:rFonts w:hint="eastAsia" w:hAnsi="仿宋"/>
          <w:szCs w:val="30"/>
          <w:highlight w:val="none"/>
          <w:lang w:val="en-US" w:eastAsia="zh-CN"/>
        </w:rPr>
        <w:t>《昆明市西山区财政局关于批复2024年部门预算的通知》西财建〔2024〕2号、《昆明市西山区人民政府办公室关于印发西山区海埂片区“观鸥季”交通服务保障工作方案的通知》西政办通〔2024〕6号文件要求，根据</w:t>
      </w:r>
      <w:r>
        <w:rPr>
          <w:rFonts w:hint="eastAsia" w:hAnsi="仿宋"/>
          <w:szCs w:val="30"/>
          <w:highlight w:val="none"/>
          <w:lang w:eastAsia="zh-CN"/>
        </w:rPr>
        <w:t>昆明市人民政府办公室关于交办海埂片区“观鸥季”交通服务保障工作要素需求任务清单的通知</w:t>
      </w:r>
      <w:r>
        <w:rPr>
          <w:rFonts w:hint="eastAsia" w:hAnsi="仿宋"/>
          <w:szCs w:val="30"/>
          <w:highlight w:val="none"/>
          <w:lang w:val="en-US" w:eastAsia="zh-CN"/>
        </w:rPr>
        <w:t>及</w:t>
      </w:r>
      <w:r>
        <w:rPr>
          <w:rFonts w:hint="eastAsia" w:hAnsi="仿宋"/>
          <w:szCs w:val="30"/>
          <w:highlight w:val="none"/>
          <w:lang w:eastAsia="zh-CN"/>
        </w:rPr>
        <w:t>海埂片区“观鸥季”交通服务保障要素需求专题会议纪要，要求要把“观鸥”打造成旅游目的地，以点带面全面提升昆明城市品质。做好“观鸥季”交通服务保障工作意义深远、责任重大，各有关部门要遵循统一思想、锚定目标、履职尽责、善作善成的原则，不断固化优化各项缓堵措施，充分强化细化各类要素保障，推动海埂大坝片区“观鸥季”交通运行状况持续向好。</w:t>
      </w:r>
    </w:p>
    <w:p w14:paraId="14EE4A94">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2024年西山区海埂片区“观鸥季”交通服务保障项目资金219.27</w:t>
      </w:r>
      <w:r>
        <w:rPr>
          <w:rFonts w:hint="eastAsia" w:hAnsi="仿宋"/>
          <w:szCs w:val="30"/>
          <w:highlight w:val="none"/>
          <w:lang w:eastAsia="zh-CN"/>
        </w:rPr>
        <w:t>万元，</w:t>
      </w:r>
      <w:r>
        <w:rPr>
          <w:rFonts w:hint="eastAsia" w:hAnsi="仿宋"/>
          <w:szCs w:val="30"/>
          <w:highlight w:val="none"/>
          <w:lang w:val="en-US" w:eastAsia="zh-CN"/>
        </w:rPr>
        <w:t>实际到位219.27</w:t>
      </w:r>
      <w:r>
        <w:rPr>
          <w:rFonts w:hint="eastAsia" w:hAnsi="仿宋"/>
          <w:szCs w:val="30"/>
          <w:highlight w:val="none"/>
          <w:lang w:eastAsia="zh-CN"/>
        </w:rPr>
        <w:t>万元，</w:t>
      </w:r>
      <w:r>
        <w:rPr>
          <w:rFonts w:hint="eastAsia" w:hAnsi="仿宋"/>
          <w:szCs w:val="30"/>
          <w:highlight w:val="none"/>
          <w:lang w:val="en-US" w:eastAsia="zh-CN"/>
        </w:rPr>
        <w:t>资金到位率100%。截止2024年12月31日，累计支出219.27</w:t>
      </w:r>
      <w:r>
        <w:rPr>
          <w:rFonts w:hint="eastAsia" w:hAnsi="仿宋"/>
          <w:szCs w:val="30"/>
          <w:highlight w:val="none"/>
          <w:lang w:eastAsia="zh-CN"/>
        </w:rPr>
        <w:t>万元，</w:t>
      </w:r>
      <w:r>
        <w:rPr>
          <w:rFonts w:hint="eastAsia" w:hAnsi="仿宋"/>
          <w:szCs w:val="30"/>
          <w:highlight w:val="none"/>
          <w:lang w:val="en-US" w:eastAsia="zh-CN"/>
        </w:rPr>
        <w:t>资金使用率为100%，全部用于支付西山区海埂片区“观鸥季”交通服务保障项目。</w:t>
      </w:r>
    </w:p>
    <w:p w14:paraId="78EAC04B">
      <w:pPr>
        <w:overflowPunct w:val="0"/>
        <w:spacing w:line="579" w:lineRule="exact"/>
        <w:ind w:firstLine="629"/>
        <w:rPr>
          <w:rFonts w:hint="eastAsia" w:hAnsi="仿宋"/>
          <w:szCs w:val="30"/>
          <w:highlight w:val="none"/>
          <w:lang w:val="en-US" w:eastAsia="zh-CN"/>
        </w:rPr>
      </w:pPr>
      <w:r>
        <w:rPr>
          <w:rFonts w:hint="eastAsia" w:ascii="黑体" w:hAnsi="黑体" w:eastAsia="黑体"/>
          <w:szCs w:val="30"/>
          <w:highlight w:val="none"/>
        </w:rPr>
        <w:t>二、绩效评价结论</w:t>
      </w:r>
    </w:p>
    <w:p w14:paraId="6FAAA9CF">
      <w:pPr>
        <w:ind w:firstLine="630"/>
        <w:rPr>
          <w:rFonts w:hint="eastAsia" w:hAnsi="仿宋" w:cs="Times New Roman"/>
          <w:szCs w:val="30"/>
          <w:highlight w:val="none"/>
          <w:lang w:val="en-US" w:eastAsia="zh-CN"/>
        </w:rPr>
      </w:pPr>
      <w:r>
        <w:rPr>
          <w:rFonts w:hint="eastAsia" w:hAnsi="仿宋"/>
          <w:szCs w:val="30"/>
          <w:highlight w:val="none"/>
          <w:lang w:val="en-US" w:eastAsia="zh-CN"/>
        </w:rPr>
        <w:t>2024年</w:t>
      </w:r>
      <w:r>
        <w:rPr>
          <w:rFonts w:hint="eastAsia" w:hAnsi="仿宋" w:cs="Times New Roman"/>
          <w:szCs w:val="30"/>
          <w:highlight w:val="none"/>
          <w:lang w:val="en-US" w:eastAsia="zh-CN"/>
        </w:rPr>
        <w:t>西山区海埂片区“观鸥季”交通服务保障项目资金项目绩效评价得分93.56分，评价等级为“优”。</w:t>
      </w:r>
    </w:p>
    <w:p w14:paraId="481732F3">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整体来看，西山区海埂片区“观鸥季”交通服务保障项目资金为做好“观鸥季”交通服务保障工作意义深远、责任重大，各有关部门要遵循统一思想、锚定目标、履职尽责、善作善成的原则，不断固化优化各项缓堵措施，充分强化细化各类要素保障，推动海埂大坝片区“观鸥季”交通运行状况持续向好。立项依据充分、程序规范。</w:t>
      </w:r>
    </w:p>
    <w:p w14:paraId="03830CDA">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西山区海埂片区“观鸥季”交通服务保障项目资金使用具备完整的审批程序和手续，未发现挤占、挪用专项资金的情况。根据《昆明市西山区财政局关于批复2024年部门预算的通知》西财建〔2024〕2号、《昆明市西山区人民政府办公室关于印发西山区海埂片区“观鸥季”交通服务保障工作方案的通知》西政办通〔2024〕6号文件要求，根据昆明市人民政府办公室关于交办海埂片区“观鸥季”交通服务保障工作要素需求任务清单的通知及海埂片区“观鸥季”交通服务保障要素需求专题会议纪要，要求要把“观鸥”打造成旅游目的地，以点带面全面提升昆明城市品质。</w:t>
      </w:r>
    </w:p>
    <w:p w14:paraId="129018A2">
      <w:pPr>
        <w:numPr>
          <w:ilvl w:val="0"/>
          <w:numId w:val="0"/>
        </w:numPr>
        <w:spacing w:line="579" w:lineRule="exact"/>
        <w:ind w:firstLine="630" w:firstLineChars="200"/>
        <w:outlineLvl w:val="9"/>
        <w:rPr>
          <w:rFonts w:hint="eastAsia" w:ascii="楷体" w:hAnsi="楷体" w:eastAsia="楷体"/>
          <w:sz w:val="30"/>
          <w:szCs w:val="30"/>
          <w:highlight w:val="none"/>
        </w:rPr>
      </w:pPr>
      <w:r>
        <w:rPr>
          <w:rFonts w:hint="eastAsia" w:ascii="黑体" w:hAnsi="宋体" w:eastAsia="黑体" w:cs="宋体"/>
          <w:sz w:val="30"/>
          <w:szCs w:val="30"/>
          <w:highlight w:val="none"/>
          <w:lang w:val="en-US" w:eastAsia="zh-CN"/>
        </w:rPr>
        <w:t>三</w:t>
      </w:r>
      <w:r>
        <w:rPr>
          <w:rFonts w:hint="eastAsia" w:ascii="黑体" w:hAnsi="宋体" w:eastAsia="黑体" w:cs="宋体"/>
          <w:sz w:val="30"/>
          <w:szCs w:val="30"/>
          <w:highlight w:val="none"/>
        </w:rPr>
        <w:t>、存在问题及原因分析</w:t>
      </w:r>
    </w:p>
    <w:p w14:paraId="74B8ECB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绩效工作重视程度不高</w:t>
      </w:r>
    </w:p>
    <w:p w14:paraId="6FA84B1E">
      <w:pPr>
        <w:ind w:firstLine="630"/>
        <w:rPr>
          <w:rFonts w:hint="default" w:hAnsi="仿宋" w:cs="Times New Roman"/>
          <w:szCs w:val="30"/>
          <w:highlight w:val="none"/>
          <w:lang w:val="en-US" w:eastAsia="zh-CN"/>
        </w:rPr>
      </w:pPr>
      <w:bookmarkStart w:id="2" w:name="_Toc30978"/>
      <w:r>
        <w:rPr>
          <w:rFonts w:hint="default" w:hAnsi="仿宋" w:cs="Times New Roman"/>
          <w:szCs w:val="30"/>
          <w:highlight w:val="none"/>
          <w:lang w:val="en-US" w:eastAsia="zh-CN"/>
        </w:rPr>
        <w:t>绩效目标设置</w:t>
      </w:r>
      <w:r>
        <w:rPr>
          <w:rFonts w:hint="eastAsia" w:hAnsi="仿宋" w:cs="Times New Roman"/>
          <w:szCs w:val="30"/>
          <w:highlight w:val="none"/>
          <w:lang w:val="en-US" w:eastAsia="zh-CN"/>
        </w:rPr>
        <w:t>无法衡量</w:t>
      </w:r>
      <w:bookmarkEnd w:id="2"/>
      <w:r>
        <w:rPr>
          <w:rFonts w:hint="eastAsia" w:hAnsi="仿宋" w:cs="Times New Roman"/>
          <w:szCs w:val="30"/>
          <w:highlight w:val="none"/>
          <w:lang w:val="en-US" w:eastAsia="zh-CN"/>
        </w:rPr>
        <w:t>：设置的绩效指标</w:t>
      </w:r>
      <w:r>
        <w:rPr>
          <w:rFonts w:hint="default" w:hAnsi="仿宋" w:cs="Times New Roman"/>
          <w:szCs w:val="30"/>
          <w:highlight w:val="none"/>
          <w:lang w:val="en-US" w:eastAsia="zh-CN"/>
        </w:rPr>
        <w:t>未通过清晰、可衡量的指标值予以体现。</w:t>
      </w:r>
      <w:r>
        <w:rPr>
          <w:rFonts w:hint="eastAsia" w:hAnsi="仿宋" w:cs="Times New Roman"/>
          <w:szCs w:val="30"/>
          <w:highlight w:val="none"/>
          <w:lang w:val="en-US" w:eastAsia="zh-CN"/>
        </w:rPr>
        <w:t>具体表现为核心绩效指标未明确对应清晰、量化或可验证的指标值。部分指标仅以定性描述方式界定工作方向（如“观鸥季”交通服务保障、“产生的直接或间接的经济效益” 等），未结合项目实际工作内容制定具体可量化的评判标准，缺乏明确的数值、比例、时限等可衡量维度。</w:t>
      </w:r>
    </w:p>
    <w:p w14:paraId="7ACA6BAB">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（二）交通疏导效能未达预期，拥堵管控存在短板</w:t>
      </w:r>
    </w:p>
    <w:p w14:paraId="146C8C8E">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分级管控落地滞后：核心区、缓冲区、分流区的“三级管控” 响应不及时，未根据实时流量动态切换“全面单行”“局部管控”等模式，导致周末及节假日核心区（如观景路、迎海路）早高峰拥堵持续超2小时，超出“无长时间大面积拥堵”的目标要求。</w:t>
      </w:r>
    </w:p>
    <w:p w14:paraId="316F64A9">
      <w:pPr>
        <w:spacing w:line="579" w:lineRule="exact"/>
        <w:ind w:firstLine="630" w:firstLineChars="200"/>
        <w:outlineLvl w:val="9"/>
        <w:rPr>
          <w:rFonts w:ascii="黑体" w:hAnsi="宋体" w:eastAsia="黑体" w:cs="宋体"/>
          <w:sz w:val="30"/>
          <w:szCs w:val="30"/>
          <w:highlight w:val="none"/>
        </w:rPr>
      </w:pPr>
      <w:r>
        <w:rPr>
          <w:rFonts w:hint="eastAsia" w:ascii="黑体" w:hAnsi="宋体" w:eastAsia="黑体" w:cs="宋体"/>
          <w:sz w:val="30"/>
          <w:szCs w:val="30"/>
          <w:highlight w:val="none"/>
          <w:lang w:val="en-US" w:eastAsia="zh-CN"/>
        </w:rPr>
        <w:t>四</w:t>
      </w:r>
      <w:r>
        <w:rPr>
          <w:rFonts w:hint="eastAsia" w:ascii="黑体" w:hAnsi="宋体" w:eastAsia="黑体" w:cs="宋体"/>
          <w:sz w:val="30"/>
          <w:szCs w:val="30"/>
          <w:highlight w:val="none"/>
        </w:rPr>
        <w:t>、建议</w:t>
      </w:r>
    </w:p>
    <w:p w14:paraId="147494B9">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强化绩效目标管理</w:t>
      </w:r>
    </w:p>
    <w:p w14:paraId="7637087B">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建议提高对绩效工作的重视程度，强化绩效目标量化管理意识，结合项目核心任务及实施实际（如“观鸥季”交通保障、经济效益产出等具体工作），对标项目预期成效，细化拆解各项绩效指标，补充明确可量化的数值标准、比例要求、完成时限等关键参数，制定兼具针对性与可操作性的绩效指标体系，确保绩效目标清晰可考核、实施成效易评估，为后续绩效监控与评价工作奠定坚实基础。</w:t>
      </w:r>
    </w:p>
    <w:p w14:paraId="08743B7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精准提效交通疏导，构建动态管控体系</w:t>
      </w:r>
    </w:p>
    <w:p w14:paraId="4386E5E0">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建议优化分级响应机制</w:t>
      </w:r>
      <w:r>
        <w:rPr>
          <w:rFonts w:hint="default" w:hAnsi="仿宋" w:cs="Times New Roman"/>
          <w:szCs w:val="30"/>
          <w:highlight w:val="none"/>
          <w:lang w:val="en-US" w:eastAsia="zh-CN"/>
        </w:rPr>
        <w:t>：依托“智慧交管・昆明大脑”建立流量预警阈值（如核心区饱和度达80%触发预警），联动交警、城管等部门实现“三级管控”模式5分钟内切换；在缓冲区增设15个流动执勤岗，重点处置违法变道、占道等行为。</w:t>
      </w:r>
    </w:p>
    <w:p w14:paraId="67BD56EE">
      <w:pPr>
        <w:spacing w:line="579" w:lineRule="exact"/>
        <w:ind w:firstLine="630" w:firstLineChars="200"/>
        <w:outlineLvl w:val="9"/>
        <w:rPr>
          <w:rFonts w:hint="default" w:ascii="黑体" w:hAnsi="宋体" w:eastAsia="黑体" w:cs="宋体"/>
          <w:sz w:val="30"/>
          <w:szCs w:val="30"/>
          <w:highlight w:val="none"/>
          <w:lang w:val="en-US" w:eastAsia="zh-CN"/>
        </w:rPr>
      </w:pPr>
      <w:r>
        <w:rPr>
          <w:rFonts w:hint="eastAsia" w:ascii="黑体" w:hAnsi="宋体" w:eastAsia="黑体" w:cs="宋体"/>
          <w:sz w:val="30"/>
          <w:szCs w:val="30"/>
          <w:highlight w:val="none"/>
          <w:lang w:val="en-US" w:eastAsia="zh-CN"/>
        </w:rPr>
        <w:t>五、其它需说明的情况</w:t>
      </w:r>
    </w:p>
    <w:p w14:paraId="60F817D3">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sz w:val="30"/>
          <w:szCs w:val="30"/>
          <w:highlight w:val="none"/>
          <w:lang w:val="en-US" w:eastAsia="zh-CN"/>
        </w:rPr>
      </w:pPr>
      <w:r>
        <w:rPr>
          <w:rFonts w:hint="eastAsia" w:ascii="仿宋" w:hAnsi="仿宋" w:eastAsia="仿宋" w:cs="仿宋"/>
          <w:sz w:val="30"/>
          <w:szCs w:val="30"/>
          <w:highlight w:val="none"/>
          <w:lang w:val="en-US" w:eastAsia="zh-CN"/>
        </w:rPr>
        <w:t>无</w:t>
      </w:r>
      <w:r>
        <w:rPr>
          <w:rFonts w:hint="eastAsia" w:hAnsi="仿宋" w:cs="仿宋"/>
          <w:sz w:val="30"/>
          <w:szCs w:val="30"/>
          <w:highlight w:val="none"/>
          <w:lang w:val="en-US" w:eastAsia="zh-CN"/>
        </w:rPr>
        <w:t>。</w:t>
      </w:r>
    </w:p>
    <w:p w14:paraId="63831313">
      <w:pPr>
        <w:spacing w:line="579" w:lineRule="exact"/>
        <w:jc w:val="center"/>
        <w:rPr>
          <w:rFonts w:hint="eastAsia" w:ascii="方正小标宋简体" w:eastAsia="方正小标宋简体"/>
          <w:sz w:val="44"/>
          <w:szCs w:val="44"/>
          <w:lang w:val="en-US" w:eastAsia="zh-CN"/>
        </w:rPr>
        <w:sectPr>
          <w:footerReference r:id="rId4" w:type="default"/>
          <w:footerReference r:id="rId5" w:type="even"/>
          <w:pgSz w:w="11906" w:h="16838"/>
          <w:pgMar w:top="2098" w:right="1474" w:bottom="1985" w:left="1588" w:header="851" w:footer="1474" w:gutter="0"/>
          <w:pgNumType w:fmt="upperRoman" w:start="1"/>
          <w:cols w:space="425" w:num="1"/>
          <w:docGrid w:type="linesAndChars" w:linePitch="579" w:charSpace="3247"/>
        </w:sectPr>
      </w:pPr>
    </w:p>
    <w:p w14:paraId="7F84A82A">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2024年西山区海埂片区“观鸥季”交通</w:t>
      </w:r>
    </w:p>
    <w:p w14:paraId="3A56D757">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服务保障项目资金</w:t>
      </w:r>
    </w:p>
    <w:p w14:paraId="5181B07A">
      <w:pPr>
        <w:spacing w:line="579"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项目支出</w:t>
      </w:r>
      <w:r>
        <w:rPr>
          <w:rFonts w:hint="eastAsia" w:ascii="方正小标宋简体" w:eastAsia="方正小标宋简体"/>
          <w:sz w:val="44"/>
          <w:szCs w:val="44"/>
        </w:rPr>
        <w:t>绩效评价报告</w:t>
      </w:r>
    </w:p>
    <w:p w14:paraId="6A216682">
      <w:pPr>
        <w:spacing w:line="579" w:lineRule="exact"/>
        <w:rPr>
          <w:rFonts w:hAnsi="仿宋"/>
          <w:sz w:val="36"/>
          <w:szCs w:val="36"/>
        </w:rPr>
      </w:pPr>
    </w:p>
    <w:p w14:paraId="0B6E4075">
      <w:pPr>
        <w:ind w:firstLine="630"/>
        <w:rPr>
          <w:rFonts w:hint="eastAsia" w:hAnsi="仿宋"/>
          <w:szCs w:val="30"/>
          <w:highlight w:val="none"/>
          <w:lang w:eastAsia="zh-CN"/>
        </w:rPr>
      </w:pPr>
      <w:r>
        <w:rPr>
          <w:rFonts w:hint="eastAsia" w:hAnsi="仿宋"/>
          <w:szCs w:val="30"/>
          <w:highlight w:val="none"/>
          <w:lang w:eastAsia="zh-CN"/>
        </w:rPr>
        <w:t>根据</w:t>
      </w:r>
      <w:r>
        <w:rPr>
          <w:rFonts w:hint="eastAsia" w:hAnsi="仿宋"/>
          <w:szCs w:val="30"/>
          <w:highlight w:val="none"/>
          <w:lang w:val="en-US" w:eastAsia="zh-CN"/>
        </w:rPr>
        <w:t>《昆明市西山区财政局关于开展西山区2024年度项目支出财政重点绩效评价工作的通知》</w:t>
      </w:r>
      <w:r>
        <w:rPr>
          <w:rFonts w:hint="eastAsia" w:hAnsi="仿宋"/>
          <w:szCs w:val="30"/>
          <w:highlight w:val="none"/>
          <w:lang w:eastAsia="zh-CN"/>
        </w:rPr>
        <w:t>(</w:t>
      </w:r>
      <w:r>
        <w:rPr>
          <w:rFonts w:hint="eastAsia" w:hAnsi="仿宋"/>
          <w:szCs w:val="30"/>
          <w:highlight w:val="none"/>
          <w:lang w:val="en-US" w:eastAsia="zh-CN"/>
        </w:rPr>
        <w:t>西财评绩〔2025</w:t>
      </w:r>
      <w:r>
        <w:rPr>
          <w:rFonts w:hint="eastAsia" w:hAnsi="仿宋"/>
          <w:szCs w:val="30"/>
          <w:highlight w:val="none"/>
          <w:lang w:eastAsia="zh-CN"/>
        </w:rPr>
        <w:t>〕</w:t>
      </w:r>
      <w:r>
        <w:rPr>
          <w:rFonts w:hint="eastAsia" w:hAnsi="仿宋"/>
          <w:szCs w:val="30"/>
          <w:highlight w:val="none"/>
          <w:lang w:val="en-US" w:eastAsia="zh-CN"/>
        </w:rPr>
        <w:t>16号</w:t>
      </w:r>
      <w:r>
        <w:rPr>
          <w:rFonts w:hint="eastAsia" w:hAnsi="仿宋"/>
          <w:szCs w:val="30"/>
          <w:highlight w:val="none"/>
          <w:lang w:eastAsia="zh-CN"/>
        </w:rPr>
        <w:t>)、</w:t>
      </w:r>
      <w:r>
        <w:rPr>
          <w:rFonts w:hint="eastAsia" w:hAnsi="仿宋"/>
          <w:szCs w:val="30"/>
          <w:highlight w:val="none"/>
          <w:lang w:val="en-US" w:eastAsia="zh-CN"/>
        </w:rPr>
        <w:t>《昆明市西山区财政局关于批复2024年部门预算的通知》西财建〔2024〕2号与此预算批复为准，上级部门未单独下达其他资金文件、《昆明市西山区人民政府办公室关于印发西山区海埂片区“观鸥季”交通服务保障工作方案的通知》西政办通〔2024〕6号等文件</w:t>
      </w:r>
      <w:r>
        <w:rPr>
          <w:rFonts w:hint="eastAsia" w:hAnsi="仿宋"/>
          <w:szCs w:val="30"/>
          <w:highlight w:val="none"/>
          <w:lang w:eastAsia="zh-CN"/>
        </w:rPr>
        <w:t>的要求，</w:t>
      </w:r>
      <w:r>
        <w:rPr>
          <w:rFonts w:hint="eastAsia" w:hAnsi="仿宋"/>
          <w:szCs w:val="30"/>
          <w:highlight w:val="none"/>
          <w:lang w:val="en-US" w:eastAsia="zh-CN"/>
        </w:rPr>
        <w:t>云南谛祥会计师事务所</w:t>
      </w:r>
      <w:r>
        <w:rPr>
          <w:rFonts w:hint="eastAsia" w:hAnsi="仿宋"/>
          <w:szCs w:val="30"/>
          <w:highlight w:val="none"/>
          <w:lang w:eastAsia="zh-CN"/>
        </w:rPr>
        <w:t>接受</w:t>
      </w:r>
      <w:r>
        <w:rPr>
          <w:rFonts w:hint="eastAsia" w:hAnsi="仿宋"/>
          <w:szCs w:val="30"/>
          <w:highlight w:val="none"/>
          <w:lang w:val="en-US" w:eastAsia="zh-CN"/>
        </w:rPr>
        <w:t>昆明</w:t>
      </w:r>
      <w:r>
        <w:rPr>
          <w:rFonts w:hint="eastAsia" w:hAnsi="仿宋"/>
          <w:szCs w:val="30"/>
          <w:highlight w:val="none"/>
          <w:lang w:eastAsia="zh-CN"/>
        </w:rPr>
        <w:t>市</w:t>
      </w:r>
      <w:r>
        <w:rPr>
          <w:rFonts w:hint="eastAsia" w:hAnsi="仿宋"/>
          <w:szCs w:val="30"/>
          <w:highlight w:val="none"/>
          <w:lang w:val="en-US" w:eastAsia="zh-CN"/>
        </w:rPr>
        <w:t>西山区</w:t>
      </w:r>
      <w:r>
        <w:rPr>
          <w:rFonts w:hint="eastAsia" w:hAnsi="仿宋"/>
          <w:szCs w:val="30"/>
          <w:highlight w:val="none"/>
          <w:lang w:eastAsia="zh-CN"/>
        </w:rPr>
        <w:t>财政局委托，于20</w:t>
      </w:r>
      <w:r>
        <w:rPr>
          <w:rFonts w:hint="eastAsia" w:hAnsi="仿宋"/>
          <w:szCs w:val="30"/>
          <w:highlight w:val="none"/>
          <w:lang w:val="en-US" w:eastAsia="zh-CN"/>
        </w:rPr>
        <w:t>25</w:t>
      </w:r>
      <w:r>
        <w:rPr>
          <w:rFonts w:hint="eastAsia" w:hAnsi="仿宋"/>
          <w:szCs w:val="30"/>
          <w:highlight w:val="none"/>
          <w:lang w:eastAsia="zh-CN"/>
        </w:rPr>
        <w:t>年</w:t>
      </w:r>
      <w:r>
        <w:rPr>
          <w:rFonts w:hint="eastAsia" w:hAnsi="仿宋"/>
          <w:szCs w:val="30"/>
          <w:highlight w:val="none"/>
          <w:lang w:val="en-US" w:eastAsia="zh-CN"/>
        </w:rPr>
        <w:t>8</w:t>
      </w:r>
      <w:r>
        <w:rPr>
          <w:rFonts w:hint="eastAsia" w:hAnsi="仿宋"/>
          <w:szCs w:val="30"/>
          <w:highlight w:val="none"/>
          <w:lang w:eastAsia="zh-CN"/>
        </w:rPr>
        <w:t>月至2</w:t>
      </w:r>
      <w:r>
        <w:rPr>
          <w:rFonts w:hint="eastAsia" w:hAnsi="仿宋"/>
          <w:szCs w:val="30"/>
          <w:highlight w:val="none"/>
          <w:lang w:val="en-US" w:eastAsia="zh-CN"/>
        </w:rPr>
        <w:t>025</w:t>
      </w:r>
      <w:r>
        <w:rPr>
          <w:rFonts w:hint="eastAsia" w:hAnsi="仿宋"/>
          <w:szCs w:val="30"/>
          <w:highlight w:val="none"/>
          <w:lang w:eastAsia="zh-CN"/>
        </w:rPr>
        <w:t>年</w:t>
      </w:r>
      <w:r>
        <w:rPr>
          <w:rFonts w:hint="eastAsia" w:hAnsi="仿宋"/>
          <w:szCs w:val="30"/>
          <w:highlight w:val="none"/>
          <w:lang w:val="en-US" w:eastAsia="zh-CN"/>
        </w:rPr>
        <w:t>10</w:t>
      </w:r>
      <w:r>
        <w:rPr>
          <w:rFonts w:hint="eastAsia" w:hAnsi="仿宋"/>
          <w:szCs w:val="30"/>
          <w:highlight w:val="none"/>
          <w:lang w:eastAsia="zh-CN"/>
        </w:rPr>
        <w:t>月对“西山区海埂片区“观鸥季”交通服务保障项目资金”</w:t>
      </w:r>
      <w:r>
        <w:rPr>
          <w:rFonts w:hint="eastAsia" w:hAnsi="仿宋"/>
          <w:szCs w:val="30"/>
          <w:highlight w:val="none"/>
          <w:lang w:val="en-US" w:eastAsia="zh-CN"/>
        </w:rPr>
        <w:t>项目</w:t>
      </w:r>
      <w:r>
        <w:rPr>
          <w:rFonts w:hint="eastAsia" w:hAnsi="仿宋"/>
          <w:szCs w:val="30"/>
          <w:highlight w:val="none"/>
          <w:lang w:eastAsia="zh-CN"/>
        </w:rPr>
        <w:t>开展绩效评价。现将评价情况报告如下：</w:t>
      </w:r>
    </w:p>
    <w:p w14:paraId="5CA19FA0">
      <w:pPr>
        <w:spacing w:line="579" w:lineRule="exact"/>
        <w:ind w:firstLine="630" w:firstLineChars="200"/>
        <w:outlineLvl w:val="0"/>
        <w:rPr>
          <w:rFonts w:ascii="黑体" w:hAnsi="黑体" w:eastAsia="黑体" w:cs="宋体"/>
          <w:szCs w:val="30"/>
        </w:rPr>
      </w:pPr>
      <w:bookmarkStart w:id="3" w:name="_Toc28079"/>
      <w:r>
        <w:rPr>
          <w:rFonts w:hint="eastAsia" w:ascii="黑体" w:hAnsi="黑体" w:eastAsia="黑体" w:cs="宋体"/>
          <w:szCs w:val="30"/>
        </w:rPr>
        <w:t>一、基本情况</w:t>
      </w:r>
      <w:bookmarkEnd w:id="3"/>
    </w:p>
    <w:p w14:paraId="541C55D5">
      <w:pPr>
        <w:spacing w:line="579" w:lineRule="exact"/>
        <w:ind w:firstLine="630" w:firstLineChars="200"/>
        <w:outlineLvl w:val="1"/>
        <w:rPr>
          <w:rFonts w:hint="eastAsia" w:ascii="楷体" w:hAnsi="楷体" w:eastAsia="楷体"/>
          <w:szCs w:val="30"/>
        </w:rPr>
      </w:pPr>
      <w:bookmarkStart w:id="4" w:name="_Toc2894"/>
      <w:r>
        <w:rPr>
          <w:rFonts w:hint="eastAsia" w:ascii="楷体" w:hAnsi="楷体" w:eastAsia="楷体"/>
          <w:szCs w:val="30"/>
        </w:rPr>
        <w:t>（一）项目概况</w:t>
      </w:r>
      <w:bookmarkEnd w:id="4"/>
    </w:p>
    <w:p w14:paraId="6902A62E">
      <w:pPr>
        <w:pStyle w:val="44"/>
        <w:spacing w:line="582" w:lineRule="exact"/>
        <w:ind w:firstLine="646"/>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根据《昆明市西山区财政局关于批复2024年部门预算的通知》西财建〔2024〕2号、《昆明市西山区人民政府办公室关于印发西山区海埂片区“观鸥季”交通服务保障工作方案的通知》西政办通〔2024〕6号文件要求及西山区海埂片区“观鸥季”交通服务保障工作专题会的会议纪要，由区住房城乡建设局牵头统筹，区交安委办公室、区财政局、区交通运输局、区城市管理局、碧鸡、福海街道办事处配合，协同推进西山区海埂片区“观鸥季”交通服务保障工作。</w:t>
      </w:r>
    </w:p>
    <w:p w14:paraId="4FBE8D7C">
      <w:pPr>
        <w:pStyle w:val="44"/>
        <w:spacing w:line="582" w:lineRule="exact"/>
        <w:ind w:firstLine="646"/>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1.由区住房城乡建设局牵头负责，区交安委办公室、区交通运输局配合，一是实施西福路、广福路10套LED诱导显示屏安装；二是优化高海高速辅道交通组织，完善相关交通安全管理设施，并全线增设诱导提示设施。</w:t>
      </w:r>
    </w:p>
    <w:p w14:paraId="17D0A0CD">
      <w:pPr>
        <w:pStyle w:val="44"/>
        <w:spacing w:line="582" w:lineRule="exact"/>
        <w:ind w:firstLine="646"/>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2.由区住房城乡建设局牵头统筹，区交安委办公室、区城市管理局配合，一是由区城市管理局先行开展边防路与西福路交叉口、西福路沿华夏四季绿化带拆除工作，同步积极对接区自然资源局，完善绿地占补平衡指标相关问题，稳步推进后续补绿工作；二是待绿化带拆除后，区住房城乡建设局立即组织施工单位，进场开展机动车道建设及相关诱导设施安装工作，区交安委办公室积极协调市交警支队，做好现场交通疏导及施工围挡等工作。</w:t>
      </w:r>
    </w:p>
    <w:p w14:paraId="4D0F49D3">
      <w:pPr>
        <w:pStyle w:val="44"/>
        <w:spacing w:line="582" w:lineRule="exact"/>
        <w:ind w:firstLine="646"/>
        <w:rPr>
          <w:rFonts w:hint="eastAsia" w:hAnsi="仿宋"/>
          <w:szCs w:val="30"/>
          <w:highlight w:val="none"/>
          <w:lang w:val="en-US" w:eastAsia="zh-CN"/>
        </w:rPr>
      </w:pPr>
      <w:r>
        <w:rPr>
          <w:rFonts w:hint="eastAsia" w:ascii="仿宋" w:hAnsi="仿宋" w:eastAsia="仿宋" w:cs="Times New Roman"/>
          <w:kern w:val="30"/>
          <w:sz w:val="30"/>
          <w:szCs w:val="30"/>
          <w:highlight w:val="none"/>
          <w:lang w:val="en-US" w:eastAsia="zh-CN" w:bidi="ar-SA"/>
        </w:rPr>
        <w:t>3.由区住房城乡建设局牵头负责，一是重新测算项目地下管线迁改等工程相关费用，结合项目实际优化项目投资概算；二是相关费用按程序申报部门财政预算，由区财政予以保障；三是按照相关法律法规规定，依法遵规履程招选施工等参建单位；四是结合参会各部门意见修改完善《西山区海埂片区“观鸥季”交通服务保障工作方案》，尽快按程序上报审批印发实施。</w:t>
      </w:r>
    </w:p>
    <w:p w14:paraId="53BE5AE1">
      <w:pPr>
        <w:spacing w:line="579" w:lineRule="exact"/>
        <w:ind w:firstLine="630" w:firstLineChars="200"/>
        <w:outlineLvl w:val="1"/>
        <w:rPr>
          <w:rFonts w:ascii="楷体" w:hAnsi="楷体" w:eastAsia="楷体"/>
          <w:szCs w:val="30"/>
        </w:rPr>
      </w:pPr>
      <w:bookmarkStart w:id="5" w:name="_Toc19882"/>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5"/>
    </w:p>
    <w:p w14:paraId="271B44D9">
      <w:pPr>
        <w:ind w:firstLine="630"/>
        <w:rPr>
          <w:rFonts w:hint="eastAsia" w:hAnsi="仿宋"/>
          <w:szCs w:val="30"/>
          <w:highlight w:val="none"/>
          <w:lang w:val="en-US" w:eastAsia="zh-CN"/>
        </w:rPr>
      </w:pPr>
      <w:r>
        <w:rPr>
          <w:rFonts w:hint="eastAsia" w:hAnsi="仿宋"/>
          <w:szCs w:val="30"/>
          <w:highlight w:val="none"/>
          <w:lang w:val="en-US" w:eastAsia="zh-CN"/>
        </w:rPr>
        <w:t>1.资金到位情况</w:t>
      </w:r>
    </w:p>
    <w:p w14:paraId="28281F85">
      <w:pPr>
        <w:ind w:firstLine="630"/>
        <w:rPr>
          <w:rFonts w:hint="default" w:hAnsi="仿宋"/>
          <w:szCs w:val="30"/>
          <w:highlight w:val="none"/>
          <w:lang w:val="en-US" w:eastAsia="zh-CN"/>
        </w:rPr>
      </w:pPr>
      <w:r>
        <w:rPr>
          <w:rFonts w:hint="eastAsia" w:hAnsi="仿宋"/>
          <w:szCs w:val="30"/>
          <w:highlight w:val="none"/>
          <w:lang w:val="en-US" w:eastAsia="zh-CN"/>
        </w:rPr>
        <w:t>昆明市西山区财政局关于批复2024年部门预算的通知》西财建〔2024〕2号、《昆明市西山区人民政府办公室关于印发西山区海埂片区“观鸥季”交通服务保障工作方案的通知》西政办通〔2024〕6号，西山区海埂片区“观鸥季”交通服务保障项目资金219.27万元，实际到位219.27万元，资金到位率100%。</w:t>
      </w:r>
    </w:p>
    <w:p w14:paraId="44D89EE5">
      <w:pPr>
        <w:ind w:firstLine="630"/>
        <w:rPr>
          <w:rFonts w:hint="eastAsia" w:hAnsi="仿宋"/>
          <w:szCs w:val="30"/>
          <w:highlight w:val="none"/>
          <w:lang w:val="en-US" w:eastAsia="zh-CN"/>
        </w:rPr>
      </w:pPr>
      <w:r>
        <w:rPr>
          <w:rFonts w:hint="eastAsia" w:hAnsi="仿宋"/>
          <w:szCs w:val="30"/>
          <w:highlight w:val="none"/>
          <w:lang w:val="en-US" w:eastAsia="zh-CN"/>
        </w:rPr>
        <w:t>2.资金使用情况</w:t>
      </w:r>
    </w:p>
    <w:p w14:paraId="5A392C15">
      <w:pPr>
        <w:ind w:firstLine="630"/>
        <w:rPr>
          <w:rFonts w:hint="default" w:hAnsi="仿宋"/>
          <w:szCs w:val="30"/>
          <w:highlight w:val="none"/>
          <w:lang w:val="en-US" w:eastAsia="zh-CN"/>
        </w:rPr>
      </w:pPr>
      <w:r>
        <w:rPr>
          <w:rFonts w:hint="eastAsia" w:hAnsi="仿宋"/>
          <w:szCs w:val="30"/>
          <w:highlight w:val="none"/>
          <w:lang w:val="en-US" w:eastAsia="zh-CN"/>
        </w:rPr>
        <w:t>截至2024年12月31日，累计支出219.27万元，资金使用率为100%，全部用于支付西山区海埂片区“观鸥季”交通服务保障项目。</w:t>
      </w:r>
    </w:p>
    <w:p w14:paraId="557879A9">
      <w:pPr>
        <w:spacing w:line="579" w:lineRule="exact"/>
        <w:ind w:firstLine="630" w:firstLineChars="200"/>
        <w:outlineLvl w:val="1"/>
        <w:rPr>
          <w:rFonts w:hint="default" w:ascii="楷体" w:hAnsi="楷体" w:eastAsia="楷体"/>
          <w:szCs w:val="30"/>
          <w:lang w:val="en-US" w:eastAsia="zh-CN"/>
        </w:rPr>
      </w:pPr>
      <w:bookmarkStart w:id="6" w:name="_Toc26780"/>
      <w:r>
        <w:rPr>
          <w:rFonts w:hint="eastAsia" w:ascii="楷体" w:hAnsi="楷体" w:eastAsia="楷体"/>
          <w:szCs w:val="30"/>
          <w:lang w:val="en-US" w:eastAsia="zh-CN"/>
        </w:rPr>
        <w:t>（三）实施内容</w:t>
      </w:r>
      <w:bookmarkEnd w:id="6"/>
    </w:p>
    <w:p w14:paraId="3B40E261">
      <w:pPr>
        <w:ind w:firstLine="630"/>
        <w:rPr>
          <w:rFonts w:hint="eastAsia" w:hAnsi="仿宋"/>
          <w:szCs w:val="30"/>
          <w:highlight w:val="none"/>
          <w:lang w:val="en-US" w:eastAsia="zh-CN"/>
        </w:rPr>
      </w:pPr>
      <w:r>
        <w:rPr>
          <w:rFonts w:hint="eastAsia" w:hAnsi="仿宋"/>
          <w:szCs w:val="30"/>
          <w:highlight w:val="none"/>
          <w:lang w:val="en-US" w:eastAsia="zh-CN"/>
        </w:rPr>
        <w:t>1.</w:t>
      </w:r>
      <w:r>
        <w:rPr>
          <w:rFonts w:hint="default" w:hAnsi="仿宋"/>
          <w:szCs w:val="30"/>
          <w:highlight w:val="none"/>
          <w:lang w:val="en-US" w:eastAsia="zh-CN"/>
        </w:rPr>
        <w:t>项目前期筹备：奠定科学建设基础​</w:t>
      </w:r>
    </w:p>
    <w:p w14:paraId="6943F9ED">
      <w:pPr>
        <w:ind w:firstLine="630"/>
        <w:rPr>
          <w:rFonts w:hint="default" w:hAnsi="仿宋"/>
          <w:szCs w:val="30"/>
          <w:highlight w:val="none"/>
          <w:lang w:val="en-US" w:eastAsia="zh-CN"/>
        </w:rPr>
      </w:pPr>
      <w:r>
        <w:rPr>
          <w:rFonts w:hint="default" w:hAnsi="仿宋"/>
          <w:szCs w:val="30"/>
          <w:highlight w:val="none"/>
          <w:lang w:val="en-US" w:eastAsia="zh-CN"/>
        </w:rPr>
        <w:t>项目启动阶段，核心技术文件编制工作提前落地。202</w:t>
      </w:r>
      <w:r>
        <w:rPr>
          <w:rFonts w:hint="eastAsia" w:hAnsi="仿宋"/>
          <w:szCs w:val="30"/>
          <w:highlight w:val="none"/>
          <w:lang w:val="en-US" w:eastAsia="zh-CN"/>
        </w:rPr>
        <w:t>4</w:t>
      </w:r>
      <w:r>
        <w:rPr>
          <w:rFonts w:hint="default" w:hAnsi="仿宋"/>
          <w:szCs w:val="30"/>
          <w:highlight w:val="none"/>
          <w:lang w:val="en-US" w:eastAsia="zh-CN"/>
        </w:rPr>
        <w:t>年1 月，联合体成员林同国际工程咨询 (中国) 有限公司完成《西山区海埂片区 “观鸥季” 交通服务保障项目可行性研究报告》编制，报告围绕“缓解观鸥季交通拥堵、提升服务保障能力”核心目标，系统涵盖项目概述、建设背景与必要性论证、需求分析及产出方案设计、选址与要素保障规划、建设方案细化、运营管理机制、投融资与财务测算、影响效果评估、风险管控预案、研究结论及建议等11项核心内容，并附完整附件与附图，为项目后续招标采购、施工建设提供了科学依据与技术支撑。​</w:t>
      </w:r>
    </w:p>
    <w:p w14:paraId="3579A07E">
      <w:pPr>
        <w:ind w:firstLine="630"/>
        <w:rPr>
          <w:rFonts w:hint="default" w:hAnsi="仿宋"/>
          <w:szCs w:val="30"/>
          <w:highlight w:val="none"/>
          <w:lang w:val="en-US" w:eastAsia="zh-CN"/>
        </w:rPr>
      </w:pPr>
      <w:r>
        <w:rPr>
          <w:rFonts w:hint="eastAsia" w:hAnsi="仿宋"/>
          <w:szCs w:val="30"/>
          <w:highlight w:val="none"/>
          <w:lang w:val="en-US" w:eastAsia="zh-CN"/>
        </w:rPr>
        <w:t>2.</w:t>
      </w:r>
      <w:r>
        <w:rPr>
          <w:rFonts w:hint="default" w:hAnsi="仿宋"/>
          <w:szCs w:val="30"/>
          <w:highlight w:val="none"/>
          <w:lang w:val="en-US" w:eastAsia="zh-CN"/>
        </w:rPr>
        <w:t>招标采购与合同签订：规范推进项目落地​</w:t>
      </w:r>
    </w:p>
    <w:p w14:paraId="5593B608">
      <w:pPr>
        <w:ind w:firstLine="630"/>
        <w:rPr>
          <w:rFonts w:hint="eastAsia" w:hAnsi="仿宋"/>
          <w:szCs w:val="30"/>
          <w:highlight w:val="none"/>
          <w:lang w:val="en-US" w:eastAsia="zh-CN"/>
        </w:rPr>
      </w:pPr>
      <w:r>
        <w:rPr>
          <w:rFonts w:hint="default" w:hAnsi="仿宋"/>
          <w:szCs w:val="30"/>
          <w:highlight w:val="none"/>
          <w:lang w:val="en-US" w:eastAsia="zh-CN"/>
        </w:rPr>
        <w:t>招标采购合规实施：昆明市西山区住房和城乡建设局严格遵循政府采购相关规定，委托云南禹信招标代理有限公司于2024</w:t>
      </w:r>
      <w:r>
        <w:rPr>
          <w:rFonts w:hint="eastAsia" w:hAnsi="仿宋"/>
          <w:szCs w:val="30"/>
          <w:highlight w:val="none"/>
          <w:lang w:val="en-US" w:eastAsia="zh-CN"/>
        </w:rPr>
        <w:t>年</w:t>
      </w:r>
      <w:r>
        <w:rPr>
          <w:rFonts w:hint="default" w:hAnsi="仿宋"/>
          <w:szCs w:val="30"/>
          <w:highlight w:val="none"/>
          <w:lang w:val="en-US" w:eastAsia="zh-CN"/>
        </w:rPr>
        <w:t>3月7日组织公开竞争性磋商，项目编号为YNYX-2024-0014。经专业评审，最终确定由云南力峰路桥工程有限公司（负责施工）与林同国际工程咨询(中国)有限公司（负责设计）组成的联合体为中标单位，其中设计报价下浮10%、施工报价下浮1.6%，报价合理且符合成本控制要求，招标程序合法合规、公开透明。​</w:t>
      </w:r>
    </w:p>
    <w:p w14:paraId="4FBDB5B7">
      <w:pPr>
        <w:ind w:firstLine="630"/>
        <w:rPr>
          <w:rFonts w:hint="eastAsia" w:hAnsi="仿宋"/>
          <w:szCs w:val="30"/>
          <w:highlight w:val="none"/>
          <w:lang w:val="en-US" w:eastAsia="zh-CN"/>
        </w:rPr>
      </w:pPr>
      <w:r>
        <w:rPr>
          <w:rFonts w:hint="default" w:hAnsi="仿宋"/>
          <w:szCs w:val="30"/>
          <w:highlight w:val="none"/>
          <w:lang w:val="en-US" w:eastAsia="zh-CN"/>
        </w:rPr>
        <w:t>合同签订明确权责：2024</w:t>
      </w:r>
      <w:r>
        <w:rPr>
          <w:rFonts w:hint="eastAsia" w:hAnsi="仿宋"/>
          <w:szCs w:val="30"/>
          <w:highlight w:val="none"/>
          <w:lang w:val="en-US" w:eastAsia="zh-CN"/>
        </w:rPr>
        <w:t>年</w:t>
      </w:r>
      <w:r>
        <w:rPr>
          <w:rFonts w:hint="default" w:hAnsi="仿宋"/>
          <w:szCs w:val="30"/>
          <w:highlight w:val="none"/>
          <w:lang w:val="en-US" w:eastAsia="zh-CN"/>
        </w:rPr>
        <w:t>3月25 日，贵单位与中标联合体正式签订《建设项目工程总承包合同》（合同编号：GF-2020-0216，采用国家住建部示范文本），明确双方权利义务、建设范围、工期质量要求及价款支付方式。根据合同约定，项目核心建设内容分为四大类，具体如下：​</w:t>
      </w:r>
    </w:p>
    <w:p w14:paraId="68DA9859">
      <w:pPr>
        <w:ind w:firstLine="630"/>
        <w:rPr>
          <w:rFonts w:hint="eastAsia" w:hAnsi="仿宋"/>
          <w:szCs w:val="30"/>
          <w:highlight w:val="none"/>
          <w:lang w:val="en-US" w:eastAsia="zh-CN"/>
        </w:rPr>
      </w:pPr>
      <w:r>
        <w:rPr>
          <w:rFonts w:hint="default" w:hAnsi="仿宋"/>
          <w:szCs w:val="30"/>
          <w:highlight w:val="none"/>
          <w:lang w:val="en-US" w:eastAsia="zh-CN"/>
        </w:rPr>
        <w:t>交通诱导设施建设：新增10套LED诱导显示屏，精准布点于西福路（4套）、广福路（6套），用于实时发布观鸥点路况、停车指引及临时管制信息；​</w:t>
      </w:r>
      <w:bookmarkStart w:id="43" w:name="_GoBack"/>
      <w:bookmarkEnd w:id="43"/>
    </w:p>
    <w:p w14:paraId="060654DA">
      <w:pPr>
        <w:ind w:firstLine="630"/>
        <w:rPr>
          <w:rFonts w:hint="eastAsia" w:hAnsi="仿宋"/>
          <w:szCs w:val="30"/>
          <w:highlight w:val="none"/>
          <w:lang w:val="en-US" w:eastAsia="zh-CN"/>
        </w:rPr>
      </w:pPr>
      <w:r>
        <w:rPr>
          <w:rFonts w:hint="default" w:hAnsi="仿宋"/>
          <w:szCs w:val="30"/>
          <w:highlight w:val="none"/>
          <w:lang w:val="en-US" w:eastAsia="zh-CN"/>
        </w:rPr>
        <w:t>交叉口优化改造：对边防路与西福路交叉口实施改造，拆除交叉口南、北向两侧距离停止线80米范围内绿化带，通过车道渠划新增1条机动车道，同步完善交通信号灯、标志标线等安全管理设施；​</w:t>
      </w:r>
    </w:p>
    <w:p w14:paraId="12708452">
      <w:pPr>
        <w:ind w:firstLine="630"/>
        <w:rPr>
          <w:rFonts w:hint="eastAsia" w:hAnsi="仿宋"/>
          <w:szCs w:val="30"/>
          <w:highlight w:val="none"/>
          <w:lang w:val="en-US" w:eastAsia="zh-CN"/>
        </w:rPr>
      </w:pPr>
      <w:r>
        <w:rPr>
          <w:rFonts w:hint="default" w:hAnsi="仿宋"/>
          <w:szCs w:val="30"/>
          <w:highlight w:val="none"/>
          <w:lang w:val="en-US" w:eastAsia="zh-CN"/>
        </w:rPr>
        <w:t>西福路沿线提升：一是拆除西福路华夏四季熙澜苑路口、西山区第七幼儿园路口、经纬花苑路口三个路口北口两侧距离停止线50米范围内机非隔离绿化带，配套完善交通安全设施；二是在西福路全线增设路中隔离护栏，规范车辆通行秩序；​</w:t>
      </w:r>
    </w:p>
    <w:p w14:paraId="12EBF188">
      <w:pPr>
        <w:ind w:firstLine="630"/>
        <w:rPr>
          <w:rFonts w:hint="eastAsia" w:hAnsi="仿宋"/>
          <w:szCs w:val="30"/>
          <w:highlight w:val="none"/>
          <w:lang w:val="en-US" w:eastAsia="zh-CN"/>
        </w:rPr>
      </w:pPr>
      <w:r>
        <w:rPr>
          <w:rFonts w:hint="default" w:hAnsi="仿宋"/>
          <w:szCs w:val="30"/>
          <w:highlight w:val="none"/>
          <w:lang w:val="en-US" w:eastAsia="zh-CN"/>
        </w:rPr>
        <w:t>高海高速辅道优化：一是优化龙门村环岛交通组织模式，完善环岛周边信号灯、警示标志等设施；二是升级省委党校门前路段交通安全设施，增设行人过街提示及防护装置；三是在高海高速辅道全线增设诱导提示牌，引导观鸥车流有序通行。​</w:t>
      </w:r>
    </w:p>
    <w:p w14:paraId="70D36421">
      <w:pPr>
        <w:ind w:firstLine="630"/>
        <w:rPr>
          <w:rFonts w:hint="default" w:hAnsi="仿宋"/>
          <w:szCs w:val="30"/>
          <w:highlight w:val="none"/>
          <w:lang w:val="en-US" w:eastAsia="zh-CN"/>
        </w:rPr>
      </w:pPr>
      <w:r>
        <w:rPr>
          <w:rFonts w:hint="eastAsia" w:hAnsi="仿宋"/>
          <w:szCs w:val="30"/>
          <w:highlight w:val="none"/>
          <w:lang w:val="en-US" w:eastAsia="zh-CN"/>
        </w:rPr>
        <w:t>3.</w:t>
      </w:r>
      <w:r>
        <w:rPr>
          <w:rFonts w:hint="default" w:hAnsi="仿宋"/>
          <w:szCs w:val="30"/>
          <w:highlight w:val="none"/>
          <w:lang w:val="en-US" w:eastAsia="zh-CN"/>
        </w:rPr>
        <w:t>建设实施与成果交付：确保项目质量合规​</w:t>
      </w:r>
    </w:p>
    <w:p w14:paraId="3CEAABEE">
      <w:pPr>
        <w:ind w:firstLine="630"/>
        <w:rPr>
          <w:rFonts w:hint="eastAsia" w:hAnsi="仿宋"/>
          <w:szCs w:val="30"/>
          <w:highlight w:val="none"/>
          <w:lang w:val="en-US" w:eastAsia="zh-CN"/>
        </w:rPr>
      </w:pPr>
      <w:r>
        <w:rPr>
          <w:rFonts w:hint="default" w:hAnsi="仿宋"/>
          <w:szCs w:val="30"/>
          <w:highlight w:val="none"/>
          <w:lang w:val="en-US" w:eastAsia="zh-CN"/>
        </w:rPr>
        <w:t>竣工图精准编制：项目施工任务完成后，2024年5月，云南力峰路桥工程有限公司依据现场实际施工情况，编制完成《西山区海埂片区“观鸥季”交通服务保障项目竣工图》，图纸准确还原各设施建设位置、尺寸规格及技术参数，与现场成果完全一致，为后续工程验收及运维管理提供精准图纸依据。​</w:t>
      </w:r>
    </w:p>
    <w:p w14:paraId="71FC54BA">
      <w:pPr>
        <w:ind w:firstLine="630"/>
        <w:rPr>
          <w:rFonts w:hint="eastAsia" w:hAnsi="仿宋"/>
          <w:szCs w:val="30"/>
          <w:highlight w:val="none"/>
          <w:lang w:val="en-US" w:eastAsia="zh-CN"/>
        </w:rPr>
      </w:pPr>
      <w:r>
        <w:rPr>
          <w:rFonts w:hint="default" w:hAnsi="仿宋"/>
          <w:szCs w:val="30"/>
          <w:highlight w:val="none"/>
          <w:lang w:val="en-US" w:eastAsia="zh-CN"/>
        </w:rPr>
        <w:t>竣工资料完整归档：为保障项目验收合规性与资料可追溯性，2024年7月15日，云南力峰路桥工程有限公司完成全套竣工资料编制整理，资料共分五部分，内容详实、体系完整：​</w:t>
      </w:r>
    </w:p>
    <w:p w14:paraId="56166CE7">
      <w:pPr>
        <w:ind w:firstLine="630"/>
        <w:rPr>
          <w:rFonts w:hint="eastAsia" w:hAnsi="仿宋"/>
          <w:szCs w:val="30"/>
          <w:highlight w:val="none"/>
          <w:lang w:val="en-US" w:eastAsia="zh-CN"/>
        </w:rPr>
      </w:pPr>
      <w:r>
        <w:rPr>
          <w:rFonts w:hint="default" w:hAnsi="仿宋"/>
          <w:szCs w:val="30"/>
          <w:highlight w:val="none"/>
          <w:lang w:val="en-US" w:eastAsia="zh-CN"/>
        </w:rPr>
        <w:t>第一部分：施工管理文件，包含施工组织设计、进度计划、监理指令回复、现场安全管理记录等，完整记录项目施工全过程管理情况；​</w:t>
      </w:r>
    </w:p>
    <w:p w14:paraId="3524DFA2">
      <w:pPr>
        <w:ind w:firstLine="630"/>
        <w:rPr>
          <w:rFonts w:hint="eastAsia" w:hAnsi="仿宋"/>
          <w:szCs w:val="30"/>
          <w:highlight w:val="none"/>
          <w:lang w:val="en-US" w:eastAsia="zh-CN"/>
        </w:rPr>
      </w:pPr>
      <w:r>
        <w:rPr>
          <w:rFonts w:hint="default" w:hAnsi="仿宋"/>
          <w:szCs w:val="30"/>
          <w:highlight w:val="none"/>
          <w:lang w:val="en-US" w:eastAsia="zh-CN"/>
        </w:rPr>
        <w:t>第二部分：施工物资证明文件，涵盖LED屏、护栏、信号灯等主要材料设备的出厂质量合格证、检测报告及进场复试报告，确保物资质量符合国家规范要求；​</w:t>
      </w:r>
    </w:p>
    <w:p w14:paraId="1930898B">
      <w:pPr>
        <w:ind w:firstLine="630"/>
        <w:rPr>
          <w:rFonts w:hint="eastAsia" w:hAnsi="仿宋"/>
          <w:szCs w:val="30"/>
          <w:highlight w:val="none"/>
          <w:lang w:val="en-US" w:eastAsia="zh-CN"/>
        </w:rPr>
      </w:pPr>
      <w:r>
        <w:rPr>
          <w:rFonts w:hint="default" w:hAnsi="仿宋"/>
          <w:szCs w:val="30"/>
          <w:highlight w:val="none"/>
          <w:lang w:val="en-US" w:eastAsia="zh-CN"/>
        </w:rPr>
        <w:t>第三部分：施工试验记录及检测报告，包含路基压实度、路面平整度、护栏强度等关键指标的试验检测数据，验证工程实体质量达标；​</w:t>
      </w:r>
    </w:p>
    <w:p w14:paraId="7BA8D1B9">
      <w:pPr>
        <w:ind w:firstLine="630"/>
        <w:rPr>
          <w:rFonts w:hint="eastAsia" w:hAnsi="仿宋"/>
          <w:szCs w:val="30"/>
          <w:highlight w:val="none"/>
          <w:lang w:val="en-US" w:eastAsia="zh-CN"/>
        </w:rPr>
      </w:pPr>
      <w:r>
        <w:rPr>
          <w:rFonts w:hint="default" w:hAnsi="仿宋"/>
          <w:szCs w:val="30"/>
          <w:highlight w:val="none"/>
          <w:lang w:val="en-US" w:eastAsia="zh-CN"/>
        </w:rPr>
        <w:t>第四部分：施工质量验收记录，详细记录各分部分项工程验收流程、参与单位及验收结论，验收程序规范、结论合格；​</w:t>
      </w:r>
    </w:p>
    <w:p w14:paraId="5A74EE23">
      <w:pPr>
        <w:ind w:firstLine="630"/>
        <w:rPr>
          <w:rFonts w:hint="eastAsia" w:hAnsi="仿宋"/>
          <w:szCs w:val="30"/>
          <w:highlight w:val="none"/>
          <w:lang w:val="en-US" w:eastAsia="zh-CN"/>
        </w:rPr>
      </w:pPr>
      <w:r>
        <w:rPr>
          <w:rFonts w:hint="default" w:hAnsi="仿宋"/>
          <w:szCs w:val="30"/>
          <w:highlight w:val="none"/>
          <w:lang w:val="en-US" w:eastAsia="zh-CN"/>
        </w:rPr>
        <w:t>第五部分：工程施工验收文件，包含单位工程验收申请、验收会议纪要、整改反馈记录等，为项目正式竣工验收做好充分准备。​</w:t>
      </w:r>
    </w:p>
    <w:p w14:paraId="1E3EB338">
      <w:pPr>
        <w:ind w:firstLine="630"/>
        <w:rPr>
          <w:rFonts w:hint="default" w:hAnsi="仿宋"/>
          <w:szCs w:val="30"/>
          <w:highlight w:val="none"/>
          <w:lang w:val="en-US" w:eastAsia="zh-CN"/>
        </w:rPr>
      </w:pPr>
      <w:r>
        <w:rPr>
          <w:rFonts w:hint="default" w:hAnsi="仿宋"/>
          <w:szCs w:val="30"/>
          <w:highlight w:val="none"/>
          <w:lang w:val="en-US" w:eastAsia="zh-CN"/>
        </w:rPr>
        <w:t>截至目前，项目已完成前期论证、招标采购、合同签订、施工建设、竣工图编制及竣工资料归档等全部核心工作，各环节成果文件完整合规，符合交通基础设施建设及项目管理相关规范要求，具备后续竣工验收及投入“观鸥季”交通服务保障使用的条件。</w:t>
      </w:r>
    </w:p>
    <w:p w14:paraId="30C9F569">
      <w:pPr>
        <w:spacing w:line="579" w:lineRule="exact"/>
        <w:ind w:firstLine="630" w:firstLineChars="200"/>
        <w:outlineLvl w:val="1"/>
        <w:rPr>
          <w:rFonts w:hint="default" w:ascii="楷体" w:hAnsi="楷体" w:eastAsia="楷体"/>
          <w:szCs w:val="30"/>
          <w:highlight w:val="none"/>
          <w:lang w:val="en-US" w:eastAsia="zh-CN"/>
        </w:rPr>
      </w:pPr>
      <w:bookmarkStart w:id="7" w:name="_Toc5800"/>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7"/>
    </w:p>
    <w:p w14:paraId="10319508">
      <w:pPr>
        <w:ind w:firstLine="630"/>
        <w:rPr>
          <w:rFonts w:hint="eastAsia" w:hAnsi="仿宋"/>
          <w:szCs w:val="30"/>
          <w:highlight w:val="none"/>
          <w:lang w:val="en-US" w:eastAsia="zh-CN"/>
        </w:rPr>
      </w:pPr>
      <w:bookmarkStart w:id="8" w:name="_Hlk525314309"/>
      <w:r>
        <w:rPr>
          <w:rFonts w:hint="eastAsia" w:hAnsi="仿宋"/>
          <w:szCs w:val="30"/>
          <w:highlight w:val="none"/>
          <w:lang w:val="en-US" w:eastAsia="zh-CN"/>
        </w:rPr>
        <w:t>1.下达绩效目标和绩效指标情况</w:t>
      </w:r>
    </w:p>
    <w:p w14:paraId="6DB41D1B">
      <w:pPr>
        <w:ind w:firstLine="630"/>
        <w:rPr>
          <w:rFonts w:hint="eastAsia" w:hAnsi="仿宋"/>
          <w:szCs w:val="30"/>
          <w:highlight w:val="none"/>
          <w:lang w:val="en-US" w:eastAsia="zh-CN"/>
        </w:rPr>
      </w:pPr>
      <w:r>
        <w:rPr>
          <w:rFonts w:hint="eastAsia" w:hAnsi="仿宋"/>
          <w:szCs w:val="30"/>
          <w:highlight w:val="none"/>
          <w:lang w:val="en-US" w:eastAsia="zh-CN"/>
        </w:rPr>
        <w:t>（1）绩效目标</w:t>
      </w:r>
    </w:p>
    <w:p w14:paraId="6CB9BA04">
      <w:pPr>
        <w:ind w:firstLine="630"/>
        <w:rPr>
          <w:rFonts w:hint="eastAsia" w:hAnsi="仿宋"/>
          <w:szCs w:val="30"/>
          <w:highlight w:val="none"/>
          <w:lang w:val="en-US" w:eastAsia="zh-CN"/>
        </w:rPr>
      </w:pPr>
      <w:r>
        <w:rPr>
          <w:rFonts w:hint="eastAsia" w:hAnsi="仿宋"/>
          <w:szCs w:val="30"/>
          <w:highlight w:val="none"/>
          <w:lang w:val="en-US" w:eastAsia="zh-CN"/>
        </w:rPr>
        <w:t>推动海埂大坝片区“观鸥季”交通运行状况持续向好。</w:t>
      </w:r>
    </w:p>
    <w:p w14:paraId="628681BA">
      <w:pPr>
        <w:ind w:firstLine="630"/>
        <w:rPr>
          <w:rFonts w:hint="eastAsia" w:hAnsi="仿宋"/>
          <w:szCs w:val="30"/>
          <w:highlight w:val="none"/>
          <w:lang w:val="en-US" w:eastAsia="zh-CN"/>
        </w:rPr>
      </w:pPr>
      <w:r>
        <w:rPr>
          <w:rFonts w:hint="eastAsia" w:hAnsi="仿宋"/>
          <w:szCs w:val="30"/>
          <w:highlight w:val="none"/>
          <w:lang w:val="en-US" w:eastAsia="zh-CN"/>
        </w:rPr>
        <w:t>（2）绩效指标</w:t>
      </w:r>
    </w:p>
    <w:p w14:paraId="2C0E84D0">
      <w:pPr>
        <w:ind w:firstLine="504"/>
        <w:jc w:val="center"/>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表</w:t>
      </w: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 xml:space="preserve"> 项目绩效目标申报绩效</w:t>
      </w:r>
      <w:r>
        <w:rPr>
          <w:rFonts w:hint="eastAsia" w:ascii="仿宋" w:hAnsi="仿宋" w:eastAsia="仿宋" w:cs="仿宋"/>
          <w:spacing w:val="6"/>
          <w:sz w:val="24"/>
          <w:szCs w:val="24"/>
          <w:highlight w:val="none"/>
          <w:lang w:val="en-US" w:eastAsia="zh-CN"/>
        </w:rPr>
        <w:t>指标</w:t>
      </w:r>
      <w:r>
        <w:rPr>
          <w:rFonts w:hint="eastAsia" w:ascii="仿宋" w:hAnsi="仿宋" w:eastAsia="仿宋" w:cs="仿宋"/>
          <w:spacing w:val="6"/>
          <w:sz w:val="24"/>
          <w:szCs w:val="24"/>
          <w:highlight w:val="none"/>
        </w:rPr>
        <w:t>表</w:t>
      </w:r>
    </w:p>
    <w:tbl>
      <w:tblPr>
        <w:tblStyle w:val="18"/>
        <w:tblW w:w="8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2"/>
        <w:gridCol w:w="1640"/>
        <w:gridCol w:w="4400"/>
        <w:gridCol w:w="1478"/>
      </w:tblGrid>
      <w:tr w14:paraId="73AB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blHeader/>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AF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45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CE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三级指标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6D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指标值</w:t>
            </w:r>
          </w:p>
        </w:tc>
      </w:tr>
      <w:tr w14:paraId="75D0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DD1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产出指标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2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72E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“观鸥季”交通服务保障</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1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1条</w:t>
            </w:r>
          </w:p>
        </w:tc>
      </w:tr>
      <w:tr w14:paraId="7DF4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16C3">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000000"/>
                <w:kern w:val="0"/>
                <w:sz w:val="22"/>
                <w:szCs w:val="22"/>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43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质量指标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69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符合《建筑工程施工质量验收统一标准》（GB50300-3013)及现行的质量验收标准</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AF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r>
      <w:tr w14:paraId="6990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F413">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000000"/>
                <w:kern w:val="0"/>
                <w:sz w:val="22"/>
                <w:szCs w:val="22"/>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AE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时效指标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2D3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及时对道路破损情况进行处理，按季度支付维护管养经费</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9A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收到信息后15天内，按季度支付</w:t>
            </w:r>
          </w:p>
        </w:tc>
      </w:tr>
      <w:tr w14:paraId="772E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293C">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000000"/>
                <w:kern w:val="0"/>
                <w:sz w:val="22"/>
                <w:szCs w:val="22"/>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9A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成本指标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2C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“观鸥季”交通服务保障</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0C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219.27万元</w:t>
            </w:r>
          </w:p>
        </w:tc>
      </w:tr>
      <w:tr w14:paraId="636C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E4FA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效益指标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6B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经济效益指标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17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产生的直接或间接的经济效益</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14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r>
      <w:tr w14:paraId="5FA3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809B">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000000"/>
                <w:kern w:val="0"/>
                <w:sz w:val="22"/>
                <w:szCs w:val="22"/>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9C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社会效益指标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D2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为市民创造良好的出行环境，提高城市生活质量。</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CE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r>
      <w:tr w14:paraId="798E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06F8">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000000"/>
                <w:kern w:val="0"/>
                <w:sz w:val="22"/>
                <w:szCs w:val="22"/>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5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生态效益指标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5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对生态环境所产生的积极或消极影响</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19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r>
      <w:tr w14:paraId="2181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F934">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000000"/>
                <w:kern w:val="0"/>
                <w:sz w:val="22"/>
                <w:szCs w:val="22"/>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02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可持续影响指标</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FA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通过规范到位的绿化养护管理工作，对城市道路提升改造、城市发展可以起到促进作用，可对提升城市形象、改善市容环境奠定良好基础，提供有力保障。</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8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r>
      <w:tr w14:paraId="176B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9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满意度指标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F6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服务对象满意度指标等</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766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辖区内居民</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A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r>
    </w:tbl>
    <w:p w14:paraId="70C554A2">
      <w:pPr>
        <w:ind w:firstLine="630"/>
        <w:rPr>
          <w:rFonts w:hint="eastAsia" w:hAnsi="仿宋"/>
          <w:szCs w:val="30"/>
          <w:highlight w:val="none"/>
          <w:lang w:val="en-US" w:eastAsia="zh-CN"/>
        </w:rPr>
      </w:pPr>
      <w:r>
        <w:rPr>
          <w:rFonts w:hint="eastAsia" w:hAnsi="仿宋"/>
          <w:szCs w:val="30"/>
          <w:highlight w:val="none"/>
          <w:lang w:val="en-US" w:eastAsia="zh-CN"/>
        </w:rPr>
        <w:t>2.绩效评价调整后的绩效目标和绩效指标情况</w:t>
      </w:r>
      <w:bookmarkEnd w:id="8"/>
    </w:p>
    <w:p w14:paraId="49AF49ED">
      <w:pPr>
        <w:ind w:firstLine="630"/>
        <w:rPr>
          <w:rFonts w:hint="eastAsia" w:hAnsi="仿宋"/>
          <w:szCs w:val="30"/>
          <w:highlight w:val="none"/>
          <w:lang w:val="en-US" w:eastAsia="zh-CN"/>
        </w:rPr>
      </w:pPr>
      <w:r>
        <w:rPr>
          <w:rFonts w:hint="eastAsia" w:hAnsi="仿宋"/>
          <w:szCs w:val="30"/>
          <w:highlight w:val="none"/>
          <w:lang w:val="en-US" w:eastAsia="zh-CN"/>
        </w:rPr>
        <w:t>结合根据《昆明市西山区财政局关于批复2024年部门预算的通知》西财建〔2024〕2号、《昆明市西山区人民政府办公室关于印发西山区海埂片区“观鸥季”交通服务保障工作方案的通知》西政办通〔2024〕6号、昆明市人民政府办公室关于交办海埂片区“观鸥季”交通服务保障工作要素需求任务清单的通知及海埂片区“观鸥季”交通服务保障要素需求专题会议纪要要求，通过对绩效目标的分析，具体调整情况如下：</w:t>
      </w:r>
    </w:p>
    <w:p w14:paraId="413DA58D">
      <w:pPr>
        <w:ind w:firstLine="630"/>
        <w:rPr>
          <w:rFonts w:hint="default" w:hAnsi="仿宋"/>
          <w:szCs w:val="30"/>
          <w:highlight w:val="none"/>
          <w:lang w:val="en-US" w:eastAsia="zh-CN"/>
        </w:rPr>
      </w:pPr>
      <w:r>
        <w:rPr>
          <w:rFonts w:hint="eastAsia" w:hAnsi="仿宋"/>
          <w:szCs w:val="30"/>
          <w:highlight w:val="none"/>
          <w:lang w:val="en-US" w:eastAsia="zh-CN"/>
        </w:rPr>
        <w:t>将总体目标修改为：以保障“观鸥季”交通顺畅、提升游客出行体验为核心，通过优化交通组织、强化服务保障、细化缓堵措施，全力维护海埂片区交通运行秩序。助力“观鸥 特色旅游目的地打造，以交通服务提质为抓手，助推昆明城市品质全面提升，实现“观鸥季”交通安全、有序、高效运行。</w:t>
      </w:r>
    </w:p>
    <w:p w14:paraId="7ABDE986">
      <w:pPr>
        <w:spacing w:line="579" w:lineRule="exact"/>
        <w:ind w:firstLine="630" w:firstLineChars="200"/>
        <w:outlineLvl w:val="1"/>
        <w:rPr>
          <w:rFonts w:hint="eastAsia" w:ascii="楷体" w:hAnsi="楷体" w:eastAsia="楷体"/>
          <w:szCs w:val="30"/>
          <w:highlight w:val="none"/>
        </w:rPr>
      </w:pPr>
      <w:bookmarkStart w:id="9" w:name="_Toc24846"/>
      <w:bookmarkStart w:id="10" w:name="_Toc19159"/>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9"/>
      <w:bookmarkEnd w:id="10"/>
    </w:p>
    <w:p w14:paraId="517B06AE">
      <w:pPr>
        <w:ind w:firstLine="630"/>
        <w:rPr>
          <w:rFonts w:hint="eastAsia" w:hAnsi="仿宋"/>
          <w:szCs w:val="30"/>
          <w:highlight w:val="none"/>
          <w:lang w:val="en-US" w:eastAsia="zh-CN"/>
        </w:rPr>
      </w:pPr>
      <w:r>
        <w:rPr>
          <w:rFonts w:hint="eastAsia" w:hAnsi="仿宋"/>
          <w:szCs w:val="30"/>
          <w:highlight w:val="none"/>
          <w:lang w:val="en-US" w:eastAsia="zh-CN"/>
        </w:rPr>
        <w:t>1.项目管理情况</w:t>
      </w:r>
    </w:p>
    <w:p w14:paraId="03D99B36">
      <w:pPr>
        <w:ind w:firstLine="630"/>
        <w:rPr>
          <w:rFonts w:hint="default" w:hAnsi="仿宋"/>
          <w:szCs w:val="30"/>
          <w:highlight w:val="none"/>
          <w:lang w:val="en-US" w:eastAsia="zh-CN"/>
        </w:rPr>
      </w:pPr>
      <w:r>
        <w:rPr>
          <w:rFonts w:hint="default" w:hAnsi="仿宋"/>
          <w:szCs w:val="30"/>
          <w:highlight w:val="none"/>
          <w:lang w:val="en-US" w:eastAsia="zh-CN"/>
        </w:rPr>
        <w:t>项目已制定或具有相应的财务和业务管理制度；财务和业务管理制度合法、合规、完整。且根据国家、省相关规定，单独制定了昆明市西山区住房和城乡建设局关于印发局《财务管理规定(修订)》的通知、参照《市政工程项目管理制度》等管理办法。</w:t>
      </w:r>
    </w:p>
    <w:p w14:paraId="0387DD59">
      <w:pPr>
        <w:ind w:firstLine="630"/>
        <w:rPr>
          <w:rFonts w:hint="default" w:hAnsi="仿宋"/>
          <w:szCs w:val="30"/>
          <w:highlight w:val="none"/>
          <w:lang w:val="en-US" w:eastAsia="zh-CN"/>
        </w:rPr>
      </w:pPr>
      <w:r>
        <w:rPr>
          <w:rFonts w:hint="eastAsia" w:hAnsi="仿宋"/>
          <w:szCs w:val="30"/>
          <w:highlight w:val="none"/>
          <w:lang w:val="en-US" w:eastAsia="zh-CN"/>
        </w:rPr>
        <w:t>验收内容：该项目由云南公路桥梁市政工程监理咨询有限公司进行监理，项目于2024年4月10日开工，2024年5月10日完工。2024年7月12日经施工、监理、设计、建设单位共同验收，评定为质量合格。</w:t>
      </w:r>
    </w:p>
    <w:p w14:paraId="3C77867A">
      <w:pPr>
        <w:ind w:firstLine="630"/>
        <w:rPr>
          <w:rFonts w:hint="default" w:hAnsi="仿宋"/>
          <w:szCs w:val="30"/>
          <w:highlight w:val="none"/>
          <w:lang w:val="en-US" w:eastAsia="zh-CN"/>
        </w:rPr>
      </w:pPr>
      <w:r>
        <w:rPr>
          <w:rFonts w:hint="eastAsia" w:hAnsi="仿宋"/>
          <w:szCs w:val="30"/>
          <w:highlight w:val="none"/>
          <w:lang w:val="en-US" w:eastAsia="zh-CN"/>
        </w:rPr>
        <w:t>2.资金管理情况</w:t>
      </w:r>
    </w:p>
    <w:p w14:paraId="7112FBB7">
      <w:pPr>
        <w:ind w:firstLine="630"/>
        <w:rPr>
          <w:rFonts w:hint="default" w:hAnsi="仿宋"/>
          <w:szCs w:val="30"/>
          <w:highlight w:val="none"/>
          <w:lang w:val="en-US" w:eastAsia="zh-CN"/>
        </w:rPr>
      </w:pPr>
      <w:r>
        <w:rPr>
          <w:rFonts w:hint="eastAsia" w:hAnsi="仿宋"/>
          <w:szCs w:val="30"/>
          <w:highlight w:val="none"/>
          <w:lang w:val="en-US" w:eastAsia="zh-CN"/>
        </w:rPr>
        <w:t>为了建立科学合理的资金管理程序，确保项目专项资金的安全、有效使用，根据《国有建设单位会计制度》和《基本建设财务管理规定》等法律法规，结合西山区实际，单独制定了昆明市西山区住房和城乡建设局关于印发局《财务管理规定(修订)》的通知。按管理办法及《会计法》的有关规定，依法设置了会计账簿、会计凭证，确保账表相符、账账相符，保证账证的真实性、合法性、完整性。</w:t>
      </w:r>
    </w:p>
    <w:p w14:paraId="24643ED7">
      <w:pPr>
        <w:spacing w:line="579" w:lineRule="exact"/>
        <w:ind w:firstLine="630" w:firstLineChars="200"/>
        <w:outlineLvl w:val="0"/>
        <w:rPr>
          <w:rFonts w:ascii="黑体" w:hAnsi="宋体" w:eastAsia="黑体" w:cs="宋体"/>
          <w:szCs w:val="30"/>
        </w:rPr>
      </w:pPr>
      <w:bookmarkStart w:id="11" w:name="_Toc20658"/>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11"/>
    </w:p>
    <w:p w14:paraId="71B901DA">
      <w:pPr>
        <w:spacing w:line="579" w:lineRule="exact"/>
        <w:ind w:firstLine="630" w:firstLineChars="200"/>
        <w:outlineLvl w:val="1"/>
        <w:rPr>
          <w:rFonts w:hint="default" w:ascii="楷体" w:hAnsi="楷体" w:eastAsia="楷体"/>
          <w:szCs w:val="30"/>
          <w:highlight w:val="none"/>
          <w:lang w:val="en-US" w:eastAsia="zh-CN"/>
        </w:rPr>
      </w:pPr>
      <w:bookmarkStart w:id="12" w:name="_Toc28655"/>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2"/>
    </w:p>
    <w:p w14:paraId="2112453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1.绩效评价的目的</w:t>
      </w:r>
    </w:p>
    <w:p w14:paraId="13ED2365">
      <w:pPr>
        <w:spacing w:line="579" w:lineRule="exact"/>
        <w:ind w:firstLine="630" w:firstLineChars="200"/>
        <w:rPr>
          <w:rFonts w:hint="default" w:hAnsi="仿宋"/>
          <w:szCs w:val="30"/>
          <w:lang w:val="en-US" w:eastAsia="zh-CN"/>
        </w:rPr>
      </w:pPr>
      <w:r>
        <w:rPr>
          <w:rFonts w:hint="default" w:hAnsi="仿宋"/>
          <w:szCs w:val="30"/>
          <w:lang w:val="en-US" w:eastAsia="zh-CN"/>
        </w:rPr>
        <w:t>本次绩效评价围绕项目</w:t>
      </w:r>
      <w:r>
        <w:rPr>
          <w:rFonts w:hint="eastAsia" w:hAnsi="仿宋"/>
          <w:szCs w:val="30"/>
          <w:lang w:val="en-US" w:eastAsia="zh-CN"/>
        </w:rPr>
        <w:t>资金投入</w:t>
      </w:r>
      <w:r>
        <w:rPr>
          <w:rFonts w:hint="default" w:hAnsi="仿宋"/>
          <w:szCs w:val="30"/>
          <w:lang w:val="en-US" w:eastAsia="zh-CN"/>
        </w:rPr>
        <w:t>合理性、管理过程是否规范、产出目标是否完成以及效益目标是否实现等方面的内容，重点关注项目</w:t>
      </w:r>
      <w:r>
        <w:rPr>
          <w:rFonts w:hint="eastAsia" w:hAnsi="仿宋"/>
          <w:szCs w:val="30"/>
          <w:lang w:val="en-US" w:eastAsia="zh-CN"/>
        </w:rPr>
        <w:t>是否按时按质完工、是否产生预期效益、</w:t>
      </w:r>
      <w:r>
        <w:rPr>
          <w:rFonts w:hint="eastAsia" w:hAnsi="仿宋"/>
          <w:szCs w:val="30"/>
          <w:highlight w:val="none"/>
          <w:lang w:val="en-US" w:eastAsia="zh-CN"/>
        </w:rPr>
        <w:t>资金使用是否规范等</w:t>
      </w:r>
      <w:r>
        <w:rPr>
          <w:rFonts w:hint="default" w:hAnsi="仿宋"/>
          <w:szCs w:val="30"/>
          <w:highlight w:val="none"/>
          <w:lang w:val="en-US" w:eastAsia="zh-CN"/>
        </w:rPr>
        <w:t>。为进一步规范财政资金运行和预算绩效管理，推动部门有效履职，优化资源配置和财政支出结构，强化支出责任，提高财</w:t>
      </w:r>
      <w:r>
        <w:rPr>
          <w:rFonts w:hint="default" w:hAnsi="仿宋"/>
          <w:szCs w:val="30"/>
          <w:lang w:val="en-US" w:eastAsia="zh-CN"/>
        </w:rPr>
        <w:t>政资金使用效益提供支撑。</w:t>
      </w:r>
    </w:p>
    <w:p w14:paraId="53709CD6">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2.绩效评价对象和范围</w:t>
      </w:r>
    </w:p>
    <w:p w14:paraId="594C208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（1）评价对象</w:t>
      </w:r>
    </w:p>
    <w:p w14:paraId="37092C13">
      <w:pPr>
        <w:spacing w:line="579" w:lineRule="exact"/>
        <w:ind w:firstLine="630" w:firstLineChars="200"/>
        <w:rPr>
          <w:rFonts w:hint="default" w:hAnsi="仿宋"/>
          <w:szCs w:val="30"/>
          <w:highlight w:val="none"/>
          <w:lang w:val="en-US" w:eastAsia="zh-CN"/>
        </w:rPr>
      </w:pPr>
      <w:r>
        <w:rPr>
          <w:rFonts w:hint="default" w:hAnsi="仿宋"/>
          <w:szCs w:val="30"/>
          <w:highlight w:val="none"/>
          <w:lang w:val="en-US" w:eastAsia="zh-CN"/>
        </w:rPr>
        <w:t>本评价以项目立项程序、项目管理效能、资金管理规范度及绩效目标达成情况为核心评价内容，对昆明市西山区住房和城乡建设局牵头实施的</w:t>
      </w:r>
      <w:r>
        <w:rPr>
          <w:rFonts w:hint="eastAsia" w:hAnsi="仿宋"/>
          <w:szCs w:val="30"/>
          <w:highlight w:val="none"/>
          <w:lang w:val="en-US" w:eastAsia="zh-CN"/>
        </w:rPr>
        <w:t>2024年</w:t>
      </w:r>
      <w:r>
        <w:rPr>
          <w:rFonts w:hint="default" w:hAnsi="仿宋"/>
          <w:szCs w:val="30"/>
          <w:highlight w:val="none"/>
          <w:lang w:val="en-US" w:eastAsia="zh-CN"/>
        </w:rPr>
        <w:t>西山区海埂片区“观鸥季”交通服务保障项目实施管理工作进行全面、客观、系统的综合</w:t>
      </w:r>
      <w:r>
        <w:rPr>
          <w:rFonts w:hint="eastAsia" w:hAnsi="仿宋"/>
          <w:szCs w:val="30"/>
          <w:highlight w:val="none"/>
          <w:lang w:val="en-US" w:eastAsia="zh-CN"/>
        </w:rPr>
        <w:t>评价</w:t>
      </w:r>
      <w:r>
        <w:rPr>
          <w:rFonts w:hint="default" w:hAnsi="仿宋"/>
          <w:szCs w:val="30"/>
          <w:highlight w:val="none"/>
          <w:lang w:val="en-US" w:eastAsia="zh-CN"/>
        </w:rPr>
        <w:t>。</w:t>
      </w:r>
    </w:p>
    <w:p w14:paraId="1A234265">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（2）评价范围</w:t>
      </w:r>
    </w:p>
    <w:p w14:paraId="21AFA4C5">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056640CF">
      <w:pPr>
        <w:spacing w:line="579" w:lineRule="exact"/>
        <w:ind w:firstLine="630" w:firstLineChars="200"/>
        <w:outlineLvl w:val="1"/>
        <w:rPr>
          <w:rFonts w:hint="eastAsia" w:hAnsi="仿宋" w:eastAsia="仿宋"/>
          <w:szCs w:val="30"/>
          <w:lang w:eastAsia="zh-CN"/>
        </w:rPr>
      </w:pPr>
      <w:bookmarkStart w:id="13" w:name="_Toc30630"/>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13"/>
    </w:p>
    <w:p w14:paraId="3053BDF1">
      <w:pPr>
        <w:spacing w:line="579" w:lineRule="exact"/>
        <w:ind w:firstLine="630" w:firstLineChars="200"/>
        <w:rPr>
          <w:rFonts w:hint="eastAsia" w:hAnsi="仿宋"/>
          <w:szCs w:val="30"/>
          <w:lang w:val="en-US" w:eastAsia="zh-CN"/>
        </w:rPr>
      </w:pPr>
      <w:r>
        <w:rPr>
          <w:rFonts w:hint="eastAsia" w:hAnsi="仿宋"/>
          <w:szCs w:val="30"/>
          <w:lang w:val="en-US" w:eastAsia="zh-CN"/>
        </w:rPr>
        <w:t>1.公平性原则。公平公正是绩效评价工作的前提，坚持公平的原则才能客观真实的反映绩效评价结果。运用科学合理的方法，按照规范的程序，对项目绩效进行客观、公正的反映。</w:t>
      </w:r>
    </w:p>
    <w:p w14:paraId="0AAD5926">
      <w:pPr>
        <w:spacing w:line="579" w:lineRule="exact"/>
        <w:ind w:firstLine="630" w:firstLineChars="200"/>
        <w:rPr>
          <w:rFonts w:hint="eastAsia" w:hAnsi="仿宋"/>
          <w:szCs w:val="30"/>
          <w:lang w:val="en-US" w:eastAsia="zh-CN"/>
        </w:rPr>
      </w:pPr>
      <w:r>
        <w:rPr>
          <w:rFonts w:hint="eastAsia" w:hAnsi="仿宋"/>
          <w:szCs w:val="30"/>
          <w:lang w:val="en-US" w:eastAsia="zh-CN"/>
        </w:rPr>
        <w:t>2.客观性原则。绩效评价应当把考核标准与绩效目标联系起来，过程中应标准明确、方法科学、制度严格、态度认真，确保评价依据数据的客观准确，不同抽样点评价标准一致。</w:t>
      </w:r>
    </w:p>
    <w:p w14:paraId="79EFB26C">
      <w:pPr>
        <w:spacing w:line="579" w:lineRule="exact"/>
        <w:ind w:firstLine="630" w:firstLineChars="200"/>
        <w:rPr>
          <w:rFonts w:hint="eastAsia" w:hAnsi="仿宋"/>
          <w:szCs w:val="30"/>
          <w:lang w:val="en-US" w:eastAsia="zh-CN"/>
        </w:rPr>
      </w:pPr>
      <w:r>
        <w:rPr>
          <w:rFonts w:hint="eastAsia" w:hAnsi="仿宋"/>
          <w:szCs w:val="30"/>
          <w:lang w:val="en-US" w:eastAsia="zh-CN"/>
        </w:rPr>
        <w:t>3.可行性原则。绩效评价标准应客观反映被评价单位的部门履职情况，评价的数据来源应具备客观性，评价标准应得到被评价单位的认可。</w:t>
      </w:r>
    </w:p>
    <w:p w14:paraId="2544F47C">
      <w:pPr>
        <w:spacing w:line="579" w:lineRule="exact"/>
        <w:ind w:firstLine="630" w:firstLineChars="200"/>
        <w:rPr>
          <w:rFonts w:hint="eastAsia" w:hAnsi="仿宋"/>
          <w:szCs w:val="30"/>
        </w:rPr>
      </w:pPr>
      <w:r>
        <w:rPr>
          <w:rFonts w:hint="eastAsia" w:hAnsi="仿宋"/>
          <w:szCs w:val="30"/>
          <w:lang w:val="en-US" w:eastAsia="zh-CN"/>
        </w:rPr>
        <w:t>4.公开性原则。绩效评价过程中评价内容、评价标准、评价结果应对被评价单位公开，避免评价结论出现误判</w:t>
      </w:r>
      <w:r>
        <w:rPr>
          <w:rFonts w:hint="eastAsia" w:hAnsi="仿宋"/>
          <w:szCs w:val="30"/>
        </w:rPr>
        <w:t>。</w:t>
      </w:r>
    </w:p>
    <w:p w14:paraId="6AA6960E">
      <w:pPr>
        <w:spacing w:line="579" w:lineRule="exact"/>
        <w:ind w:firstLine="632"/>
        <w:outlineLvl w:val="1"/>
        <w:rPr>
          <w:rFonts w:hint="eastAsia" w:ascii="楷体" w:hAnsi="楷体" w:eastAsia="楷体"/>
          <w:szCs w:val="30"/>
        </w:rPr>
      </w:pPr>
      <w:bookmarkStart w:id="14" w:name="_Toc24678"/>
      <w:r>
        <w:rPr>
          <w:rFonts w:hint="eastAsia" w:ascii="楷体" w:hAnsi="楷体" w:eastAsia="楷体"/>
          <w:szCs w:val="30"/>
        </w:rPr>
        <w:t>（三）绩效评价依据</w:t>
      </w:r>
      <w:bookmarkEnd w:id="14"/>
    </w:p>
    <w:p w14:paraId="25FF885C">
      <w:pPr>
        <w:spacing w:line="579" w:lineRule="exact"/>
        <w:ind w:firstLine="630" w:firstLineChars="200"/>
        <w:rPr>
          <w:rFonts w:hint="eastAsia" w:hAnsi="仿宋"/>
          <w:szCs w:val="30"/>
          <w:lang w:val="en-US" w:eastAsia="zh-CN"/>
        </w:rPr>
      </w:pPr>
      <w:r>
        <w:rPr>
          <w:rFonts w:hint="eastAsia" w:hAnsi="仿宋"/>
          <w:szCs w:val="30"/>
          <w:lang w:val="en-US" w:eastAsia="zh-CN"/>
        </w:rPr>
        <w:t>1.财政部《项目支出绩效评价管理办法》（财预〔2020〕10号）；</w:t>
      </w:r>
    </w:p>
    <w:p w14:paraId="382E7616">
      <w:pPr>
        <w:spacing w:line="579" w:lineRule="exact"/>
        <w:ind w:firstLine="630" w:firstLineChars="200"/>
        <w:rPr>
          <w:rFonts w:hint="eastAsia" w:hAnsi="仿宋"/>
          <w:szCs w:val="30"/>
          <w:lang w:val="en-US" w:eastAsia="zh-CN"/>
        </w:rPr>
      </w:pPr>
      <w:r>
        <w:rPr>
          <w:rFonts w:hint="eastAsia" w:hAnsi="仿宋"/>
          <w:szCs w:val="30"/>
          <w:lang w:val="en-US" w:eastAsia="zh-CN"/>
        </w:rPr>
        <w:t>2.《云南省项目支出绩效评价管理办法》（云财绩〔2020〕11号）；</w:t>
      </w:r>
    </w:p>
    <w:p w14:paraId="019460B6">
      <w:pPr>
        <w:spacing w:line="579" w:lineRule="exact"/>
        <w:ind w:firstLine="630" w:firstLineChars="200"/>
        <w:rPr>
          <w:rFonts w:hint="eastAsia" w:hAnsi="仿宋"/>
          <w:szCs w:val="30"/>
          <w:lang w:val="en-US" w:eastAsia="zh-CN"/>
        </w:rPr>
      </w:pPr>
      <w:r>
        <w:rPr>
          <w:rFonts w:hint="eastAsia" w:hAnsi="仿宋"/>
          <w:szCs w:val="30"/>
          <w:lang w:val="en-US" w:eastAsia="zh-CN"/>
        </w:rPr>
        <w:t>3.《中共昆明市委、昆明市人民政府关于全面实施预算绩效管理的实施意见》（昆发〔2019〕12号）；</w:t>
      </w:r>
    </w:p>
    <w:p w14:paraId="4C454109">
      <w:pPr>
        <w:spacing w:line="579" w:lineRule="exact"/>
        <w:ind w:firstLine="630" w:firstLineChars="200"/>
        <w:rPr>
          <w:rFonts w:hint="eastAsia" w:hAnsi="仿宋"/>
          <w:szCs w:val="30"/>
          <w:lang w:val="en-US" w:eastAsia="zh-CN"/>
        </w:rPr>
      </w:pPr>
      <w:r>
        <w:rPr>
          <w:rFonts w:hint="eastAsia" w:hAnsi="仿宋"/>
          <w:szCs w:val="30"/>
          <w:lang w:val="en-US" w:eastAsia="zh-CN"/>
        </w:rPr>
        <w:t>4.《中央对地方专项转移支付绩效目标管理暂行办法》(财预〔2015〕163号)；</w:t>
      </w:r>
    </w:p>
    <w:p w14:paraId="15756172">
      <w:pPr>
        <w:spacing w:line="579" w:lineRule="exact"/>
        <w:ind w:firstLine="630" w:firstLineChars="200"/>
        <w:rPr>
          <w:rFonts w:hint="eastAsia" w:hAnsi="仿宋"/>
          <w:szCs w:val="30"/>
          <w:lang w:val="en-US" w:eastAsia="zh-CN"/>
        </w:rPr>
      </w:pPr>
      <w:r>
        <w:rPr>
          <w:rFonts w:hint="eastAsia" w:hAnsi="仿宋"/>
          <w:szCs w:val="30"/>
          <w:lang w:val="en-US" w:eastAsia="zh-CN"/>
        </w:rPr>
        <w:t>5.《昆明市西山区财政局关于批复2024年部门预算的通知》西财建〔2024〕2号；</w:t>
      </w:r>
    </w:p>
    <w:p w14:paraId="1C8386AA">
      <w:pPr>
        <w:spacing w:line="579" w:lineRule="exact"/>
        <w:ind w:firstLine="630" w:firstLineChars="200"/>
        <w:rPr>
          <w:rFonts w:hint="eastAsia" w:hAnsi="仿宋"/>
          <w:szCs w:val="30"/>
          <w:lang w:val="en-US" w:eastAsia="zh-CN"/>
        </w:rPr>
      </w:pPr>
      <w:r>
        <w:rPr>
          <w:rFonts w:hint="eastAsia" w:hAnsi="仿宋"/>
          <w:szCs w:val="30"/>
          <w:lang w:val="en-US" w:eastAsia="zh-CN"/>
        </w:rPr>
        <w:t>6.《昆明市西山区人民政府办公室关于印发西山区海埂片区“观鸥季”交通服务保障工作方案的通知》西政办通〔2024〕6号。</w:t>
      </w:r>
    </w:p>
    <w:p w14:paraId="41F21435">
      <w:pPr>
        <w:spacing w:line="579" w:lineRule="exact"/>
        <w:ind w:firstLine="632"/>
        <w:outlineLvl w:val="1"/>
        <w:rPr>
          <w:rFonts w:hint="eastAsia" w:ascii="楷体" w:hAnsi="楷体" w:eastAsia="楷体"/>
          <w:szCs w:val="30"/>
        </w:rPr>
      </w:pPr>
      <w:bookmarkStart w:id="15" w:name="_Toc21992"/>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15"/>
    </w:p>
    <w:p w14:paraId="2BC74E53">
      <w:pPr>
        <w:spacing w:line="579" w:lineRule="exact"/>
        <w:ind w:firstLine="630" w:firstLineChars="200"/>
        <w:rPr>
          <w:rFonts w:hint="eastAsia" w:hAnsi="仿宋"/>
          <w:szCs w:val="30"/>
        </w:rPr>
      </w:pPr>
      <w:r>
        <w:rPr>
          <w:rFonts w:hint="eastAsia" w:hAnsi="仿宋"/>
          <w:szCs w:val="30"/>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2876D9CC">
      <w:pPr>
        <w:spacing w:line="579" w:lineRule="exact"/>
        <w:ind w:firstLine="630" w:firstLineChars="200"/>
        <w:rPr>
          <w:rFonts w:hint="eastAsia" w:hAnsi="仿宋"/>
          <w:szCs w:val="30"/>
        </w:rPr>
      </w:pPr>
      <w:r>
        <w:rPr>
          <w:rFonts w:hint="eastAsia" w:hAnsi="仿宋"/>
          <w:szCs w:val="30"/>
          <w:lang w:val="en-US" w:eastAsia="zh-CN"/>
        </w:rPr>
        <w:t>1.</w:t>
      </w:r>
      <w:r>
        <w:rPr>
          <w:rFonts w:hint="eastAsia" w:hAnsi="仿宋"/>
          <w:szCs w:val="30"/>
        </w:rPr>
        <w:t>评价方法</w:t>
      </w:r>
    </w:p>
    <w:p w14:paraId="1D27B052">
      <w:pPr>
        <w:spacing w:line="579" w:lineRule="exact"/>
        <w:ind w:firstLine="630" w:firstLineChars="200"/>
        <w:rPr>
          <w:rFonts w:hint="eastAsia" w:hAnsi="仿宋"/>
          <w:szCs w:val="30"/>
        </w:rPr>
      </w:pPr>
      <w:r>
        <w:rPr>
          <w:rFonts w:hint="eastAsia" w:hAnsi="仿宋"/>
          <w:szCs w:val="30"/>
        </w:rPr>
        <w:t>本次评价采用比较法、因素分析法和公众评判法等方法对项目的整体情况进行综合评价。包括将实际执行情况与</w:t>
      </w:r>
      <w:r>
        <w:rPr>
          <w:rFonts w:hint="eastAsia" w:hAnsi="仿宋"/>
          <w:szCs w:val="30"/>
          <w:lang w:val="en-US" w:eastAsia="zh-CN"/>
        </w:rPr>
        <w:t>计划</w:t>
      </w:r>
      <w:r>
        <w:rPr>
          <w:rFonts w:hint="eastAsia" w:hAnsi="仿宋"/>
          <w:szCs w:val="30"/>
        </w:rPr>
        <w:t>绩效目标进行比较分析，在评价中综合分析政策执行外部环境、内部控制等因素对绩效目标完成情况的影响，同时通过专家评估、公众问卷和抽样调查等公众评判法</w:t>
      </w:r>
      <w:r>
        <w:rPr>
          <w:rFonts w:hint="eastAsia" w:hAnsi="仿宋"/>
          <w:szCs w:val="30"/>
          <w:lang w:val="en-US" w:eastAsia="zh-CN"/>
        </w:rPr>
        <w:t>进行评价</w:t>
      </w:r>
      <w:r>
        <w:rPr>
          <w:rFonts w:hint="eastAsia" w:hAnsi="仿宋"/>
          <w:szCs w:val="30"/>
        </w:rPr>
        <w:t>，实地了解预算资金执行情况，社会公众满意度情况。</w:t>
      </w:r>
    </w:p>
    <w:p w14:paraId="44A0B647">
      <w:pPr>
        <w:spacing w:line="579" w:lineRule="exact"/>
        <w:ind w:firstLine="630" w:firstLineChars="200"/>
        <w:rPr>
          <w:rFonts w:hint="eastAsia" w:hAnsi="仿宋"/>
          <w:szCs w:val="30"/>
        </w:rPr>
      </w:pPr>
      <w:r>
        <w:rPr>
          <w:rFonts w:hint="eastAsia" w:hAnsi="仿宋"/>
          <w:szCs w:val="30"/>
          <w:lang w:val="en-US" w:eastAsia="zh-CN"/>
        </w:rPr>
        <w:t>2.</w:t>
      </w:r>
      <w:r>
        <w:rPr>
          <w:rFonts w:hint="eastAsia" w:hAnsi="仿宋"/>
          <w:szCs w:val="30"/>
        </w:rPr>
        <w:t>评价方式</w:t>
      </w:r>
    </w:p>
    <w:p w14:paraId="7ADE2085">
      <w:pPr>
        <w:spacing w:line="579" w:lineRule="exact"/>
        <w:ind w:firstLine="630" w:firstLineChars="200"/>
        <w:rPr>
          <w:rFonts w:hint="eastAsia" w:hAnsi="仿宋"/>
          <w:szCs w:val="30"/>
        </w:rPr>
      </w:pPr>
      <w:r>
        <w:rPr>
          <w:rFonts w:hint="eastAsia" w:hAnsi="仿宋"/>
          <w:szCs w:val="30"/>
        </w:rPr>
        <w:t>一是资料审阅。从被评价部门收集与项目预算、管理、绩效相关的评价数据，形成绩效评价的基础资料，并对基础资料的真实性、可靠性进行审阅。具体为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4AF05D51">
      <w:pPr>
        <w:spacing w:line="579" w:lineRule="exact"/>
        <w:ind w:firstLine="630" w:firstLineChars="200"/>
        <w:rPr>
          <w:rFonts w:hint="eastAsia" w:hAnsi="仿宋"/>
          <w:szCs w:val="30"/>
        </w:rPr>
      </w:pPr>
      <w:r>
        <w:rPr>
          <w:rFonts w:hint="eastAsia" w:hAnsi="仿宋"/>
          <w:szCs w:val="30"/>
          <w:lang w:val="en-US" w:eastAsia="zh-CN"/>
        </w:rPr>
        <w:t>二</w:t>
      </w:r>
      <w:r>
        <w:rPr>
          <w:rFonts w:hint="eastAsia" w:hAnsi="仿宋"/>
          <w:szCs w:val="30"/>
        </w:rPr>
        <w:t>是实地评价。绩效评价工作组根据分工，采用资料收集与数据填报、问卷调查等方式，组织开展实地评价。在绩效评价实施过程中，根据评价对象的具体情况，设计数据收集表格收集评价数据、资料；同时发放调查问卷调查项目的公众满意度、管理人员意见以及评价相关的信息。</w:t>
      </w:r>
    </w:p>
    <w:p w14:paraId="70C10667">
      <w:pPr>
        <w:spacing w:line="579" w:lineRule="exact"/>
        <w:ind w:firstLine="630" w:firstLineChars="200"/>
        <w:outlineLvl w:val="1"/>
        <w:rPr>
          <w:rFonts w:ascii="楷体" w:hAnsi="楷体" w:eastAsia="楷体"/>
          <w:szCs w:val="30"/>
        </w:rPr>
      </w:pPr>
      <w:bookmarkStart w:id="16" w:name="_Toc6097"/>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16"/>
    </w:p>
    <w:p w14:paraId="617A5749">
      <w:pPr>
        <w:spacing w:line="579" w:lineRule="exact"/>
        <w:ind w:firstLine="630" w:firstLineChars="200"/>
        <w:rPr>
          <w:rFonts w:hAnsi="仿宋"/>
          <w:szCs w:val="30"/>
        </w:rPr>
      </w:pPr>
      <w:r>
        <w:rPr>
          <w:rFonts w:hint="eastAsia" w:hAnsi="仿宋"/>
          <w:szCs w:val="30"/>
        </w:rPr>
        <w:t>1.指标体系</w:t>
      </w:r>
    </w:p>
    <w:p w14:paraId="17542148">
      <w:pPr>
        <w:spacing w:line="579" w:lineRule="exact"/>
        <w:ind w:firstLine="630" w:firstLineChars="200"/>
        <w:rPr>
          <w:rFonts w:hAnsi="仿宋"/>
          <w:szCs w:val="30"/>
          <w:highlight w:val="none"/>
        </w:rPr>
      </w:pPr>
      <w:r>
        <w:rPr>
          <w:rFonts w:hint="eastAsia" w:hAnsi="仿宋"/>
          <w:szCs w:val="30"/>
        </w:rPr>
        <w:t>本次绩效评价，针对项目设置绩效评价指标体系，设计思路是：本次对项目的绩效评价从项目的设立、执行、产出及效果的全过程的绩效评价，一级指标即共性指标，反映项目评价的通用要素，适合所有的项目评价。即:投入、过程、产出、效果4个一级指标。在此基础上，根据项目自身特</w:t>
      </w:r>
      <w:r>
        <w:rPr>
          <w:rFonts w:hint="eastAsia" w:hAnsi="仿宋"/>
          <w:szCs w:val="30"/>
          <w:highlight w:val="none"/>
        </w:rPr>
        <w:t>性进行细化，分解明确项目立项、资金落实</w:t>
      </w:r>
      <w:r>
        <w:rPr>
          <w:rFonts w:hint="eastAsia" w:hAnsi="仿宋"/>
          <w:szCs w:val="30"/>
          <w:highlight w:val="none"/>
          <w:lang w:eastAsia="zh-CN"/>
        </w:rPr>
        <w:t>、业务管理、财务管理、项目产出、项目效益、满意</w:t>
      </w:r>
      <w:r>
        <w:rPr>
          <w:rFonts w:hint="eastAsia" w:hAnsi="仿宋"/>
          <w:szCs w:val="30"/>
          <w:highlight w:val="none"/>
          <w:lang w:val="en-US" w:eastAsia="zh-CN"/>
        </w:rPr>
        <w:t>度7</w:t>
      </w:r>
      <w:r>
        <w:rPr>
          <w:rFonts w:hint="eastAsia" w:hAnsi="仿宋"/>
          <w:szCs w:val="30"/>
          <w:highlight w:val="none"/>
        </w:rPr>
        <w:t>个二级指标，在此基础上细化分解为</w:t>
      </w:r>
      <w:r>
        <w:rPr>
          <w:rFonts w:hint="eastAsia" w:hAnsi="仿宋"/>
          <w:szCs w:val="30"/>
          <w:highlight w:val="none"/>
          <w:lang w:val="en-US" w:eastAsia="zh-CN"/>
        </w:rPr>
        <w:t>20</w:t>
      </w:r>
      <w:r>
        <w:rPr>
          <w:rFonts w:hint="eastAsia" w:hAnsi="仿宋"/>
          <w:szCs w:val="30"/>
          <w:highlight w:val="none"/>
        </w:rPr>
        <w:t>个三级指标。</w:t>
      </w:r>
    </w:p>
    <w:p w14:paraId="4EC583AB">
      <w:pPr>
        <w:spacing w:line="579" w:lineRule="exact"/>
        <w:ind w:firstLine="630" w:firstLineChars="200"/>
        <w:rPr>
          <w:rFonts w:hint="eastAsia" w:hAnsi="仿宋" w:cs="Times New Roman"/>
          <w:szCs w:val="30"/>
          <w:highlight w:val="none"/>
        </w:rPr>
      </w:pPr>
      <w:r>
        <w:rPr>
          <w:rFonts w:hint="eastAsia" w:hAnsi="仿宋" w:cs="Times New Roman"/>
          <w:szCs w:val="30"/>
          <w:highlight w:val="none"/>
        </w:rPr>
        <w:t>2.指标权重</w:t>
      </w:r>
    </w:p>
    <w:p w14:paraId="6F8A7237">
      <w:pPr>
        <w:spacing w:line="579" w:lineRule="exact"/>
        <w:ind w:firstLine="630" w:firstLineChars="200"/>
        <w:rPr>
          <w:rFonts w:hint="default" w:hAnsi="仿宋" w:cs="Times New Roman"/>
          <w:szCs w:val="30"/>
          <w:highlight w:val="none"/>
          <w:lang w:val="en-US" w:eastAsia="zh-CN"/>
        </w:rPr>
      </w:pPr>
      <w:r>
        <w:rPr>
          <w:rFonts w:hint="default" w:hAnsi="仿宋" w:cs="Times New Roman"/>
          <w:szCs w:val="30"/>
          <w:highlight w:val="none"/>
          <w:lang w:val="en-US" w:eastAsia="zh-CN"/>
        </w:rPr>
        <w:t>结合</w:t>
      </w:r>
      <w:r>
        <w:rPr>
          <w:rFonts w:hint="eastAsia" w:hAnsi="仿宋" w:cs="Times New Roman"/>
          <w:szCs w:val="30"/>
          <w:highlight w:val="none"/>
          <w:lang w:val="en-US" w:eastAsia="zh-CN"/>
        </w:rPr>
        <w:t>项目</w:t>
      </w:r>
      <w:r>
        <w:rPr>
          <w:rFonts w:hint="default" w:hAnsi="仿宋" w:cs="Times New Roman"/>
          <w:szCs w:val="30"/>
          <w:highlight w:val="none"/>
          <w:lang w:val="en-US" w:eastAsia="zh-CN"/>
        </w:rPr>
        <w:t>目标、工作任务，通过查询相关资料、政策，与相关专业人员开展讨论，咨询专家意见，征求主管部门意见，综合判断各级评价指标对实现绩效目标的关键程度基础，确定各评价指标的分值权重。一级指标</w:t>
      </w:r>
      <w:r>
        <w:rPr>
          <w:rFonts w:hint="eastAsia" w:hAnsi="仿宋" w:cs="Times New Roman"/>
          <w:szCs w:val="30"/>
          <w:highlight w:val="none"/>
          <w:lang w:val="en-US" w:eastAsia="zh-CN"/>
        </w:rPr>
        <w:t>投入</w:t>
      </w:r>
      <w:r>
        <w:rPr>
          <w:rFonts w:hint="default" w:hAnsi="仿宋" w:cs="Times New Roman"/>
          <w:szCs w:val="30"/>
          <w:highlight w:val="none"/>
          <w:lang w:val="en-US" w:eastAsia="zh-CN"/>
        </w:rPr>
        <w:t>、过程、产出、</w:t>
      </w:r>
      <w:r>
        <w:rPr>
          <w:rFonts w:hint="eastAsia" w:hAnsi="仿宋" w:cs="Times New Roman"/>
          <w:szCs w:val="30"/>
          <w:highlight w:val="none"/>
          <w:lang w:val="en-US" w:eastAsia="zh-CN"/>
        </w:rPr>
        <w:t>效果</w:t>
      </w:r>
      <w:r>
        <w:rPr>
          <w:rFonts w:hint="default" w:hAnsi="仿宋" w:cs="Times New Roman"/>
          <w:szCs w:val="30"/>
          <w:highlight w:val="none"/>
          <w:lang w:val="en-US" w:eastAsia="zh-CN"/>
        </w:rPr>
        <w:t>分值权重分别为：</w:t>
      </w:r>
      <w:r>
        <w:rPr>
          <w:rFonts w:hint="eastAsia" w:hAnsi="仿宋" w:cs="Times New Roman"/>
          <w:szCs w:val="30"/>
          <w:highlight w:val="none"/>
          <w:lang w:val="en-US" w:eastAsia="zh-CN"/>
        </w:rPr>
        <w:t>10</w:t>
      </w:r>
      <w:r>
        <w:rPr>
          <w:rFonts w:hint="default" w:hAnsi="仿宋" w:cs="Times New Roman"/>
          <w:szCs w:val="30"/>
          <w:highlight w:val="none"/>
          <w:lang w:val="en-US" w:eastAsia="zh-CN"/>
        </w:rPr>
        <w:t>%、</w:t>
      </w:r>
      <w:r>
        <w:rPr>
          <w:rFonts w:hint="eastAsia" w:hAnsi="仿宋" w:cs="Times New Roman"/>
          <w:szCs w:val="30"/>
          <w:highlight w:val="none"/>
          <w:lang w:val="en-US" w:eastAsia="zh-CN"/>
        </w:rPr>
        <w:t>34</w:t>
      </w:r>
      <w:r>
        <w:rPr>
          <w:rFonts w:hint="default" w:hAnsi="仿宋" w:cs="Times New Roman"/>
          <w:szCs w:val="30"/>
          <w:highlight w:val="none"/>
          <w:lang w:val="en-US" w:eastAsia="zh-CN"/>
        </w:rPr>
        <w:t>%、3</w:t>
      </w:r>
      <w:r>
        <w:rPr>
          <w:rFonts w:hint="eastAsia" w:hAnsi="仿宋" w:cs="Times New Roman"/>
          <w:szCs w:val="30"/>
          <w:highlight w:val="none"/>
          <w:lang w:val="en-US" w:eastAsia="zh-CN"/>
        </w:rPr>
        <w:t>4</w:t>
      </w:r>
      <w:r>
        <w:rPr>
          <w:rFonts w:hint="default" w:hAnsi="仿宋" w:cs="Times New Roman"/>
          <w:szCs w:val="30"/>
          <w:highlight w:val="none"/>
          <w:lang w:val="en-US" w:eastAsia="zh-CN"/>
        </w:rPr>
        <w:t>%、</w:t>
      </w:r>
      <w:r>
        <w:rPr>
          <w:rFonts w:hint="eastAsia" w:hAnsi="仿宋" w:cs="Times New Roman"/>
          <w:szCs w:val="30"/>
          <w:highlight w:val="none"/>
          <w:lang w:val="en-US" w:eastAsia="zh-CN"/>
        </w:rPr>
        <w:t>22</w:t>
      </w:r>
      <w:r>
        <w:rPr>
          <w:rFonts w:hint="default" w:hAnsi="仿宋" w:cs="Times New Roman"/>
          <w:szCs w:val="30"/>
          <w:highlight w:val="none"/>
          <w:lang w:val="en-US" w:eastAsia="zh-CN"/>
        </w:rPr>
        <w:t>%。</w:t>
      </w:r>
    </w:p>
    <w:p w14:paraId="6606EF54">
      <w:pPr>
        <w:spacing w:line="579" w:lineRule="exact"/>
        <w:ind w:firstLine="630" w:firstLineChars="200"/>
        <w:rPr>
          <w:rFonts w:hint="eastAsia" w:hAnsi="仿宋"/>
          <w:szCs w:val="30"/>
        </w:rPr>
      </w:pPr>
      <w:r>
        <w:rPr>
          <w:rFonts w:hint="eastAsia" w:hAnsi="仿宋"/>
          <w:szCs w:val="30"/>
        </w:rPr>
        <w:t>“</w:t>
      </w:r>
      <w:r>
        <w:rPr>
          <w:rFonts w:hint="eastAsia" w:hAnsi="仿宋"/>
          <w:szCs w:val="30"/>
          <w:lang w:val="en-US" w:eastAsia="zh-CN"/>
        </w:rPr>
        <w:t>投入</w:t>
      </w:r>
      <w:r>
        <w:rPr>
          <w:rFonts w:hint="eastAsia" w:hAnsi="仿宋"/>
          <w:szCs w:val="30"/>
        </w:rPr>
        <w:t>”指标由“项目立项、资金落实”</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5</w:t>
      </w:r>
      <w:r>
        <w:rPr>
          <w:rFonts w:hint="eastAsia" w:hAnsi="仿宋"/>
          <w:szCs w:val="30"/>
        </w:rPr>
        <w:t>个三级指标。考核项目立项规范性、绩效目标合理性</w:t>
      </w:r>
      <w:r>
        <w:rPr>
          <w:rFonts w:hint="eastAsia" w:hAnsi="仿宋"/>
          <w:szCs w:val="30"/>
          <w:lang w:eastAsia="zh-CN"/>
        </w:rPr>
        <w:t>、绩效指标明确性、资金到位率、</w:t>
      </w:r>
      <w:r>
        <w:rPr>
          <w:rFonts w:hint="eastAsia" w:hAnsi="仿宋"/>
          <w:szCs w:val="30"/>
        </w:rPr>
        <w:t>到位及时率。</w:t>
      </w:r>
    </w:p>
    <w:p w14:paraId="6CFCE411">
      <w:pPr>
        <w:spacing w:line="579" w:lineRule="exact"/>
        <w:ind w:firstLine="630" w:firstLineChars="200"/>
        <w:rPr>
          <w:rFonts w:hint="eastAsia" w:hAnsi="仿宋"/>
          <w:szCs w:val="30"/>
        </w:rPr>
      </w:pPr>
      <w:r>
        <w:rPr>
          <w:rFonts w:hint="eastAsia" w:hAnsi="仿宋"/>
          <w:szCs w:val="30"/>
        </w:rPr>
        <w:t>“过程”指标由“</w:t>
      </w:r>
      <w:r>
        <w:rPr>
          <w:rFonts w:hint="eastAsia" w:hAnsi="仿宋"/>
          <w:szCs w:val="30"/>
          <w:lang w:val="en-US" w:eastAsia="zh-CN"/>
        </w:rPr>
        <w:t>业务管理、财务管理</w:t>
      </w:r>
      <w:r>
        <w:rPr>
          <w:rFonts w:hint="eastAsia" w:hAnsi="仿宋"/>
          <w:szCs w:val="30"/>
        </w:rPr>
        <w:t>”</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个二级指标分解为</w:t>
      </w:r>
      <w:r>
        <w:rPr>
          <w:rFonts w:hint="eastAsia" w:hAnsi="仿宋"/>
          <w:szCs w:val="30"/>
          <w:lang w:val="en-US" w:eastAsia="zh-CN"/>
        </w:rPr>
        <w:t>6</w:t>
      </w:r>
      <w:r>
        <w:rPr>
          <w:rFonts w:hint="eastAsia" w:hAnsi="仿宋"/>
          <w:szCs w:val="30"/>
        </w:rPr>
        <w:t>个三级指标。主要考核</w:t>
      </w:r>
      <w:r>
        <w:rPr>
          <w:rFonts w:hint="eastAsia" w:hAnsi="仿宋"/>
          <w:szCs w:val="30"/>
          <w:lang w:val="en-US" w:eastAsia="zh-CN"/>
        </w:rPr>
        <w:t>业务</w:t>
      </w:r>
      <w:r>
        <w:rPr>
          <w:rFonts w:hint="eastAsia" w:hAnsi="仿宋"/>
          <w:szCs w:val="30"/>
        </w:rPr>
        <w:t>管理制度健全性</w:t>
      </w:r>
      <w:r>
        <w:rPr>
          <w:rFonts w:hint="eastAsia" w:hAnsi="仿宋"/>
          <w:szCs w:val="30"/>
          <w:lang w:eastAsia="zh-CN"/>
        </w:rPr>
        <w:t>、制度执行有效性、项目质量可控性、</w:t>
      </w:r>
      <w:r>
        <w:rPr>
          <w:rFonts w:hint="eastAsia" w:hAnsi="仿宋"/>
          <w:szCs w:val="30"/>
          <w:lang w:val="en-US" w:eastAsia="zh-CN"/>
        </w:rPr>
        <w:t>财务</w:t>
      </w:r>
      <w:r>
        <w:rPr>
          <w:rFonts w:hint="eastAsia" w:hAnsi="仿宋"/>
          <w:szCs w:val="30"/>
          <w:lang w:eastAsia="zh-CN"/>
        </w:rPr>
        <w:t>管理制度健全性、资金使用合规性、财务监控有效性</w:t>
      </w:r>
      <w:r>
        <w:rPr>
          <w:rFonts w:hint="eastAsia" w:hAnsi="仿宋"/>
          <w:szCs w:val="30"/>
        </w:rPr>
        <w:t>。</w:t>
      </w:r>
    </w:p>
    <w:p w14:paraId="6FC3A23F">
      <w:pPr>
        <w:spacing w:line="579" w:lineRule="exact"/>
        <w:ind w:firstLine="630" w:firstLineChars="200"/>
        <w:rPr>
          <w:rFonts w:hint="default" w:hAnsi="仿宋" w:cs="Times New Roman"/>
          <w:szCs w:val="30"/>
          <w:lang w:val="en-US" w:eastAsia="zh-CN"/>
        </w:rPr>
      </w:pPr>
      <w:r>
        <w:rPr>
          <w:rFonts w:hint="eastAsia" w:hAnsi="仿宋" w:cs="Times New Roman"/>
          <w:szCs w:val="30"/>
        </w:rPr>
        <w:t>“产出”指标由“项目产出”</w:t>
      </w:r>
      <w:r>
        <w:rPr>
          <w:rFonts w:hint="eastAsia" w:hAnsi="仿宋" w:cs="Times New Roman"/>
          <w:szCs w:val="30"/>
          <w:lang w:val="en-US" w:eastAsia="zh-CN"/>
        </w:rPr>
        <w:t>1</w:t>
      </w:r>
      <w:r>
        <w:rPr>
          <w:rFonts w:hint="eastAsia" w:hAnsi="仿宋" w:cs="Times New Roman"/>
          <w:szCs w:val="30"/>
        </w:rPr>
        <w:t>个二级指标构成，同时将</w:t>
      </w:r>
      <w:r>
        <w:rPr>
          <w:rFonts w:hint="eastAsia" w:hAnsi="仿宋" w:cs="Times New Roman"/>
          <w:szCs w:val="30"/>
          <w:lang w:val="en-US" w:eastAsia="zh-CN"/>
        </w:rPr>
        <w:t>1</w:t>
      </w:r>
      <w:r>
        <w:rPr>
          <w:rFonts w:hint="eastAsia" w:hAnsi="仿宋" w:cs="Times New Roman"/>
          <w:szCs w:val="30"/>
        </w:rPr>
        <w:t>个二级指标分解为</w:t>
      </w:r>
      <w:r>
        <w:rPr>
          <w:rFonts w:hint="eastAsia" w:hAnsi="仿宋" w:cs="Times New Roman"/>
          <w:szCs w:val="30"/>
          <w:lang w:val="en-US" w:eastAsia="zh-CN"/>
        </w:rPr>
        <w:t>4</w:t>
      </w:r>
      <w:r>
        <w:rPr>
          <w:rFonts w:hint="eastAsia" w:hAnsi="仿宋" w:cs="Times New Roman"/>
          <w:szCs w:val="30"/>
        </w:rPr>
        <w:t>个三级指标</w:t>
      </w:r>
      <w:r>
        <w:rPr>
          <w:rFonts w:hint="eastAsia" w:hAnsi="仿宋" w:cs="Times New Roman"/>
          <w:szCs w:val="30"/>
          <w:lang w:val="en-US" w:eastAsia="zh-CN"/>
        </w:rPr>
        <w:t>实际完成率、完成及时率、质量达标率、成本节约率</w:t>
      </w:r>
      <w:r>
        <w:rPr>
          <w:rFonts w:hint="eastAsia" w:hAnsi="仿宋" w:cs="Times New Roman"/>
          <w:szCs w:val="30"/>
        </w:rPr>
        <w:t>。主要</w:t>
      </w:r>
      <w:r>
        <w:rPr>
          <w:rFonts w:hint="eastAsia" w:hAnsi="仿宋" w:cs="Times New Roman"/>
          <w:szCs w:val="30"/>
          <w:lang w:val="en-US" w:eastAsia="zh-CN"/>
        </w:rPr>
        <w:t>考核</w:t>
      </w:r>
      <w:r>
        <w:rPr>
          <w:rFonts w:hint="default" w:hAnsi="仿宋" w:cs="Times New Roman"/>
          <w:szCs w:val="30"/>
          <w:lang w:val="en-US" w:eastAsia="zh-CN"/>
        </w:rPr>
        <w:t>项目产出数量目标的实现程度、项目产出质量目标的实现程度、项目产出时效目标的实现程度等情况。</w:t>
      </w:r>
    </w:p>
    <w:p w14:paraId="7F6EA10A">
      <w:pPr>
        <w:spacing w:line="579" w:lineRule="exact"/>
        <w:ind w:firstLine="630" w:firstLineChars="200"/>
        <w:rPr>
          <w:rFonts w:hint="eastAsia" w:hAnsi="仿宋"/>
          <w:szCs w:val="30"/>
        </w:rPr>
      </w:pPr>
      <w:r>
        <w:rPr>
          <w:rFonts w:hint="eastAsia" w:hAnsi="仿宋"/>
          <w:szCs w:val="30"/>
        </w:rPr>
        <w:t>“效</w:t>
      </w:r>
      <w:r>
        <w:rPr>
          <w:rFonts w:hint="eastAsia" w:hAnsi="仿宋"/>
          <w:szCs w:val="30"/>
          <w:lang w:val="en-US" w:eastAsia="zh-CN"/>
        </w:rPr>
        <w:t>果</w:t>
      </w:r>
      <w:r>
        <w:rPr>
          <w:rFonts w:hint="eastAsia" w:hAnsi="仿宋"/>
          <w:szCs w:val="30"/>
        </w:rPr>
        <w:t>”指标由</w:t>
      </w:r>
      <w:r>
        <w:rPr>
          <w:rFonts w:hint="eastAsia" w:hAnsi="仿宋"/>
          <w:szCs w:val="30"/>
          <w:lang w:eastAsia="zh-CN"/>
        </w:rPr>
        <w:t>“</w:t>
      </w:r>
      <w:r>
        <w:rPr>
          <w:rFonts w:hint="eastAsia" w:hAnsi="仿宋"/>
          <w:szCs w:val="30"/>
        </w:rPr>
        <w:t>项目效益</w:t>
      </w:r>
      <w:r>
        <w:rPr>
          <w:rFonts w:hint="eastAsia" w:hAnsi="仿宋"/>
          <w:szCs w:val="30"/>
          <w:lang w:eastAsia="zh-CN"/>
        </w:rPr>
        <w:t>、满意度</w:t>
      </w:r>
      <w:r>
        <w:rPr>
          <w:rFonts w:hint="eastAsia" w:hAnsi="仿宋"/>
          <w:szCs w:val="30"/>
        </w:rPr>
        <w:t>”</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5</w:t>
      </w:r>
      <w:r>
        <w:rPr>
          <w:rFonts w:hint="eastAsia" w:hAnsi="仿宋"/>
          <w:szCs w:val="30"/>
        </w:rPr>
        <w:t>个三级指标生态效益</w:t>
      </w:r>
      <w:r>
        <w:rPr>
          <w:rFonts w:hint="eastAsia" w:hAnsi="仿宋"/>
          <w:szCs w:val="30"/>
          <w:lang w:eastAsia="zh-CN"/>
        </w:rPr>
        <w:t>、</w:t>
      </w:r>
      <w:r>
        <w:rPr>
          <w:rFonts w:hint="eastAsia" w:hAnsi="仿宋"/>
          <w:szCs w:val="30"/>
        </w:rPr>
        <w:t>经济效益</w:t>
      </w:r>
      <w:r>
        <w:rPr>
          <w:rFonts w:hint="eastAsia" w:hAnsi="仿宋"/>
          <w:szCs w:val="30"/>
          <w:lang w:eastAsia="zh-CN"/>
        </w:rPr>
        <w:t>、社会效益、可持续影响、</w:t>
      </w:r>
      <w:r>
        <w:rPr>
          <w:rFonts w:hint="eastAsia" w:hAnsi="仿宋"/>
          <w:szCs w:val="30"/>
          <w:lang w:val="en-US" w:eastAsia="zh-CN"/>
        </w:rPr>
        <w:t>满意度</w:t>
      </w:r>
      <w:r>
        <w:rPr>
          <w:rFonts w:hint="eastAsia" w:hAnsi="仿宋"/>
          <w:szCs w:val="30"/>
          <w:lang w:eastAsia="zh-CN"/>
        </w:rPr>
        <w:t>。</w:t>
      </w:r>
      <w:r>
        <w:rPr>
          <w:rFonts w:hint="eastAsia" w:hAnsi="仿宋"/>
          <w:szCs w:val="30"/>
        </w:rPr>
        <w:t>主要</w:t>
      </w:r>
      <w:r>
        <w:rPr>
          <w:rFonts w:hint="eastAsia" w:hAnsi="仿宋"/>
          <w:szCs w:val="30"/>
          <w:lang w:val="en-US" w:eastAsia="zh-CN"/>
        </w:rPr>
        <w:t>考核减少交通污染、保护滇池生态、践行绿色出行。</w:t>
      </w:r>
      <w:r>
        <w:rPr>
          <w:rFonts w:hint="eastAsia" w:hAnsi="仿宋"/>
          <w:szCs w:val="30"/>
          <w:lang w:eastAsia="zh-CN"/>
        </w:rPr>
        <w:t>激活旅游消费、带动区域经济、降低社会成本。为市民创造良好的出行环境，提高城市生活质量。衡量规范绿化养护管理对城市道路功能优化、城市发展助推及城市形象、市容环境改善的实际支撑效果。社会公众或服务对象对项目实施效果的满意程度。</w:t>
      </w:r>
    </w:p>
    <w:p w14:paraId="3867A76D">
      <w:pPr>
        <w:spacing w:line="579" w:lineRule="exact"/>
        <w:ind w:firstLine="632"/>
        <w:outlineLvl w:val="1"/>
        <w:rPr>
          <w:rFonts w:hint="eastAsia" w:ascii="楷体" w:hAnsi="楷体" w:eastAsia="楷体"/>
          <w:szCs w:val="30"/>
          <w:lang w:val="en-US" w:eastAsia="zh-CN"/>
        </w:rPr>
      </w:pPr>
      <w:bookmarkStart w:id="17" w:name="_Toc81575277"/>
      <w:bookmarkStart w:id="18" w:name="_Toc5562"/>
      <w:bookmarkStart w:id="19"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20" w:name="_Toc11427721"/>
      <w:bookmarkStart w:id="21" w:name="_Toc80023565"/>
      <w:r>
        <w:rPr>
          <w:rFonts w:hint="eastAsia" w:ascii="楷体" w:hAnsi="楷体" w:eastAsia="楷体"/>
          <w:szCs w:val="30"/>
          <w:lang w:val="en-US" w:eastAsia="zh-CN"/>
        </w:rPr>
        <w:t>绩效</w:t>
      </w:r>
      <w:r>
        <w:rPr>
          <w:rFonts w:hint="eastAsia" w:ascii="楷体" w:hAnsi="楷体" w:eastAsia="楷体"/>
          <w:szCs w:val="30"/>
        </w:rPr>
        <w:t>评价</w:t>
      </w:r>
      <w:bookmarkEnd w:id="17"/>
      <w:bookmarkEnd w:id="20"/>
      <w:bookmarkEnd w:id="21"/>
      <w:r>
        <w:rPr>
          <w:rFonts w:hint="eastAsia" w:ascii="楷体" w:hAnsi="楷体" w:eastAsia="楷体"/>
          <w:szCs w:val="30"/>
          <w:lang w:val="en-US" w:eastAsia="zh-CN"/>
        </w:rPr>
        <w:t>抽样</w:t>
      </w:r>
      <w:bookmarkEnd w:id="18"/>
    </w:p>
    <w:p w14:paraId="4E607AAC">
      <w:pPr>
        <w:spacing w:line="579" w:lineRule="exact"/>
        <w:ind w:firstLine="630" w:firstLineChars="200"/>
        <w:rPr>
          <w:rFonts w:hint="default" w:hAnsi="仿宋"/>
          <w:szCs w:val="30"/>
          <w:lang w:val="en-US" w:eastAsia="zh-CN"/>
        </w:rPr>
      </w:pPr>
      <w:r>
        <w:rPr>
          <w:rFonts w:hint="eastAsia" w:hAnsi="仿宋"/>
          <w:szCs w:val="30"/>
          <w:lang w:val="en-US" w:eastAsia="zh-CN"/>
        </w:rPr>
        <w:t>本次西山区海埂片区“观鸥季”交通服务保障项目资金绩效评价采取100%抽样的方式，对项目进行核查。</w:t>
      </w:r>
    </w:p>
    <w:bookmarkEnd w:id="19"/>
    <w:p w14:paraId="2F112440">
      <w:pPr>
        <w:spacing w:line="579" w:lineRule="exact"/>
        <w:ind w:firstLine="630" w:firstLineChars="200"/>
        <w:outlineLvl w:val="0"/>
        <w:rPr>
          <w:rFonts w:ascii="黑体" w:hAnsi="宋体" w:eastAsia="黑体" w:cs="宋体"/>
          <w:szCs w:val="30"/>
        </w:rPr>
      </w:pPr>
      <w:bookmarkStart w:id="22" w:name="_Toc4157"/>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22"/>
    </w:p>
    <w:p w14:paraId="4F217F28">
      <w:pPr>
        <w:spacing w:line="579" w:lineRule="exact"/>
        <w:ind w:firstLine="630" w:firstLineChars="200"/>
        <w:outlineLvl w:val="1"/>
        <w:rPr>
          <w:rFonts w:ascii="楷体" w:hAnsi="楷体" w:eastAsia="楷体"/>
          <w:szCs w:val="30"/>
        </w:rPr>
      </w:pPr>
      <w:bookmarkStart w:id="23" w:name="_Toc18026"/>
      <w:r>
        <w:rPr>
          <w:rFonts w:hint="eastAsia" w:ascii="楷体" w:hAnsi="楷体" w:eastAsia="楷体"/>
          <w:szCs w:val="30"/>
        </w:rPr>
        <w:t>（一）绩效评价综合结论</w:t>
      </w:r>
      <w:bookmarkEnd w:id="23"/>
    </w:p>
    <w:p w14:paraId="019673B5">
      <w:pPr>
        <w:spacing w:line="579" w:lineRule="exact"/>
        <w:ind w:firstLine="630" w:firstLineChars="200"/>
        <w:rPr>
          <w:rFonts w:hint="eastAsia" w:hAnsi="仿宋"/>
          <w:szCs w:val="30"/>
          <w:highlight w:val="none"/>
        </w:rPr>
      </w:pPr>
      <w:bookmarkStart w:id="24" w:name="_Hlk525314439"/>
      <w:r>
        <w:rPr>
          <w:rFonts w:hint="eastAsia" w:hAnsi="仿宋"/>
          <w:szCs w:val="30"/>
          <w:highlight w:val="none"/>
          <w:lang w:val="en-US" w:eastAsia="zh-CN"/>
        </w:rPr>
        <w:t>2024年</w:t>
      </w:r>
      <w:r>
        <w:rPr>
          <w:rFonts w:hint="eastAsia" w:hAnsi="仿宋"/>
          <w:szCs w:val="30"/>
          <w:highlight w:val="none"/>
          <w:lang w:eastAsia="zh-CN"/>
        </w:rPr>
        <w:t>西山区海埂片区“观鸥季”交通服务保障项目资金项目</w:t>
      </w:r>
      <w:r>
        <w:rPr>
          <w:rFonts w:hint="eastAsia" w:hAnsi="仿宋"/>
          <w:szCs w:val="30"/>
          <w:highlight w:val="none"/>
        </w:rPr>
        <w:t>绩效评</w:t>
      </w:r>
      <w:r>
        <w:rPr>
          <w:rFonts w:hint="eastAsia" w:hAnsi="仿宋"/>
          <w:szCs w:val="30"/>
          <w:highlight w:val="none"/>
          <w:lang w:eastAsia="zh-CN"/>
        </w:rPr>
        <w:t>价得分</w:t>
      </w:r>
      <w:r>
        <w:rPr>
          <w:rFonts w:hint="eastAsia" w:hAnsi="仿宋"/>
          <w:szCs w:val="30"/>
          <w:highlight w:val="none"/>
          <w:lang w:val="en-US" w:eastAsia="zh-CN"/>
        </w:rPr>
        <w:t>93.56</w:t>
      </w:r>
      <w:r>
        <w:rPr>
          <w:rFonts w:hint="eastAsia" w:hAnsi="仿宋"/>
          <w:szCs w:val="30"/>
          <w:highlight w:val="none"/>
          <w:lang w:eastAsia="zh-CN"/>
        </w:rPr>
        <w:t>分，评价等级为“</w:t>
      </w:r>
      <w:r>
        <w:rPr>
          <w:rFonts w:hint="eastAsia" w:hAnsi="仿宋"/>
          <w:szCs w:val="30"/>
          <w:highlight w:val="none"/>
          <w:lang w:val="en-US" w:eastAsia="zh-CN"/>
        </w:rPr>
        <w:t>优</w:t>
      </w:r>
      <w:r>
        <w:rPr>
          <w:rFonts w:hint="eastAsia" w:hAnsi="仿宋"/>
          <w:szCs w:val="30"/>
          <w:highlight w:val="none"/>
          <w:lang w:eastAsia="zh-CN"/>
        </w:rPr>
        <w:t>”。一级</w:t>
      </w:r>
      <w:r>
        <w:rPr>
          <w:rFonts w:hint="eastAsia" w:hAnsi="仿宋"/>
          <w:szCs w:val="30"/>
          <w:highlight w:val="none"/>
        </w:rPr>
        <w:t>指标具体得分情况详见下表：</w:t>
      </w:r>
    </w:p>
    <w:p w14:paraId="71218C88">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768B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015569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27FD1C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084E58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142C23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227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715B84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投入</w:t>
            </w:r>
          </w:p>
        </w:tc>
        <w:tc>
          <w:tcPr>
            <w:tcW w:w="2211" w:type="dxa"/>
            <w:vAlign w:val="center"/>
          </w:tcPr>
          <w:p w14:paraId="79C99C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10</w:t>
            </w:r>
          </w:p>
        </w:tc>
        <w:tc>
          <w:tcPr>
            <w:tcW w:w="2211" w:type="dxa"/>
            <w:vAlign w:val="center"/>
          </w:tcPr>
          <w:p w14:paraId="658244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9</w:t>
            </w:r>
          </w:p>
        </w:tc>
        <w:tc>
          <w:tcPr>
            <w:tcW w:w="2211" w:type="dxa"/>
            <w:vAlign w:val="center"/>
          </w:tcPr>
          <w:p w14:paraId="6D0375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90%</w:t>
            </w:r>
          </w:p>
        </w:tc>
      </w:tr>
      <w:tr w14:paraId="0289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020AAE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7B831B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34</w:t>
            </w:r>
          </w:p>
        </w:tc>
        <w:tc>
          <w:tcPr>
            <w:tcW w:w="2211" w:type="dxa"/>
            <w:vAlign w:val="center"/>
          </w:tcPr>
          <w:p w14:paraId="5F5AD4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32.80</w:t>
            </w:r>
          </w:p>
        </w:tc>
        <w:tc>
          <w:tcPr>
            <w:tcW w:w="2211" w:type="dxa"/>
            <w:vAlign w:val="center"/>
          </w:tcPr>
          <w:p w14:paraId="14B755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96.47%</w:t>
            </w:r>
          </w:p>
        </w:tc>
      </w:tr>
      <w:tr w14:paraId="4221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17450B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2F29F5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34</w:t>
            </w:r>
          </w:p>
        </w:tc>
        <w:tc>
          <w:tcPr>
            <w:tcW w:w="2211" w:type="dxa"/>
            <w:vAlign w:val="center"/>
          </w:tcPr>
          <w:p w14:paraId="4558C1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34</w:t>
            </w:r>
          </w:p>
        </w:tc>
        <w:tc>
          <w:tcPr>
            <w:tcW w:w="2211" w:type="dxa"/>
            <w:vAlign w:val="center"/>
          </w:tcPr>
          <w:p w14:paraId="5E4D87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100%</w:t>
            </w:r>
          </w:p>
        </w:tc>
      </w:tr>
      <w:tr w14:paraId="0D22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48A799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效果</w:t>
            </w:r>
          </w:p>
        </w:tc>
        <w:tc>
          <w:tcPr>
            <w:tcW w:w="2211" w:type="dxa"/>
            <w:vAlign w:val="center"/>
          </w:tcPr>
          <w:p w14:paraId="1632FB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22</w:t>
            </w:r>
          </w:p>
        </w:tc>
        <w:tc>
          <w:tcPr>
            <w:tcW w:w="2211" w:type="dxa"/>
            <w:vAlign w:val="center"/>
          </w:tcPr>
          <w:p w14:paraId="17C6ED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17.76</w:t>
            </w:r>
          </w:p>
        </w:tc>
        <w:tc>
          <w:tcPr>
            <w:tcW w:w="2211" w:type="dxa"/>
            <w:vAlign w:val="center"/>
          </w:tcPr>
          <w:p w14:paraId="4CEDAB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80.73%</w:t>
            </w:r>
          </w:p>
        </w:tc>
      </w:tr>
      <w:tr w14:paraId="5051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44E043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5"/>
                <w:lang w:val="en-US" w:eastAsia="zh-CN" w:bidi="ar"/>
              </w:rPr>
              <w:t xml:space="preserve"> 计</w:t>
            </w:r>
          </w:p>
        </w:tc>
        <w:tc>
          <w:tcPr>
            <w:tcW w:w="2211" w:type="dxa"/>
            <w:vAlign w:val="center"/>
          </w:tcPr>
          <w:p w14:paraId="0CC822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b/>
                <w:bCs/>
                <w:i w:val="0"/>
                <w:iCs w:val="0"/>
                <w:color w:val="000000"/>
                <w:kern w:val="0"/>
                <w:sz w:val="21"/>
                <w:szCs w:val="21"/>
                <w:u w:val="none"/>
                <w:lang w:val="en-US" w:eastAsia="zh-CN" w:bidi="ar"/>
              </w:rPr>
            </w:pPr>
            <w:r>
              <w:rPr>
                <w:rFonts w:hint="eastAsia" w:hAnsi="仿宋" w:cs="仿宋"/>
                <w:b/>
                <w:bCs/>
                <w:i w:val="0"/>
                <w:iCs w:val="0"/>
                <w:color w:val="000000"/>
                <w:kern w:val="0"/>
                <w:sz w:val="21"/>
                <w:szCs w:val="21"/>
                <w:u w:val="none"/>
                <w:lang w:val="en-US" w:eastAsia="zh-CN" w:bidi="ar"/>
              </w:rPr>
              <w:t>100</w:t>
            </w:r>
          </w:p>
        </w:tc>
        <w:tc>
          <w:tcPr>
            <w:tcW w:w="2211" w:type="dxa"/>
            <w:vAlign w:val="center"/>
          </w:tcPr>
          <w:p w14:paraId="216C02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b/>
                <w:bCs/>
                <w:i w:val="0"/>
                <w:iCs w:val="0"/>
                <w:color w:val="000000"/>
                <w:kern w:val="0"/>
                <w:sz w:val="21"/>
                <w:szCs w:val="21"/>
                <w:u w:val="none"/>
                <w:lang w:val="en-US" w:eastAsia="zh-CN" w:bidi="ar"/>
              </w:rPr>
            </w:pPr>
            <w:r>
              <w:rPr>
                <w:rFonts w:hint="eastAsia" w:hAnsi="仿宋" w:cs="仿宋"/>
                <w:b/>
                <w:bCs/>
                <w:i w:val="0"/>
                <w:iCs w:val="0"/>
                <w:color w:val="000000"/>
                <w:kern w:val="0"/>
                <w:sz w:val="21"/>
                <w:szCs w:val="21"/>
                <w:u w:val="none"/>
                <w:lang w:val="en-US" w:eastAsia="zh-CN" w:bidi="ar"/>
              </w:rPr>
              <w:t>93.56</w:t>
            </w:r>
          </w:p>
        </w:tc>
        <w:tc>
          <w:tcPr>
            <w:tcW w:w="2211" w:type="dxa"/>
            <w:vAlign w:val="center"/>
          </w:tcPr>
          <w:p w14:paraId="50826A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b/>
                <w:bCs/>
                <w:i w:val="0"/>
                <w:iCs w:val="0"/>
                <w:color w:val="000000"/>
                <w:kern w:val="0"/>
                <w:sz w:val="21"/>
                <w:szCs w:val="21"/>
                <w:u w:val="none"/>
                <w:lang w:val="en-US" w:eastAsia="zh-CN" w:bidi="ar"/>
              </w:rPr>
            </w:pPr>
            <w:r>
              <w:rPr>
                <w:rFonts w:hint="eastAsia" w:hAnsi="仿宋" w:cs="仿宋"/>
                <w:b/>
                <w:bCs/>
                <w:i w:val="0"/>
                <w:iCs w:val="0"/>
                <w:color w:val="000000"/>
                <w:kern w:val="0"/>
                <w:sz w:val="21"/>
                <w:szCs w:val="21"/>
                <w:u w:val="none"/>
                <w:lang w:val="en-US" w:eastAsia="zh-CN" w:bidi="ar"/>
              </w:rPr>
              <w:t>93.56%</w:t>
            </w:r>
          </w:p>
        </w:tc>
      </w:tr>
      <w:bookmarkEnd w:id="24"/>
    </w:tbl>
    <w:p w14:paraId="4D66FC48">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整体来看，以保障“观鸥季”交通顺畅、提升游客出行体验为核心，通过优化交通组织、强化服务保障、细化缓堵措施，全力维护海埂片区交通运行秩序。助力“观鸥 特色旅游目的地打造，以交通服务提质为抓手，助推昆明城市品质全面提升，实现“观鸥季”交通安全、有序、高效运行。立项依据充分、程序规范。</w:t>
      </w:r>
    </w:p>
    <w:p w14:paraId="1B81D75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山区海埂片区“观鸥季”交通服务保障项目资金使用具备完整的审批程序和手续，未发现挤占、挪用专项资金的情况。根据《昆明市西山区财政局关于批复2024年部门预算的通知》西财建〔2024〕2号、《昆明市西山区人民政府办公室关于印发西山区海埂片区“观鸥季”交通服务保障工作方案的通知》西政办通〔2024〕6号文件要求，根据昆明市人民政府办公室关于交办海埂片区“观鸥季”交通服务保障工作要素需求任务清单的通知及海埂片区“观鸥季”交通服务保障要素需求专题会议纪要，要求要把“观鸥”打造成旅游目的地，以点带面全面提升昆明城市品质。</w:t>
      </w:r>
    </w:p>
    <w:p w14:paraId="25E31567">
      <w:pPr>
        <w:spacing w:line="579" w:lineRule="exact"/>
        <w:ind w:firstLine="630" w:firstLineChars="200"/>
        <w:outlineLvl w:val="1"/>
        <w:rPr>
          <w:rFonts w:ascii="楷体" w:hAnsi="楷体" w:eastAsia="楷体"/>
          <w:szCs w:val="30"/>
        </w:rPr>
      </w:pPr>
      <w:bookmarkStart w:id="25" w:name="_Toc27505"/>
      <w:r>
        <w:rPr>
          <w:rFonts w:hint="eastAsia" w:ascii="楷体" w:hAnsi="楷体" w:eastAsia="楷体"/>
          <w:szCs w:val="30"/>
        </w:rPr>
        <w:t>（二）绩效目标实现情况</w:t>
      </w:r>
      <w:bookmarkEnd w:id="25"/>
    </w:p>
    <w:p w14:paraId="7F3378C5">
      <w:pPr>
        <w:spacing w:line="579" w:lineRule="exact"/>
        <w:ind w:firstLine="630" w:firstLineChars="200"/>
        <w:rPr>
          <w:rFonts w:hint="eastAsia" w:hAnsi="仿宋" w:cs="Times New Roman"/>
          <w:sz w:val="30"/>
          <w:szCs w:val="30"/>
          <w:highlight w:val="none"/>
          <w:lang w:val="en-US" w:eastAsia="zh-CN"/>
        </w:rPr>
      </w:pPr>
      <w:bookmarkStart w:id="26" w:name="_Hlk525314457"/>
      <w:r>
        <w:rPr>
          <w:rFonts w:hint="eastAsia" w:hAnsi="仿宋" w:cs="Times New Roman"/>
          <w:sz w:val="30"/>
          <w:szCs w:val="30"/>
          <w:highlight w:val="none"/>
          <w:lang w:val="en-US" w:eastAsia="zh-CN"/>
        </w:rPr>
        <w:t>根据评价情况，</w:t>
      </w:r>
      <w:r>
        <w:rPr>
          <w:rFonts w:hint="eastAsia" w:hAnsi="仿宋"/>
          <w:szCs w:val="30"/>
          <w:highlight w:val="none"/>
          <w:lang w:val="en-US" w:eastAsia="zh-CN"/>
        </w:rPr>
        <w:t>2024年</w:t>
      </w:r>
      <w:r>
        <w:rPr>
          <w:rFonts w:hint="eastAsia" w:hAnsi="仿宋" w:cs="Times New Roman"/>
          <w:sz w:val="30"/>
          <w:szCs w:val="30"/>
          <w:highlight w:val="none"/>
          <w:lang w:val="en-US" w:eastAsia="zh-CN"/>
        </w:rPr>
        <w:t>西山区海埂片区“观鸥季”交通服务保障项目资金项目支出实施状态良好，预期的绩效目标对应的20项具体绩效指标中有14项实现预期目标，6项部分实现预期目标。从具体目标上看，项目立项规范性、资金到位率、到位及时率、管理制度健全性、制度执行有效性、项目质量可控性、财务管理制度健全性、财务监控有效性、实际完成率、完成及时率、质量达标率、生态及社会效益等达到预期目标。但部分绩效目标合理性、绩效指标明确性、资金使用合规性、经济效益及群众满意度等指标完成情况与预期目标之间还存在一定差距，如：西山区住建局绩效目标但未通过清晰、可衡量的指标值予以体现。该项目实施区域人民群众满意度仅达到80%。</w:t>
      </w:r>
    </w:p>
    <w:p w14:paraId="305219DB">
      <w:pPr>
        <w:ind w:firstLine="630"/>
        <w:rPr>
          <w:rFonts w:hint="eastAsia" w:ascii="黑体" w:hAnsi="黑体" w:eastAsia="黑体" w:cs="宋体"/>
          <w:bCs/>
          <w:sz w:val="30"/>
          <w:szCs w:val="30"/>
          <w:highlight w:val="none"/>
        </w:rPr>
      </w:pPr>
      <w:r>
        <w:rPr>
          <w:rFonts w:hint="eastAsia" w:hAnsi="仿宋"/>
          <w:sz w:val="30"/>
          <w:szCs w:val="30"/>
          <w:highlight w:val="none"/>
        </w:rPr>
        <w:t>各指标完成情况详见下表：</w:t>
      </w:r>
    </w:p>
    <w:p w14:paraId="65461EF8">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26"/>
    <w:tbl>
      <w:tblPr>
        <w:tblStyle w:val="18"/>
        <w:tblW w:w="9520"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450"/>
        <w:gridCol w:w="680"/>
        <w:gridCol w:w="3898"/>
        <w:gridCol w:w="392"/>
        <w:gridCol w:w="3600"/>
      </w:tblGrid>
      <w:tr w14:paraId="0D60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blHead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C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680" w:type="dxa"/>
            <w:tcBorders>
              <w:top w:val="single" w:color="000000" w:sz="4" w:space="0"/>
              <w:left w:val="single" w:color="000000" w:sz="4" w:space="0"/>
              <w:bottom w:val="single" w:color="000000" w:sz="4" w:space="0"/>
              <w:right w:val="single" w:color="auto" w:sz="4" w:space="0"/>
            </w:tcBorders>
            <w:shd w:val="clear" w:color="auto" w:fill="auto"/>
            <w:vAlign w:val="center"/>
          </w:tcPr>
          <w:p w14:paraId="637C2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3898" w:type="dxa"/>
            <w:tcBorders>
              <w:top w:val="single" w:color="auto" w:sz="4" w:space="0"/>
              <w:left w:val="single" w:color="auto" w:sz="4" w:space="0"/>
              <w:bottom w:val="single" w:color="auto" w:sz="4" w:space="0"/>
              <w:right w:val="single" w:color="auto" w:sz="4" w:space="0"/>
            </w:tcBorders>
            <w:shd w:val="clear" w:color="auto" w:fill="auto"/>
            <w:vAlign w:val="center"/>
          </w:tcPr>
          <w:p w14:paraId="17D77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指标说明</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61FCC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指标实现情况</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2C789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完成情况说明</w:t>
            </w:r>
          </w:p>
        </w:tc>
      </w:tr>
      <w:tr w14:paraId="3A61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4"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C82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   入（10分）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FF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立项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D6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项目立项规范性（2分）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8209A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①项目是否按照规定的程序申请设立；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②所提交的文件、材料是否符合相关要求；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③事前是否已经过必要的可行性研究、专家论证、风险评估、集体决策等。</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6A41D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8EB3F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西山区住建局已按规定的程序申请设立，所提交的文件、材料符合相关要求，事前已经过必要的集体决策。</w:t>
            </w:r>
          </w:p>
        </w:tc>
      </w:tr>
      <w:tr w14:paraId="56E0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7F138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8C4C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2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绩效目标合理性（2分）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1A374C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①是否符合国家相关法律法规、国民经济发展规划和党委政府决策；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②是否与项目实施单位或委托单位职责密切相关；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③项目是否为促进事业发展所必需；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④项目预期产出效益和效果是否符合正常的业绩水平。</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69B11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98B6E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西山区住建局将绩效目标细化分解为具体的绩效指标；但未通过清晰、可衡量的指标值予以体现，扣0.5分；与项目目标任务数或计划数相对应。</w:t>
            </w:r>
          </w:p>
        </w:tc>
      </w:tr>
      <w:tr w14:paraId="6B27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CDFB5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04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C6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绩效指标明确性（2分）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231C49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①是否将项目绩效目标细化分解为具体的绩效指标；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②是否通过清晰、可衡量的指标值予以体现；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③是否与项目年度任务数或计划数相对应；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④是否与预算确定的项目投资额或资金量相匹配。</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88D0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C1FE7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西山区住建局将项目绩效目标细化分解为具体的绩效指标。未通过清晰、可衡量的指标值予以体现，扣0.5分，项目与项目年度任务数或计划数相相对应，与预算确定的项目投资额或资金量相匹配。</w:t>
            </w:r>
          </w:p>
        </w:tc>
      </w:tr>
      <w:tr w14:paraId="2A11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767C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A81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落实</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63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资金到位率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43E121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资金到位率=（实际到位资金/计划投入资金）×100%。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实际到位资金：一定时期（本年度或项目期）内实际落实到具体项目的资金。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计划投入资金：一定时期（本年度或项目期）内计划投入到具体项目的资金。</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723C2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356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项目预算资金2,192,700.00元，实际到位资金2,192,700.00元。资金到位率100.00%。</w:t>
            </w:r>
          </w:p>
        </w:tc>
      </w:tr>
      <w:tr w14:paraId="2FF7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4FF7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421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EF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到位及时率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69CF56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到位及时率=（及时到位资金/应到位资金）×100%。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及时到位资金：截至规定时点实际落实到具体项目的资金。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应到位资金：按照合同或项目进度要求截至规定时点应落实到具体项目的资金。</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6F68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2DC9E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项目实际到位资金2,192,700.00元，截止2024年12月31日实际支出资金2,192,700.00元，预算执行率100%。</w:t>
            </w:r>
          </w:p>
        </w:tc>
      </w:tr>
      <w:tr w14:paraId="1D77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5D63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FE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7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管理制度健全性（5分）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5F19C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①是否已制定或具有相应的业务管理制度；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②业务管理制度是否合法、合规、完整。</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1BA2A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F1373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项目已制定或具有相应的财务和业务管理制度；财务和业务管理制度合法、合规、完整。且根据国家、省相关规定，单独制定了昆明市西山区住房和城乡建设局关于印发局《财务管理规定(修订)》的通知、参照《市政工程项目管理制度》等管理办法。</w:t>
            </w:r>
          </w:p>
        </w:tc>
      </w:tr>
      <w:tr w14:paraId="78DC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B3E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B9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C7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制度执行有效性（6分）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AD29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①是否遵守相关法律法规和业务管理规定；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②项目调整及支出调整手续是否完备；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③项目合同书、验收报告、技术鉴定等资料是否齐全并及时归档；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④项目实施的人员条件、场地设备、信息支撑等是否落实到位。</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7B580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132D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西山区住建局遵守相关法律法规和业务管理规定；暂无项目调整及支出调整手续；有项目合同书、验收竣工资料等证明材料并归档；已配备项目实施的人员、场地、信息支撑等。</w:t>
            </w:r>
          </w:p>
        </w:tc>
      </w:tr>
      <w:tr w14:paraId="4B86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3D47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3D3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66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项目质量可控性（5分）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A4F50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①是否已制定或具有相应的项目质量要求或标准；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②是否采取了相应的项目质量检查、验收等必需的控制措施或手段。</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49428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7BEB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西山区住建局对项目具有相应质量要求或标准，并采取了相应的项目质量检查、验收等必需的控制措施或手段。</w:t>
            </w:r>
          </w:p>
        </w:tc>
      </w:tr>
      <w:tr w14:paraId="2AD0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22606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B8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D1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管理制度健全性（6分）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F7DDD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①是否已制定或具有相应的项目资金管理办法；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②项目资金管理办法是否符合相关财务会计制度的规定。</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214F4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B955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项目已制定或具有相应的财务和业务管理制度；财务和业务管理制度合法、合规、完整。且根据国家、省相关规定，单独制定了昆明市西山区住房和城乡建设局关于印发局《财务管理规定(修订)》的通知、参照《市政工程项目管理制度》等管理办法。</w:t>
            </w:r>
          </w:p>
        </w:tc>
      </w:tr>
      <w:tr w14:paraId="0663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D69E3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5475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E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资金使用合规性（6分）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32551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①是否符合国家财经法规和财务管理制度以及有关专项资金管理办法的规定；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②资金的拨付是否有完整的审批程序和手续；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③项目的重大开支是否经过评估认证；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④是否符合项目预算批复或合同规定的用途；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⑤是否存在截留、挤占、挪用、虚列支出等情况。</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36ACF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F0F0F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西山区海埂片区“观鸥季”交通服务保障项目资金”资金使用符合国家财经法规和财务管理制度以及有关专项资金管理办法的规定；资金的拨付有完整的审批程序和手续；项目的重大开支未经过评估认证，扣1.2分；符合项目预算批复或合同规定的用途；不存在截留、挤占、挪用、虚列支出等情况。</w:t>
            </w:r>
          </w:p>
        </w:tc>
      </w:tr>
      <w:tr w14:paraId="0B3B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C9232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CE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D5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财务监控有效性（6分）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6023D5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①是否已制定或具有相应的监控机制；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②是否采取了相应的财务检查等必要的监控措施或手段。</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8F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6FDF5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西山区住建局已制定相应的监控机制，已采取了相应的财务检查等必要的监控措施或手段。</w:t>
            </w:r>
          </w:p>
        </w:tc>
      </w:tr>
      <w:tr w14:paraId="6DD9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7CCE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B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3A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实际完成率（9分）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708B04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实际完成率=（实际产出数/计划产出数）×100%。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实际产出数：一定时期（本年度或项目期）内项目实际产出的产品或提供的服务数量。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计划产出数：项目绩效目标确定的在一定时期（本年度或项目期）内计划产出的产品或提供的服务数量。</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BEE2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98C7D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西山区住建局“西山区海埂片区“观鸥季”交通服务保障项目资金”预算经费2,192,700.00元；根据该项目账务支出明细截止评价日支出合计2,192,700.00元，即实际完成率=（2,192,700.00/2,192,700.00）×100%=100%。</w:t>
            </w:r>
          </w:p>
          <w:p w14:paraId="3C606A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1.诱导指引设施(含LED屏)设置</w:t>
            </w:r>
          </w:p>
          <w:p w14:paraId="471CB1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（1）新增10套LED诱导显示屏。其中，西福路4套、广福路6套。</w:t>
            </w:r>
          </w:p>
          <w:p w14:paraId="2F464E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（2）在海埂片区30个停车场新增停车三级诱导设施。</w:t>
            </w:r>
          </w:p>
          <w:p w14:paraId="2F8F5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2.外围节点优化提升工程</w:t>
            </w:r>
          </w:p>
          <w:p w14:paraId="6E1772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（1）边防路与西福路交叉口:拆除交叉口南、北向两侧距离停止线80米范围内的绿化带，渠划增加一条机动车道，完善交通安全管理设施</w:t>
            </w:r>
          </w:p>
          <w:p w14:paraId="69D311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①拆除交叉口南、北向两侧距离停止线80米范围内的绿化带。</w:t>
            </w:r>
          </w:p>
          <w:p w14:paraId="2A4B6F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②渠划增加一条机动车道，完善交通安全管理设施。</w:t>
            </w:r>
          </w:p>
          <w:p w14:paraId="409C93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eastAsia="zh-CN"/>
              </w:rPr>
              <w:t>（2）西福路沿线:拆除西福路沿线华夏四季熙澜苑路口、西山区第七幼儿园路口、经纬花苑路口三个路口北口两侧距离停止线50米范围内的机非隔离绿化带，完善交通安全管理设施;全线增设路中隔离护栏</w:t>
            </w:r>
            <w:r>
              <w:rPr>
                <w:rFonts w:hint="eastAsia" w:hAnsi="仿宋" w:cs="仿宋"/>
                <w:i w:val="0"/>
                <w:iCs w:val="0"/>
                <w:color w:val="000000"/>
                <w:sz w:val="20"/>
                <w:szCs w:val="20"/>
                <w:u w:val="none"/>
                <w:lang w:val="en-US" w:eastAsia="zh-CN"/>
              </w:rPr>
              <w:t>.</w:t>
            </w:r>
          </w:p>
          <w:p w14:paraId="1D6CE6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①拆除西福路沿线华夏四季熙澜苑路口、西山区第七幼儿园路口、经纬花苑路口三个路口北口两侧距离停止线50米范围内的机非隔离绿化带。</w:t>
            </w:r>
          </w:p>
          <w:p w14:paraId="4E0119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②完善交通安全管理设施，全线增设路中隔离护栏责任单位:区住房城乡建设局。</w:t>
            </w:r>
          </w:p>
          <w:p w14:paraId="78E15F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lang w:eastAsia="zh-CN"/>
              </w:rPr>
            </w:pPr>
            <w:r>
              <w:rPr>
                <w:rFonts w:hint="eastAsia" w:ascii="仿宋" w:hAnsi="仿宋" w:eastAsia="仿宋" w:cs="仿宋"/>
                <w:i w:val="0"/>
                <w:iCs w:val="0"/>
                <w:color w:val="000000"/>
                <w:sz w:val="20"/>
                <w:szCs w:val="20"/>
                <w:u w:val="none"/>
                <w:lang w:eastAsia="zh-CN"/>
              </w:rPr>
              <w:t>（3）高海高速辅道:对龙门村环岛交通组织进行优化，完善交通安全管理设施:完善省委党校门前路段交通安全管理设施;全线增设诱导提示设施。</w:t>
            </w:r>
          </w:p>
        </w:tc>
      </w:tr>
      <w:tr w14:paraId="1C9C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49EC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D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00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完成及时率（9分）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7732B1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完成及时率=[（计划完成时间-实际完成时间）/计划完成时间]×100%。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实际完成时间：项目实施单位完成该项目实际所耗用的时间。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计划完成时间：按照项目实施计划或相关规定完成该项目所需的时间。</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07468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636D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经查看项目资料，计划开工时间2024年3月25日，计划竣工日期2024年5月10日，实际开工时间2024年4月10日，实际竣工日期2024年5月10日，验收时间2024年7月12日，已完成的工作任务均已达到计划时效标准。完成及时性</w:t>
            </w:r>
            <w:r>
              <w:rPr>
                <w:rFonts w:hint="eastAsia" w:hAnsi="仿宋" w:cs="仿宋"/>
                <w:i w:val="0"/>
                <w:iCs w:val="0"/>
                <w:color w:val="000000"/>
                <w:sz w:val="20"/>
                <w:szCs w:val="20"/>
                <w:u w:val="none"/>
                <w:lang w:val="en-US" w:eastAsia="zh-CN"/>
              </w:rPr>
              <w:t>为</w:t>
            </w:r>
            <w:r>
              <w:rPr>
                <w:rFonts w:hint="eastAsia" w:ascii="仿宋" w:hAnsi="仿宋" w:eastAsia="仿宋" w:cs="仿宋"/>
                <w:i w:val="0"/>
                <w:iCs w:val="0"/>
                <w:color w:val="000000"/>
                <w:sz w:val="20"/>
                <w:szCs w:val="20"/>
                <w:u w:val="none"/>
                <w:lang w:eastAsia="zh-CN"/>
              </w:rPr>
              <w:t>100%。</w:t>
            </w:r>
          </w:p>
        </w:tc>
      </w:tr>
      <w:tr w14:paraId="6F52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F77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57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质量达标率（8分）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2F770E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质量达标率=（质量达标产出数/实际产出数）×100%。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质量达标产出数：一定时期（本年度或项目期）内实际达到既定质量标准的产品或服务数量。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既定质量标准是指项目实施单位设立绩效目标时依据计划标准、行业标准、历史标准或其他标准而设定的绩效指标值。</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36652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4BBAB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西山区住建局“西山区海埂片区“观鸥季”交通服务保障项目资金”已达到既定质量标准的产品或服务数量。</w:t>
            </w:r>
          </w:p>
        </w:tc>
      </w:tr>
      <w:tr w14:paraId="5B6E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05E85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324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3B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成本节约率（8分）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27CC76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成本节约率=[（计划成本-实际成本）/计划成本]×100%。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实际成本：项目实施单位如期、保质、保量完成既定工作目标实际所耗费的支出。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计划成本：项目实施单位为完成工作目标计划安排的支出，一般以项目预算为参考。</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08494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5C811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西山区住建局“西山区海埂片区“观鸥季”交通服务保障项目资金”预算经费2,192,700.00元；根据该项目账务支出明细截止评价日支出合计2,192,700.00元，即成本节约率=[（2,192,700.00-2,192,700.00）/2,192,700.00]×100%=0%。</w:t>
            </w:r>
          </w:p>
        </w:tc>
      </w:tr>
      <w:tr w14:paraId="19A4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BA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效果（22分）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4B5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项目效益（16分）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生态效益（4分）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3FABF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衡量观鸥季交通保障对核心区机动车污染物减排、滇池周边生态防护及绿色出行方式推广的实际效果。</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6D1C7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09666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根据问卷调查结果汇总情况。从（1）观鸥季海埂片区的空气质量相比往年（2）观鸥季交通保障对滇池生态环境的保护2个方面来设置调查问卷，得分率均≥76%，最终得分4分。</w:t>
            </w:r>
          </w:p>
        </w:tc>
      </w:tr>
      <w:tr w14:paraId="3F40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left w:val="single" w:color="000000" w:sz="4" w:space="0"/>
              <w:right w:val="single" w:color="000000" w:sz="4" w:space="0"/>
            </w:tcBorders>
            <w:shd w:val="clear" w:color="auto" w:fill="auto"/>
            <w:textDirection w:val="tbRlV"/>
            <w:vAlign w:val="center"/>
          </w:tcPr>
          <w:p w14:paraId="2AF42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450" w:type="dxa"/>
            <w:vMerge w:val="continue"/>
            <w:tcBorders>
              <w:left w:val="single" w:color="000000" w:sz="4" w:space="0"/>
              <w:right w:val="single" w:color="000000" w:sz="4" w:space="0"/>
            </w:tcBorders>
            <w:shd w:val="clear" w:color="auto" w:fill="auto"/>
            <w:vAlign w:val="center"/>
          </w:tcPr>
          <w:p w14:paraId="51CC8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A7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经济效益（4分）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7FC7B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衡量观鸥季交通保障对游客消费激活、周边业态营收拉动及交通拥堵隐性成本减少的实际成效。</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02A7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部分完成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4F332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根据问卷调查结果汇总情况。从（1）因为观鸥季交通便利，在海埂片区及周边的消费（餐饮、购物等）金额相比往年（2）观鸥季交通保障对海埂片区周边商户的生意2个方面来设置调查问卷，得分率均≥92%，未达到满意程度，最终得分3.56分。</w:t>
            </w:r>
          </w:p>
        </w:tc>
      </w:tr>
      <w:tr w14:paraId="29B1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left w:val="single" w:color="000000" w:sz="4" w:space="0"/>
              <w:right w:val="single" w:color="000000" w:sz="4" w:space="0"/>
            </w:tcBorders>
            <w:shd w:val="clear" w:color="auto" w:fill="auto"/>
            <w:textDirection w:val="tbRlV"/>
            <w:vAlign w:val="center"/>
          </w:tcPr>
          <w:p w14:paraId="3F568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450" w:type="dxa"/>
            <w:vMerge w:val="continue"/>
            <w:tcBorders>
              <w:left w:val="single" w:color="000000" w:sz="4" w:space="0"/>
              <w:right w:val="single" w:color="000000" w:sz="4" w:space="0"/>
            </w:tcBorders>
            <w:shd w:val="clear" w:color="auto" w:fill="auto"/>
            <w:vAlign w:val="center"/>
          </w:tcPr>
          <w:p w14:paraId="01F6E5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ED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社会效益（4分）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4CA4C3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通过观鸥季交通疏导、便民设施完善等措施，衡量市民往返核心观鸥点的通行顺畅度、出行安全性及便捷性改善情况。</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2A1AE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全部完成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223C4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根据问卷调查结果汇总情况。从（1）在观鸥季前往海埂片区时，交通拥堵情况相比往年、（2）观鸥季海埂片区的出行安全性2个方面来设置调查问卷，得分率均≥100%，无重大交通安全事故、便民设施覆盖率达100%得满分，最终得分4分。</w:t>
            </w:r>
          </w:p>
        </w:tc>
      </w:tr>
      <w:tr w14:paraId="38B1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7F5F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02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FF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可持续影响（4分）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2006F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通过规范到位的绿化养护管理工作，对城市道路提升改造、城市发展可以起到促进作用，可对提升城市形象、改善市容环境奠定良好基础，提供有力保障。</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AB59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部分完成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5907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根据问卷调查结果汇总情况。从（1）对观鸥季海埂片区的市容环境满意度，得分率≥76%，低于市容环境满意度≥90% ，得1.2分，扣0.8分。（2）观鸥季的交通保障和环境改善对城市形象的提升，得分率≥92%，道路改造后通行配套体验提升显著，得2分，2个方面来设置调查问卷，最终得分3.2分。</w:t>
            </w:r>
          </w:p>
        </w:tc>
      </w:tr>
      <w:tr w14:paraId="4707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423F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5D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满意度（6分）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36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群众满意度（6分）</w:t>
            </w:r>
          </w:p>
        </w:tc>
        <w:tc>
          <w:tcPr>
            <w:tcW w:w="3898" w:type="dxa"/>
            <w:tcBorders>
              <w:top w:val="single" w:color="auto" w:sz="4" w:space="0"/>
              <w:left w:val="single" w:color="000000" w:sz="4" w:space="0"/>
              <w:bottom w:val="single" w:color="000000" w:sz="4" w:space="0"/>
              <w:right w:val="single" w:color="000000" w:sz="4" w:space="0"/>
            </w:tcBorders>
            <w:shd w:val="clear" w:color="auto" w:fill="auto"/>
            <w:vAlign w:val="center"/>
          </w:tcPr>
          <w:p w14:paraId="34FE96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社会公众或服务对象是指因该项目实施而受到影响的部门（单位）、群体或个人。一般采取社会调查的方式。</w:t>
            </w:r>
          </w:p>
        </w:tc>
        <w:tc>
          <w:tcPr>
            <w:tcW w:w="392" w:type="dxa"/>
            <w:tcBorders>
              <w:top w:val="single" w:color="auto" w:sz="4" w:space="0"/>
              <w:left w:val="single" w:color="000000" w:sz="4" w:space="0"/>
              <w:bottom w:val="single" w:color="000000" w:sz="4" w:space="0"/>
              <w:right w:val="single" w:color="000000" w:sz="4" w:space="0"/>
            </w:tcBorders>
            <w:shd w:val="clear" w:color="auto" w:fill="auto"/>
            <w:vAlign w:val="center"/>
          </w:tcPr>
          <w:p w14:paraId="2E8FD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部分完成</w:t>
            </w:r>
          </w:p>
        </w:tc>
        <w:tc>
          <w:tcPr>
            <w:tcW w:w="3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A5BC1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val="en-US" w:eastAsia="zh-CN"/>
              </w:rPr>
            </w:pPr>
            <w:r>
              <w:rPr>
                <w:rFonts w:hint="default" w:ascii="仿宋" w:hAnsi="仿宋" w:eastAsia="仿宋" w:cs="仿宋"/>
                <w:i w:val="0"/>
                <w:iCs w:val="0"/>
                <w:color w:val="000000"/>
                <w:sz w:val="20"/>
                <w:szCs w:val="20"/>
                <w:u w:val="none"/>
                <w:lang w:val="en-US" w:eastAsia="zh-CN"/>
              </w:rPr>
              <w:t>根据问卷调查结果汇总情况。本次绩效评价共发放问卷50份，收回有效问卷50份，满意问卷49份。得分率=（22×100%+20×70%+7×60%）/50×100%=80%。满意度90%以上满分，每下降5%扣1.5分，扣3分。</w:t>
            </w:r>
          </w:p>
        </w:tc>
      </w:tr>
    </w:tbl>
    <w:p w14:paraId="216FB055">
      <w:pPr>
        <w:spacing w:line="579" w:lineRule="exact"/>
        <w:ind w:firstLine="630" w:firstLineChars="200"/>
        <w:outlineLvl w:val="0"/>
        <w:rPr>
          <w:rFonts w:ascii="黑体" w:hAnsi="宋体" w:eastAsia="黑体" w:cs="宋体"/>
          <w:szCs w:val="30"/>
        </w:rPr>
      </w:pPr>
      <w:bookmarkStart w:id="27" w:name="_Toc15270"/>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27"/>
    </w:p>
    <w:p w14:paraId="4E5E954A">
      <w:pPr>
        <w:spacing w:line="579" w:lineRule="exact"/>
        <w:ind w:firstLine="630" w:firstLineChars="200"/>
        <w:outlineLvl w:val="1"/>
        <w:rPr>
          <w:rFonts w:ascii="楷体" w:hAnsi="楷体" w:eastAsia="楷体"/>
          <w:szCs w:val="30"/>
        </w:rPr>
      </w:pPr>
      <w:bookmarkStart w:id="28" w:name="_Toc2905"/>
      <w:r>
        <w:rPr>
          <w:rFonts w:hint="eastAsia" w:ascii="楷体" w:hAnsi="楷体" w:eastAsia="楷体"/>
          <w:szCs w:val="30"/>
        </w:rPr>
        <w:t>（一）</w:t>
      </w:r>
      <w:r>
        <w:rPr>
          <w:rFonts w:hint="eastAsia" w:ascii="楷体" w:hAnsi="楷体" w:eastAsia="楷体"/>
          <w:szCs w:val="30"/>
          <w:lang w:val="en-US" w:eastAsia="zh-CN"/>
        </w:rPr>
        <w:t>项目投入</w:t>
      </w:r>
      <w:r>
        <w:rPr>
          <w:rFonts w:hint="eastAsia" w:ascii="楷体" w:hAnsi="楷体" w:eastAsia="楷体"/>
          <w:szCs w:val="30"/>
        </w:rPr>
        <w:t>情况</w:t>
      </w:r>
      <w:bookmarkEnd w:id="28"/>
    </w:p>
    <w:p w14:paraId="1FBAFD42">
      <w:pPr>
        <w:spacing w:line="579" w:lineRule="exact"/>
        <w:ind w:firstLine="630" w:firstLineChars="200"/>
        <w:rPr>
          <w:rFonts w:hint="eastAsia" w:hAnsi="仿宋"/>
          <w:szCs w:val="30"/>
        </w:rPr>
      </w:pPr>
      <w:r>
        <w:rPr>
          <w:rFonts w:hint="eastAsia" w:hAnsi="仿宋"/>
          <w:szCs w:val="30"/>
        </w:rPr>
        <w:t>项目</w:t>
      </w:r>
      <w:r>
        <w:rPr>
          <w:rFonts w:hint="eastAsia" w:hAnsi="仿宋"/>
          <w:szCs w:val="30"/>
          <w:lang w:val="en-US" w:eastAsia="zh-CN"/>
        </w:rPr>
        <w:t>投入情况</w:t>
      </w:r>
      <w:r>
        <w:rPr>
          <w:rFonts w:hint="eastAsia" w:hAnsi="仿宋"/>
          <w:szCs w:val="30"/>
        </w:rPr>
        <w:t>包括项目立项</w:t>
      </w:r>
      <w:r>
        <w:rPr>
          <w:rFonts w:hint="eastAsia" w:hAnsi="仿宋"/>
          <w:szCs w:val="30"/>
          <w:lang w:eastAsia="zh-CN"/>
        </w:rPr>
        <w:t>、</w:t>
      </w:r>
      <w:r>
        <w:rPr>
          <w:rFonts w:hint="eastAsia" w:hAnsi="仿宋"/>
          <w:szCs w:val="30"/>
        </w:rPr>
        <w:t>资金</w:t>
      </w:r>
      <w:r>
        <w:rPr>
          <w:rFonts w:hint="eastAsia" w:hAnsi="仿宋"/>
          <w:szCs w:val="30"/>
          <w:lang w:val="en-US" w:eastAsia="zh-CN"/>
        </w:rPr>
        <w:t>落实2个</w:t>
      </w:r>
      <w:r>
        <w:rPr>
          <w:rFonts w:hint="eastAsia" w:hAnsi="仿宋"/>
          <w:szCs w:val="30"/>
        </w:rPr>
        <w:t>方面。该项满分为1</w:t>
      </w:r>
      <w:r>
        <w:rPr>
          <w:rFonts w:hint="eastAsia" w:hAnsi="仿宋"/>
          <w:szCs w:val="30"/>
          <w:lang w:val="en-US" w:eastAsia="zh-CN"/>
        </w:rPr>
        <w:t>0</w:t>
      </w:r>
      <w:r>
        <w:rPr>
          <w:rFonts w:hint="eastAsia" w:hAnsi="仿宋"/>
          <w:szCs w:val="30"/>
        </w:rPr>
        <w:t>分，评价得分</w:t>
      </w:r>
      <w:r>
        <w:rPr>
          <w:rFonts w:hint="eastAsia" w:hAnsi="仿宋"/>
          <w:szCs w:val="30"/>
          <w:lang w:val="en-US" w:eastAsia="zh-CN"/>
        </w:rPr>
        <w:t>9</w:t>
      </w:r>
      <w:r>
        <w:rPr>
          <w:rFonts w:hint="eastAsia" w:hAnsi="仿宋"/>
          <w:szCs w:val="30"/>
        </w:rPr>
        <w:t>分，得分率</w:t>
      </w:r>
      <w:r>
        <w:rPr>
          <w:rFonts w:hint="eastAsia" w:hAnsi="仿宋"/>
          <w:szCs w:val="30"/>
          <w:lang w:val="en-US" w:eastAsia="zh-CN"/>
        </w:rPr>
        <w:t>90</w:t>
      </w:r>
      <w:r>
        <w:rPr>
          <w:rFonts w:hAnsi="仿宋"/>
          <w:szCs w:val="30"/>
        </w:rPr>
        <w:t>%</w:t>
      </w:r>
      <w:r>
        <w:rPr>
          <w:rFonts w:hint="eastAsia" w:hAnsi="仿宋"/>
          <w:szCs w:val="30"/>
        </w:rPr>
        <w:t>。</w:t>
      </w:r>
    </w:p>
    <w:p w14:paraId="6A8A79F8">
      <w:pPr>
        <w:spacing w:line="579" w:lineRule="exact"/>
        <w:ind w:firstLine="630" w:firstLineChars="200"/>
        <w:rPr>
          <w:rFonts w:hint="eastAsia" w:hAnsi="仿宋"/>
          <w:szCs w:val="30"/>
          <w:lang w:val="en-US" w:eastAsia="zh-CN"/>
        </w:rPr>
      </w:pPr>
      <w:r>
        <w:rPr>
          <w:rFonts w:hint="eastAsia" w:hAnsi="仿宋"/>
          <w:szCs w:val="30"/>
          <w:lang w:val="en-US" w:eastAsia="zh-CN"/>
        </w:rPr>
        <w:t>1.项目立项</w:t>
      </w:r>
    </w:p>
    <w:p w14:paraId="557C6679">
      <w:pPr>
        <w:spacing w:line="579" w:lineRule="exact"/>
        <w:ind w:firstLine="630" w:firstLineChars="200"/>
        <w:rPr>
          <w:rFonts w:hint="default" w:hAnsi="仿宋"/>
          <w:szCs w:val="30"/>
          <w:lang w:val="en-US" w:eastAsia="zh-CN"/>
        </w:rPr>
      </w:pPr>
      <w:r>
        <w:rPr>
          <w:rFonts w:hint="default" w:hAnsi="仿宋"/>
          <w:szCs w:val="30"/>
          <w:lang w:val="en-US" w:eastAsia="zh-CN"/>
        </w:rPr>
        <w:t>项目立项指标满分为</w:t>
      </w:r>
      <w:r>
        <w:rPr>
          <w:rFonts w:hint="eastAsia" w:hAnsi="仿宋"/>
          <w:szCs w:val="30"/>
          <w:lang w:val="en-US" w:eastAsia="zh-CN"/>
        </w:rPr>
        <w:t>6</w:t>
      </w:r>
      <w:r>
        <w:rPr>
          <w:rFonts w:hint="default" w:hAnsi="仿宋"/>
          <w:szCs w:val="30"/>
          <w:lang w:val="en-US" w:eastAsia="zh-CN"/>
        </w:rPr>
        <w:t>分，针对项目立项规范性</w:t>
      </w:r>
      <w:r>
        <w:rPr>
          <w:rFonts w:hint="eastAsia" w:hAnsi="仿宋"/>
          <w:szCs w:val="30"/>
          <w:lang w:val="en-US" w:eastAsia="zh-CN"/>
        </w:rPr>
        <w:t>、</w:t>
      </w:r>
      <w:r>
        <w:rPr>
          <w:rFonts w:hint="default" w:hAnsi="仿宋"/>
          <w:szCs w:val="30"/>
          <w:lang w:val="en-US" w:eastAsia="zh-CN"/>
        </w:rPr>
        <w:t>绩效目标合理性</w:t>
      </w:r>
      <w:r>
        <w:rPr>
          <w:rFonts w:hint="eastAsia" w:hAnsi="仿宋"/>
          <w:szCs w:val="30"/>
          <w:lang w:val="en-US" w:eastAsia="zh-CN"/>
        </w:rPr>
        <w:t>及绩效指标明确性</w:t>
      </w:r>
      <w:r>
        <w:rPr>
          <w:rFonts w:hint="default" w:hAnsi="仿宋"/>
          <w:szCs w:val="30"/>
          <w:lang w:val="en-US" w:eastAsia="zh-CN"/>
        </w:rPr>
        <w:t>进行评价。此项综合评价得分为</w:t>
      </w:r>
      <w:r>
        <w:rPr>
          <w:rFonts w:hint="eastAsia" w:hAnsi="仿宋"/>
          <w:szCs w:val="30"/>
          <w:lang w:val="en-US" w:eastAsia="zh-CN"/>
        </w:rPr>
        <w:t>5</w:t>
      </w:r>
      <w:r>
        <w:rPr>
          <w:rFonts w:hint="default" w:hAnsi="仿宋"/>
          <w:szCs w:val="30"/>
          <w:lang w:val="en-US" w:eastAsia="zh-CN"/>
        </w:rPr>
        <w:t>分，得分率</w:t>
      </w:r>
      <w:r>
        <w:rPr>
          <w:rFonts w:hint="eastAsia" w:hAnsi="仿宋"/>
          <w:szCs w:val="30"/>
          <w:lang w:val="en-US" w:eastAsia="zh-CN"/>
        </w:rPr>
        <w:t>83.33</w:t>
      </w:r>
      <w:r>
        <w:rPr>
          <w:rFonts w:hint="default" w:hAnsi="仿宋"/>
          <w:szCs w:val="30"/>
          <w:lang w:val="en-US" w:eastAsia="zh-CN"/>
        </w:rPr>
        <w:t>%。</w:t>
      </w:r>
    </w:p>
    <w:p w14:paraId="4A14E43B">
      <w:pPr>
        <w:spacing w:line="579" w:lineRule="exact"/>
        <w:ind w:firstLine="630" w:firstLineChars="200"/>
        <w:rPr>
          <w:rFonts w:hint="eastAsia" w:hAnsi="仿宋"/>
          <w:szCs w:val="30"/>
          <w:lang w:val="en-US" w:eastAsia="zh-CN"/>
        </w:rPr>
      </w:pPr>
      <w:r>
        <w:rPr>
          <w:rFonts w:hint="eastAsia" w:hAnsi="仿宋"/>
          <w:szCs w:val="30"/>
          <w:lang w:val="en-US" w:eastAsia="zh-CN"/>
        </w:rPr>
        <w:t>西山区住建局将绩效目标细化分解为具体的绩效指标；但未通过清晰、可衡量的指标值予以体现，绩效目标合理性及绩效指标明确性分</w:t>
      </w:r>
      <w:r>
        <w:rPr>
          <w:rFonts w:hint="eastAsia" w:hAnsi="仿宋"/>
          <w:szCs w:val="30"/>
          <w:highlight w:val="none"/>
          <w:lang w:val="en-US" w:eastAsia="zh-CN"/>
        </w:rPr>
        <w:t>别扣0.5分；与项目目标任务数或</w:t>
      </w:r>
      <w:r>
        <w:rPr>
          <w:rFonts w:hint="eastAsia" w:hAnsi="仿宋"/>
          <w:szCs w:val="30"/>
          <w:lang w:val="en-US" w:eastAsia="zh-CN"/>
        </w:rPr>
        <w:t>计划数相对应。</w:t>
      </w:r>
    </w:p>
    <w:p w14:paraId="4A1A2991">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2.资金落实</w:t>
      </w:r>
    </w:p>
    <w:p w14:paraId="7C0B915F">
      <w:pPr>
        <w:numPr>
          <w:ilvl w:val="0"/>
          <w:numId w:val="0"/>
        </w:numPr>
        <w:spacing w:line="579" w:lineRule="exact"/>
        <w:ind w:firstLine="630" w:firstLineChars="200"/>
        <w:rPr>
          <w:rFonts w:hint="default" w:hAnsi="仿宋"/>
          <w:szCs w:val="30"/>
          <w:highlight w:val="none"/>
          <w:lang w:val="en-US" w:eastAsia="zh-CN"/>
        </w:rPr>
      </w:pPr>
      <w:r>
        <w:rPr>
          <w:rFonts w:hint="default" w:hAnsi="仿宋"/>
          <w:szCs w:val="30"/>
          <w:highlight w:val="none"/>
          <w:lang w:val="en-US" w:eastAsia="zh-CN"/>
        </w:rPr>
        <w:t>资金</w:t>
      </w:r>
      <w:r>
        <w:rPr>
          <w:rFonts w:hint="eastAsia" w:hAnsi="仿宋" w:cs="Times New Roman"/>
          <w:szCs w:val="30"/>
          <w:lang w:val="en-US" w:eastAsia="zh-CN"/>
        </w:rPr>
        <w:t>落实</w:t>
      </w:r>
      <w:r>
        <w:rPr>
          <w:rFonts w:hint="default" w:hAnsi="仿宋"/>
          <w:szCs w:val="30"/>
          <w:highlight w:val="none"/>
          <w:lang w:val="en-US" w:eastAsia="zh-CN"/>
        </w:rPr>
        <w:t>指标满分为</w:t>
      </w:r>
      <w:r>
        <w:rPr>
          <w:rFonts w:hint="eastAsia" w:hAnsi="仿宋"/>
          <w:szCs w:val="30"/>
          <w:highlight w:val="none"/>
          <w:lang w:val="en-US" w:eastAsia="zh-CN"/>
        </w:rPr>
        <w:t>4</w:t>
      </w:r>
      <w:r>
        <w:rPr>
          <w:rFonts w:hint="default" w:hAnsi="仿宋"/>
          <w:szCs w:val="30"/>
          <w:highlight w:val="none"/>
          <w:lang w:val="en-US" w:eastAsia="zh-CN"/>
        </w:rPr>
        <w:t>分，针对资金到位率</w:t>
      </w:r>
      <w:r>
        <w:rPr>
          <w:rFonts w:hint="eastAsia" w:hAnsi="仿宋"/>
          <w:szCs w:val="30"/>
          <w:highlight w:val="none"/>
          <w:lang w:val="en-US" w:eastAsia="zh-CN"/>
        </w:rPr>
        <w:t>、到位及时率</w:t>
      </w:r>
      <w:r>
        <w:rPr>
          <w:rFonts w:hint="default" w:hAnsi="仿宋"/>
          <w:szCs w:val="30"/>
          <w:highlight w:val="none"/>
          <w:lang w:val="en-US" w:eastAsia="zh-CN"/>
        </w:rPr>
        <w:t>进行评价。此项综合评价得分为</w:t>
      </w:r>
      <w:r>
        <w:rPr>
          <w:rFonts w:hint="eastAsia" w:hAnsi="仿宋"/>
          <w:szCs w:val="30"/>
          <w:highlight w:val="none"/>
          <w:lang w:val="en-US" w:eastAsia="zh-CN"/>
        </w:rPr>
        <w:t>4</w:t>
      </w:r>
      <w:r>
        <w:rPr>
          <w:rFonts w:hint="default" w:hAnsi="仿宋"/>
          <w:szCs w:val="30"/>
          <w:highlight w:val="none"/>
          <w:lang w:val="en-US" w:eastAsia="zh-CN"/>
        </w:rPr>
        <w:t>分</w:t>
      </w:r>
      <w:r>
        <w:rPr>
          <w:rFonts w:hint="eastAsia" w:hAnsi="仿宋"/>
          <w:szCs w:val="30"/>
          <w:highlight w:val="none"/>
          <w:lang w:val="en-US" w:eastAsia="zh-CN"/>
        </w:rPr>
        <w:t>，</w:t>
      </w:r>
      <w:r>
        <w:rPr>
          <w:rFonts w:hint="default" w:hAnsi="仿宋"/>
          <w:szCs w:val="30"/>
          <w:highlight w:val="none"/>
          <w:lang w:val="en-US" w:eastAsia="zh-CN"/>
        </w:rPr>
        <w:t>得分率</w:t>
      </w:r>
      <w:r>
        <w:rPr>
          <w:rFonts w:hint="eastAsia" w:hAnsi="仿宋"/>
          <w:szCs w:val="30"/>
          <w:highlight w:val="none"/>
          <w:lang w:val="en-US" w:eastAsia="zh-CN"/>
        </w:rPr>
        <w:t>100</w:t>
      </w:r>
      <w:r>
        <w:rPr>
          <w:rFonts w:hint="default" w:hAnsi="仿宋"/>
          <w:szCs w:val="30"/>
          <w:highlight w:val="none"/>
          <w:lang w:val="en-US" w:eastAsia="zh-CN"/>
        </w:rPr>
        <w:t>%</w:t>
      </w:r>
      <w:r>
        <w:rPr>
          <w:rFonts w:hint="eastAsia" w:hAnsi="仿宋"/>
          <w:szCs w:val="30"/>
          <w:highlight w:val="none"/>
          <w:lang w:val="en-US" w:eastAsia="zh-CN"/>
        </w:rPr>
        <w:t>。</w:t>
      </w:r>
    </w:p>
    <w:p w14:paraId="2A0E80FB">
      <w:pPr>
        <w:spacing w:line="579" w:lineRule="exact"/>
        <w:ind w:firstLine="630" w:firstLineChars="200"/>
        <w:rPr>
          <w:rFonts w:hint="eastAsia" w:hAnsi="仿宋" w:cs="Times New Roman"/>
          <w:sz w:val="30"/>
          <w:szCs w:val="30"/>
          <w:highlight w:val="none"/>
          <w:lang w:val="en-US" w:eastAsia="zh-CN"/>
        </w:rPr>
      </w:pPr>
      <w:r>
        <w:rPr>
          <w:rFonts w:hint="eastAsia" w:hAnsi="仿宋" w:cs="Times New Roman"/>
          <w:sz w:val="30"/>
          <w:szCs w:val="30"/>
          <w:highlight w:val="none"/>
          <w:lang w:val="en-US" w:eastAsia="zh-CN"/>
        </w:rPr>
        <w:t>资金到位率方面，西山区海埂片区“观鸥季”交通服务保障项目资金219.27万元，实际到位资金219.27万元，资金到位率100%。</w:t>
      </w:r>
    </w:p>
    <w:p w14:paraId="78A39D57">
      <w:pPr>
        <w:spacing w:line="579" w:lineRule="exact"/>
        <w:ind w:firstLine="630" w:firstLineChars="200"/>
        <w:rPr>
          <w:rFonts w:hint="default" w:hAnsi="仿宋" w:cs="Times New Roman"/>
          <w:sz w:val="30"/>
          <w:szCs w:val="30"/>
          <w:highlight w:val="none"/>
          <w:lang w:val="en-US" w:eastAsia="zh-CN"/>
        </w:rPr>
      </w:pPr>
      <w:r>
        <w:rPr>
          <w:rFonts w:hint="eastAsia" w:hAnsi="仿宋" w:cs="Times New Roman"/>
          <w:sz w:val="30"/>
          <w:szCs w:val="30"/>
          <w:highlight w:val="none"/>
          <w:lang w:val="en-US" w:eastAsia="zh-CN"/>
        </w:rPr>
        <w:t>资金使用率方面，截至2024年12月31日，实际支出资金219.27万元，资金使用率为100%。</w:t>
      </w:r>
    </w:p>
    <w:p w14:paraId="790AB907">
      <w:pPr>
        <w:spacing w:line="579" w:lineRule="exact"/>
        <w:ind w:firstLine="630" w:firstLineChars="200"/>
        <w:rPr>
          <w:rFonts w:hint="eastAsia" w:hAnsi="仿宋" w:cs="Times New Roman"/>
          <w:sz w:val="30"/>
          <w:szCs w:val="30"/>
          <w:highlight w:val="none"/>
          <w:lang w:val="en-US" w:eastAsia="zh-CN"/>
        </w:rPr>
      </w:pPr>
      <w:r>
        <w:rPr>
          <w:rFonts w:hint="eastAsia" w:hAnsi="仿宋" w:cs="Times New Roman"/>
          <w:sz w:val="30"/>
          <w:szCs w:val="30"/>
          <w:highlight w:val="none"/>
          <w:lang w:val="en-US" w:eastAsia="zh-CN"/>
        </w:rPr>
        <w:t>资金使用符合国家财经法规和财务管理制度规定以及有关专项资金管理办法的规定，资金的拨付有完整的审批程序和手续。</w:t>
      </w:r>
    </w:p>
    <w:p w14:paraId="71EAC891">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ascii="楷体" w:hAnsi="楷体" w:eastAsia="楷体"/>
          <w:szCs w:val="30"/>
        </w:rPr>
      </w:pPr>
      <w:bookmarkStart w:id="29" w:name="_Toc8377"/>
      <w:r>
        <w:rPr>
          <w:rFonts w:hint="eastAsia" w:ascii="楷体" w:hAnsi="楷体" w:eastAsia="楷体"/>
          <w:szCs w:val="30"/>
        </w:rPr>
        <w:t>（二）</w:t>
      </w:r>
      <w:r>
        <w:rPr>
          <w:rFonts w:hint="eastAsia" w:ascii="楷体" w:hAnsi="楷体" w:eastAsia="楷体"/>
          <w:szCs w:val="30"/>
          <w:lang w:val="en-US" w:eastAsia="zh-CN"/>
        </w:rPr>
        <w:t>项目</w:t>
      </w:r>
      <w:r>
        <w:rPr>
          <w:rFonts w:hint="eastAsia" w:ascii="楷体" w:hAnsi="楷体" w:eastAsia="楷体"/>
          <w:szCs w:val="30"/>
        </w:rPr>
        <w:t>过程情况</w:t>
      </w:r>
      <w:bookmarkEnd w:id="29"/>
    </w:p>
    <w:p w14:paraId="2041939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过程情况包括业务管理、财务管理2个方面。该项满分为34分，评价得分32.80分，得分率96.47%。</w:t>
      </w:r>
    </w:p>
    <w:p w14:paraId="63BB5895">
      <w:pPr>
        <w:spacing w:line="579" w:lineRule="exact"/>
        <w:ind w:firstLine="630" w:firstLineChars="200"/>
        <w:rPr>
          <w:rFonts w:hint="eastAsia" w:hAnsi="仿宋"/>
          <w:szCs w:val="30"/>
          <w:lang w:val="en-US" w:eastAsia="zh-CN"/>
        </w:rPr>
      </w:pPr>
      <w:r>
        <w:rPr>
          <w:rFonts w:hint="eastAsia" w:hAnsi="仿宋"/>
          <w:szCs w:val="30"/>
          <w:lang w:val="en-US" w:eastAsia="zh-CN"/>
        </w:rPr>
        <w:t>1.业务管理</w:t>
      </w:r>
    </w:p>
    <w:p w14:paraId="307F99D1">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业务管理指标满分为</w:t>
      </w:r>
      <w:r>
        <w:rPr>
          <w:rFonts w:hint="eastAsia" w:hAnsi="仿宋" w:cs="Times New Roman"/>
          <w:szCs w:val="30"/>
          <w:lang w:val="en-US" w:eastAsia="zh-CN"/>
        </w:rPr>
        <w:t>16</w:t>
      </w:r>
      <w:r>
        <w:rPr>
          <w:rFonts w:hint="eastAsia" w:hAnsi="仿宋" w:cs="Times New Roman"/>
          <w:szCs w:val="30"/>
        </w:rPr>
        <w:t>分</w:t>
      </w:r>
      <w:r>
        <w:rPr>
          <w:rFonts w:hint="eastAsia" w:hAnsi="仿宋" w:cs="Times New Roman"/>
          <w:szCs w:val="30"/>
          <w:lang w:eastAsia="zh-CN"/>
        </w:rPr>
        <w:t>，</w:t>
      </w:r>
      <w:r>
        <w:rPr>
          <w:rFonts w:hint="eastAsia" w:hAnsi="仿宋" w:cs="Times New Roman"/>
          <w:szCs w:val="30"/>
          <w:lang w:val="en-US" w:eastAsia="zh-CN"/>
        </w:rPr>
        <w:t>针对管理制度健全性、制度执行有效性、施工合规性、采购程序规范性进行评价。此项综合评价得分为16分，得分率100%。</w:t>
      </w:r>
    </w:p>
    <w:p w14:paraId="464AF43D">
      <w:pPr>
        <w:spacing w:line="579" w:lineRule="exact"/>
        <w:ind w:firstLine="630" w:firstLineChars="200"/>
        <w:rPr>
          <w:rFonts w:hint="eastAsia" w:hAnsi="仿宋"/>
          <w:szCs w:val="30"/>
          <w:lang w:val="en-US" w:eastAsia="zh-CN"/>
        </w:rPr>
      </w:pPr>
      <w:r>
        <w:rPr>
          <w:rFonts w:hint="eastAsia" w:hAnsi="仿宋"/>
          <w:szCs w:val="30"/>
          <w:lang w:val="en-US" w:eastAsia="zh-CN"/>
        </w:rPr>
        <w:t>管理制度健全性方面，项目已制定或具有相应的财务和业务管理制度；财务和业务管理制度合法、合规、完整。且根据国家、省相关规定，单独制定了昆明市西山区住房和城乡建设局关于印发局《财务管理规定(修订)》的通知、参照《市政工程项目管理制度》等管理办法。</w:t>
      </w:r>
    </w:p>
    <w:p w14:paraId="7C363512">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制度执行有效性方面，西山区住建局遵守相关法律法规和业务管理规定；暂无项目调整及支出调整手续；有项目合同书、验收竣工资料等证明材料并归档；已配备项目实施的人员、场地、信息支撑等。</w:t>
      </w:r>
    </w:p>
    <w:p w14:paraId="273C516D">
      <w:pPr>
        <w:ind w:firstLine="630"/>
        <w:rPr>
          <w:rFonts w:hint="default" w:hAnsi="仿宋"/>
          <w:szCs w:val="30"/>
          <w:highlight w:val="none"/>
          <w:lang w:val="en-US" w:eastAsia="zh-CN"/>
        </w:rPr>
      </w:pPr>
      <w:r>
        <w:rPr>
          <w:rFonts w:hint="eastAsia" w:hAnsi="仿宋" w:cs="Times New Roman"/>
          <w:szCs w:val="30"/>
          <w:lang w:val="en-US" w:eastAsia="zh-CN"/>
        </w:rPr>
        <w:t>项目质量可控性</w:t>
      </w:r>
      <w:r>
        <w:rPr>
          <w:rFonts w:hint="eastAsia" w:hAnsi="仿宋"/>
          <w:szCs w:val="30"/>
          <w:highlight w:val="none"/>
          <w:lang w:val="en-US" w:eastAsia="zh-CN"/>
        </w:rPr>
        <w:t>方面，该项目由云南公路桥梁市政工程监理咨询有限公司进行监理，项目于2024年4月10日开工，2024年5月10日完工。2024年7月12日经施工、监理、设计、建设单位共同验收，评定为质量合格。</w:t>
      </w:r>
    </w:p>
    <w:p w14:paraId="3E3FBB23">
      <w:pPr>
        <w:spacing w:line="579" w:lineRule="exact"/>
        <w:ind w:firstLine="630" w:firstLineChars="200"/>
        <w:rPr>
          <w:rFonts w:hint="eastAsia" w:hAnsi="仿宋"/>
          <w:szCs w:val="30"/>
          <w:lang w:val="en-US" w:eastAsia="zh-CN"/>
        </w:rPr>
      </w:pPr>
      <w:r>
        <w:rPr>
          <w:rFonts w:hint="eastAsia" w:hAnsi="仿宋"/>
          <w:szCs w:val="30"/>
          <w:lang w:val="en-US" w:eastAsia="zh-CN"/>
        </w:rPr>
        <w:t>2.财务管理</w:t>
      </w:r>
    </w:p>
    <w:p w14:paraId="001853F6">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财务管理指标满分为18分，针对财务管理制度健全性、资金使用合规性和财务监控有效性进行评价。此项综合评价得分为16.80分，得分率93.33%。</w:t>
      </w:r>
    </w:p>
    <w:p w14:paraId="7AD98EF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山区住建局“西山区海埂片区“观鸥季”交通服务保障项目资金”资金使用符合国家财经法规和财务管理制度以及有关专项资金管理办法的规定；资金的拨付有完整的审批程序和手续；项目的重大开支未经过评估认证，扣1.2分；符合项目预算批复或合同规定的用途；不存在截留、挤占、挪用、虚列支出等情况。依法设置了会计账簿、会计凭证，确保账表相符、账账相符，保证账证的真实性、合法性、完整性。</w:t>
      </w:r>
    </w:p>
    <w:p w14:paraId="615A47A3">
      <w:pPr>
        <w:spacing w:line="579" w:lineRule="exact"/>
        <w:ind w:firstLine="630" w:firstLineChars="200"/>
        <w:outlineLvl w:val="1"/>
        <w:rPr>
          <w:rFonts w:ascii="楷体" w:hAnsi="楷体" w:eastAsia="楷体"/>
          <w:szCs w:val="30"/>
          <w:highlight w:val="none"/>
        </w:rPr>
      </w:pPr>
      <w:bookmarkStart w:id="30" w:name="_Toc17119"/>
      <w:r>
        <w:rPr>
          <w:rFonts w:hint="eastAsia" w:ascii="楷体" w:hAnsi="楷体" w:eastAsia="楷体"/>
          <w:szCs w:val="30"/>
          <w:highlight w:val="none"/>
        </w:rPr>
        <w:t>（三）</w:t>
      </w:r>
      <w:r>
        <w:rPr>
          <w:rFonts w:hint="eastAsia" w:ascii="楷体" w:hAnsi="楷体" w:eastAsia="楷体"/>
          <w:szCs w:val="30"/>
          <w:highlight w:val="none"/>
          <w:lang w:val="en-US" w:eastAsia="zh-CN"/>
        </w:rPr>
        <w:t>项目</w:t>
      </w:r>
      <w:r>
        <w:rPr>
          <w:rFonts w:hint="eastAsia" w:ascii="楷体" w:hAnsi="楷体" w:eastAsia="楷体"/>
          <w:szCs w:val="30"/>
          <w:highlight w:val="none"/>
        </w:rPr>
        <w:t>产出情况</w:t>
      </w:r>
      <w:bookmarkEnd w:id="30"/>
    </w:p>
    <w:p w14:paraId="54C81A8B">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产出情况包括项目产出一个方面。该项满分为34分，得分34分，得分率100%。</w:t>
      </w:r>
    </w:p>
    <w:p w14:paraId="458C44C8">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1.</w:t>
      </w:r>
      <w:r>
        <w:rPr>
          <w:rFonts w:hint="default" w:hAnsi="仿宋" w:cs="Times New Roman"/>
          <w:szCs w:val="30"/>
          <w:highlight w:val="none"/>
          <w:lang w:val="en-US" w:eastAsia="zh-CN"/>
        </w:rPr>
        <w:t>实际完成率</w:t>
      </w:r>
    </w:p>
    <w:p w14:paraId="294271AB">
      <w:pPr>
        <w:spacing w:line="579" w:lineRule="exact"/>
        <w:ind w:firstLine="630" w:firstLineChars="200"/>
        <w:rPr>
          <w:rFonts w:hint="eastAsia" w:hAnsi="仿宋"/>
          <w:szCs w:val="30"/>
          <w:highlight w:val="none"/>
          <w:lang w:val="en-US" w:eastAsia="zh-CN"/>
        </w:rPr>
      </w:pPr>
      <w:r>
        <w:rPr>
          <w:rFonts w:hint="eastAsia" w:hAnsi="仿宋" w:cs="Times New Roman"/>
          <w:szCs w:val="30"/>
          <w:highlight w:val="none"/>
          <w:lang w:val="en-US" w:eastAsia="zh-CN"/>
        </w:rPr>
        <w:t>该项满分为9分，得分9分，得分率100%。</w:t>
      </w:r>
    </w:p>
    <w:p w14:paraId="131BC06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西山区住建局“西山区海埂片区“观鸥季”交通服务保障项目资金”预算经费2,192,700.00元；根据该项目账务支出明细截止评价日支出合计2,192,700.00元，即实际完成率=（2,192,700.00/2,192,700.00）×100%=100%。</w:t>
      </w:r>
    </w:p>
    <w:p w14:paraId="341670C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诱导指引设施(含LED屏)设置</w:t>
      </w:r>
    </w:p>
    <w:p w14:paraId="55BA22F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（1）新增10套LED诱导显示屏。其中，西福路4套、广福路6套。</w:t>
      </w:r>
    </w:p>
    <w:p w14:paraId="0F603F0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（2）在海埂片区30个停车场新增停车三级诱导设施。</w:t>
      </w:r>
    </w:p>
    <w:p w14:paraId="6D7E033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外围节点优化提升工程</w:t>
      </w:r>
    </w:p>
    <w:p w14:paraId="6392C0B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（1）边防路与西福路交叉口:拆除交叉口南、北向两侧距离停止线80米范围内的绿化带，渠划增加一条机动车道，完善交通安全管理设施</w:t>
      </w:r>
    </w:p>
    <w:p w14:paraId="6B62BF6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①拆除交叉口南、北向两侧距离停止线80米范围内的绿化带。</w:t>
      </w:r>
    </w:p>
    <w:p w14:paraId="727803B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②渠划增加一条机动车道，完善交通安全管理设施。</w:t>
      </w:r>
    </w:p>
    <w:p w14:paraId="21D2E91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（2）西福路沿线:拆除西福路沿线华夏四季熙澜苑路口、西山区第七幼儿园路口、经纬花苑路口三个路口北口两侧距离停止线50米范围内的机非隔离绿化带，完善交通安全管理设施;全线增设路中隔离护栏</w:t>
      </w:r>
    </w:p>
    <w:p w14:paraId="3CC92F4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①拆除西福路沿线华夏四季熙澜苑路口、西山区第七幼儿园路口、经纬花苑路口三个路口北口两侧距离停止线50米范围内的机非隔离绿化带。</w:t>
      </w:r>
    </w:p>
    <w:p w14:paraId="1D76AA09">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②完善交通安全管理设施，全线增设路中隔离护栏责任单位:区住房城乡建设局。</w:t>
      </w:r>
    </w:p>
    <w:p w14:paraId="037FCC65">
      <w:pPr>
        <w:numPr>
          <w:ilvl w:val="0"/>
          <w:numId w:val="2"/>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高海高速辅道:对龙门村环岛交通组织进行优化，完善交通安全管理设施:完善省委党校门前路段交通安全管理设施;全线增设诱导提示设施。</w:t>
      </w:r>
    </w:p>
    <w:p w14:paraId="56E12A70">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2.完成及时率</w:t>
      </w:r>
    </w:p>
    <w:p w14:paraId="623FDE97">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该项满分为9分，得分9分，得分率100%。</w:t>
      </w:r>
    </w:p>
    <w:p w14:paraId="6CC57957">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经查看项目资料，计划开工时间2024年3月25日，计划竣工日期2024年5月10日，实际开工时间2024年4月10日，实际竣工日期2024年5月10日，验收时间2024年7月12日，已完成的工作任务均已达到计划时效标准。完成及时性为100%。</w:t>
      </w:r>
    </w:p>
    <w:p w14:paraId="7C38FC53">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3.质量达标率</w:t>
      </w:r>
    </w:p>
    <w:p w14:paraId="2B041D77">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该项满分为8分，得分8分，得分率100%。</w:t>
      </w:r>
    </w:p>
    <w:p w14:paraId="4952C9E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西山区住建局“西山区海埂片区“观鸥季”交通服务保障项目资金”已达到既定质量标准的产品或服务数量。</w:t>
      </w:r>
    </w:p>
    <w:p w14:paraId="6235C4D8">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4.成本节约率</w:t>
      </w:r>
    </w:p>
    <w:p w14:paraId="75D0C31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该项满分为8分，得分8分，得分率100%。</w:t>
      </w:r>
    </w:p>
    <w:p w14:paraId="6EE9AA83">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西山区住建局“西山区海埂片区“观鸥季”交通服务保障项目资金”预算经费2,192,700.00元；根据该项目账务支出明细截止评价日支出合计2,192,700.00元，即成本节约率=[（2,192,700.00-2,192,700.00）/2,192,700.00]×100%=0%。</w:t>
      </w:r>
    </w:p>
    <w:p w14:paraId="0D160A31">
      <w:pPr>
        <w:spacing w:line="579" w:lineRule="exact"/>
        <w:ind w:firstLine="630" w:firstLineChars="200"/>
        <w:outlineLvl w:val="1"/>
        <w:rPr>
          <w:rFonts w:ascii="楷体" w:hAnsi="楷体" w:eastAsia="楷体"/>
          <w:szCs w:val="30"/>
          <w:highlight w:val="none"/>
        </w:rPr>
      </w:pPr>
      <w:bookmarkStart w:id="31" w:name="_Toc9863"/>
      <w:r>
        <w:rPr>
          <w:rFonts w:hint="eastAsia" w:ascii="楷体" w:hAnsi="楷体" w:eastAsia="楷体"/>
          <w:szCs w:val="30"/>
          <w:highlight w:val="none"/>
        </w:rPr>
        <w:t>（四）</w:t>
      </w:r>
      <w:r>
        <w:rPr>
          <w:rFonts w:hint="eastAsia" w:ascii="楷体" w:hAnsi="楷体" w:eastAsia="楷体"/>
          <w:szCs w:val="30"/>
          <w:highlight w:val="none"/>
          <w:lang w:val="en-US" w:eastAsia="zh-CN"/>
        </w:rPr>
        <w:t>项目效益</w:t>
      </w:r>
      <w:r>
        <w:rPr>
          <w:rFonts w:hint="eastAsia" w:ascii="楷体" w:hAnsi="楷体" w:eastAsia="楷体"/>
          <w:szCs w:val="30"/>
          <w:highlight w:val="none"/>
        </w:rPr>
        <w:t>情况</w:t>
      </w:r>
      <w:bookmarkEnd w:id="31"/>
    </w:p>
    <w:p w14:paraId="329BE2BD">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项目效益情况包括生态效益、经济效益、社会效益、满意度三个方面，满分为22分，得分17.76分，得分率80.73%。</w:t>
      </w:r>
    </w:p>
    <w:p w14:paraId="616E43DB">
      <w:pPr>
        <w:spacing w:line="579" w:lineRule="exact"/>
        <w:ind w:firstLine="630" w:firstLineChars="200"/>
        <w:rPr>
          <w:rFonts w:hint="eastAsia" w:hAnsi="仿宋"/>
          <w:szCs w:val="30"/>
          <w:lang w:val="en-US" w:eastAsia="zh-CN"/>
        </w:rPr>
      </w:pPr>
      <w:r>
        <w:rPr>
          <w:rFonts w:hint="eastAsia" w:hAnsi="仿宋"/>
          <w:szCs w:val="30"/>
          <w:lang w:val="en-US" w:eastAsia="zh-CN"/>
        </w:rPr>
        <w:t>1.</w:t>
      </w:r>
      <w:r>
        <w:rPr>
          <w:rFonts w:hint="eastAsia" w:hAnsi="仿宋" w:cs="Times New Roman"/>
          <w:szCs w:val="30"/>
          <w:highlight w:val="none"/>
          <w:lang w:val="en-US" w:eastAsia="zh-CN"/>
        </w:rPr>
        <w:t>生态</w:t>
      </w:r>
      <w:r>
        <w:rPr>
          <w:rFonts w:hint="eastAsia" w:hAnsi="仿宋"/>
          <w:szCs w:val="30"/>
          <w:lang w:val="en-US" w:eastAsia="zh-CN"/>
        </w:rPr>
        <w:t>效益</w:t>
      </w:r>
    </w:p>
    <w:p w14:paraId="06A14457">
      <w:pPr>
        <w:spacing w:line="579" w:lineRule="exact"/>
        <w:ind w:firstLine="630" w:firstLineChars="200"/>
        <w:rPr>
          <w:rFonts w:hint="default" w:hAnsi="仿宋"/>
          <w:szCs w:val="30"/>
          <w:lang w:val="en-US" w:eastAsia="zh-CN"/>
        </w:rPr>
      </w:pPr>
      <w:r>
        <w:rPr>
          <w:rFonts w:hint="eastAsia" w:hAnsi="仿宋" w:cs="Times New Roman"/>
          <w:szCs w:val="30"/>
          <w:highlight w:val="none"/>
          <w:lang w:val="en-US" w:eastAsia="zh-CN"/>
        </w:rPr>
        <w:t>生态</w:t>
      </w:r>
      <w:r>
        <w:rPr>
          <w:rFonts w:hint="eastAsia" w:hAnsi="仿宋"/>
          <w:szCs w:val="30"/>
          <w:lang w:val="en-US" w:eastAsia="zh-CN"/>
        </w:rPr>
        <w:t>效益指标满分为4分，针对减少交通污染、保护滇池生态、践行绿色出行进行评价。</w:t>
      </w:r>
      <w:r>
        <w:rPr>
          <w:rFonts w:hint="default" w:hAnsi="仿宋"/>
          <w:szCs w:val="30"/>
          <w:lang w:val="en-US" w:eastAsia="zh-CN"/>
        </w:rPr>
        <w:t>此项综合评价得分为</w:t>
      </w:r>
      <w:r>
        <w:rPr>
          <w:rFonts w:hint="eastAsia" w:hAnsi="仿宋"/>
          <w:szCs w:val="30"/>
          <w:lang w:val="en-US" w:eastAsia="zh-CN"/>
        </w:rPr>
        <w:t>4</w:t>
      </w:r>
      <w:r>
        <w:rPr>
          <w:rFonts w:hint="default" w:hAnsi="仿宋"/>
          <w:szCs w:val="30"/>
          <w:lang w:val="en-US" w:eastAsia="zh-CN"/>
        </w:rPr>
        <w:t>分</w:t>
      </w:r>
      <w:r>
        <w:rPr>
          <w:rFonts w:hint="eastAsia" w:hAnsi="仿宋"/>
          <w:szCs w:val="30"/>
          <w:lang w:val="en-US" w:eastAsia="zh-CN"/>
        </w:rPr>
        <w:t>，得分率100%。</w:t>
      </w:r>
    </w:p>
    <w:p w14:paraId="59F4E32A">
      <w:pPr>
        <w:spacing w:line="579" w:lineRule="exact"/>
        <w:ind w:firstLine="630" w:firstLineChars="200"/>
        <w:rPr>
          <w:rFonts w:hint="eastAsia" w:hAnsi="仿宋"/>
          <w:szCs w:val="30"/>
          <w:lang w:val="en-US" w:eastAsia="zh-CN"/>
        </w:rPr>
      </w:pPr>
      <w:r>
        <w:rPr>
          <w:rFonts w:hint="eastAsia" w:hAnsi="仿宋"/>
          <w:szCs w:val="30"/>
          <w:lang w:val="en-US" w:eastAsia="zh-CN"/>
        </w:rPr>
        <w:t>衡量观鸥季交通保障对核心区机动车污染物减排、滇池周边生态防护及绿色出行方式推广的实际效果。</w:t>
      </w:r>
    </w:p>
    <w:p w14:paraId="73F91227">
      <w:pPr>
        <w:spacing w:line="579" w:lineRule="exact"/>
        <w:ind w:firstLine="630" w:firstLineChars="200"/>
        <w:rPr>
          <w:rFonts w:hint="eastAsia" w:hAnsi="仿宋"/>
          <w:szCs w:val="30"/>
          <w:lang w:val="en-US" w:eastAsia="zh-CN"/>
        </w:rPr>
      </w:pPr>
      <w:r>
        <w:rPr>
          <w:rFonts w:hint="eastAsia" w:hAnsi="仿宋"/>
          <w:szCs w:val="30"/>
          <w:lang w:val="en-US" w:eastAsia="zh-CN"/>
        </w:rPr>
        <w:t>根据问卷调查结果汇总情况。从（1）观鸥季海埂片区的空气质量相比往年（2）观鸥季交通保障对滇池生态环境的保护2个方面来设置调查问卷，得分率均≥76%，最终得分4分。</w:t>
      </w:r>
    </w:p>
    <w:p w14:paraId="1C69B850">
      <w:pPr>
        <w:spacing w:line="579" w:lineRule="exact"/>
        <w:ind w:firstLine="630" w:firstLineChars="200"/>
        <w:rPr>
          <w:rFonts w:hint="eastAsia" w:hAnsi="仿宋"/>
          <w:szCs w:val="30"/>
          <w:lang w:val="en-US" w:eastAsia="zh-CN"/>
        </w:rPr>
      </w:pPr>
      <w:r>
        <w:rPr>
          <w:rFonts w:hint="eastAsia" w:hAnsi="仿宋"/>
          <w:szCs w:val="30"/>
          <w:lang w:val="en-US" w:eastAsia="zh-CN"/>
        </w:rPr>
        <w:t>2.</w:t>
      </w:r>
      <w:r>
        <w:rPr>
          <w:rFonts w:hint="eastAsia" w:hAnsi="仿宋" w:cs="Times New Roman"/>
          <w:szCs w:val="30"/>
          <w:highlight w:val="none"/>
          <w:lang w:val="en-US" w:eastAsia="zh-CN"/>
        </w:rPr>
        <w:t>经济</w:t>
      </w:r>
      <w:r>
        <w:rPr>
          <w:rFonts w:hint="eastAsia" w:hAnsi="仿宋"/>
          <w:szCs w:val="30"/>
          <w:lang w:val="en-US" w:eastAsia="zh-CN"/>
        </w:rPr>
        <w:t>效益</w:t>
      </w:r>
    </w:p>
    <w:p w14:paraId="5524A6D4">
      <w:pPr>
        <w:spacing w:line="579" w:lineRule="exact"/>
        <w:ind w:firstLine="630" w:firstLineChars="200"/>
        <w:rPr>
          <w:rFonts w:hint="default" w:hAnsi="仿宋"/>
          <w:szCs w:val="30"/>
          <w:lang w:val="en-US" w:eastAsia="zh-CN"/>
        </w:rPr>
      </w:pPr>
      <w:r>
        <w:rPr>
          <w:rFonts w:hint="eastAsia" w:hAnsi="仿宋"/>
          <w:szCs w:val="30"/>
          <w:lang w:val="en-US" w:eastAsia="zh-CN"/>
        </w:rPr>
        <w:t>经济效益指标满分为4分，针对激活旅游消费、带动区域经济、降低社会成本进行评价。</w:t>
      </w:r>
      <w:r>
        <w:rPr>
          <w:rFonts w:hint="default" w:hAnsi="仿宋"/>
          <w:szCs w:val="30"/>
          <w:lang w:val="en-US" w:eastAsia="zh-CN"/>
        </w:rPr>
        <w:t>此项综合评价得分为</w:t>
      </w:r>
      <w:r>
        <w:rPr>
          <w:rFonts w:hint="eastAsia" w:hAnsi="仿宋"/>
          <w:szCs w:val="30"/>
          <w:lang w:val="en-US" w:eastAsia="zh-CN"/>
        </w:rPr>
        <w:t>3.56</w:t>
      </w:r>
      <w:r>
        <w:rPr>
          <w:rFonts w:hint="default" w:hAnsi="仿宋"/>
          <w:szCs w:val="30"/>
          <w:lang w:val="en-US" w:eastAsia="zh-CN"/>
        </w:rPr>
        <w:t>分</w:t>
      </w:r>
      <w:r>
        <w:rPr>
          <w:rFonts w:hint="eastAsia" w:hAnsi="仿宋"/>
          <w:szCs w:val="30"/>
          <w:lang w:val="en-US" w:eastAsia="zh-CN"/>
        </w:rPr>
        <w:t>，得分率89%。</w:t>
      </w:r>
    </w:p>
    <w:p w14:paraId="5953A9A3">
      <w:pPr>
        <w:spacing w:line="579" w:lineRule="exact"/>
        <w:ind w:firstLine="630" w:firstLineChars="200"/>
        <w:rPr>
          <w:rFonts w:hint="eastAsia" w:hAnsi="仿宋"/>
          <w:szCs w:val="30"/>
          <w:lang w:val="en-US" w:eastAsia="zh-CN"/>
        </w:rPr>
      </w:pPr>
      <w:r>
        <w:rPr>
          <w:rFonts w:hint="eastAsia" w:hAnsi="仿宋"/>
          <w:szCs w:val="30"/>
          <w:lang w:val="en-US" w:eastAsia="zh-CN"/>
        </w:rPr>
        <w:t>衡量观鸥季交通保障对游客消费激活、周边业态营收拉动及交通拥堵隐性成本减少的实际成效。</w:t>
      </w:r>
    </w:p>
    <w:p w14:paraId="4C6B8065">
      <w:pPr>
        <w:spacing w:line="579" w:lineRule="exact"/>
        <w:ind w:firstLine="630" w:firstLineChars="200"/>
        <w:rPr>
          <w:rFonts w:hint="eastAsia" w:hAnsi="仿宋"/>
          <w:szCs w:val="30"/>
          <w:lang w:val="en-US" w:eastAsia="zh-CN"/>
        </w:rPr>
      </w:pPr>
      <w:r>
        <w:rPr>
          <w:rFonts w:hint="eastAsia" w:hAnsi="仿宋"/>
          <w:szCs w:val="30"/>
          <w:lang w:val="en-US" w:eastAsia="zh-CN"/>
        </w:rPr>
        <w:t>根据问卷调查结果汇总情况。从（1）因为观鸥季交通便利，在海埂片区及周边的消费（餐饮、购物等）金额相比往年（2）观鸥季交通保障对海埂片区周边商户的生意2个方面来设置调查问卷，得分率均≥92%，未达到满意程度，最终得分3.56分。</w:t>
      </w:r>
    </w:p>
    <w:p w14:paraId="6C003E09">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3.社会效益</w:t>
      </w:r>
    </w:p>
    <w:p w14:paraId="6D08FAD8">
      <w:pPr>
        <w:spacing w:line="579" w:lineRule="exact"/>
        <w:ind w:firstLine="630" w:firstLineChars="200"/>
        <w:rPr>
          <w:rFonts w:hint="default" w:hAnsi="仿宋"/>
          <w:szCs w:val="30"/>
          <w:lang w:val="en-US" w:eastAsia="zh-CN"/>
        </w:rPr>
      </w:pPr>
      <w:r>
        <w:rPr>
          <w:rFonts w:hint="eastAsia" w:hAnsi="仿宋"/>
          <w:szCs w:val="30"/>
          <w:lang w:val="en-US" w:eastAsia="zh-CN"/>
        </w:rPr>
        <w:t>社会效益指标满分为4分，针对为市民创造良好的出行环境，提高城市生活质量进行评价。</w:t>
      </w:r>
      <w:r>
        <w:rPr>
          <w:rFonts w:hint="default" w:hAnsi="仿宋"/>
          <w:szCs w:val="30"/>
          <w:lang w:val="en-US" w:eastAsia="zh-CN"/>
        </w:rPr>
        <w:t>此项综合评价得分为</w:t>
      </w:r>
      <w:r>
        <w:rPr>
          <w:rFonts w:hint="eastAsia" w:hAnsi="仿宋"/>
          <w:szCs w:val="30"/>
          <w:lang w:val="en-US" w:eastAsia="zh-CN"/>
        </w:rPr>
        <w:t>4</w:t>
      </w:r>
      <w:r>
        <w:rPr>
          <w:rFonts w:hint="default" w:hAnsi="仿宋"/>
          <w:szCs w:val="30"/>
          <w:lang w:val="en-US" w:eastAsia="zh-CN"/>
        </w:rPr>
        <w:t>分</w:t>
      </w:r>
      <w:r>
        <w:rPr>
          <w:rFonts w:hint="eastAsia" w:hAnsi="仿宋"/>
          <w:szCs w:val="30"/>
          <w:lang w:val="en-US" w:eastAsia="zh-CN"/>
        </w:rPr>
        <w:t>，得分率100%。</w:t>
      </w:r>
    </w:p>
    <w:p w14:paraId="7CCEB961">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通过观鸥季交通疏导、便民设施完善等措施，衡量市民往返核心观鸥点的通行顺畅度、出行安全性及便捷性改善情况。</w:t>
      </w:r>
    </w:p>
    <w:p w14:paraId="1F2D914D">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问卷调查结果汇总情况。从（1）在观鸥季前往海埂片区时，交通拥堵情况相比往年、（2）观鸥季海埂片区的出行安全性2个方面来设置调查问卷，得分率均≥100%，无重大交通安全事故、便民设施覆盖率达100%得满分，最终得分4分。</w:t>
      </w:r>
    </w:p>
    <w:p w14:paraId="3883DCE8">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4.可持续影响</w:t>
      </w:r>
    </w:p>
    <w:p w14:paraId="68023F2F">
      <w:pPr>
        <w:numPr>
          <w:ilvl w:val="0"/>
          <w:numId w:val="0"/>
        </w:numPr>
        <w:spacing w:line="579" w:lineRule="exact"/>
        <w:ind w:firstLine="630" w:firstLineChars="200"/>
        <w:rPr>
          <w:rFonts w:hint="default" w:hAnsi="仿宋"/>
          <w:szCs w:val="30"/>
          <w:lang w:val="en-US" w:eastAsia="zh-CN"/>
        </w:rPr>
      </w:pPr>
      <w:r>
        <w:rPr>
          <w:rFonts w:hint="eastAsia" w:hAnsi="仿宋"/>
          <w:szCs w:val="30"/>
          <w:highlight w:val="none"/>
          <w:lang w:val="en-US" w:eastAsia="zh-CN"/>
        </w:rPr>
        <w:t>可持续影响</w:t>
      </w:r>
      <w:r>
        <w:rPr>
          <w:rFonts w:hint="eastAsia" w:hAnsi="仿宋"/>
          <w:szCs w:val="30"/>
          <w:lang w:val="en-US" w:eastAsia="zh-CN"/>
        </w:rPr>
        <w:t>指标满分为4分，针对衡量规范绿化养护管理对城市道路功能优化、城市发展助推及城市形象、市容环境改善的实际支撑效果进行评价。</w:t>
      </w:r>
      <w:r>
        <w:rPr>
          <w:rFonts w:hint="default" w:hAnsi="仿宋"/>
          <w:szCs w:val="30"/>
          <w:lang w:val="en-US" w:eastAsia="zh-CN"/>
        </w:rPr>
        <w:t>此项综合评价得分为</w:t>
      </w:r>
      <w:r>
        <w:rPr>
          <w:rFonts w:hint="eastAsia" w:hAnsi="仿宋"/>
          <w:szCs w:val="30"/>
          <w:lang w:val="en-US" w:eastAsia="zh-CN"/>
        </w:rPr>
        <w:t>3.2</w:t>
      </w:r>
      <w:r>
        <w:rPr>
          <w:rFonts w:hint="default" w:hAnsi="仿宋"/>
          <w:szCs w:val="30"/>
          <w:lang w:val="en-US" w:eastAsia="zh-CN"/>
        </w:rPr>
        <w:t>分</w:t>
      </w:r>
      <w:r>
        <w:rPr>
          <w:rFonts w:hint="eastAsia" w:hAnsi="仿宋"/>
          <w:szCs w:val="30"/>
          <w:lang w:val="en-US" w:eastAsia="zh-CN"/>
        </w:rPr>
        <w:t>，得分率80%。</w:t>
      </w:r>
    </w:p>
    <w:p w14:paraId="18180DCB">
      <w:pPr>
        <w:spacing w:line="579" w:lineRule="exact"/>
        <w:ind w:firstLine="630" w:firstLineChars="200"/>
        <w:rPr>
          <w:rFonts w:hint="eastAsia" w:hAnsi="仿宋"/>
          <w:szCs w:val="30"/>
          <w:lang w:val="en-US" w:eastAsia="zh-CN"/>
        </w:rPr>
      </w:pPr>
      <w:r>
        <w:rPr>
          <w:rFonts w:hint="eastAsia" w:hAnsi="仿宋"/>
          <w:szCs w:val="30"/>
          <w:lang w:val="en-US" w:eastAsia="zh-CN"/>
        </w:rPr>
        <w:t>对城市道路提升改造、城市发展可以起到促进作用，可对提升城市形象、改善市容环境奠定良好基础，提供有力保障。</w:t>
      </w:r>
    </w:p>
    <w:p w14:paraId="54F778C3">
      <w:pPr>
        <w:spacing w:line="579" w:lineRule="exact"/>
        <w:ind w:firstLine="630" w:firstLineChars="200"/>
        <w:rPr>
          <w:rFonts w:hint="eastAsia" w:hAnsi="仿宋"/>
          <w:szCs w:val="30"/>
          <w:lang w:val="en-US" w:eastAsia="zh-CN"/>
        </w:rPr>
      </w:pPr>
      <w:r>
        <w:rPr>
          <w:rFonts w:hint="eastAsia" w:hAnsi="仿宋"/>
          <w:szCs w:val="30"/>
          <w:lang w:val="en-US" w:eastAsia="zh-CN"/>
        </w:rPr>
        <w:t>根据问卷调查结果汇总情况。从（1）对观鸥季海埂片区的市容环境满意度，得分率≥76%，低于市容环境满意度≥90% ，得1.2分，扣0.8分。（2）观鸥季的交通保障和环境改善对城市形象的提升，得分率≥92%，道路改造后通行配套体验提升显著，得2分，2个方面来设置调查问卷，最终得分3.2分。</w:t>
      </w:r>
    </w:p>
    <w:p w14:paraId="533FEFF9">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5.满意度指标</w:t>
      </w:r>
    </w:p>
    <w:p w14:paraId="68199C8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满意度指标满分为6分，对社会公众或服务对象对项目实施效果的满意程度进行评价。此项综合评价得分为3分，得分率50%。</w:t>
      </w:r>
    </w:p>
    <w:p w14:paraId="3BF23EF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通过对社会公众或服务对象发放调查问卷，了解社会群众的满意程度，本次绩效评价共发放问卷50份，收回有效问卷50份，满意问卷49份。得分率=（22×100%+20×70%+7×60%）/50×100%=80%。满意度90%以上满分，每下降5%扣1.5分，扣3分。</w:t>
      </w:r>
    </w:p>
    <w:p w14:paraId="45E568F8">
      <w:pPr>
        <w:spacing w:line="579" w:lineRule="exact"/>
        <w:ind w:firstLine="630" w:firstLineChars="200"/>
        <w:outlineLvl w:val="0"/>
        <w:rPr>
          <w:rFonts w:ascii="黑体" w:hAnsi="宋体" w:eastAsia="黑体" w:cs="宋体"/>
          <w:szCs w:val="30"/>
          <w:highlight w:val="none"/>
        </w:rPr>
      </w:pPr>
      <w:bookmarkStart w:id="32" w:name="_Toc2674"/>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32"/>
    </w:p>
    <w:p w14:paraId="3008CFE1">
      <w:pPr>
        <w:spacing w:line="579" w:lineRule="exact"/>
        <w:ind w:firstLine="630" w:firstLineChars="200"/>
        <w:rPr>
          <w:rFonts w:hint="eastAsia" w:hAnsi="仿宋"/>
          <w:szCs w:val="30"/>
          <w:lang w:val="en-US" w:eastAsia="zh-CN"/>
        </w:rPr>
      </w:pPr>
      <w:r>
        <w:rPr>
          <w:rFonts w:hint="eastAsia" w:hAnsi="仿宋"/>
          <w:szCs w:val="30"/>
          <w:lang w:val="en-US" w:eastAsia="zh-CN"/>
        </w:rPr>
        <w:t>无。</w:t>
      </w:r>
    </w:p>
    <w:p w14:paraId="47F41FD5">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33" w:name="_Toc1087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33"/>
      <w:bookmarkStart w:id="34" w:name="_Toc19045"/>
      <w:bookmarkStart w:id="35" w:name="_Toc25742923"/>
      <w:bookmarkStart w:id="36" w:name="_Toc30571"/>
      <w:bookmarkStart w:id="37" w:name="_Toc6890"/>
    </w:p>
    <w:bookmarkEnd w:id="34"/>
    <w:bookmarkEnd w:id="35"/>
    <w:bookmarkEnd w:id="36"/>
    <w:bookmarkEnd w:id="37"/>
    <w:p w14:paraId="024C0A6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绩效工作重视程度不高</w:t>
      </w:r>
    </w:p>
    <w:p w14:paraId="6D53DAA2">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绩效目标设置</w:t>
      </w:r>
      <w:r>
        <w:rPr>
          <w:rFonts w:hint="eastAsia" w:hAnsi="仿宋" w:cs="Times New Roman"/>
          <w:szCs w:val="30"/>
          <w:highlight w:val="none"/>
          <w:lang w:val="en-US" w:eastAsia="zh-CN"/>
        </w:rPr>
        <w:t>无法衡量：设置的绩效指标</w:t>
      </w:r>
      <w:r>
        <w:rPr>
          <w:rFonts w:hint="default" w:hAnsi="仿宋" w:cs="Times New Roman"/>
          <w:szCs w:val="30"/>
          <w:highlight w:val="none"/>
          <w:lang w:val="en-US" w:eastAsia="zh-CN"/>
        </w:rPr>
        <w:t>未通过清晰、可衡量的指标值予以体现。</w:t>
      </w:r>
      <w:r>
        <w:rPr>
          <w:rFonts w:hint="eastAsia" w:hAnsi="仿宋" w:cs="Times New Roman"/>
          <w:szCs w:val="30"/>
          <w:highlight w:val="none"/>
          <w:lang w:val="en-US" w:eastAsia="zh-CN"/>
        </w:rPr>
        <w:t>具体表现为核心绩效指标未明确对应清晰、量化或可验证的指标值。部分指标仅以定性描述方式界定工作方向（如 “观鸥季”交通服务保障、“产生的直接或间接的经济效益” 等），未结合项目实际工作内容制定具体可量化的评判标准，缺乏明确的数值、比例、时限等可衡量维度。</w:t>
      </w:r>
    </w:p>
    <w:p w14:paraId="538425F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（二）交通疏导效能未达预期，拥堵管控存在短板</w:t>
      </w:r>
    </w:p>
    <w:p w14:paraId="2162E9CA">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分级管控落地滞后：核心区、缓冲区、分流区的“三级管控” 响应不及时，未根据实时流量动态切换“全面单行”“局部管控”等模式，导致周末及节假日核心区（如观景路、迎海路）早高峰拥堵持续超2小时，超出“无长时间大面积拥堵”的目标要求。</w:t>
      </w:r>
    </w:p>
    <w:p w14:paraId="3C127520">
      <w:pPr>
        <w:spacing w:line="579" w:lineRule="exact"/>
        <w:ind w:firstLine="630" w:firstLineChars="200"/>
        <w:outlineLvl w:val="0"/>
        <w:rPr>
          <w:rFonts w:ascii="黑体" w:hAnsi="宋体" w:eastAsia="黑体" w:cs="宋体"/>
          <w:szCs w:val="30"/>
          <w:highlight w:val="none"/>
        </w:rPr>
      </w:pPr>
      <w:bookmarkStart w:id="38" w:name="_Toc15811"/>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38"/>
    </w:p>
    <w:p w14:paraId="391FD7CA">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bookmarkStart w:id="39" w:name="_Hlk525314575"/>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强化绩效目标管理</w:t>
      </w:r>
    </w:p>
    <w:p w14:paraId="4C9E07CD">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建议提高对绩效工作的重视程度，强化绩效目标量化管理意识，结合项目核心任务及实施实际（如“观鸥季”交通保障、经济效益产出等具体工作），对标项目预期成效，细化拆解各项绩效指标，补充明确可量化的数值标准、比例要求、完成时限等关键参数，制定兼具针对性与可操作性的绩效指标体系，确保绩效目标清晰可考核、实施成效易评估，为后续绩效监控与评价工作奠定坚实基础。</w:t>
      </w:r>
    </w:p>
    <w:p w14:paraId="42057DCF">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（二）精准提效交通疏导，构建动态管控体系</w:t>
      </w:r>
    </w:p>
    <w:p w14:paraId="7E45E793">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建议优化分级响应机制</w:t>
      </w:r>
      <w:r>
        <w:rPr>
          <w:rFonts w:hint="default" w:hAnsi="仿宋" w:cs="Times New Roman"/>
          <w:szCs w:val="30"/>
          <w:highlight w:val="none"/>
          <w:lang w:val="en-US" w:eastAsia="zh-CN"/>
        </w:rPr>
        <w:t>：依托“智慧交管・昆明大脑”建立流量预警阈值（如核心区饱和度达80%触发预警），联动交警、城管等部门实现“三级管控”模式5分钟内切换；在缓冲区增设15个流动执勤岗，重点处置违法变道、占道等行为。</w:t>
      </w:r>
    </w:p>
    <w:p w14:paraId="1DCEC58C">
      <w:pPr>
        <w:spacing w:line="579" w:lineRule="exact"/>
        <w:ind w:firstLine="630" w:firstLineChars="200"/>
        <w:outlineLvl w:val="0"/>
        <w:rPr>
          <w:rFonts w:hint="default" w:ascii="黑体" w:hAnsi="宋体" w:eastAsia="黑体" w:cs="宋体"/>
          <w:szCs w:val="30"/>
          <w:highlight w:val="none"/>
          <w:lang w:val="en-US" w:eastAsia="zh-CN"/>
        </w:rPr>
      </w:pPr>
      <w:bookmarkStart w:id="40" w:name="_Toc26040"/>
      <w:r>
        <w:rPr>
          <w:rFonts w:hint="eastAsia" w:ascii="黑体" w:hAnsi="宋体" w:eastAsia="黑体" w:cs="宋体"/>
          <w:szCs w:val="30"/>
          <w:highlight w:val="none"/>
          <w:lang w:val="en-US" w:eastAsia="zh-CN"/>
        </w:rPr>
        <w:t>八、其它需说明的情况</w:t>
      </w:r>
      <w:bookmarkEnd w:id="40"/>
    </w:p>
    <w:p w14:paraId="3C12A0D8">
      <w:pPr>
        <w:spacing w:line="579" w:lineRule="exact"/>
        <w:ind w:firstLine="63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无。</w:t>
      </w:r>
      <w:bookmarkEnd w:id="39"/>
    </w:p>
    <w:p w14:paraId="4721738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6B119FE4">
      <w:pPr>
        <w:spacing w:line="579" w:lineRule="exact"/>
        <w:ind w:firstLine="630" w:firstLineChars="200"/>
        <w:rPr>
          <w:rFonts w:hAnsi="仿宋"/>
          <w:szCs w:val="30"/>
        </w:rPr>
      </w:pPr>
      <w:r>
        <w:rPr>
          <w:rFonts w:hint="eastAsia" w:hAnsi="仿宋"/>
          <w:szCs w:val="30"/>
        </w:rPr>
        <w:t>附件：1.绩效目标</w:t>
      </w:r>
      <w:r>
        <w:rPr>
          <w:rFonts w:hint="eastAsia" w:hAnsi="仿宋"/>
          <w:szCs w:val="30"/>
          <w:lang w:val="en-US" w:eastAsia="zh-CN"/>
        </w:rPr>
        <w:t>申报</w:t>
      </w:r>
      <w:r>
        <w:rPr>
          <w:rFonts w:hint="eastAsia" w:hAnsi="仿宋"/>
          <w:szCs w:val="30"/>
        </w:rPr>
        <w:t>表</w:t>
      </w:r>
    </w:p>
    <w:p w14:paraId="77AE94A3">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41" w:name="_Hlk527019547"/>
      <w:r>
        <w:rPr>
          <w:rFonts w:hint="eastAsia" w:hAnsi="仿宋"/>
          <w:szCs w:val="30"/>
        </w:rPr>
        <w:t>绩效评价指标体系及评分表</w:t>
      </w:r>
      <w:bookmarkEnd w:id="41"/>
    </w:p>
    <w:p w14:paraId="06EEB028">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01D8E15B">
      <w:pPr>
        <w:spacing w:line="579" w:lineRule="exact"/>
        <w:ind w:firstLine="1575" w:firstLineChars="500"/>
        <w:rPr>
          <w:rFonts w:hint="eastAsia" w:hAnsi="仿宋"/>
          <w:szCs w:val="30"/>
          <w:lang w:val="en-US" w:eastAsia="zh-CN"/>
        </w:rPr>
      </w:pPr>
      <w:r>
        <w:rPr>
          <w:rFonts w:hint="eastAsia" w:hAnsi="仿宋"/>
          <w:szCs w:val="30"/>
        </w:rPr>
        <w:t>4.</w:t>
      </w:r>
      <w:bookmarkStart w:id="42" w:name="_Hlk527019673"/>
      <w:r>
        <w:rPr>
          <w:rFonts w:hint="eastAsia" w:hAnsi="仿宋"/>
          <w:szCs w:val="30"/>
        </w:rPr>
        <w:t>调查问卷结果汇</w:t>
      </w:r>
      <w:bookmarkEnd w:id="42"/>
      <w:r>
        <w:rPr>
          <w:rFonts w:hint="eastAsia" w:hAnsi="仿宋"/>
          <w:szCs w:val="30"/>
          <w:lang w:val="en-US" w:eastAsia="zh-CN"/>
        </w:rPr>
        <w:t>表</w:t>
      </w:r>
    </w:p>
    <w:p w14:paraId="6E4CA517">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14:paraId="14026B51">
      <w:pPr>
        <w:spacing w:line="579" w:lineRule="exact"/>
        <w:ind w:firstLine="1575" w:firstLineChars="500"/>
        <w:rPr>
          <w:rFonts w:hint="eastAsia" w:hAnsi="仿宋"/>
          <w:szCs w:val="30"/>
          <w:lang w:val="en-US" w:eastAsia="zh-CN"/>
        </w:rPr>
      </w:pPr>
      <w:r>
        <w:rPr>
          <w:rFonts w:hint="eastAsia" w:hAnsi="仿宋"/>
          <w:szCs w:val="30"/>
          <w:lang w:val="en-US" w:eastAsia="zh-CN"/>
        </w:rPr>
        <w:t>6.绩效评价报告意见反馈表(项目实施单位)</w:t>
      </w:r>
    </w:p>
    <w:p w14:paraId="2D020289">
      <w:pPr>
        <w:spacing w:line="579" w:lineRule="exact"/>
        <w:ind w:firstLine="1575" w:firstLineChars="500"/>
        <w:rPr>
          <w:rFonts w:hint="eastAsia" w:hAnsi="仿宋"/>
          <w:szCs w:val="30"/>
          <w:lang w:val="en-US" w:eastAsia="zh-CN"/>
        </w:rPr>
      </w:pPr>
    </w:p>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361C">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B837A">
    <w:pPr>
      <w:pStyle w:val="12"/>
      <w:rPr>
        <w:rFonts w:ascii="仿宋" w:hAnsi="仿宋" w:eastAsia="仿宋"/>
        <w:sz w:val="28"/>
        <w:szCs w:val="28"/>
      </w:rPr>
    </w:pPr>
    <w:r>
      <w:rPr>
        <w:sz w:val="28"/>
      </w:rPr>
      <w:pict>
        <v:shape id="_x0000_s4109" o:spid="_x0000_s410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4B7881">
                <w:pPr>
                  <w:pStyle w:val="12"/>
                </w:pPr>
                <w:r>
                  <w:fldChar w:fldCharType="begin"/>
                </w:r>
                <w:r>
                  <w:instrText xml:space="preserve"> PAGE  \* MERGEFORMAT </w:instrText>
                </w:r>
                <w:r>
                  <w:fldChar w:fldCharType="separate"/>
                </w:r>
                <w:r>
                  <w:t>iii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D0B0A">
    <w:pPr>
      <w:pStyle w:val="12"/>
      <w:rPr>
        <w:rFonts w:ascii="仿宋" w:hAnsi="仿宋" w:eastAsia="仿宋"/>
        <w:sz w:val="28"/>
        <w:szCs w:val="28"/>
      </w:rPr>
    </w:pPr>
    <w:r>
      <w:rPr>
        <w:sz w:val="28"/>
      </w:rPr>
      <w:pict>
        <v:shape id="_x0000_s4110" o:spid="_x0000_s411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FA3ED49">
                <w:pPr>
                  <w:pStyle w:val="12"/>
                </w:pPr>
                <w:r>
                  <w:fldChar w:fldCharType="begin"/>
                </w:r>
                <w:r>
                  <w:instrText xml:space="preserve"> PAGE  \* MERGEFORMAT </w:instrText>
                </w:r>
                <w:r>
                  <w:fldChar w:fldCharType="separate"/>
                </w:r>
                <w:r>
                  <w:t>ii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6254">
    <w:pPr>
      <w:pStyle w:val="12"/>
      <w:rPr>
        <w:rFonts w:ascii="仿宋" w:hAnsi="仿宋" w:eastAsia="仿宋"/>
        <w:sz w:val="28"/>
        <w:szCs w:val="28"/>
      </w:rPr>
    </w:pPr>
    <w:r>
      <w:rPr>
        <w:sz w:val="28"/>
      </w:rP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EACB08E">
                <w:pPr>
                  <w:pStyle w:val="12"/>
                </w:pPr>
                <w:r>
                  <w:fldChar w:fldCharType="begin"/>
                </w:r>
                <w:r>
                  <w:instrText xml:space="preserve"> PAGE  \* MERGEFORMAT </w:instrText>
                </w:r>
                <w:r>
                  <w:fldChar w:fldCharType="separate"/>
                </w:r>
                <w:r>
                  <w:t>iii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ED25">
    <w:pPr>
      <w:pStyle w:val="12"/>
      <w:rPr>
        <w:rFonts w:ascii="仿宋" w:hAnsi="仿宋" w:eastAsia="仿宋"/>
        <w:sz w:val="28"/>
        <w:szCs w:val="28"/>
      </w:rPr>
    </w:pPr>
    <w:r>
      <w:rPr>
        <w:sz w:val="28"/>
      </w:rP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8AB74A7">
                <w:pPr>
                  <w:pStyle w:val="12"/>
                </w:pPr>
                <w:r>
                  <w:fldChar w:fldCharType="begin"/>
                </w:r>
                <w:r>
                  <w:instrText xml:space="preserve"> PAGE  \* MERGEFORMAT </w:instrText>
                </w:r>
                <w:r>
                  <w:fldChar w:fldCharType="separate"/>
                </w:r>
                <w:r>
                  <w:t>ii</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83F60"/>
    <w:multiLevelType w:val="singleLevel"/>
    <w:tmpl w:val="BF783F60"/>
    <w:lvl w:ilvl="0" w:tentative="0">
      <w:start w:val="3"/>
      <w:numFmt w:val="decimal"/>
      <w:suff w:val="nothing"/>
      <w:lvlText w:val="（%1）"/>
      <w:lvlJc w:val="left"/>
    </w:lvl>
  </w:abstractNum>
  <w:abstractNum w:abstractNumId="1">
    <w:nsid w:val="3F3B2247"/>
    <w:multiLevelType w:val="singleLevel"/>
    <w:tmpl w:val="3F3B224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002F"/>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67436B"/>
    <w:rsid w:val="019F7472"/>
    <w:rsid w:val="01F37685"/>
    <w:rsid w:val="021D0A31"/>
    <w:rsid w:val="02512666"/>
    <w:rsid w:val="026076C2"/>
    <w:rsid w:val="0270686F"/>
    <w:rsid w:val="02881E0B"/>
    <w:rsid w:val="02ED03C9"/>
    <w:rsid w:val="03544F93"/>
    <w:rsid w:val="03AE3AF3"/>
    <w:rsid w:val="03F607AD"/>
    <w:rsid w:val="05097E4F"/>
    <w:rsid w:val="05AA02EA"/>
    <w:rsid w:val="05D75216"/>
    <w:rsid w:val="06007F0A"/>
    <w:rsid w:val="06301323"/>
    <w:rsid w:val="063522A9"/>
    <w:rsid w:val="069D39AB"/>
    <w:rsid w:val="0721638A"/>
    <w:rsid w:val="07A1571D"/>
    <w:rsid w:val="07E131ED"/>
    <w:rsid w:val="08057A5A"/>
    <w:rsid w:val="08253C58"/>
    <w:rsid w:val="082603F6"/>
    <w:rsid w:val="08D60932"/>
    <w:rsid w:val="08EB30F3"/>
    <w:rsid w:val="095F690B"/>
    <w:rsid w:val="09F36369"/>
    <w:rsid w:val="0A422001"/>
    <w:rsid w:val="0AF97041"/>
    <w:rsid w:val="0B095AB3"/>
    <w:rsid w:val="0B2B7A6E"/>
    <w:rsid w:val="0B386398"/>
    <w:rsid w:val="0B5120F4"/>
    <w:rsid w:val="0B5C5332"/>
    <w:rsid w:val="0B670C36"/>
    <w:rsid w:val="0B7F3FC7"/>
    <w:rsid w:val="0B9510F4"/>
    <w:rsid w:val="0BBD34B5"/>
    <w:rsid w:val="0BC76E15"/>
    <w:rsid w:val="0BF40511"/>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3F5F47"/>
    <w:rsid w:val="0FB51E18"/>
    <w:rsid w:val="0FBD1D31"/>
    <w:rsid w:val="1025415A"/>
    <w:rsid w:val="103E459E"/>
    <w:rsid w:val="106E7982"/>
    <w:rsid w:val="10F90CDB"/>
    <w:rsid w:val="11560662"/>
    <w:rsid w:val="119005E6"/>
    <w:rsid w:val="122818C5"/>
    <w:rsid w:val="12545E87"/>
    <w:rsid w:val="134F75DC"/>
    <w:rsid w:val="135B3D13"/>
    <w:rsid w:val="13A31C6C"/>
    <w:rsid w:val="14057954"/>
    <w:rsid w:val="141F2BB8"/>
    <w:rsid w:val="14725B26"/>
    <w:rsid w:val="147C10A3"/>
    <w:rsid w:val="14B13E06"/>
    <w:rsid w:val="14C8300A"/>
    <w:rsid w:val="14D02784"/>
    <w:rsid w:val="14E1184E"/>
    <w:rsid w:val="14FC21E4"/>
    <w:rsid w:val="15126879"/>
    <w:rsid w:val="151429BA"/>
    <w:rsid w:val="152139F9"/>
    <w:rsid w:val="15351FDD"/>
    <w:rsid w:val="156B12DC"/>
    <w:rsid w:val="15966195"/>
    <w:rsid w:val="167101BC"/>
    <w:rsid w:val="16C52E71"/>
    <w:rsid w:val="16E52514"/>
    <w:rsid w:val="16F5263F"/>
    <w:rsid w:val="16FA7CA6"/>
    <w:rsid w:val="175B58E8"/>
    <w:rsid w:val="17B31280"/>
    <w:rsid w:val="182716B9"/>
    <w:rsid w:val="18463EA2"/>
    <w:rsid w:val="18E84DF2"/>
    <w:rsid w:val="19466124"/>
    <w:rsid w:val="19A8293B"/>
    <w:rsid w:val="1A821473"/>
    <w:rsid w:val="1B495A57"/>
    <w:rsid w:val="1B7C140E"/>
    <w:rsid w:val="1BFE6842"/>
    <w:rsid w:val="1C1577FE"/>
    <w:rsid w:val="1CE65C54"/>
    <w:rsid w:val="1DB23C8B"/>
    <w:rsid w:val="1DF54FD5"/>
    <w:rsid w:val="1F3C07EF"/>
    <w:rsid w:val="1FD049A3"/>
    <w:rsid w:val="1FEF4FE6"/>
    <w:rsid w:val="1FF51002"/>
    <w:rsid w:val="200B35B9"/>
    <w:rsid w:val="2020322B"/>
    <w:rsid w:val="20AA5A04"/>
    <w:rsid w:val="20D43CCC"/>
    <w:rsid w:val="20D86C9F"/>
    <w:rsid w:val="20E06E5E"/>
    <w:rsid w:val="211046C7"/>
    <w:rsid w:val="21693ADA"/>
    <w:rsid w:val="21912EA5"/>
    <w:rsid w:val="21923936"/>
    <w:rsid w:val="21FA7AAB"/>
    <w:rsid w:val="225F5AA9"/>
    <w:rsid w:val="22786B5D"/>
    <w:rsid w:val="22A61890"/>
    <w:rsid w:val="244F2331"/>
    <w:rsid w:val="245103DE"/>
    <w:rsid w:val="24AA7567"/>
    <w:rsid w:val="25754D9A"/>
    <w:rsid w:val="25A36113"/>
    <w:rsid w:val="25B032A3"/>
    <w:rsid w:val="25BD151C"/>
    <w:rsid w:val="25DC10B1"/>
    <w:rsid w:val="2665408D"/>
    <w:rsid w:val="27027879"/>
    <w:rsid w:val="27DB1774"/>
    <w:rsid w:val="28324905"/>
    <w:rsid w:val="289406E2"/>
    <w:rsid w:val="28A56626"/>
    <w:rsid w:val="28C707A9"/>
    <w:rsid w:val="28E55678"/>
    <w:rsid w:val="297162B9"/>
    <w:rsid w:val="297E6DDE"/>
    <w:rsid w:val="29932CBF"/>
    <w:rsid w:val="29954C89"/>
    <w:rsid w:val="29B16CB0"/>
    <w:rsid w:val="29F30A01"/>
    <w:rsid w:val="2A215643"/>
    <w:rsid w:val="2A282887"/>
    <w:rsid w:val="2A983DED"/>
    <w:rsid w:val="2AB816D3"/>
    <w:rsid w:val="2AC1385C"/>
    <w:rsid w:val="2AE12FF4"/>
    <w:rsid w:val="2B1C189B"/>
    <w:rsid w:val="2B331A1C"/>
    <w:rsid w:val="2BCC30F7"/>
    <w:rsid w:val="2BD1187D"/>
    <w:rsid w:val="2C286EC2"/>
    <w:rsid w:val="2C4A2BDB"/>
    <w:rsid w:val="2C7A3CC3"/>
    <w:rsid w:val="2CCB4AF9"/>
    <w:rsid w:val="2CD81EA7"/>
    <w:rsid w:val="2D087B88"/>
    <w:rsid w:val="2D0C07DF"/>
    <w:rsid w:val="2D177764"/>
    <w:rsid w:val="2D516D18"/>
    <w:rsid w:val="2D575D26"/>
    <w:rsid w:val="2E550FF1"/>
    <w:rsid w:val="2EA1576A"/>
    <w:rsid w:val="2F1E2FC7"/>
    <w:rsid w:val="2FFA4D14"/>
    <w:rsid w:val="302C5C1C"/>
    <w:rsid w:val="306847AE"/>
    <w:rsid w:val="31036A33"/>
    <w:rsid w:val="310476ED"/>
    <w:rsid w:val="315356A2"/>
    <w:rsid w:val="31882664"/>
    <w:rsid w:val="31CA1248"/>
    <w:rsid w:val="322002DD"/>
    <w:rsid w:val="32FB3683"/>
    <w:rsid w:val="344B0FEE"/>
    <w:rsid w:val="345B3EFC"/>
    <w:rsid w:val="34AE2066"/>
    <w:rsid w:val="34D87802"/>
    <w:rsid w:val="350D0C42"/>
    <w:rsid w:val="350D3B23"/>
    <w:rsid w:val="356665C8"/>
    <w:rsid w:val="358E73B8"/>
    <w:rsid w:val="363675DE"/>
    <w:rsid w:val="364F109D"/>
    <w:rsid w:val="36533F02"/>
    <w:rsid w:val="36E309B3"/>
    <w:rsid w:val="36EB57D1"/>
    <w:rsid w:val="37076815"/>
    <w:rsid w:val="374049B2"/>
    <w:rsid w:val="37405446"/>
    <w:rsid w:val="374E43A0"/>
    <w:rsid w:val="37BD0431"/>
    <w:rsid w:val="37CC6E4F"/>
    <w:rsid w:val="37ED5336"/>
    <w:rsid w:val="38011941"/>
    <w:rsid w:val="380A11C8"/>
    <w:rsid w:val="3818153F"/>
    <w:rsid w:val="38213B8C"/>
    <w:rsid w:val="38485A4B"/>
    <w:rsid w:val="385E0B43"/>
    <w:rsid w:val="38A8411D"/>
    <w:rsid w:val="390A4563"/>
    <w:rsid w:val="397B72CC"/>
    <w:rsid w:val="399F120C"/>
    <w:rsid w:val="39CD505D"/>
    <w:rsid w:val="39FB592A"/>
    <w:rsid w:val="3A305B92"/>
    <w:rsid w:val="3A777A93"/>
    <w:rsid w:val="3A8B5970"/>
    <w:rsid w:val="3A9026A1"/>
    <w:rsid w:val="3B0A6B5A"/>
    <w:rsid w:val="3B89766A"/>
    <w:rsid w:val="3BB3118E"/>
    <w:rsid w:val="3BF30A69"/>
    <w:rsid w:val="3C277297"/>
    <w:rsid w:val="3C312507"/>
    <w:rsid w:val="3C5B2BF6"/>
    <w:rsid w:val="3C821C6F"/>
    <w:rsid w:val="3CA80C67"/>
    <w:rsid w:val="3CDE3DFA"/>
    <w:rsid w:val="3D874491"/>
    <w:rsid w:val="3E8A40C6"/>
    <w:rsid w:val="3F281CA4"/>
    <w:rsid w:val="3F8D6A60"/>
    <w:rsid w:val="3FD15E98"/>
    <w:rsid w:val="3FF64E7A"/>
    <w:rsid w:val="402C30CE"/>
    <w:rsid w:val="40FA2EB9"/>
    <w:rsid w:val="414508EB"/>
    <w:rsid w:val="41535978"/>
    <w:rsid w:val="41720FB5"/>
    <w:rsid w:val="418D4040"/>
    <w:rsid w:val="41E00B98"/>
    <w:rsid w:val="421F75A4"/>
    <w:rsid w:val="425125A4"/>
    <w:rsid w:val="425B2DC4"/>
    <w:rsid w:val="425E348A"/>
    <w:rsid w:val="428B67D2"/>
    <w:rsid w:val="43D84F35"/>
    <w:rsid w:val="440E56A0"/>
    <w:rsid w:val="44A02C93"/>
    <w:rsid w:val="44AB6CB7"/>
    <w:rsid w:val="44F7014F"/>
    <w:rsid w:val="45BD2587"/>
    <w:rsid w:val="45CA13BF"/>
    <w:rsid w:val="45E91D27"/>
    <w:rsid w:val="45EF04A2"/>
    <w:rsid w:val="465B295F"/>
    <w:rsid w:val="46C91677"/>
    <w:rsid w:val="47045BFA"/>
    <w:rsid w:val="478D08F6"/>
    <w:rsid w:val="485B7D62"/>
    <w:rsid w:val="48B672F5"/>
    <w:rsid w:val="48D161BE"/>
    <w:rsid w:val="490714E3"/>
    <w:rsid w:val="49AD702E"/>
    <w:rsid w:val="49E94869"/>
    <w:rsid w:val="4A211A6D"/>
    <w:rsid w:val="4AC661D9"/>
    <w:rsid w:val="4AD2369D"/>
    <w:rsid w:val="4AF864E8"/>
    <w:rsid w:val="4B277059"/>
    <w:rsid w:val="4B485858"/>
    <w:rsid w:val="4B614187"/>
    <w:rsid w:val="4BF2341E"/>
    <w:rsid w:val="4C000B94"/>
    <w:rsid w:val="4C2C6EC5"/>
    <w:rsid w:val="4C8670D9"/>
    <w:rsid w:val="4C8F3363"/>
    <w:rsid w:val="4C981FB8"/>
    <w:rsid w:val="4D2C63CD"/>
    <w:rsid w:val="4D2E0486"/>
    <w:rsid w:val="4DB34E33"/>
    <w:rsid w:val="4E8A612C"/>
    <w:rsid w:val="4F172905"/>
    <w:rsid w:val="4F557A83"/>
    <w:rsid w:val="4F885CEB"/>
    <w:rsid w:val="4FCD667C"/>
    <w:rsid w:val="500B0F52"/>
    <w:rsid w:val="502A2F08"/>
    <w:rsid w:val="50406E4E"/>
    <w:rsid w:val="509B0528"/>
    <w:rsid w:val="509B4084"/>
    <w:rsid w:val="51465B86"/>
    <w:rsid w:val="516960CC"/>
    <w:rsid w:val="517F1F96"/>
    <w:rsid w:val="521560B8"/>
    <w:rsid w:val="5235570C"/>
    <w:rsid w:val="527A5F1B"/>
    <w:rsid w:val="528B1ED6"/>
    <w:rsid w:val="53304295"/>
    <w:rsid w:val="539A6875"/>
    <w:rsid w:val="53F73779"/>
    <w:rsid w:val="5449480B"/>
    <w:rsid w:val="54B57697"/>
    <w:rsid w:val="54BE2A37"/>
    <w:rsid w:val="54C47110"/>
    <w:rsid w:val="54FC355F"/>
    <w:rsid w:val="550B72FE"/>
    <w:rsid w:val="55702E07"/>
    <w:rsid w:val="569A78CF"/>
    <w:rsid w:val="57833AC4"/>
    <w:rsid w:val="578775D4"/>
    <w:rsid w:val="57AC6B77"/>
    <w:rsid w:val="57B34775"/>
    <w:rsid w:val="57CB09C0"/>
    <w:rsid w:val="57F07E88"/>
    <w:rsid w:val="57F34266"/>
    <w:rsid w:val="58BB684A"/>
    <w:rsid w:val="58D00F8B"/>
    <w:rsid w:val="590B7C5F"/>
    <w:rsid w:val="5991686D"/>
    <w:rsid w:val="599932C4"/>
    <w:rsid w:val="59AF6DF2"/>
    <w:rsid w:val="59F1740B"/>
    <w:rsid w:val="5A32415D"/>
    <w:rsid w:val="5AB441AC"/>
    <w:rsid w:val="5AC17932"/>
    <w:rsid w:val="5AE66FE3"/>
    <w:rsid w:val="5B0A0784"/>
    <w:rsid w:val="5BA26C0E"/>
    <w:rsid w:val="5BCA39C3"/>
    <w:rsid w:val="5BCA3A6F"/>
    <w:rsid w:val="5BD43965"/>
    <w:rsid w:val="5BDC19F5"/>
    <w:rsid w:val="5BDC31D7"/>
    <w:rsid w:val="5BF9320A"/>
    <w:rsid w:val="5C1954E0"/>
    <w:rsid w:val="5C2A604B"/>
    <w:rsid w:val="5C857487"/>
    <w:rsid w:val="5C8A31FF"/>
    <w:rsid w:val="5D753EAF"/>
    <w:rsid w:val="5E193160"/>
    <w:rsid w:val="5E385608"/>
    <w:rsid w:val="5E88747F"/>
    <w:rsid w:val="5E94525B"/>
    <w:rsid w:val="5EEB4428"/>
    <w:rsid w:val="5EF003DA"/>
    <w:rsid w:val="60574CEF"/>
    <w:rsid w:val="60D37950"/>
    <w:rsid w:val="6105554A"/>
    <w:rsid w:val="613A7416"/>
    <w:rsid w:val="61734BA9"/>
    <w:rsid w:val="61987E77"/>
    <w:rsid w:val="61C579C1"/>
    <w:rsid w:val="62353290"/>
    <w:rsid w:val="62EE2739"/>
    <w:rsid w:val="63273E9D"/>
    <w:rsid w:val="638E5812"/>
    <w:rsid w:val="639E52DB"/>
    <w:rsid w:val="63E543CF"/>
    <w:rsid w:val="63EC08F9"/>
    <w:rsid w:val="63F2580D"/>
    <w:rsid w:val="642C250E"/>
    <w:rsid w:val="643839B5"/>
    <w:rsid w:val="647E1E99"/>
    <w:rsid w:val="649607F0"/>
    <w:rsid w:val="64B22597"/>
    <w:rsid w:val="64BF6DED"/>
    <w:rsid w:val="6502797D"/>
    <w:rsid w:val="659F203C"/>
    <w:rsid w:val="65B80DDC"/>
    <w:rsid w:val="65C6174B"/>
    <w:rsid w:val="65EF12F6"/>
    <w:rsid w:val="667B3089"/>
    <w:rsid w:val="66B141AA"/>
    <w:rsid w:val="67125407"/>
    <w:rsid w:val="6780039A"/>
    <w:rsid w:val="67824A12"/>
    <w:rsid w:val="67832EF6"/>
    <w:rsid w:val="678A5FCA"/>
    <w:rsid w:val="67F500C6"/>
    <w:rsid w:val="67FA3486"/>
    <w:rsid w:val="68146A3F"/>
    <w:rsid w:val="68C01144"/>
    <w:rsid w:val="691A5502"/>
    <w:rsid w:val="6A100FD1"/>
    <w:rsid w:val="6A7A57FA"/>
    <w:rsid w:val="6AF80B36"/>
    <w:rsid w:val="6B1E5B86"/>
    <w:rsid w:val="6B2E1807"/>
    <w:rsid w:val="6B505657"/>
    <w:rsid w:val="6B851FF7"/>
    <w:rsid w:val="6BE141F3"/>
    <w:rsid w:val="6C691082"/>
    <w:rsid w:val="6C9003BD"/>
    <w:rsid w:val="6C904861"/>
    <w:rsid w:val="6CA9147F"/>
    <w:rsid w:val="6CC4275D"/>
    <w:rsid w:val="6CEC000A"/>
    <w:rsid w:val="6D516D25"/>
    <w:rsid w:val="6D540F6E"/>
    <w:rsid w:val="6D716B35"/>
    <w:rsid w:val="6DFE24BB"/>
    <w:rsid w:val="6E930639"/>
    <w:rsid w:val="6E9311AE"/>
    <w:rsid w:val="6E933C40"/>
    <w:rsid w:val="6EAE1559"/>
    <w:rsid w:val="6EC32CCC"/>
    <w:rsid w:val="6EE104BA"/>
    <w:rsid w:val="6EFC5484"/>
    <w:rsid w:val="6F061516"/>
    <w:rsid w:val="6F513E19"/>
    <w:rsid w:val="6F5A4CB2"/>
    <w:rsid w:val="6FC02188"/>
    <w:rsid w:val="6FE46603"/>
    <w:rsid w:val="6FF84BF7"/>
    <w:rsid w:val="6FFB12AF"/>
    <w:rsid w:val="703C4491"/>
    <w:rsid w:val="708D7E89"/>
    <w:rsid w:val="709637C1"/>
    <w:rsid w:val="70B0102E"/>
    <w:rsid w:val="70EB650A"/>
    <w:rsid w:val="716D761B"/>
    <w:rsid w:val="71A76928"/>
    <w:rsid w:val="71B10F5C"/>
    <w:rsid w:val="71B40FF2"/>
    <w:rsid w:val="72D3722F"/>
    <w:rsid w:val="731F1983"/>
    <w:rsid w:val="739E7073"/>
    <w:rsid w:val="740578E3"/>
    <w:rsid w:val="744D64A9"/>
    <w:rsid w:val="748E5B2A"/>
    <w:rsid w:val="74A206D3"/>
    <w:rsid w:val="756A0A3D"/>
    <w:rsid w:val="75922929"/>
    <w:rsid w:val="763444AF"/>
    <w:rsid w:val="76375D4D"/>
    <w:rsid w:val="76C27D0D"/>
    <w:rsid w:val="7709607D"/>
    <w:rsid w:val="77445D2C"/>
    <w:rsid w:val="774626EC"/>
    <w:rsid w:val="78746DE5"/>
    <w:rsid w:val="78877820"/>
    <w:rsid w:val="78A12480"/>
    <w:rsid w:val="78E70A2D"/>
    <w:rsid w:val="79331D62"/>
    <w:rsid w:val="796061A5"/>
    <w:rsid w:val="79A96F62"/>
    <w:rsid w:val="7A635A80"/>
    <w:rsid w:val="7A7326FE"/>
    <w:rsid w:val="7B0A1790"/>
    <w:rsid w:val="7BB8788F"/>
    <w:rsid w:val="7C280612"/>
    <w:rsid w:val="7C3005DF"/>
    <w:rsid w:val="7C71247C"/>
    <w:rsid w:val="7CE22776"/>
    <w:rsid w:val="7D0270B5"/>
    <w:rsid w:val="7D04082D"/>
    <w:rsid w:val="7D3354C1"/>
    <w:rsid w:val="7D471B43"/>
    <w:rsid w:val="7DDD71DA"/>
    <w:rsid w:val="7DF033B2"/>
    <w:rsid w:val="7E1A21DD"/>
    <w:rsid w:val="7E8A5BEF"/>
    <w:rsid w:val="7EB3493A"/>
    <w:rsid w:val="7EDF4DC2"/>
    <w:rsid w:val="7EE4243A"/>
    <w:rsid w:val="7EFA151F"/>
    <w:rsid w:val="7F1F27FA"/>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qFormat/>
    <w:uiPriority w:val="99"/>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0"/>
    <w:pPr>
      <w:ind w:firstLine="420" w:firstLineChars="200"/>
    </w:p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Document Map"/>
    <w:basedOn w:val="1"/>
    <w:link w:val="32"/>
    <w:unhideWhenUsed/>
    <w:qFormat/>
    <w:uiPriority w:val="99"/>
    <w:rPr>
      <w:rFonts w:ascii="宋体"/>
      <w:sz w:val="18"/>
      <w:szCs w:val="18"/>
    </w:rPr>
  </w:style>
  <w:style w:type="paragraph" w:styleId="8">
    <w:name w:val="annotation text"/>
    <w:basedOn w:val="1"/>
    <w:link w:val="30"/>
    <w:unhideWhenUsed/>
    <w:qFormat/>
    <w:uiPriority w:val="99"/>
    <w:pPr>
      <w:jc w:val="left"/>
    </w:pPr>
  </w:style>
  <w:style w:type="paragraph" w:styleId="9">
    <w:name w:val="Body Text"/>
    <w:basedOn w:val="1"/>
    <w:link w:val="37"/>
    <w:qFormat/>
    <w:uiPriority w:val="1"/>
    <w:pPr>
      <w:ind w:left="119"/>
      <w:jc w:val="left"/>
    </w:pPr>
    <w:rPr>
      <w:rFonts w:ascii="仿宋_GB2312" w:hAnsi="仿宋_GB2312" w:eastAsia="仿宋_GB2312" w:cstheme="minorBidi"/>
      <w:kern w:val="0"/>
      <w:szCs w:val="30"/>
      <w:lang w:eastAsia="en-US"/>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29"/>
    <w:unhideWhenUsed/>
    <w:qFormat/>
    <w:uiPriority w:val="99"/>
    <w:rPr>
      <w:sz w:val="18"/>
      <w:szCs w:val="18"/>
    </w:rPr>
  </w:style>
  <w:style w:type="paragraph" w:styleId="12">
    <w:name w:val="footer"/>
    <w:basedOn w:val="1"/>
    <w:link w:val="2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annotation subject"/>
    <w:basedOn w:val="8"/>
    <w:next w:val="8"/>
    <w:link w:val="31"/>
    <w:unhideWhenUsed/>
    <w:qFormat/>
    <w:uiPriority w:val="99"/>
    <w:rPr>
      <w:b/>
      <w:bCs/>
    </w:rPr>
  </w:style>
  <w:style w:type="paragraph" w:styleId="17">
    <w:name w:val="Body Text First Indent"/>
    <w:basedOn w:val="9"/>
    <w:next w:val="1"/>
    <w:qFormat/>
    <w:uiPriority w:val="0"/>
    <w:pPr>
      <w:tabs>
        <w:tab w:val="left" w:pos="840"/>
      </w:tabs>
      <w:ind w:left="840" w:firstLine="420" w:firstLineChars="100"/>
    </w:p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rPr>
  </w:style>
  <w:style w:type="character" w:styleId="23">
    <w:name w:val="annotation reference"/>
    <w:basedOn w:val="20"/>
    <w:unhideWhenUsed/>
    <w:qFormat/>
    <w:uiPriority w:val="99"/>
    <w:rPr>
      <w:sz w:val="21"/>
      <w:szCs w:val="21"/>
    </w:rPr>
  </w:style>
  <w:style w:type="character" w:customStyle="1" w:styleId="24">
    <w:name w:val="标题 1 字符"/>
    <w:basedOn w:val="20"/>
    <w:link w:val="2"/>
    <w:qFormat/>
    <w:uiPriority w:val="9"/>
    <w:rPr>
      <w:rFonts w:ascii="Times New Roman" w:hAnsi="Times New Roman" w:eastAsia="宋体" w:cs="Times New Roman"/>
      <w:b/>
      <w:bCs/>
      <w:kern w:val="44"/>
      <w:sz w:val="44"/>
      <w:szCs w:val="44"/>
    </w:rPr>
  </w:style>
  <w:style w:type="character" w:customStyle="1" w:styleId="25">
    <w:name w:val="标题 2 字符"/>
    <w:basedOn w:val="20"/>
    <w:link w:val="3"/>
    <w:qFormat/>
    <w:uiPriority w:val="99"/>
    <w:rPr>
      <w:rFonts w:ascii="Cambria" w:hAnsi="Cambria" w:eastAsia="宋体" w:cs="Times New Roman"/>
      <w:b/>
      <w:bCs/>
      <w:kern w:val="0"/>
      <w:sz w:val="32"/>
      <w:szCs w:val="32"/>
    </w:rPr>
  </w:style>
  <w:style w:type="character" w:customStyle="1" w:styleId="26">
    <w:name w:val="标题 3 字符"/>
    <w:basedOn w:val="20"/>
    <w:link w:val="4"/>
    <w:qFormat/>
    <w:uiPriority w:val="99"/>
    <w:rPr>
      <w:rFonts w:ascii="Times New Roman" w:hAnsi="Times New Roman" w:eastAsia="宋体" w:cs="Times New Roman"/>
      <w:b/>
      <w:bCs/>
      <w:kern w:val="0"/>
      <w:sz w:val="32"/>
      <w:szCs w:val="32"/>
    </w:rPr>
  </w:style>
  <w:style w:type="character" w:customStyle="1" w:styleId="27">
    <w:name w:val="页眉 字符"/>
    <w:basedOn w:val="20"/>
    <w:link w:val="13"/>
    <w:qFormat/>
    <w:uiPriority w:val="99"/>
    <w:rPr>
      <w:sz w:val="18"/>
      <w:szCs w:val="18"/>
    </w:rPr>
  </w:style>
  <w:style w:type="character" w:customStyle="1" w:styleId="28">
    <w:name w:val="页脚 字符"/>
    <w:basedOn w:val="20"/>
    <w:link w:val="12"/>
    <w:qFormat/>
    <w:uiPriority w:val="0"/>
    <w:rPr>
      <w:sz w:val="18"/>
      <w:szCs w:val="18"/>
    </w:rPr>
  </w:style>
  <w:style w:type="character" w:customStyle="1" w:styleId="29">
    <w:name w:val="批注框文本 字符"/>
    <w:basedOn w:val="20"/>
    <w:link w:val="11"/>
    <w:semiHidden/>
    <w:qFormat/>
    <w:uiPriority w:val="99"/>
    <w:rPr>
      <w:rFonts w:ascii="Times New Roman" w:hAnsi="Times New Roman" w:eastAsia="宋体" w:cs="Times New Roman"/>
      <w:sz w:val="18"/>
      <w:szCs w:val="18"/>
    </w:rPr>
  </w:style>
  <w:style w:type="character" w:customStyle="1" w:styleId="30">
    <w:name w:val="批注文字 字符"/>
    <w:basedOn w:val="20"/>
    <w:link w:val="8"/>
    <w:qFormat/>
    <w:uiPriority w:val="99"/>
    <w:rPr>
      <w:rFonts w:ascii="Times New Roman" w:hAnsi="Times New Roman" w:eastAsia="宋体" w:cs="Times New Roman"/>
      <w:szCs w:val="21"/>
    </w:rPr>
  </w:style>
  <w:style w:type="character" w:customStyle="1" w:styleId="31">
    <w:name w:val="批注主题 字符"/>
    <w:basedOn w:val="30"/>
    <w:link w:val="16"/>
    <w:semiHidden/>
    <w:qFormat/>
    <w:uiPriority w:val="99"/>
    <w:rPr>
      <w:rFonts w:ascii="Times New Roman" w:hAnsi="Times New Roman" w:eastAsia="宋体" w:cs="Times New Roman"/>
      <w:b/>
      <w:bCs/>
      <w:szCs w:val="21"/>
    </w:rPr>
  </w:style>
  <w:style w:type="character" w:customStyle="1" w:styleId="32">
    <w:name w:val="文档结构图 字符"/>
    <w:basedOn w:val="20"/>
    <w:link w:val="7"/>
    <w:semiHidden/>
    <w:qFormat/>
    <w:uiPriority w:val="99"/>
    <w:rPr>
      <w:rFonts w:ascii="宋体" w:hAnsi="Times New Roman" w:eastAsia="宋体" w:cs="Times New Roman"/>
      <w:sz w:val="18"/>
      <w:szCs w:val="18"/>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5">
    <w:name w:val="页码 New New"/>
    <w:basedOn w:val="20"/>
    <w:qFormat/>
    <w:uiPriority w:val="0"/>
  </w:style>
  <w:style w:type="paragraph" w:customStyle="1" w:styleId="36">
    <w:name w:val="列表段落1"/>
    <w:basedOn w:val="1"/>
    <w:qFormat/>
    <w:uiPriority w:val="34"/>
    <w:pPr>
      <w:ind w:firstLine="420" w:firstLineChars="200"/>
    </w:pPr>
  </w:style>
  <w:style w:type="character" w:customStyle="1" w:styleId="37">
    <w:name w:val="正文文本 字符"/>
    <w:basedOn w:val="20"/>
    <w:link w:val="9"/>
    <w:qFormat/>
    <w:uiPriority w:val="1"/>
    <w:rPr>
      <w:rFonts w:ascii="仿宋_GB2312" w:hAnsi="仿宋_GB2312" w:eastAsia="仿宋_GB2312"/>
      <w:kern w:val="0"/>
      <w:sz w:val="30"/>
      <w:szCs w:val="30"/>
      <w:lang w:eastAsia="en-US"/>
    </w:rPr>
  </w:style>
  <w:style w:type="character" w:customStyle="1" w:styleId="38">
    <w:name w:val="未处理的提及1"/>
    <w:basedOn w:val="20"/>
    <w:unhideWhenUsed/>
    <w:qFormat/>
    <w:uiPriority w:val="99"/>
    <w:rPr>
      <w:color w:val="605E5C"/>
      <w:shd w:val="clear" w:color="auto" w:fill="E1DFDD"/>
    </w:rPr>
  </w:style>
  <w:style w:type="character" w:customStyle="1" w:styleId="39">
    <w:name w:val="占位符文本1"/>
    <w:basedOn w:val="20"/>
    <w:semiHidden/>
    <w:qFormat/>
    <w:uiPriority w:val="99"/>
    <w:rPr>
      <w:color w:val="808080"/>
    </w:rPr>
  </w:style>
  <w:style w:type="character" w:customStyle="1" w:styleId="40">
    <w:name w:val="font21"/>
    <w:basedOn w:val="20"/>
    <w:qFormat/>
    <w:uiPriority w:val="0"/>
    <w:rPr>
      <w:rFonts w:hint="default" w:ascii="Times New Roman" w:hAnsi="Times New Roman" w:cs="Times New Roman"/>
      <w:color w:val="000000"/>
      <w:sz w:val="20"/>
      <w:szCs w:val="20"/>
      <w:u w:val="none"/>
    </w:rPr>
  </w:style>
  <w:style w:type="character" w:customStyle="1" w:styleId="41">
    <w:name w:val="font41"/>
    <w:basedOn w:val="20"/>
    <w:qFormat/>
    <w:uiPriority w:val="0"/>
    <w:rPr>
      <w:rFonts w:hint="eastAsia" w:ascii="宋体" w:hAnsi="宋体" w:eastAsia="宋体" w:cs="宋体"/>
      <w:color w:val="000000"/>
      <w:sz w:val="20"/>
      <w:szCs w:val="20"/>
      <w:u w:val="none"/>
    </w:rPr>
  </w:style>
  <w:style w:type="character" w:customStyle="1" w:styleId="42">
    <w:name w:val="font31"/>
    <w:basedOn w:val="20"/>
    <w:qFormat/>
    <w:uiPriority w:val="0"/>
    <w:rPr>
      <w:rFonts w:hint="eastAsia" w:ascii="宋体" w:hAnsi="宋体" w:eastAsia="宋体" w:cs="宋体"/>
      <w:color w:val="000000"/>
      <w:sz w:val="20"/>
      <w:szCs w:val="20"/>
      <w:u w:val="none"/>
    </w:rPr>
  </w:style>
  <w:style w:type="character" w:customStyle="1" w:styleId="43">
    <w:name w:val="font11"/>
    <w:basedOn w:val="20"/>
    <w:qFormat/>
    <w:uiPriority w:val="0"/>
    <w:rPr>
      <w:rFonts w:hint="eastAsia" w:ascii="宋体" w:hAnsi="宋体" w:eastAsia="宋体" w:cs="宋体"/>
      <w:color w:val="000000"/>
      <w:sz w:val="20"/>
      <w:szCs w:val="20"/>
      <w:u w:val="none"/>
    </w:rPr>
  </w:style>
  <w:style w:type="paragraph" w:customStyle="1" w:styleId="44">
    <w:name w:val="实施方案正文"/>
    <w:basedOn w:val="1"/>
    <w:qFormat/>
    <w:uiPriority w:val="0"/>
    <w:pPr>
      <w:ind w:firstLine="566" w:firstLineChars="202"/>
    </w:pPr>
    <w:rPr>
      <w:rFonts w:ascii="Calibri" w:hAnsi="Calibri" w:eastAsia="宋体" w:cs="Times New Roman"/>
      <w:sz w:val="21"/>
    </w:rPr>
  </w:style>
  <w:style w:type="character" w:customStyle="1" w:styleId="45">
    <w:name w:val="font01"/>
    <w:basedOn w:val="20"/>
    <w:qFormat/>
    <w:uiPriority w:val="0"/>
    <w:rPr>
      <w:rFonts w:hint="eastAsia" w:ascii="仿宋" w:hAnsi="仿宋" w:eastAsia="仿宋" w:cs="仿宋"/>
      <w:b/>
      <w:bCs/>
      <w:color w:val="000000"/>
      <w:sz w:val="21"/>
      <w:szCs w:val="21"/>
      <w:u w:val="none"/>
    </w:rPr>
  </w:style>
  <w:style w:type="character" w:customStyle="1" w:styleId="46">
    <w:name w:val="公文正文"/>
    <w:basedOn w:val="47"/>
    <w:qFormat/>
    <w:uiPriority w:val="0"/>
    <w:rPr>
      <w:rFonts w:eastAsia="仿宋_GB2312"/>
      <w:sz w:val="32"/>
    </w:rPr>
  </w:style>
  <w:style w:type="character" w:customStyle="1" w:styleId="47">
    <w:name w:val="默认段落字体1"/>
    <w:qFormat/>
    <w:uiPriority w:val="0"/>
  </w:style>
  <w:style w:type="paragraph" w:customStyle="1" w:styleId="48">
    <w:name w:val="图表目录1"/>
    <w:basedOn w:val="49"/>
    <w:next w:val="49"/>
    <w:qFormat/>
    <w:uiPriority w:val="0"/>
    <w:pPr>
      <w:ind w:left="200" w:leftChars="200" w:hanging="200" w:hangingChars="200"/>
    </w:pPr>
    <w:rPr>
      <w:rFonts w:ascii="Calibri" w:hAnsi="Calibri" w:cs="黑体"/>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9" textRotate="1"/>
    <customShpInfo spid="_x0000_s4110" textRotate="1"/>
    <customShpInfo spid="_x0000_s4111" textRotate="1"/>
    <customShpInfo spid="_x0000_s411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docProps/app.xml><?xml version="1.0" encoding="utf-8"?>
<Properties xmlns="http://schemas.openxmlformats.org/officeDocument/2006/extended-properties" xmlns:vt="http://schemas.openxmlformats.org/officeDocument/2006/docPropsVTypes">
  <Template>Normal</Template>
  <Pages>38</Pages>
  <Words>16675</Words>
  <Characters>17729</Characters>
  <Lines>167</Lines>
  <Paragraphs>47</Paragraphs>
  <TotalTime>1</TotalTime>
  <ScaleCrop>false</ScaleCrop>
  <LinksUpToDate>false</LinksUpToDate>
  <CharactersWithSpaces>17838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2025-12-08T12:21:40Z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eyJoZGlkIjoiMDk2ZjE0MjA2OTA1NTJiYzhiNmNiZTJiMjIzMDMyNWYiLCJ1c2VySWQiOiIyNzQ3Mjg5MDUifQ==</vt:lpwstr>
  </property>
</Properties>
</file>