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4D6C8">
      <w:pPr>
        <w:spacing w:line="590" w:lineRule="exact"/>
        <w:jc w:val="center"/>
        <w:rPr>
          <w:rFonts w:ascii="方正小标宋简体" w:hAnsi="黑体" w:eastAsia="方正小标宋简体" w:cs="宋体+FPEF"/>
          <w:color w:val="0000FF"/>
          <w:spacing w:val="6"/>
          <w:kern w:val="0"/>
          <w:sz w:val="40"/>
          <w:szCs w:val="40"/>
        </w:rPr>
      </w:pPr>
      <w:r>
        <w:rPr>
          <w:rFonts w:asciiTheme="majorEastAsia" w:hAnsiTheme="majorEastAsia" w:eastAsiaTheme="majorEastAsia" w:cstheme="majorEastAsia"/>
          <w:b/>
          <w:bCs/>
          <w:sz w:val="36"/>
          <w:szCs w:val="36"/>
          <w:lang w:val="zh-CN"/>
        </w:rPr>
        <w:tab/>
      </w:r>
    </w:p>
    <w:p w14:paraId="6BB6353C">
      <w:pPr>
        <w:spacing w:line="590" w:lineRule="exact"/>
        <w:jc w:val="center"/>
        <w:rPr>
          <w:rFonts w:ascii="方正小标宋简体" w:hAnsi="方正小标宋简体" w:eastAsia="方正小标宋简体" w:cs="方正小标宋简体"/>
          <w:spacing w:val="6"/>
          <w:kern w:val="0"/>
          <w:sz w:val="40"/>
          <w:szCs w:val="40"/>
        </w:rPr>
      </w:pPr>
    </w:p>
    <w:p w14:paraId="5BA39D2C">
      <w:pPr>
        <w:spacing w:line="590" w:lineRule="exact"/>
        <w:jc w:val="center"/>
        <w:rPr>
          <w:rFonts w:ascii="方正小标宋简体" w:hAnsi="方正小标宋简体" w:eastAsia="方正小标宋简体" w:cs="方正小标宋简体"/>
          <w:spacing w:val="6"/>
          <w:kern w:val="0"/>
          <w:sz w:val="40"/>
          <w:szCs w:val="40"/>
        </w:rPr>
      </w:pPr>
    </w:p>
    <w:p w14:paraId="383DD87D">
      <w:pPr>
        <w:spacing w:line="590" w:lineRule="exact"/>
        <w:jc w:val="center"/>
        <w:rPr>
          <w:rFonts w:hint="eastAsia" w:ascii="方正小标宋简体" w:hAnsi="方正小标宋简体" w:eastAsia="方正小标宋简体" w:cs="方正小标宋简体"/>
          <w:spacing w:val="6"/>
          <w:kern w:val="0"/>
          <w:sz w:val="40"/>
          <w:szCs w:val="40"/>
          <w:lang w:val="en-US" w:eastAsia="zh-CN"/>
        </w:rPr>
      </w:pPr>
      <w:r>
        <w:rPr>
          <w:rFonts w:hint="eastAsia" w:ascii="方正小标宋简体" w:hAnsi="方正小标宋简体" w:eastAsia="方正小标宋简体" w:cs="方正小标宋简体"/>
          <w:spacing w:val="6"/>
          <w:kern w:val="0"/>
          <w:sz w:val="40"/>
          <w:szCs w:val="40"/>
          <w:lang w:val="en-US" w:eastAsia="zh-CN"/>
        </w:rPr>
        <w:t>昆明市西山区西苑街道办事处</w:t>
      </w:r>
    </w:p>
    <w:p w14:paraId="3D8F0595">
      <w:pPr>
        <w:spacing w:line="590" w:lineRule="exact"/>
        <w:jc w:val="center"/>
        <w:rPr>
          <w:rFonts w:hint="eastAsia" w:ascii="方正小标宋简体" w:hAnsi="方正小标宋简体" w:eastAsia="方正小标宋简体" w:cs="方正小标宋简体"/>
          <w:spacing w:val="6"/>
          <w:kern w:val="0"/>
          <w:sz w:val="40"/>
          <w:szCs w:val="40"/>
          <w:lang w:val="en-US" w:eastAsia="zh-CN"/>
        </w:rPr>
      </w:pPr>
      <w:r>
        <w:rPr>
          <w:rFonts w:hint="eastAsia" w:ascii="方正小标宋简体" w:hAnsi="方正小标宋简体" w:eastAsia="方正小标宋简体" w:cs="方正小标宋简体"/>
          <w:spacing w:val="6"/>
          <w:kern w:val="0"/>
          <w:sz w:val="40"/>
          <w:szCs w:val="40"/>
          <w:lang w:val="en-US" w:eastAsia="zh-CN"/>
        </w:rPr>
        <w:t>2024年西山区公厕免费开放补助</w:t>
      </w:r>
    </w:p>
    <w:p w14:paraId="367D2814">
      <w:pPr>
        <w:spacing w:line="590" w:lineRule="exact"/>
        <w:jc w:val="center"/>
        <w:rPr>
          <w:rFonts w:hint="default" w:ascii="方正小标宋简体" w:hAnsi="方正小标宋简体" w:eastAsia="方正小标宋简体" w:cs="方正小标宋简体"/>
          <w:spacing w:val="6"/>
          <w:kern w:val="0"/>
          <w:sz w:val="40"/>
          <w:szCs w:val="40"/>
          <w:lang w:val="en-US" w:eastAsia="zh-CN"/>
        </w:rPr>
      </w:pPr>
      <w:r>
        <w:rPr>
          <w:rFonts w:hint="eastAsia" w:ascii="方正小标宋简体" w:hAnsi="方正小标宋简体" w:eastAsia="方正小标宋简体" w:cs="方正小标宋简体"/>
          <w:spacing w:val="6"/>
          <w:kern w:val="0"/>
          <w:sz w:val="40"/>
          <w:szCs w:val="40"/>
          <w:lang w:val="en-US" w:eastAsia="zh-CN"/>
        </w:rPr>
        <w:t>专项经费支出</w:t>
      </w:r>
    </w:p>
    <w:p w14:paraId="3AF8F3E0">
      <w:pPr>
        <w:spacing w:line="590" w:lineRule="exact"/>
        <w:jc w:val="center"/>
        <w:rPr>
          <w:rFonts w:ascii="方正小标宋简体" w:hAnsi="方正小标宋简体" w:eastAsia="方正小标宋简体" w:cs="方正小标宋简体"/>
          <w:spacing w:val="6"/>
          <w:kern w:val="0"/>
          <w:sz w:val="40"/>
          <w:szCs w:val="40"/>
        </w:rPr>
      </w:pPr>
    </w:p>
    <w:p w14:paraId="3EEBFAFA">
      <w:pPr>
        <w:jc w:val="center"/>
        <w:rPr>
          <w:rFonts w:hint="eastAsia" w:ascii="方正小标宋简体" w:hAnsi="宋体" w:eastAsia="方正小标宋简体"/>
          <w:color w:val="000000"/>
          <w:spacing w:val="6"/>
          <w:sz w:val="72"/>
          <w:szCs w:val="72"/>
        </w:rPr>
      </w:pPr>
      <w:r>
        <w:rPr>
          <w:rFonts w:hint="eastAsia" w:ascii="方正小标宋简体" w:hAnsi="宋体" w:eastAsia="方正小标宋简体"/>
          <w:color w:val="000000"/>
          <w:spacing w:val="6"/>
          <w:sz w:val="72"/>
          <w:szCs w:val="72"/>
        </w:rPr>
        <w:t>绩效评价报告</w:t>
      </w:r>
    </w:p>
    <w:p w14:paraId="1BA09FFC">
      <w:pPr>
        <w:spacing w:line="590" w:lineRule="exact"/>
        <w:jc w:val="center"/>
        <w:rPr>
          <w:rFonts w:ascii="方正小标宋简体" w:hAnsi="Arial Narrow" w:eastAsia="方正小标宋简体"/>
          <w:spacing w:val="6"/>
          <w:kern w:val="0"/>
          <w:sz w:val="40"/>
          <w:szCs w:val="40"/>
        </w:rPr>
      </w:pPr>
    </w:p>
    <w:p w14:paraId="3D344110">
      <w:pPr>
        <w:spacing w:line="590" w:lineRule="exact"/>
        <w:jc w:val="center"/>
        <w:rPr>
          <w:rFonts w:ascii="方正小标宋简体" w:hAnsi="Arial Narrow" w:eastAsia="方正小标宋简体"/>
          <w:spacing w:val="6"/>
          <w:kern w:val="0"/>
          <w:sz w:val="40"/>
          <w:szCs w:val="40"/>
        </w:rPr>
      </w:pPr>
    </w:p>
    <w:p w14:paraId="2C6562C6">
      <w:pPr>
        <w:spacing w:line="590" w:lineRule="exact"/>
        <w:jc w:val="center"/>
        <w:rPr>
          <w:rFonts w:ascii="方正小标宋简体" w:hAnsi="Arial Narrow" w:eastAsia="方正小标宋简体"/>
          <w:spacing w:val="6"/>
          <w:kern w:val="0"/>
          <w:sz w:val="40"/>
          <w:szCs w:val="40"/>
        </w:rPr>
      </w:pPr>
    </w:p>
    <w:p w14:paraId="713FF183">
      <w:pPr>
        <w:spacing w:line="590" w:lineRule="exact"/>
        <w:jc w:val="center"/>
        <w:rPr>
          <w:rFonts w:ascii="方正小标宋简体" w:hAnsi="Arial Narrow" w:eastAsia="方正小标宋简体"/>
          <w:spacing w:val="6"/>
          <w:kern w:val="0"/>
          <w:sz w:val="40"/>
          <w:szCs w:val="40"/>
        </w:rPr>
      </w:pPr>
    </w:p>
    <w:p w14:paraId="2D3FDB6D">
      <w:pPr>
        <w:spacing w:line="590" w:lineRule="exact"/>
        <w:jc w:val="center"/>
        <w:rPr>
          <w:rFonts w:ascii="方正小标宋简体" w:hAnsi="Arial Narrow" w:eastAsia="方正小标宋简体"/>
          <w:spacing w:val="6"/>
          <w:kern w:val="0"/>
          <w:sz w:val="40"/>
          <w:szCs w:val="40"/>
        </w:rPr>
      </w:pPr>
    </w:p>
    <w:p w14:paraId="1018D758">
      <w:pPr>
        <w:spacing w:line="590" w:lineRule="exact"/>
        <w:jc w:val="center"/>
        <w:rPr>
          <w:rFonts w:ascii="方正小标宋简体" w:hAnsi="方正小标宋简体" w:eastAsia="方正小标宋简体" w:cs="方正小标宋简体"/>
          <w:spacing w:val="6"/>
          <w:kern w:val="0"/>
          <w:sz w:val="36"/>
          <w:szCs w:val="36"/>
        </w:rPr>
      </w:pPr>
    </w:p>
    <w:tbl>
      <w:tblPr>
        <w:tblStyle w:val="21"/>
        <w:tblW w:w="88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8"/>
        <w:gridCol w:w="5660"/>
      </w:tblGrid>
      <w:tr w14:paraId="3CE97DFD">
        <w:trPr>
          <w:trHeight w:val="680" w:hRule="atLeast"/>
        </w:trPr>
        <w:tc>
          <w:tcPr>
            <w:tcW w:w="3228" w:type="dxa"/>
            <w:noWrap w:val="0"/>
            <w:vAlign w:val="center"/>
          </w:tcPr>
          <w:p w14:paraId="24FE3889">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委托单位名称：</w:t>
            </w:r>
          </w:p>
        </w:tc>
        <w:tc>
          <w:tcPr>
            <w:tcW w:w="5660" w:type="dxa"/>
            <w:tcBorders>
              <w:bottom w:val="single" w:color="auto" w:sz="4" w:space="0"/>
            </w:tcBorders>
            <w:noWrap w:val="0"/>
            <w:vAlign w:val="center"/>
          </w:tcPr>
          <w:p w14:paraId="438465A8">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昆明市西山区财政局</w:t>
            </w:r>
          </w:p>
        </w:tc>
      </w:tr>
      <w:tr w14:paraId="39740967">
        <w:trPr>
          <w:trHeight w:val="680" w:hRule="atLeast"/>
        </w:trPr>
        <w:tc>
          <w:tcPr>
            <w:tcW w:w="3228" w:type="dxa"/>
            <w:noWrap w:val="0"/>
            <w:vAlign w:val="center"/>
          </w:tcPr>
          <w:p w14:paraId="58F515FE">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评审机构名称：</w:t>
            </w:r>
          </w:p>
        </w:tc>
        <w:tc>
          <w:tcPr>
            <w:tcW w:w="5660" w:type="dxa"/>
            <w:tcBorders>
              <w:bottom w:val="single" w:color="auto" w:sz="4" w:space="0"/>
            </w:tcBorders>
            <w:noWrap w:val="0"/>
            <w:vAlign w:val="center"/>
          </w:tcPr>
          <w:p w14:paraId="057C0D07">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云南谛祥会计师事务所（普通合伙）</w:t>
            </w:r>
          </w:p>
        </w:tc>
      </w:tr>
      <w:tr w14:paraId="1730A028">
        <w:trPr>
          <w:trHeight w:val="680" w:hRule="atLeast"/>
        </w:trPr>
        <w:tc>
          <w:tcPr>
            <w:tcW w:w="3228" w:type="dxa"/>
            <w:noWrap w:val="0"/>
            <w:vAlign w:val="center"/>
          </w:tcPr>
          <w:p w14:paraId="37C98C6E">
            <w:pPr>
              <w:keepNext w:val="0"/>
              <w:keepLines w:val="0"/>
              <w:pageBreakBefore w:val="0"/>
              <w:widowControl w:val="0"/>
              <w:tabs>
                <w:tab w:val="right" w:pos="8306"/>
              </w:tabs>
              <w:kinsoku/>
              <w:wordWrap/>
              <w:overflowPunct/>
              <w:topLinePunct w:val="0"/>
              <w:autoSpaceDE/>
              <w:autoSpaceDN/>
              <w:bidi w:val="0"/>
              <w:adjustRightInd w:val="0"/>
              <w:snapToGrid w:val="0"/>
              <w:spacing w:line="500" w:lineRule="exact"/>
              <w:jc w:val="distribute"/>
              <w:textAlignment w:val="auto"/>
              <w:rPr>
                <w:rFonts w:hint="eastAsia" w:ascii="方正小标宋简体" w:hAnsi="方正小标宋简体" w:eastAsia="方正小标宋简体" w:cs="方正小标宋简体"/>
                <w:spacing w:val="40"/>
                <w:kern w:val="0"/>
                <w:sz w:val="24"/>
                <w:szCs w:val="24"/>
                <w:u w:val="none"/>
                <w:vertAlign w:val="baseline"/>
              </w:rPr>
            </w:pPr>
            <w:r>
              <w:rPr>
                <w:rFonts w:hint="eastAsia" w:ascii="方正小标宋简体" w:hAnsi="方正小标宋简体" w:eastAsia="方正小标宋简体" w:cs="方正小标宋简体"/>
                <w:spacing w:val="40"/>
                <w:kern w:val="0"/>
                <w:sz w:val="24"/>
                <w:szCs w:val="24"/>
                <w:u w:val="none"/>
                <w:lang w:val="en-US" w:eastAsia="zh-CN"/>
              </w:rPr>
              <w:t>项目单位名称</w:t>
            </w:r>
            <w:r>
              <w:rPr>
                <w:rFonts w:hint="eastAsia" w:ascii="方正小标宋简体" w:hAnsi="方正小标宋简体" w:eastAsia="方正小标宋简体" w:cs="方正小标宋简体"/>
                <w:spacing w:val="40"/>
                <w:kern w:val="0"/>
                <w:sz w:val="24"/>
                <w:szCs w:val="24"/>
                <w:u w:val="none"/>
              </w:rPr>
              <w:t>：</w:t>
            </w:r>
          </w:p>
        </w:tc>
        <w:tc>
          <w:tcPr>
            <w:tcW w:w="5660" w:type="dxa"/>
            <w:tcBorders>
              <w:top w:val="single" w:color="auto" w:sz="4" w:space="0"/>
              <w:bottom w:val="single" w:color="auto" w:sz="4" w:space="0"/>
            </w:tcBorders>
            <w:noWrap w:val="0"/>
            <w:vAlign w:val="center"/>
          </w:tcPr>
          <w:p w14:paraId="4E336CD0">
            <w:pPr>
              <w:keepNext w:val="0"/>
              <w:keepLines w:val="0"/>
              <w:pageBreakBefore w:val="0"/>
              <w:widowControl w:val="0"/>
              <w:tabs>
                <w:tab w:val="right" w:pos="8306"/>
              </w:tabs>
              <w:kinsoku/>
              <w:wordWrap/>
              <w:overflowPunct/>
              <w:topLinePunct w:val="0"/>
              <w:autoSpaceDE/>
              <w:autoSpaceDN/>
              <w:bidi w:val="0"/>
              <w:adjustRightInd w:val="0"/>
              <w:snapToGrid w:val="0"/>
              <w:spacing w:line="500" w:lineRule="exact"/>
              <w:jc w:val="left"/>
              <w:textAlignment w:val="auto"/>
              <w:rPr>
                <w:rFonts w:hint="default" w:ascii="方正小标宋简体" w:hAnsi="方正小标宋简体" w:eastAsia="方正小标宋简体" w:cs="方正小标宋简体"/>
                <w:spacing w:val="40"/>
                <w:kern w:val="0"/>
                <w:sz w:val="24"/>
                <w:szCs w:val="24"/>
                <w:u w:val="none"/>
                <w:vertAlign w:val="baseline"/>
                <w:lang w:val="en-US" w:eastAsia="zh-CN"/>
              </w:rPr>
            </w:pPr>
            <w:r>
              <w:rPr>
                <w:rFonts w:hint="eastAsia" w:ascii="方正小标宋简体" w:hAnsi="方正小标宋简体" w:eastAsia="方正小标宋简体" w:cs="方正小标宋简体"/>
                <w:spacing w:val="40"/>
                <w:kern w:val="0"/>
                <w:sz w:val="24"/>
                <w:szCs w:val="24"/>
                <w:u w:val="none"/>
                <w:vertAlign w:val="baseline"/>
                <w:lang w:val="en-US" w:eastAsia="zh-CN"/>
              </w:rPr>
              <w:t>昆明市</w:t>
            </w:r>
            <w:r>
              <w:rPr>
                <w:rFonts w:hint="default" w:ascii="方正小标宋简体" w:hAnsi="方正小标宋简体" w:eastAsia="方正小标宋简体" w:cs="方正小标宋简体"/>
                <w:spacing w:val="40"/>
                <w:kern w:val="0"/>
                <w:sz w:val="24"/>
                <w:szCs w:val="24"/>
                <w:u w:val="none"/>
                <w:vertAlign w:val="baseline"/>
                <w:lang w:val="en-US" w:eastAsia="zh-CN"/>
              </w:rPr>
              <w:t>西山</w:t>
            </w:r>
            <w:r>
              <w:rPr>
                <w:rFonts w:hint="eastAsia" w:ascii="方正小标宋简体" w:hAnsi="方正小标宋简体" w:eastAsia="方正小标宋简体" w:cs="方正小标宋简体"/>
                <w:spacing w:val="40"/>
                <w:kern w:val="0"/>
                <w:sz w:val="24"/>
                <w:szCs w:val="24"/>
                <w:u w:val="none"/>
                <w:vertAlign w:val="baseline"/>
                <w:lang w:val="en-US" w:eastAsia="zh-CN"/>
              </w:rPr>
              <w:t>区西苑街道办事处</w:t>
            </w:r>
          </w:p>
        </w:tc>
      </w:tr>
      <w:tr w14:paraId="4853AB9D">
        <w:trPr>
          <w:trHeight w:val="680" w:hRule="atLeast"/>
        </w:trPr>
        <w:tc>
          <w:tcPr>
            <w:tcW w:w="3228" w:type="dxa"/>
            <w:noWrap w:val="0"/>
            <w:vAlign w:val="center"/>
          </w:tcPr>
          <w:p w14:paraId="4B6046F0">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项目评审起止时间：</w:t>
            </w:r>
          </w:p>
        </w:tc>
        <w:tc>
          <w:tcPr>
            <w:tcW w:w="5660" w:type="dxa"/>
            <w:tcBorders>
              <w:top w:val="single" w:color="auto" w:sz="4" w:space="0"/>
              <w:bottom w:val="single" w:color="auto" w:sz="4" w:space="0"/>
            </w:tcBorders>
            <w:noWrap w:val="0"/>
            <w:vAlign w:val="center"/>
          </w:tcPr>
          <w:p w14:paraId="4BFDE64F">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u w:val="none"/>
                <w:vertAlign w:val="baseline"/>
                <w:lang w:val="en-US" w:eastAsia="zh-CN"/>
              </w:rPr>
            </w:pPr>
            <w:r>
              <w:rPr>
                <w:rFonts w:hint="eastAsia" w:ascii="方正小标宋简体" w:hAnsi="方正小标宋简体" w:eastAsia="方正小标宋简体" w:cs="方正小标宋简体"/>
                <w:spacing w:val="40"/>
                <w:kern w:val="0"/>
                <w:sz w:val="24"/>
                <w:szCs w:val="24"/>
                <w:u w:val="none"/>
                <w:vertAlign w:val="baseline"/>
                <w:lang w:val="en-US" w:eastAsia="zh-CN"/>
              </w:rPr>
              <w:t>2025年8</w:t>
            </w:r>
            <w:r>
              <w:rPr>
                <w:rFonts w:hint="eastAsia" w:ascii="方正小标宋简体" w:hAnsi="方正小标宋简体" w:eastAsia="方正小标宋简体" w:cs="方正小标宋简体"/>
                <w:spacing w:val="40"/>
                <w:kern w:val="0"/>
                <w:sz w:val="24"/>
                <w:szCs w:val="24"/>
                <w:vertAlign w:val="baseline"/>
                <w:lang w:val="en-US" w:eastAsia="zh-CN" w:bidi="ar"/>
              </w:rPr>
              <w:t>月—10月</w:t>
            </w:r>
          </w:p>
        </w:tc>
      </w:tr>
      <w:tr w14:paraId="5ABD4AEF">
        <w:trPr>
          <w:trHeight w:val="680" w:hRule="atLeast"/>
        </w:trPr>
        <w:tc>
          <w:tcPr>
            <w:tcW w:w="3228" w:type="dxa"/>
            <w:noWrap w:val="0"/>
            <w:vAlign w:val="center"/>
          </w:tcPr>
          <w:p w14:paraId="61C3B6C6">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评审报告出具时间：</w:t>
            </w:r>
          </w:p>
        </w:tc>
        <w:tc>
          <w:tcPr>
            <w:tcW w:w="5660" w:type="dxa"/>
            <w:tcBorders>
              <w:top w:val="single" w:color="auto" w:sz="4" w:space="0"/>
              <w:bottom w:val="single" w:color="auto" w:sz="4" w:space="0"/>
            </w:tcBorders>
            <w:noWrap w:val="0"/>
            <w:vAlign w:val="center"/>
          </w:tcPr>
          <w:p w14:paraId="0B65C9CC">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2025年10月</w:t>
            </w:r>
          </w:p>
        </w:tc>
      </w:tr>
    </w:tbl>
    <w:p w14:paraId="1C76B07B">
      <w:pPr>
        <w:tabs>
          <w:tab w:val="center" w:pos="4422"/>
        </w:tabs>
        <w:rPr>
          <w:rFonts w:ascii="宋体" w:hAnsi="宋体" w:eastAsia="宋体"/>
          <w:sz w:val="36"/>
          <w:szCs w:val="36"/>
        </w:rPr>
        <w:sectPr>
          <w:footerReference r:id="rId3" w:type="default"/>
          <w:pgSz w:w="11906" w:h="16838"/>
          <w:pgMar w:top="2098" w:right="1474" w:bottom="1985" w:left="1588" w:header="851" w:footer="1474" w:gutter="0"/>
          <w:pgNumType w:fmt="lowerRoman" w:start="1"/>
          <w:cols w:space="425" w:num="1"/>
          <w:docGrid w:type="linesAndChars" w:linePitch="579" w:charSpace="3247"/>
        </w:sectPr>
      </w:pPr>
    </w:p>
    <w:p w14:paraId="3E5122F7">
      <w:pPr>
        <w:tabs>
          <w:tab w:val="center" w:pos="4422"/>
        </w:tabs>
        <w:rPr>
          <w:rFonts w:ascii="宋体" w:hAnsi="宋体" w:eastAsia="宋体"/>
          <w:sz w:val="36"/>
          <w:szCs w:val="36"/>
        </w:rPr>
        <w:sectPr>
          <w:pgSz w:w="11906" w:h="16838"/>
          <w:pgMar w:top="2098" w:right="1474" w:bottom="1985" w:left="1588" w:header="851" w:footer="1474" w:gutter="0"/>
          <w:pgNumType w:fmt="lowerRoman" w:start="1"/>
          <w:cols w:space="425" w:num="1"/>
          <w:docGrid w:type="linesAndChars" w:linePitch="579" w:charSpace="3247"/>
        </w:sectPr>
      </w:pPr>
    </w:p>
    <w:p w14:paraId="34AE02E6">
      <w:pPr>
        <w:tabs>
          <w:tab w:val="center" w:pos="4422"/>
        </w:tabs>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目  录</w:t>
      </w:r>
    </w:p>
    <w:p w14:paraId="56050EC9">
      <w:pPr>
        <w:pStyle w:val="16"/>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TOC \o "1-3" \h \z \u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_Toc7714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摘  要</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_Toc7714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FEFB10C">
      <w:pPr>
        <w:pStyle w:val="16"/>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_Toc18223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一、基本情况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_Toc18223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9352E77">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_Toc11393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（一）项目概况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_Toc11393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B7D3AAB">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_Toc9806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资金到位</w:t>
      </w:r>
      <w:r>
        <w:rPr>
          <w:rFonts w:hint="eastAsia" w:ascii="宋体" w:hAnsi="宋体" w:eastAsia="宋体" w:cs="宋体"/>
          <w:b w:val="0"/>
          <w:bCs w:val="0"/>
          <w:sz w:val="28"/>
          <w:szCs w:val="28"/>
        </w:rPr>
        <w:t>及使用情况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_Toc9806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3C8DF5C">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_Toc6664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（三）实施内容</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_Toc6664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DB25294">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_Toc16422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四</w:t>
      </w:r>
      <w:r>
        <w:rPr>
          <w:rFonts w:hint="eastAsia" w:ascii="宋体" w:hAnsi="宋体" w:eastAsia="宋体" w:cs="宋体"/>
          <w:b w:val="0"/>
          <w:bCs w:val="0"/>
          <w:sz w:val="28"/>
          <w:szCs w:val="28"/>
          <w:highlight w:val="none"/>
        </w:rPr>
        <w:t>）绩效目标</w:t>
      </w:r>
      <w:r>
        <w:rPr>
          <w:rFonts w:hint="eastAsia" w:ascii="宋体" w:hAnsi="宋体" w:eastAsia="宋体" w:cs="宋体"/>
          <w:b w:val="0"/>
          <w:bCs w:val="0"/>
          <w:sz w:val="28"/>
          <w:szCs w:val="28"/>
          <w:highlight w:val="none"/>
          <w:lang w:val="en-US" w:eastAsia="zh-CN"/>
        </w:rPr>
        <w:t>设立情况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_Toc16422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711D080">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_Toc7130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（五）组织管理情况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_Toc7130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E5EAFF3">
      <w:pPr>
        <w:pStyle w:val="16"/>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_Toc26824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rPr>
        <w:t>、绩效评价工作开展情况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_Toc26824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1E4ECE1">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_Toc17233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（一）绩效评价</w:t>
      </w:r>
      <w:r>
        <w:rPr>
          <w:rFonts w:hint="eastAsia" w:ascii="宋体" w:hAnsi="宋体" w:eastAsia="宋体" w:cs="宋体"/>
          <w:b w:val="0"/>
          <w:bCs w:val="0"/>
          <w:sz w:val="28"/>
          <w:szCs w:val="28"/>
          <w:highlight w:val="none"/>
          <w:lang w:val="en-US" w:eastAsia="zh-CN"/>
        </w:rPr>
        <w:t>目的、对象和范围</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_Toc17233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38D8D82">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_Toc2924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绩效评价原则</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_Toc2924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E1B723B">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_Toc6375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（三）绩效评价依据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_Toc6375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2412912">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_Toc14400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四</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w:t>
      </w:r>
      <w:r>
        <w:rPr>
          <w:rFonts w:hint="eastAsia" w:ascii="宋体" w:hAnsi="宋体" w:eastAsia="宋体" w:cs="宋体"/>
          <w:b w:val="0"/>
          <w:bCs w:val="0"/>
          <w:sz w:val="28"/>
          <w:szCs w:val="28"/>
        </w:rPr>
        <w:t>评价方法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_Toc14400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C083758">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_Toc22344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五</w:t>
      </w:r>
      <w:r>
        <w:rPr>
          <w:rFonts w:hint="eastAsia" w:ascii="宋体" w:hAnsi="宋体" w:eastAsia="宋体" w:cs="宋体"/>
          <w:b w:val="0"/>
          <w:bCs w:val="0"/>
          <w:sz w:val="28"/>
          <w:szCs w:val="28"/>
        </w:rPr>
        <w:t>）评价指标体系</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_Toc22344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2676D26">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_Toc17837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六</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w:t>
      </w:r>
      <w:r>
        <w:rPr>
          <w:rFonts w:hint="eastAsia" w:ascii="宋体" w:hAnsi="宋体" w:eastAsia="宋体" w:cs="宋体"/>
          <w:b w:val="0"/>
          <w:bCs w:val="0"/>
          <w:sz w:val="28"/>
          <w:szCs w:val="28"/>
        </w:rPr>
        <w:t>评价</w:t>
      </w:r>
      <w:r>
        <w:rPr>
          <w:rFonts w:hint="eastAsia" w:ascii="宋体" w:hAnsi="宋体" w:eastAsia="宋体" w:cs="宋体"/>
          <w:b w:val="0"/>
          <w:bCs w:val="0"/>
          <w:sz w:val="28"/>
          <w:szCs w:val="28"/>
          <w:lang w:val="en-US" w:eastAsia="zh-CN"/>
        </w:rPr>
        <w:t>抽样</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_Toc17837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661B1EF">
      <w:pPr>
        <w:pStyle w:val="16"/>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_Toc4085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绩效评价</w:t>
      </w:r>
      <w:r>
        <w:rPr>
          <w:rFonts w:hint="eastAsia" w:ascii="宋体" w:hAnsi="宋体" w:eastAsia="宋体" w:cs="宋体"/>
          <w:b w:val="0"/>
          <w:bCs w:val="0"/>
          <w:sz w:val="28"/>
          <w:szCs w:val="28"/>
        </w:rPr>
        <w:t>结论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_Toc4085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9E2A71F">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_Toc18661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（一）绩效评价综合结论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_Toc18661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EFE569C">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_Toc3631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（二）绩效目标实现情况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_Toc3631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433028C">
      <w:pPr>
        <w:pStyle w:val="16"/>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_Toc1968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四</w:t>
      </w:r>
      <w:r>
        <w:rPr>
          <w:rFonts w:hint="eastAsia" w:ascii="宋体" w:hAnsi="宋体" w:eastAsia="宋体" w:cs="宋体"/>
          <w:b w:val="0"/>
          <w:bCs w:val="0"/>
          <w:sz w:val="28"/>
          <w:szCs w:val="28"/>
        </w:rPr>
        <w:t>、绩效评价情况分析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_Toc1968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2618CB1">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_Toc12798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w:t>
      </w:r>
      <w:r>
        <w:rPr>
          <w:rFonts w:hint="eastAsia" w:ascii="宋体" w:hAnsi="宋体" w:eastAsia="宋体" w:cs="宋体"/>
          <w:b w:val="0"/>
          <w:bCs w:val="0"/>
          <w:sz w:val="28"/>
          <w:szCs w:val="28"/>
          <w:lang w:val="en-US" w:eastAsia="zh-CN"/>
        </w:rPr>
        <w:t>项目决策</w:t>
      </w:r>
      <w:r>
        <w:rPr>
          <w:rFonts w:hint="eastAsia" w:ascii="宋体" w:hAnsi="宋体" w:eastAsia="宋体" w:cs="宋体"/>
          <w:b w:val="0"/>
          <w:bCs w:val="0"/>
          <w:sz w:val="28"/>
          <w:szCs w:val="28"/>
        </w:rPr>
        <w:t>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_Toc12798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DB13970">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_Toc21971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（二）</w:t>
      </w:r>
      <w:r>
        <w:rPr>
          <w:rFonts w:hint="eastAsia" w:ascii="宋体" w:hAnsi="宋体" w:eastAsia="宋体" w:cs="宋体"/>
          <w:b w:val="0"/>
          <w:bCs w:val="0"/>
          <w:sz w:val="28"/>
          <w:szCs w:val="28"/>
          <w:lang w:val="en-US" w:eastAsia="zh-CN"/>
        </w:rPr>
        <w:t>项目</w:t>
      </w:r>
      <w:r>
        <w:rPr>
          <w:rFonts w:hint="eastAsia" w:ascii="宋体" w:hAnsi="宋体" w:eastAsia="宋体" w:cs="宋体"/>
          <w:b w:val="0"/>
          <w:bCs w:val="0"/>
          <w:sz w:val="28"/>
          <w:szCs w:val="28"/>
        </w:rPr>
        <w:t>过程情况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_Toc21971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5C297E5">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_Toc3207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（三）</w:t>
      </w:r>
      <w:r>
        <w:rPr>
          <w:rFonts w:hint="eastAsia" w:ascii="宋体" w:hAnsi="宋体" w:eastAsia="宋体" w:cs="宋体"/>
          <w:b w:val="0"/>
          <w:bCs w:val="0"/>
          <w:sz w:val="28"/>
          <w:szCs w:val="28"/>
          <w:lang w:val="en-US" w:eastAsia="zh-CN"/>
        </w:rPr>
        <w:t>项目</w:t>
      </w:r>
      <w:r>
        <w:rPr>
          <w:rFonts w:hint="eastAsia" w:ascii="宋体" w:hAnsi="宋体" w:eastAsia="宋体" w:cs="宋体"/>
          <w:b w:val="0"/>
          <w:bCs w:val="0"/>
          <w:sz w:val="28"/>
          <w:szCs w:val="28"/>
        </w:rPr>
        <w:t>产出情况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_Toc3207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ED298D3">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_Toc8841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（四）</w:t>
      </w:r>
      <w:r>
        <w:rPr>
          <w:rFonts w:hint="eastAsia" w:ascii="宋体" w:hAnsi="宋体" w:eastAsia="宋体" w:cs="宋体"/>
          <w:b w:val="0"/>
          <w:bCs w:val="0"/>
          <w:sz w:val="28"/>
          <w:szCs w:val="28"/>
          <w:lang w:val="en-US" w:eastAsia="zh-CN"/>
        </w:rPr>
        <w:t>项目效益</w:t>
      </w:r>
      <w:r>
        <w:rPr>
          <w:rFonts w:hint="eastAsia" w:ascii="宋体" w:hAnsi="宋体" w:eastAsia="宋体" w:cs="宋体"/>
          <w:b w:val="0"/>
          <w:bCs w:val="0"/>
          <w:sz w:val="28"/>
          <w:szCs w:val="28"/>
        </w:rPr>
        <w:t>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_Toc8841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163D66B">
      <w:pPr>
        <w:pStyle w:val="16"/>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_Toc4118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五</w:t>
      </w:r>
      <w:r>
        <w:rPr>
          <w:rFonts w:hint="eastAsia" w:ascii="宋体" w:hAnsi="宋体" w:eastAsia="宋体" w:cs="宋体"/>
          <w:b w:val="0"/>
          <w:bCs w:val="0"/>
          <w:sz w:val="28"/>
          <w:szCs w:val="28"/>
          <w:highlight w:val="none"/>
        </w:rPr>
        <w:t>、主要经验及做法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_Toc4118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046A210">
      <w:pPr>
        <w:pStyle w:val="16"/>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_Toc24292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六</w:t>
      </w:r>
      <w:r>
        <w:rPr>
          <w:rFonts w:hint="eastAsia" w:ascii="宋体" w:hAnsi="宋体" w:eastAsia="宋体" w:cs="宋体"/>
          <w:b w:val="0"/>
          <w:bCs w:val="0"/>
          <w:sz w:val="28"/>
          <w:szCs w:val="28"/>
          <w:highlight w:val="none"/>
        </w:rPr>
        <w:t>、存在问题及原因分析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_Toc24292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30</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C36CF8D">
      <w:pPr>
        <w:pStyle w:val="16"/>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_Toc27664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七</w:t>
      </w:r>
      <w:r>
        <w:rPr>
          <w:rFonts w:hint="eastAsia" w:ascii="宋体" w:hAnsi="宋体" w:eastAsia="宋体" w:cs="宋体"/>
          <w:b w:val="0"/>
          <w:bCs w:val="0"/>
          <w:sz w:val="28"/>
          <w:szCs w:val="28"/>
          <w:highlight w:val="none"/>
        </w:rPr>
        <w:t>、建议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_Toc27664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4879449">
      <w:pPr>
        <w:pStyle w:val="16"/>
        <w:tabs>
          <w:tab w:val="right" w:leader="dot" w:pos="8844"/>
          <w:tab w:val="clear" w:pos="8931"/>
        </w:tabs>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_Toc30921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八、其它需说明的情况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_Toc30921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21BB8B4">
      <w:r>
        <w:rPr>
          <w:rFonts w:hint="eastAsia" w:ascii="宋体" w:hAnsi="宋体" w:eastAsia="宋体" w:cs="宋体"/>
          <w:bCs w:val="0"/>
          <w:szCs w:val="28"/>
        </w:rPr>
        <w:fldChar w:fldCharType="end"/>
      </w:r>
    </w:p>
    <w:p w14:paraId="098A75B9">
      <w:pPr>
        <w:overflowPunct w:val="0"/>
        <w:spacing w:line="579" w:lineRule="exact"/>
        <w:outlineLvl w:val="0"/>
        <w:rPr>
          <w:rFonts w:ascii="方正小标宋简体" w:eastAsia="方正小标宋简体"/>
          <w:sz w:val="44"/>
          <w:szCs w:val="44"/>
        </w:rPr>
        <w:sectPr>
          <w:pgSz w:w="11906" w:h="16838"/>
          <w:pgMar w:top="2098" w:right="1474" w:bottom="1985" w:left="1588" w:header="851" w:footer="1474" w:gutter="0"/>
          <w:pgNumType w:fmt="lowerRoman" w:start="1"/>
          <w:cols w:space="425" w:num="1"/>
          <w:docGrid w:type="linesAndChars" w:linePitch="579" w:charSpace="3247"/>
        </w:sectPr>
      </w:pPr>
    </w:p>
    <w:p w14:paraId="0B07A384">
      <w:pPr>
        <w:overflowPunct w:val="0"/>
        <w:spacing w:line="579" w:lineRule="exact"/>
        <w:jc w:val="center"/>
        <w:outlineLvl w:val="0"/>
        <w:rPr>
          <w:rFonts w:ascii="方正小标宋简体" w:eastAsia="方正小标宋简体"/>
          <w:sz w:val="44"/>
          <w:szCs w:val="44"/>
          <w:highlight w:val="none"/>
        </w:rPr>
      </w:pPr>
      <w:bookmarkStart w:id="0" w:name="_Toc7714"/>
      <w:bookmarkStart w:id="1" w:name="_Toc20378"/>
      <w:r>
        <w:rPr>
          <w:rFonts w:hint="eastAsia" w:ascii="方正小标宋简体" w:eastAsia="方正小标宋简体"/>
          <w:sz w:val="44"/>
          <w:szCs w:val="44"/>
          <w:highlight w:val="none"/>
        </w:rPr>
        <w:t>摘  要</w:t>
      </w:r>
      <w:bookmarkEnd w:id="0"/>
      <w:bookmarkEnd w:id="1"/>
    </w:p>
    <w:p w14:paraId="48105196">
      <w:pPr>
        <w:spacing w:line="579" w:lineRule="exact"/>
        <w:rPr>
          <w:rFonts w:ascii="方正小标宋简体" w:eastAsia="方正小标宋简体"/>
          <w:sz w:val="44"/>
          <w:szCs w:val="44"/>
          <w:highlight w:val="none"/>
        </w:rPr>
      </w:pPr>
    </w:p>
    <w:p w14:paraId="6F4DECCC">
      <w:pPr>
        <w:overflowPunct w:val="0"/>
        <w:spacing w:line="579" w:lineRule="exact"/>
        <w:ind w:firstLine="629"/>
        <w:rPr>
          <w:rFonts w:hint="eastAsia" w:ascii="方正小标宋简体" w:eastAsia="方正小标宋简体"/>
          <w:sz w:val="44"/>
          <w:szCs w:val="44"/>
          <w:highlight w:val="none"/>
          <w:lang w:val="en-US" w:eastAsia="zh-CN"/>
        </w:rPr>
      </w:pPr>
      <w:r>
        <w:rPr>
          <w:rFonts w:hint="eastAsia" w:ascii="黑体" w:hAnsi="黑体" w:eastAsia="黑体"/>
          <w:szCs w:val="30"/>
          <w:highlight w:val="none"/>
        </w:rPr>
        <w:t>一、基本情况</w:t>
      </w:r>
    </w:p>
    <w:p w14:paraId="598843C7">
      <w:pPr>
        <w:spacing w:line="579" w:lineRule="exact"/>
        <w:ind w:firstLine="630" w:firstLineChars="200"/>
        <w:rPr>
          <w:rFonts w:hint="eastAsia" w:hAnsi="仿宋" w:cs="Times New Roman"/>
          <w:kern w:val="30"/>
          <w:sz w:val="30"/>
          <w:szCs w:val="30"/>
          <w:lang w:val="en-US" w:eastAsia="zh-CN" w:bidi="ar-SA"/>
        </w:rPr>
      </w:pPr>
      <w:r>
        <w:rPr>
          <w:rFonts w:hint="eastAsia" w:hAnsi="仿宋" w:cs="Times New Roman"/>
          <w:kern w:val="30"/>
          <w:sz w:val="30"/>
          <w:szCs w:val="30"/>
          <w:lang w:val="en-US" w:eastAsia="zh-CN" w:bidi="ar-SA"/>
        </w:rPr>
        <w:t>为贯彻落实《中共昆明市委城市管理委员会办公室关于印发昆明市公厕专项整治工作方案的通知》《西政办通〔2017〕67号关于印发〈西山区公厕免费开放管理工作方案〉的通知》等文件精神，进一步提升城区公共卫生服务水平，改善市容环境卫生质量，昆明市西山区西苑街道于2024年继续实施免费开放社会管理公厕补助专项资金项目。</w:t>
      </w:r>
    </w:p>
    <w:p w14:paraId="15437BB2">
      <w:pPr>
        <w:spacing w:line="579" w:lineRule="exact"/>
        <w:ind w:firstLine="630" w:firstLineChars="200"/>
        <w:rPr>
          <w:rFonts w:hint="eastAsia" w:hAnsi="仿宋" w:cs="Times New Roman"/>
          <w:kern w:val="30"/>
          <w:sz w:val="30"/>
          <w:szCs w:val="30"/>
          <w:lang w:val="en-US" w:eastAsia="zh-CN" w:bidi="ar-SA"/>
        </w:rPr>
      </w:pPr>
      <w:r>
        <w:rPr>
          <w:rFonts w:hint="eastAsia" w:hAnsi="仿宋" w:cs="Times New Roman"/>
          <w:kern w:val="30"/>
          <w:sz w:val="30"/>
          <w:szCs w:val="30"/>
          <w:lang w:val="en-US" w:eastAsia="zh-CN" w:bidi="ar-SA"/>
        </w:rPr>
        <w:t>项目由西苑街道城市管理综合服务中心组织实施，结合辖区实际，制定《免费开放公厕补助管理协议》，与云南城建物业集团有限公司、昆明云安物业管理有限公司、云南北控环境服务有限公司、昆明英泽房屋拆迁有限公司、云南云智城市服务有限责任公司等5家受托单位签订年度管理协议，共同承担辖区8座免费开放社会管理公厕（共计112个蹲位）的日常运行维护、卫生保洁与设施管理任务。</w:t>
      </w:r>
    </w:p>
    <w:p w14:paraId="753E204E">
      <w:pPr>
        <w:spacing w:line="579" w:lineRule="exact"/>
        <w:ind w:firstLine="630" w:firstLineChars="200"/>
        <w:rPr>
          <w:rFonts w:hint="eastAsia" w:hAnsi="仿宋" w:cs="Times New Roman"/>
          <w:kern w:val="30"/>
          <w:sz w:val="30"/>
          <w:szCs w:val="30"/>
          <w:lang w:val="en-US" w:eastAsia="zh-CN" w:bidi="ar-SA"/>
        </w:rPr>
      </w:pPr>
      <w:r>
        <w:rPr>
          <w:rFonts w:hint="eastAsia" w:hAnsi="仿宋" w:cs="Times New Roman"/>
          <w:kern w:val="30"/>
          <w:sz w:val="30"/>
          <w:szCs w:val="30"/>
          <w:lang w:val="en-US" w:eastAsia="zh-CN" w:bidi="ar-SA"/>
        </w:rPr>
        <w:t>根据协议约定，补助资金分上、下半年两次发放。2024年上半年补助资金28万元、下半年25万元，总额 56 万，其中财政专项资金 53 万，均按程序经主任办公会、党工委会审议批准后拨付至各受托管理单位。截至2024年12月31日，资金到位率与使用率均为100%，全部用于项目合同约定范围内的公厕运行补助支出。</w:t>
      </w:r>
    </w:p>
    <w:p w14:paraId="64B8C42A">
      <w:pPr>
        <w:pStyle w:val="7"/>
        <w:rPr>
          <w:rFonts w:hint="default"/>
          <w:lang w:val="en-US" w:eastAsia="zh-CN"/>
        </w:rPr>
      </w:pPr>
    </w:p>
    <w:p w14:paraId="6EEC5A61">
      <w:pPr>
        <w:overflowPunct w:val="0"/>
        <w:spacing w:line="579" w:lineRule="exact"/>
        <w:ind w:firstLine="629"/>
        <w:rPr>
          <w:rFonts w:hint="eastAsia" w:hAnsi="仿宋"/>
          <w:szCs w:val="30"/>
          <w:highlight w:val="none"/>
          <w:lang w:val="en-US" w:eastAsia="zh-CN"/>
        </w:rPr>
      </w:pPr>
      <w:r>
        <w:rPr>
          <w:rFonts w:hint="eastAsia" w:ascii="黑体" w:hAnsi="黑体" w:eastAsia="黑体"/>
          <w:szCs w:val="30"/>
          <w:highlight w:val="none"/>
        </w:rPr>
        <w:t>二、绩效评价结论</w:t>
      </w:r>
    </w:p>
    <w:p w14:paraId="2A667335">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本项目绩效评价得分94.29分，综合评价等级为“优”。</w:t>
      </w:r>
    </w:p>
    <w:p w14:paraId="5EC87CD2">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整体来看，项目严格落实上级关于公厕免费开放和市容环境提升的工作要求，绩效目标明确、资金管理规范、执行成效显著。项目立项依据充分，绩效目标与工作任务匹配，资金使用符合国家财经法规及专项资金管理办法；补助资金拨付程序规范、手续齐全，无挤占、挪用、虚列支出等情况。</w:t>
      </w:r>
    </w:p>
    <w:p w14:paraId="020DB8B3">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通过年度协议的制度化约束，将卫生服务、设施维护、环境达标等量化指标直接纳入合同条款，形成了可衡量、可考核、可追溯的目标体系。在实施过程中，西苑街道采取水印相机取证、格式化检查、交叉抽查等方式，实行全过程监管与记录留痕，45轮次例行检查全部执行到位，未发现重大问题或整改记录。</w:t>
      </w:r>
    </w:p>
    <w:p w14:paraId="7A468319">
      <w:pPr>
        <w:spacing w:line="579" w:lineRule="exact"/>
        <w:ind w:firstLine="630" w:firstLineChars="200"/>
        <w:rPr>
          <w:rFonts w:hint="default"/>
          <w:lang w:val="en-US" w:eastAsia="zh-CN"/>
        </w:rPr>
      </w:pPr>
      <w:r>
        <w:rPr>
          <w:rFonts w:hint="eastAsia" w:hAnsi="仿宋"/>
          <w:szCs w:val="30"/>
          <w:highlight w:val="none"/>
          <w:lang w:val="en-US" w:eastAsia="zh-CN"/>
        </w:rPr>
        <w:t>项目管理规范、运行稳定，对提升辖区公共服务质量、改善居民生活环境、塑造城市文明形象发挥了积极作用。</w:t>
      </w:r>
    </w:p>
    <w:p w14:paraId="202B73DF">
      <w:pPr>
        <w:numPr>
          <w:ilvl w:val="0"/>
          <w:numId w:val="1"/>
        </w:numPr>
        <w:spacing w:line="579" w:lineRule="exact"/>
        <w:ind w:firstLine="630" w:firstLineChars="200"/>
        <w:outlineLvl w:val="9"/>
        <w:rPr>
          <w:rFonts w:hint="eastAsia" w:ascii="黑体" w:hAnsi="宋体" w:eastAsia="黑体" w:cs="宋体"/>
          <w:szCs w:val="30"/>
          <w:highlight w:val="none"/>
        </w:rPr>
      </w:pPr>
      <w:r>
        <w:rPr>
          <w:rFonts w:hint="eastAsia" w:ascii="黑体" w:hAnsi="宋体" w:eastAsia="黑体" w:cs="宋体"/>
          <w:szCs w:val="30"/>
          <w:highlight w:val="none"/>
        </w:rPr>
        <w:t>存在问题及原因分析</w:t>
      </w:r>
    </w:p>
    <w:p w14:paraId="39E0EEA1">
      <w:pPr>
        <w:pStyle w:val="7"/>
        <w:numPr>
          <w:ilvl w:val="0"/>
          <w:numId w:val="0"/>
        </w:numPr>
        <w:ind w:firstLine="756" w:firstLineChars="240"/>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从绩效管理执行情况看，当前制度运行总体规范，但在结果运用与监督方式上仍存在提升空间。一是绩效结果虽能按要求形成报告，但后续跟踪、反馈和机制化改进尚未建立，街道在人员精简、事务繁重的情况下难以形成有效的结果转化和优化闭环。二是监督检查手段仍以人工巡查和现场判断为主，公厕设施老化带来的维护难度不断增加，也加重了基层日常管理压力，现行标准的具体操作性仍有调整空间。</w:t>
      </w:r>
    </w:p>
    <w:p w14:paraId="1991851B">
      <w:pPr>
        <w:spacing w:line="579" w:lineRule="exact"/>
        <w:ind w:firstLine="630" w:firstLineChars="200"/>
        <w:outlineLvl w:val="9"/>
        <w:rPr>
          <w:rFonts w:ascii="黑体" w:hAnsi="宋体" w:eastAsia="黑体" w:cs="宋体"/>
          <w:szCs w:val="30"/>
          <w:highlight w:val="none"/>
        </w:rPr>
      </w:pPr>
      <w:r>
        <w:rPr>
          <w:rFonts w:hint="eastAsia" w:ascii="黑体" w:hAnsi="宋体" w:eastAsia="黑体" w:cs="宋体"/>
          <w:szCs w:val="30"/>
          <w:highlight w:val="none"/>
          <w:lang w:val="en-US" w:eastAsia="zh-CN"/>
        </w:rPr>
        <w:t>四</w:t>
      </w:r>
      <w:r>
        <w:rPr>
          <w:rFonts w:hint="eastAsia" w:ascii="黑体" w:hAnsi="宋体" w:eastAsia="黑体" w:cs="宋体"/>
          <w:szCs w:val="30"/>
          <w:highlight w:val="none"/>
        </w:rPr>
        <w:t>、建议</w:t>
      </w:r>
    </w:p>
    <w:p w14:paraId="08CD425A">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（一）建立绩效结果反馈与合同协同改进机制</w:t>
      </w:r>
    </w:p>
    <w:p w14:paraId="2109C661">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建议将绩效评价结果及时反馈至各受托物业公司，在下一年度签订补助管理协议时作为修订和奖惩依据，实现“绩效评价—结果反馈—合同改进—执行提升”的循环管理，强化绩效结果的激励与约束作用。</w:t>
      </w:r>
    </w:p>
    <w:p w14:paraId="4F59AE98">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（二）优化巡查检查机制，统筹长效管理与执行成本</w:t>
      </w:r>
    </w:p>
    <w:p w14:paraId="75894DA8">
      <w:pPr>
        <w:spacing w:line="579" w:lineRule="exact"/>
        <w:ind w:firstLine="630" w:firstLineChars="200"/>
        <w:rPr>
          <w:rFonts w:hint="default"/>
          <w:lang w:val="en-US" w:eastAsia="zh-CN"/>
        </w:rPr>
      </w:pPr>
      <w:r>
        <w:rPr>
          <w:rFonts w:hint="eastAsia" w:ascii="仿宋" w:hAnsi="仿宋" w:eastAsia="仿宋" w:cs="Times New Roman"/>
          <w:sz w:val="30"/>
          <w:szCs w:val="30"/>
          <w:highlight w:val="none"/>
          <w:lang w:val="en-US" w:eastAsia="zh-CN"/>
        </w:rPr>
        <w:t>建议在保持常态化监管强度的基础上，逐步转向以“日常自查+抽查复核”为主的长效巡查模式</w:t>
      </w:r>
      <w:r>
        <w:rPr>
          <w:rFonts w:hint="eastAsia" w:hAnsi="仿宋" w:cs="Times New Roman"/>
          <w:sz w:val="30"/>
          <w:szCs w:val="30"/>
          <w:highlight w:val="none"/>
          <w:lang w:val="en-US" w:eastAsia="zh-CN"/>
        </w:rPr>
        <w:t>，合理使用统计抽样技术</w:t>
      </w:r>
      <w:r>
        <w:rPr>
          <w:rFonts w:hint="eastAsia" w:ascii="仿宋" w:hAnsi="仿宋" w:eastAsia="仿宋" w:cs="Times New Roman"/>
          <w:sz w:val="30"/>
          <w:szCs w:val="30"/>
          <w:highlight w:val="none"/>
          <w:lang w:val="en-US" w:eastAsia="zh-CN"/>
        </w:rPr>
        <w:t>，合理控制执行频率和人力成本，使管理体系既可持续、又能保持公共服务质量的稳定提升。</w:t>
      </w:r>
    </w:p>
    <w:p w14:paraId="62B3D3A8">
      <w:pPr>
        <w:spacing w:line="579" w:lineRule="exact"/>
        <w:ind w:firstLine="630" w:firstLineChars="200"/>
        <w:outlineLvl w:val="9"/>
        <w:rPr>
          <w:rFonts w:hint="default" w:ascii="黑体" w:hAnsi="宋体" w:eastAsia="黑体" w:cs="宋体"/>
          <w:szCs w:val="30"/>
          <w:highlight w:val="none"/>
          <w:lang w:val="en-US" w:eastAsia="zh-CN"/>
        </w:rPr>
      </w:pPr>
      <w:r>
        <w:rPr>
          <w:rFonts w:hint="eastAsia" w:ascii="黑体" w:hAnsi="宋体" w:eastAsia="黑体" w:cs="宋体"/>
          <w:szCs w:val="30"/>
          <w:highlight w:val="none"/>
          <w:lang w:val="en-US" w:eastAsia="zh-CN"/>
        </w:rPr>
        <w:t>五、其它需说明的情况</w:t>
      </w:r>
    </w:p>
    <w:p w14:paraId="26993DD9">
      <w:pPr>
        <w:spacing w:line="579" w:lineRule="exact"/>
        <w:ind w:firstLine="630" w:firstLineChars="200"/>
        <w:rPr>
          <w:rFonts w:hint="default" w:ascii="仿宋" w:hAnsi="仿宋" w:eastAsia="仿宋" w:cs="Times New Roman"/>
          <w:sz w:val="30"/>
          <w:szCs w:val="30"/>
          <w:highlight w:val="none"/>
          <w:lang w:val="en-US" w:eastAsia="zh-CN"/>
        </w:rPr>
        <w:sectPr>
          <w:footerReference r:id="rId4" w:type="default"/>
          <w:footerReference r:id="rId5" w:type="even"/>
          <w:pgSz w:w="11906" w:h="16838"/>
          <w:pgMar w:top="2098" w:right="1474" w:bottom="1985" w:left="1588" w:header="851" w:footer="1474" w:gutter="0"/>
          <w:pgNumType w:fmt="upperRoman" w:start="1"/>
          <w:cols w:space="425" w:num="1"/>
          <w:docGrid w:type="linesAndChars" w:linePitch="579" w:charSpace="3247"/>
        </w:sectPr>
      </w:pPr>
      <w:r>
        <w:rPr>
          <w:rFonts w:hint="eastAsia" w:ascii="仿宋" w:hAnsi="仿宋" w:eastAsia="仿宋" w:cs="Times New Roman"/>
          <w:sz w:val="30"/>
          <w:szCs w:val="30"/>
          <w:highlight w:val="none"/>
          <w:lang w:val="en-US" w:eastAsia="zh-CN"/>
        </w:rPr>
        <w:t>无</w:t>
      </w:r>
    </w:p>
    <w:p w14:paraId="18B97A9B">
      <w:pPr>
        <w:spacing w:line="579"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昆明市西山区西苑街道办事处</w:t>
      </w:r>
    </w:p>
    <w:p w14:paraId="23B261F9">
      <w:pPr>
        <w:spacing w:line="579"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公厕免费开放补助专项经费支出</w:t>
      </w:r>
    </w:p>
    <w:p w14:paraId="6F5E216A">
      <w:pPr>
        <w:spacing w:line="579" w:lineRule="exact"/>
        <w:jc w:val="center"/>
        <w:rPr>
          <w:rFonts w:ascii="方正小标宋简体" w:eastAsia="方正小标宋简体"/>
          <w:sz w:val="44"/>
          <w:szCs w:val="44"/>
        </w:rPr>
      </w:pPr>
      <w:r>
        <w:rPr>
          <w:rFonts w:hint="eastAsia" w:ascii="方正小标宋简体" w:eastAsia="方正小标宋简体"/>
          <w:sz w:val="44"/>
          <w:szCs w:val="44"/>
        </w:rPr>
        <w:t>绩效评价报告</w:t>
      </w:r>
    </w:p>
    <w:p w14:paraId="386166CB">
      <w:pPr>
        <w:spacing w:line="579" w:lineRule="exact"/>
        <w:rPr>
          <w:rFonts w:hAnsi="仿宋"/>
          <w:sz w:val="36"/>
          <w:szCs w:val="36"/>
        </w:rPr>
      </w:pPr>
    </w:p>
    <w:p w14:paraId="22AB3F4A">
      <w:pPr>
        <w:spacing w:line="579" w:lineRule="exact"/>
        <w:ind w:firstLine="630" w:firstLineChars="200"/>
        <w:rPr>
          <w:rFonts w:hAnsi="仿宋"/>
          <w:szCs w:val="30"/>
          <w:highlight w:val="none"/>
        </w:rPr>
      </w:pPr>
      <w:r>
        <w:rPr>
          <w:rFonts w:hint="eastAsia" w:hAnsi="仿宋"/>
          <w:szCs w:val="30"/>
          <w:highlight w:val="none"/>
        </w:rPr>
        <w:t>根据昆明市</w:t>
      </w:r>
      <w:r>
        <w:rPr>
          <w:rFonts w:hint="eastAsia" w:hAnsi="仿宋"/>
          <w:szCs w:val="30"/>
          <w:highlight w:val="none"/>
          <w:lang w:val="en-US" w:eastAsia="zh-CN"/>
        </w:rPr>
        <w:t>西山区</w:t>
      </w:r>
      <w:r>
        <w:rPr>
          <w:rFonts w:hint="eastAsia" w:hAnsi="仿宋"/>
          <w:szCs w:val="30"/>
          <w:highlight w:val="none"/>
        </w:rPr>
        <w:t>财政局《关于开展西山区202</w:t>
      </w:r>
      <w:r>
        <w:rPr>
          <w:rFonts w:hint="eastAsia" w:hAnsi="仿宋"/>
          <w:szCs w:val="30"/>
          <w:highlight w:val="none"/>
          <w:lang w:val="en-US" w:eastAsia="zh-CN"/>
        </w:rPr>
        <w:t>4</w:t>
      </w:r>
      <w:r>
        <w:rPr>
          <w:rFonts w:hint="eastAsia" w:hAnsi="仿宋"/>
          <w:szCs w:val="30"/>
          <w:highlight w:val="none"/>
        </w:rPr>
        <w:t>年度项目支出财政重点绩效评价工作的通知》</w:t>
      </w:r>
      <w:r>
        <w:rPr>
          <w:rFonts w:hint="eastAsia" w:hAnsi="仿宋"/>
          <w:szCs w:val="30"/>
          <w:highlight w:val="none"/>
          <w:lang w:eastAsia="zh-CN"/>
        </w:rPr>
        <w:t>（</w:t>
      </w:r>
      <w:r>
        <w:rPr>
          <w:rFonts w:hint="eastAsia" w:hAnsi="仿宋"/>
          <w:szCs w:val="30"/>
          <w:highlight w:val="none"/>
        </w:rPr>
        <w:t>西财评绩〔202</w:t>
      </w:r>
      <w:r>
        <w:rPr>
          <w:rFonts w:hint="eastAsia" w:hAnsi="仿宋"/>
          <w:szCs w:val="30"/>
          <w:highlight w:val="none"/>
          <w:lang w:val="en-US" w:eastAsia="zh-CN"/>
        </w:rPr>
        <w:t>5</w:t>
      </w:r>
      <w:r>
        <w:rPr>
          <w:rFonts w:hint="eastAsia" w:hAnsi="仿宋"/>
          <w:szCs w:val="30"/>
          <w:highlight w:val="none"/>
        </w:rPr>
        <w:t>〕1</w:t>
      </w:r>
      <w:r>
        <w:rPr>
          <w:rFonts w:hint="eastAsia" w:hAnsi="仿宋"/>
          <w:szCs w:val="30"/>
          <w:highlight w:val="none"/>
          <w:lang w:val="en-US" w:eastAsia="zh-CN"/>
        </w:rPr>
        <w:t>6</w:t>
      </w:r>
      <w:r>
        <w:rPr>
          <w:rFonts w:hint="eastAsia" w:hAnsi="仿宋"/>
          <w:szCs w:val="30"/>
          <w:highlight w:val="none"/>
        </w:rPr>
        <w:t>号</w:t>
      </w:r>
      <w:r>
        <w:rPr>
          <w:rFonts w:hint="eastAsia" w:hAnsi="仿宋"/>
          <w:szCs w:val="30"/>
          <w:highlight w:val="none"/>
          <w:lang w:eastAsia="zh-CN"/>
        </w:rPr>
        <w:t>）</w:t>
      </w:r>
      <w:r>
        <w:rPr>
          <w:rFonts w:hint="eastAsia" w:hAnsi="仿宋"/>
          <w:szCs w:val="30"/>
          <w:highlight w:val="none"/>
        </w:rPr>
        <w:t>，结合财政部《项目支出绩效评价管理办法》（财预〔2020〕10号）、《中共云南省委</w:t>
      </w:r>
      <w:r>
        <w:rPr>
          <w:rFonts w:hint="eastAsia" w:hAnsi="仿宋"/>
          <w:szCs w:val="30"/>
          <w:highlight w:val="none"/>
          <w:lang w:val="en-US" w:eastAsia="zh-CN"/>
        </w:rPr>
        <w:t>、</w:t>
      </w:r>
      <w:r>
        <w:rPr>
          <w:rFonts w:hint="eastAsia" w:hAnsi="仿宋"/>
          <w:szCs w:val="30"/>
          <w:highlight w:val="none"/>
        </w:rPr>
        <w:t>云南省政府关于全面实施预算绩效管理的实施意见》（云发〔2019〕11号）</w:t>
      </w:r>
      <w:r>
        <w:rPr>
          <w:rFonts w:hint="eastAsia" w:hAnsi="仿宋"/>
          <w:szCs w:val="30"/>
          <w:highlight w:val="none"/>
          <w:lang w:eastAsia="zh-CN"/>
        </w:rPr>
        <w:t>、</w:t>
      </w:r>
      <w:r>
        <w:rPr>
          <w:rFonts w:hint="eastAsia" w:hAnsi="仿宋"/>
          <w:szCs w:val="30"/>
          <w:highlight w:val="none"/>
        </w:rPr>
        <w:t>《云南省财政厅关于印发&lt;云南省项目支出绩效评价管理办法&gt;的通知》（云财绩〔2020〕11号）</w:t>
      </w:r>
      <w:r>
        <w:rPr>
          <w:rFonts w:hint="eastAsia" w:hAnsi="仿宋"/>
          <w:szCs w:val="30"/>
          <w:highlight w:val="none"/>
          <w:lang w:eastAsia="zh-CN"/>
        </w:rPr>
        <w:t>、中共昆明市西山区委、昆明市西山区人民政府关于印发《全面实施预算绩效管理的实施意见的通知》（西发〔2020〕3号）</w:t>
      </w:r>
      <w:r>
        <w:rPr>
          <w:rFonts w:hint="eastAsia" w:hAnsi="仿宋"/>
          <w:szCs w:val="30"/>
          <w:highlight w:val="none"/>
          <w:lang w:val="en-US" w:eastAsia="zh-CN"/>
        </w:rPr>
        <w:t>等文件</w:t>
      </w:r>
      <w:r>
        <w:rPr>
          <w:rFonts w:hint="eastAsia" w:hAnsi="仿宋"/>
          <w:szCs w:val="30"/>
          <w:highlight w:val="none"/>
        </w:rPr>
        <w:t>的要求，</w:t>
      </w:r>
      <w:r>
        <w:rPr>
          <w:rFonts w:hint="eastAsia" w:hAnsi="仿宋"/>
          <w:szCs w:val="30"/>
          <w:highlight w:val="none"/>
          <w:lang w:val="en-US" w:eastAsia="zh-CN"/>
        </w:rPr>
        <w:t>云南谛祥</w:t>
      </w:r>
      <w:r>
        <w:rPr>
          <w:rFonts w:hint="eastAsia" w:hAnsi="仿宋"/>
          <w:szCs w:val="30"/>
          <w:highlight w:val="none"/>
        </w:rPr>
        <w:t>会计师事务所</w:t>
      </w:r>
      <w:r>
        <w:rPr>
          <w:rFonts w:hint="eastAsia" w:hAnsi="仿宋"/>
          <w:szCs w:val="30"/>
          <w:highlight w:val="none"/>
          <w:lang w:eastAsia="zh-CN"/>
        </w:rPr>
        <w:t>（</w:t>
      </w:r>
      <w:r>
        <w:rPr>
          <w:rFonts w:hint="eastAsia" w:hAnsi="仿宋"/>
          <w:szCs w:val="30"/>
          <w:highlight w:val="none"/>
          <w:lang w:val="en-US" w:eastAsia="zh-CN"/>
        </w:rPr>
        <w:t>普通合伙）</w:t>
      </w:r>
      <w:r>
        <w:rPr>
          <w:rFonts w:hint="eastAsia" w:hAnsi="仿宋"/>
          <w:szCs w:val="30"/>
          <w:highlight w:val="none"/>
        </w:rPr>
        <w:t>接受</w:t>
      </w:r>
      <w:r>
        <w:rPr>
          <w:rFonts w:hint="eastAsia" w:hAnsi="仿宋"/>
          <w:szCs w:val="30"/>
          <w:highlight w:val="none"/>
          <w:lang w:val="en-US" w:eastAsia="zh-CN"/>
        </w:rPr>
        <w:t>昆明</w:t>
      </w:r>
      <w:r>
        <w:rPr>
          <w:rFonts w:hint="eastAsia" w:hAnsi="仿宋"/>
          <w:szCs w:val="30"/>
          <w:highlight w:val="none"/>
        </w:rPr>
        <w:t>市</w:t>
      </w:r>
      <w:r>
        <w:rPr>
          <w:rFonts w:hint="eastAsia" w:hAnsi="仿宋"/>
          <w:szCs w:val="30"/>
          <w:highlight w:val="none"/>
          <w:lang w:val="en-US" w:eastAsia="zh-CN"/>
        </w:rPr>
        <w:t>西山区</w:t>
      </w:r>
      <w:r>
        <w:rPr>
          <w:rFonts w:hint="eastAsia" w:hAnsi="仿宋"/>
          <w:szCs w:val="30"/>
          <w:highlight w:val="none"/>
        </w:rPr>
        <w:t>财政局委托，于20</w:t>
      </w:r>
      <w:r>
        <w:rPr>
          <w:rFonts w:hint="eastAsia" w:hAnsi="仿宋"/>
          <w:szCs w:val="30"/>
          <w:highlight w:val="none"/>
          <w:lang w:val="en-US" w:eastAsia="zh-CN"/>
        </w:rPr>
        <w:t>25</w:t>
      </w:r>
      <w:r>
        <w:rPr>
          <w:rFonts w:hint="eastAsia" w:hAnsi="仿宋"/>
          <w:szCs w:val="30"/>
          <w:highlight w:val="none"/>
        </w:rPr>
        <w:t>年</w:t>
      </w:r>
      <w:r>
        <w:rPr>
          <w:rFonts w:hint="eastAsia" w:hAnsi="仿宋"/>
          <w:szCs w:val="30"/>
          <w:highlight w:val="none"/>
          <w:lang w:val="en-US" w:eastAsia="zh-CN"/>
        </w:rPr>
        <w:t>7</w:t>
      </w:r>
      <w:r>
        <w:rPr>
          <w:rFonts w:hint="eastAsia" w:hAnsi="仿宋"/>
          <w:szCs w:val="30"/>
          <w:highlight w:val="none"/>
        </w:rPr>
        <w:t>月至2</w:t>
      </w:r>
      <w:r>
        <w:rPr>
          <w:rFonts w:hint="eastAsia" w:hAnsi="仿宋"/>
          <w:szCs w:val="30"/>
          <w:highlight w:val="none"/>
          <w:lang w:val="en-US" w:eastAsia="zh-CN"/>
        </w:rPr>
        <w:t>025</w:t>
      </w:r>
      <w:r>
        <w:rPr>
          <w:rFonts w:hint="eastAsia" w:hAnsi="仿宋"/>
          <w:szCs w:val="30"/>
          <w:highlight w:val="none"/>
        </w:rPr>
        <w:t>年</w:t>
      </w:r>
      <w:r>
        <w:rPr>
          <w:rFonts w:hint="eastAsia" w:hAnsi="仿宋"/>
          <w:szCs w:val="30"/>
          <w:highlight w:val="none"/>
          <w:lang w:val="en-US" w:eastAsia="zh-CN"/>
        </w:rPr>
        <w:t>10</w:t>
      </w:r>
      <w:r>
        <w:rPr>
          <w:rFonts w:hint="eastAsia" w:hAnsi="仿宋"/>
          <w:szCs w:val="30"/>
          <w:highlight w:val="none"/>
        </w:rPr>
        <w:t>月对</w:t>
      </w:r>
      <w:r>
        <w:rPr>
          <w:rFonts w:hint="eastAsia" w:hAnsi="仿宋"/>
          <w:szCs w:val="30"/>
          <w:highlight w:val="none"/>
          <w:lang w:eastAsia="zh-CN"/>
        </w:rPr>
        <w:t>“西苑街道办事处2024年西山区公厕免费开放补助专项经费支出”</w:t>
      </w:r>
      <w:r>
        <w:rPr>
          <w:rFonts w:hint="eastAsia" w:hAnsi="仿宋"/>
          <w:szCs w:val="30"/>
          <w:highlight w:val="none"/>
          <w:lang w:val="en-US" w:eastAsia="zh-CN"/>
        </w:rPr>
        <w:t>项目</w:t>
      </w:r>
      <w:r>
        <w:rPr>
          <w:rFonts w:hint="eastAsia" w:hAnsi="仿宋"/>
          <w:szCs w:val="30"/>
          <w:highlight w:val="none"/>
        </w:rPr>
        <w:t>开展绩效评价。现将评价情况报告如下：</w:t>
      </w:r>
    </w:p>
    <w:p w14:paraId="4866C230">
      <w:pPr>
        <w:spacing w:line="579" w:lineRule="exact"/>
        <w:ind w:firstLine="630" w:firstLineChars="200"/>
        <w:outlineLvl w:val="0"/>
        <w:rPr>
          <w:rFonts w:ascii="黑体" w:hAnsi="黑体" w:eastAsia="黑体" w:cs="宋体"/>
          <w:szCs w:val="30"/>
        </w:rPr>
      </w:pPr>
      <w:bookmarkStart w:id="2" w:name="_Toc18223"/>
      <w:r>
        <w:rPr>
          <w:rFonts w:hint="eastAsia" w:ascii="黑体" w:hAnsi="黑体" w:eastAsia="黑体" w:cs="宋体"/>
          <w:szCs w:val="30"/>
        </w:rPr>
        <w:t>一、基本情况</w:t>
      </w:r>
      <w:bookmarkEnd w:id="2"/>
    </w:p>
    <w:p w14:paraId="1976C206">
      <w:pPr>
        <w:spacing w:line="579" w:lineRule="exact"/>
        <w:ind w:firstLine="630" w:firstLineChars="200"/>
        <w:outlineLvl w:val="1"/>
        <w:rPr>
          <w:rFonts w:hint="eastAsia" w:ascii="楷体" w:hAnsi="楷体" w:eastAsia="楷体"/>
          <w:szCs w:val="30"/>
        </w:rPr>
      </w:pPr>
      <w:bookmarkStart w:id="3" w:name="_Toc11393"/>
      <w:r>
        <w:rPr>
          <w:rFonts w:hint="eastAsia" w:ascii="楷体" w:hAnsi="楷体" w:eastAsia="楷体"/>
          <w:szCs w:val="30"/>
        </w:rPr>
        <w:t>（一）项目概况</w:t>
      </w:r>
      <w:bookmarkEnd w:id="3"/>
    </w:p>
    <w:p w14:paraId="309ACE0F">
      <w:pPr>
        <w:spacing w:line="579" w:lineRule="exact"/>
        <w:ind w:firstLine="630" w:firstLineChars="200"/>
        <w:outlineLvl w:val="1"/>
        <w:rPr>
          <w:rFonts w:hint="eastAsia" w:hAnsi="仿宋"/>
          <w:szCs w:val="30"/>
          <w:lang w:val="en-US" w:eastAsia="zh-CN"/>
        </w:rPr>
      </w:pPr>
      <w:bookmarkStart w:id="4" w:name="_Toc9806"/>
      <w:r>
        <w:rPr>
          <w:rFonts w:hint="eastAsia" w:hAnsi="仿宋"/>
          <w:szCs w:val="30"/>
          <w:lang w:val="en-US" w:eastAsia="zh-CN"/>
        </w:rPr>
        <w:t>按照省、市、区关于着眼建设知名旅游城市、方便服务群众的要求，坚持绿色、生态、环保的建设管理理念，本着“数量充足、布局合理、干净无味、绿色环保、实用免费、管理有效”的原则，运用公益性服务与市场化运作相结合的方式，建立完善的“以固定公厕为主、活动公厕为辅、部分沿街公共建筑公厕对外开放”的格局，增强我区城市公厕服务功能，提升管理水平，努力实现辖区公厕“导向完善、外观统一、管理规范、干净整洁服务至上”的目标，为人民群众提供方便、快捷、舒适的入厕环境。</w:t>
      </w:r>
    </w:p>
    <w:p w14:paraId="1AB73F35">
      <w:pPr>
        <w:spacing w:line="579" w:lineRule="exact"/>
        <w:ind w:firstLine="630" w:firstLineChars="200"/>
        <w:outlineLvl w:val="1"/>
        <w:rPr>
          <w:rFonts w:hint="eastAsia" w:hAnsi="仿宋"/>
          <w:szCs w:val="30"/>
          <w:lang w:val="en-US" w:eastAsia="zh-CN"/>
        </w:rPr>
      </w:pPr>
      <w:r>
        <w:rPr>
          <w:rFonts w:hint="eastAsia" w:hAnsi="仿宋"/>
          <w:szCs w:val="30"/>
          <w:lang w:val="en-US" w:eastAsia="zh-CN"/>
        </w:rPr>
        <w:t>根据昆明市西山区人民政府办公室印发《西山区公厕免费开放管理工作方案》（西政办通【2017】67号），符合补助条件的社区、村组以及个人投资建设的公厕，实行管养维护补助，费用包含日常管理、清扫保洁人员工资、水电费、设施维护维修费等费用。其中，街道办事处、社区、居民小组的公厕，由各街道办事处负责进行监督管理，区环卫处进行指导。</w:t>
      </w:r>
    </w:p>
    <w:p w14:paraId="7EA6E401">
      <w:pPr>
        <w:spacing w:line="579" w:lineRule="exact"/>
        <w:ind w:firstLine="630" w:firstLineChars="200"/>
        <w:outlineLvl w:val="1"/>
        <w:rPr>
          <w:rFonts w:ascii="楷体" w:hAnsi="楷体" w:eastAsia="楷体"/>
          <w:szCs w:val="30"/>
        </w:rPr>
      </w:pPr>
      <w:r>
        <w:rPr>
          <w:rFonts w:hint="eastAsia" w:hAnsi="仿宋"/>
          <w:szCs w:val="30"/>
          <w:lang w:val="en-US" w:eastAsia="zh-CN"/>
        </w:rPr>
        <w:t>按照“授权开放、服务监督、规范管理、适当补助”的监管模式对我区直管公厕和社会公厕分等级分层次进行监管建立和完善工作奖补机制。对管理服务达标、考评合格的社会公厕，按照考评等级实施差别化资金补助。制定管理考核办法，主管部门和街道办事处共同督促、指导社会公厕产权单位加强公厕管理和维护。</w:t>
      </w:r>
      <w:r>
        <w:rPr>
          <w:rFonts w:hint="eastAsia" w:hAnsi="仿宋"/>
          <w:szCs w:val="30"/>
          <w:lang w:val="en-US" w:eastAsia="zh-CN"/>
        </w:rPr>
        <w:br w:type="textWrapping"/>
      </w:r>
      <w:r>
        <w:rPr>
          <w:rFonts w:hint="eastAsia" w:ascii="楷体" w:hAnsi="楷体" w:eastAsia="楷体"/>
          <w:szCs w:val="30"/>
          <w:lang w:eastAsia="zh-CN"/>
        </w:rPr>
        <w:t>（</w:t>
      </w:r>
      <w:r>
        <w:rPr>
          <w:rFonts w:hint="eastAsia" w:ascii="楷体" w:hAnsi="楷体" w:eastAsia="楷体"/>
          <w:szCs w:val="30"/>
          <w:lang w:val="en-US" w:eastAsia="zh-CN"/>
        </w:rPr>
        <w:t>二</w:t>
      </w:r>
      <w:r>
        <w:rPr>
          <w:rFonts w:hint="eastAsia" w:ascii="楷体" w:hAnsi="楷体" w:eastAsia="楷体"/>
          <w:szCs w:val="30"/>
          <w:lang w:eastAsia="zh-CN"/>
        </w:rPr>
        <w:t>）</w:t>
      </w:r>
      <w:r>
        <w:rPr>
          <w:rFonts w:hint="eastAsia" w:ascii="楷体" w:hAnsi="楷体" w:eastAsia="楷体"/>
          <w:szCs w:val="30"/>
          <w:lang w:val="en-US" w:eastAsia="zh-CN"/>
        </w:rPr>
        <w:t>资金到位</w:t>
      </w:r>
      <w:r>
        <w:rPr>
          <w:rFonts w:hint="eastAsia" w:ascii="楷体" w:hAnsi="楷体" w:eastAsia="楷体"/>
          <w:szCs w:val="30"/>
        </w:rPr>
        <w:t>及使用情况</w:t>
      </w:r>
      <w:bookmarkEnd w:id="4"/>
    </w:p>
    <w:p w14:paraId="1358B14A">
      <w:pPr>
        <w:numPr>
          <w:ilvl w:val="0"/>
          <w:numId w:val="2"/>
        </w:numPr>
        <w:spacing w:line="579" w:lineRule="exact"/>
        <w:ind w:firstLine="630" w:firstLineChars="200"/>
        <w:rPr>
          <w:rFonts w:hint="eastAsia" w:hAnsi="仿宋"/>
          <w:szCs w:val="30"/>
          <w:highlight w:val="none"/>
        </w:rPr>
      </w:pPr>
      <w:r>
        <w:rPr>
          <w:rFonts w:hint="eastAsia" w:hAnsi="仿宋"/>
          <w:szCs w:val="30"/>
          <w:highlight w:val="none"/>
          <w:lang w:val="en-US" w:eastAsia="zh-CN"/>
        </w:rPr>
        <w:t>资金到位</w:t>
      </w:r>
      <w:r>
        <w:rPr>
          <w:rFonts w:hint="eastAsia" w:hAnsi="仿宋"/>
          <w:szCs w:val="30"/>
          <w:highlight w:val="none"/>
        </w:rPr>
        <w:t>情况</w:t>
      </w:r>
    </w:p>
    <w:p w14:paraId="572BE532">
      <w:pPr>
        <w:pStyle w:val="7"/>
        <w:numPr>
          <w:ilvl w:val="0"/>
          <w:numId w:val="0"/>
        </w:numPr>
        <w:ind w:firstLine="420" w:firstLineChars="0"/>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根据《昆明市人民政府办公厅关于印发昆明市进一步加强城市公厕管理工作实施意见的通知》（昆政办〔2017〕57号）和《西政办通〔2017〕67号关于印发〈西山区公厕免费开放管理工作方案〉的通知》要求，二类公厕给予5000元/蹲位/年的补助。2024年1月1日至12月31日期间，辖区内社会管理公厕年度合同补助总额为56万元。其中，财政专项资金列支53万元，另有3万元由区财政从社会发展资金中统筹安排，用于弥补补助差额。</w:t>
      </w:r>
    </w:p>
    <w:p w14:paraId="6B2148AC">
      <w:pPr>
        <w:pStyle w:val="7"/>
        <w:numPr>
          <w:ilvl w:val="0"/>
          <w:numId w:val="0"/>
        </w:numPr>
        <w:ind w:firstLine="420" w:firstLineChars="0"/>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截至2024年12月31日，专项资金全部落实并完成支出，资金到位率和使用率均为100%。本次绩效在资金支出，预算编制和预算执行率方面，评价范围仅涵盖财政专项资金53万元部分，在项目立项、产出和项目实施方面针对此次公厕补助8个公厕全部进行评价。</w:t>
      </w:r>
    </w:p>
    <w:p w14:paraId="50462A41">
      <w:pPr>
        <w:spacing w:line="579" w:lineRule="exact"/>
        <w:ind w:firstLine="630" w:firstLineChars="200"/>
        <w:rPr>
          <w:rFonts w:hint="default" w:ascii="仿宋" w:hAnsi="仿宋" w:eastAsia="仿宋" w:cs="Times New Roman"/>
          <w:kern w:val="30"/>
          <w:sz w:val="30"/>
          <w:szCs w:val="30"/>
          <w:highlight w:val="none"/>
          <w:lang w:val="en-US" w:eastAsia="zh-CN" w:bidi="ar-SA"/>
        </w:rPr>
      </w:pPr>
      <w:r>
        <w:rPr>
          <w:rFonts w:hint="eastAsia" w:hAnsi="仿宋" w:cs="Times New Roman"/>
          <w:kern w:val="30"/>
          <w:sz w:val="30"/>
          <w:szCs w:val="30"/>
          <w:highlight w:val="none"/>
          <w:lang w:val="en-US" w:eastAsia="zh-CN" w:bidi="ar-SA"/>
        </w:rPr>
        <w:t>2</w:t>
      </w:r>
      <w:r>
        <w:rPr>
          <w:rFonts w:hint="eastAsia" w:ascii="仿宋" w:hAnsi="仿宋" w:eastAsia="仿宋" w:cs="Times New Roman"/>
          <w:kern w:val="30"/>
          <w:sz w:val="30"/>
          <w:szCs w:val="30"/>
          <w:highlight w:val="none"/>
          <w:lang w:val="en-US" w:eastAsia="zh-CN" w:bidi="ar-SA"/>
        </w:rPr>
        <w:t>.资金使用情况</w:t>
      </w:r>
    </w:p>
    <w:p w14:paraId="51A03219">
      <w:pPr>
        <w:spacing w:line="579" w:lineRule="exact"/>
        <w:ind w:firstLine="630" w:firstLineChars="200"/>
        <w:rPr>
          <w:rFonts w:hint="default"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截至202</w:t>
      </w:r>
      <w:r>
        <w:rPr>
          <w:rFonts w:hint="eastAsia" w:hAnsi="仿宋" w:cs="Times New Roman"/>
          <w:kern w:val="30"/>
          <w:sz w:val="30"/>
          <w:szCs w:val="30"/>
          <w:highlight w:val="none"/>
          <w:lang w:val="en-US" w:eastAsia="zh-CN" w:bidi="ar-SA"/>
        </w:rPr>
        <w:t>4</w:t>
      </w:r>
      <w:r>
        <w:rPr>
          <w:rFonts w:hint="eastAsia" w:ascii="仿宋" w:hAnsi="仿宋" w:eastAsia="仿宋" w:cs="Times New Roman"/>
          <w:kern w:val="30"/>
          <w:sz w:val="30"/>
          <w:szCs w:val="30"/>
          <w:highlight w:val="none"/>
          <w:lang w:val="en-US" w:eastAsia="zh-CN" w:bidi="ar-SA"/>
        </w:rPr>
        <w:t>年12月31日，</w:t>
      </w:r>
      <w:r>
        <w:rPr>
          <w:rFonts w:hint="eastAsia" w:hAnsi="仿宋" w:cs="Times New Roman"/>
          <w:kern w:val="30"/>
          <w:sz w:val="30"/>
          <w:szCs w:val="30"/>
          <w:highlight w:val="none"/>
          <w:lang w:val="en-US" w:eastAsia="zh-CN" w:bidi="ar-SA"/>
        </w:rPr>
        <w:t>累计支出56.00万元（</w:t>
      </w:r>
      <w:r>
        <w:rPr>
          <w:rFonts w:hint="eastAsia" w:ascii="仿宋" w:hAnsi="仿宋" w:eastAsia="仿宋" w:cs="Times New Roman"/>
          <w:kern w:val="30"/>
          <w:sz w:val="30"/>
          <w:szCs w:val="30"/>
          <w:highlight w:val="none"/>
          <w:lang w:val="en-US" w:eastAsia="zh-CN" w:bidi="ar-SA"/>
        </w:rPr>
        <w:t>其中，财政专项资金列支53万元，社会发展资金</w:t>
      </w:r>
      <w:r>
        <w:rPr>
          <w:rFonts w:hint="eastAsia" w:hAnsi="仿宋" w:cs="Times New Roman"/>
          <w:kern w:val="30"/>
          <w:sz w:val="30"/>
          <w:szCs w:val="30"/>
          <w:highlight w:val="none"/>
          <w:lang w:val="en-US" w:eastAsia="zh-CN" w:bidi="ar-SA"/>
        </w:rPr>
        <w:t>列支3万元），资金使用率为100%，全部用于支付补助款</w:t>
      </w:r>
      <w:r>
        <w:rPr>
          <w:rFonts w:hint="eastAsia" w:hAnsi="仿宋" w:cs="Times New Roman"/>
          <w:kern w:val="30"/>
          <w:sz w:val="30"/>
          <w:szCs w:val="30"/>
          <w:lang w:val="en-US" w:eastAsia="zh-CN" w:bidi="ar-SA"/>
        </w:rPr>
        <w:t>。</w:t>
      </w:r>
    </w:p>
    <w:p w14:paraId="45275380">
      <w:pPr>
        <w:numPr>
          <w:ilvl w:val="0"/>
          <w:numId w:val="3"/>
        </w:numPr>
        <w:spacing w:line="579" w:lineRule="exact"/>
        <w:ind w:firstLine="630" w:firstLineChars="200"/>
        <w:outlineLvl w:val="1"/>
        <w:rPr>
          <w:rFonts w:hint="eastAsia" w:ascii="楷体" w:hAnsi="楷体" w:eastAsia="楷体"/>
          <w:szCs w:val="30"/>
          <w:lang w:val="en-US" w:eastAsia="zh-CN"/>
        </w:rPr>
      </w:pPr>
      <w:bookmarkStart w:id="5" w:name="_Toc6664"/>
      <w:r>
        <w:rPr>
          <w:rFonts w:hint="eastAsia" w:ascii="楷体" w:hAnsi="楷体" w:eastAsia="楷体"/>
          <w:szCs w:val="30"/>
          <w:lang w:val="en-US" w:eastAsia="zh-CN"/>
        </w:rPr>
        <w:t>实施内容</w:t>
      </w:r>
      <w:bookmarkEnd w:id="5"/>
    </w:p>
    <w:p w14:paraId="32F19E81">
      <w:pPr>
        <w:numPr>
          <w:ilvl w:val="0"/>
          <w:numId w:val="4"/>
        </w:numPr>
        <w:shd w:val="clear"/>
        <w:spacing w:line="579" w:lineRule="exact"/>
        <w:ind w:firstLine="630" w:firstLineChars="200"/>
        <w:outlineLvl w:val="9"/>
      </w:pPr>
      <w:r>
        <w:rPr>
          <w:rFonts w:hint="eastAsia" w:hAnsi="仿宋"/>
          <w:szCs w:val="30"/>
          <w:highlight w:val="none"/>
          <w:lang w:val="en-US" w:eastAsia="zh-CN"/>
        </w:rPr>
        <w:t>实施过程。</w:t>
      </w:r>
    </w:p>
    <w:p w14:paraId="21970E6E">
      <w:pPr>
        <w:shd w:val="clear"/>
        <w:spacing w:line="579" w:lineRule="exact"/>
        <w:ind w:firstLine="630" w:firstLineChars="200"/>
        <w:outlineLvl w:val="9"/>
        <w:rPr>
          <w:rFonts w:hint="default"/>
          <w:lang w:val="en-US" w:eastAsia="zh-CN"/>
        </w:rPr>
      </w:pPr>
      <w:r>
        <w:rPr>
          <w:rFonts w:hint="default"/>
          <w:lang w:val="en-US" w:eastAsia="zh-CN"/>
        </w:rPr>
        <w:t>为推进辖区公共厕所管理规范化、标准化，自 2016 年起，区级相关部门陆续开展多项建设与管理提升工作。2016 年 11 月至 12 月，按照《西山区公厕建设管理工作实施方案》（西政办通〔2016〕44 号）的部署，启动公厕专项整治提升工作，通过新建、购置、改造等方式优化公厕布局，并完成 7 座公厕的提升改造任务。2017 年，区级部门印发《西山区公厕免费开放管理工作方案》（西政办通〔2017〕67 号），明确免费开放原则及资金补助标准，同年 6 月 1 日正式开放 8 座社会管理公厕（112 个蹲位），建立二类公厕每蹲位每年 5000 元的补助机制。</w:t>
      </w:r>
    </w:p>
    <w:p w14:paraId="1F5D66D3">
      <w:pPr>
        <w:shd w:val="clear"/>
        <w:spacing w:line="579" w:lineRule="exact"/>
        <w:ind w:firstLine="630" w:firstLineChars="200"/>
        <w:outlineLvl w:val="9"/>
        <w:rPr>
          <w:rFonts w:hint="default"/>
          <w:lang w:val="en-US" w:eastAsia="zh-CN"/>
        </w:rPr>
      </w:pPr>
      <w:r>
        <w:rPr>
          <w:rFonts w:hint="default"/>
          <w:lang w:val="en-US" w:eastAsia="zh-CN"/>
        </w:rPr>
        <w:t>其后，区级部门建立由区卫处指导、街道监管、物业公司具体维护的三级监管体系，并由各单位每年签订《公厕管理协议》，通过“检查考核→经费拨付”的方式保障运营。财政部门同步调整拨款方式，将横向部门拨款调整为街道直接申报预算方式，以加强经费使用管理。同时建立绩效管理制度，强化补助资金使用的监督管理，并于 2022 年启动春苑中心公园公厕的改建项目，逐步推进公厕设施提档升级。</w:t>
      </w:r>
    </w:p>
    <w:p w14:paraId="4FD655B5">
      <w:pPr>
        <w:shd w:val="clear"/>
        <w:spacing w:line="579" w:lineRule="exact"/>
        <w:ind w:firstLine="630" w:firstLineChars="200"/>
        <w:outlineLvl w:val="9"/>
        <w:rPr>
          <w:rFonts w:hint="default"/>
          <w:lang w:val="en-US" w:eastAsia="zh-CN"/>
        </w:rPr>
      </w:pPr>
      <w:r>
        <w:rPr>
          <w:rFonts w:hint="default"/>
          <w:lang w:val="en-US" w:eastAsia="zh-CN"/>
        </w:rPr>
        <w:t>在公厕运行管理方面，街道按巡查制度组织巡查组以周为单位开展巡查，每周至少覆盖所有公厕 1 次，重点区域实行每日巡查。巡查组按城市管理局分组要求以 2 人为一组，每日巡查量不少于 50 座，现场填写巡查情况表，按“√、×”明确达标情况，并由巡查人员签字确认。巡查以明访为主，辅以“四不两直”暗访方式开展，对发现的问题通过照片等方式记录，形成周问题清单、管养情况“红黄绿”表等，并于每周上半周完成巡查情况汇总后上报区城市管理局。</w:t>
      </w:r>
    </w:p>
    <w:p w14:paraId="0E70C382">
      <w:pPr>
        <w:shd w:val="clear"/>
        <w:spacing w:line="579" w:lineRule="exact"/>
        <w:ind w:firstLine="630" w:firstLineChars="200"/>
        <w:outlineLvl w:val="9"/>
        <w:rPr>
          <w:rFonts w:hint="default"/>
          <w:lang w:val="en-US" w:eastAsia="zh-CN"/>
        </w:rPr>
      </w:pPr>
      <w:r>
        <w:rPr>
          <w:rFonts w:hint="default"/>
          <w:lang w:val="en-US" w:eastAsia="zh-CN"/>
        </w:rPr>
        <w:t>在考核标准方面，重点围绕正常开放、公厕制度上墙、开放时段执行、保洁到位、设施完整、通风良好、无异味、第三卫生间有效开放等项目进行考核。设施在开放时段内须保持免费开放，遇节假日或特殊情况需动态延长开放时间且不得擅自关闭。公厕内部及周边环境须保持整洁，无杂物堆放，墙地面、周边环境保持干净无积水、无蚊蝇，内部水、电、洗手设施、厕位、第三卫生间等须功能完好、不影响正常使用。</w:t>
      </w:r>
    </w:p>
    <w:p w14:paraId="040F828C">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2024年1月3日，西苑街道城市管理综合服务中心向街道办事处报送《关于签订〈2024年西苑街道办事处免费开放补助公厕管理协议〉的请示》，提请续签与辖区8座免费开放社会管理公厕的5家管理单位合作协议。</w:t>
      </w:r>
    </w:p>
    <w:p w14:paraId="0AF7D847">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2024年2月6日，街道召开第三次主任办公会议审议通过该事项，同日经第二次党工委会议审议同意，由5家管理单位继续负责辖区公厕的日常管理与维护工作。</w:t>
      </w:r>
    </w:p>
    <w:p w14:paraId="0B3393CC">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按照审议意见，2024年3月1日，西苑街道分别与云南城建物业集团有限公司、昆明云安物业管理有限公司、云南北控环境服务有限公司、昆明英泽房屋拆迁有限公司及云南云智城市服务有限责任公司签订《免费开放公厕补助管理协议》，将实施意见中的量化要求纳入协议的质量服务标准和考核要求中。协议期限为2024年1月1日至2024年12月31日，约定补助费用在2024年内分两次发放。</w:t>
      </w:r>
    </w:p>
    <w:p w14:paraId="35A83700">
      <w:pPr>
        <w:shd w:val="clear"/>
        <w:spacing w:line="579" w:lineRule="exact"/>
        <w:ind w:firstLine="420" w:firstLineChars="0"/>
        <w:outlineLvl w:val="9"/>
        <w:rPr>
          <w:rFonts w:hint="eastAsia" w:hAnsi="仿宋"/>
          <w:szCs w:val="30"/>
          <w:highlight w:val="none"/>
          <w:lang w:val="en-US" w:eastAsia="zh-CN"/>
        </w:rPr>
      </w:pPr>
      <w:r>
        <w:rPr>
          <w:rFonts w:hint="eastAsia" w:hAnsi="仿宋"/>
          <w:szCs w:val="30"/>
          <w:highlight w:val="none"/>
          <w:lang w:val="en-US" w:eastAsia="zh-CN"/>
        </w:rPr>
        <w:t>2024年3月7日，城市管理综合服务中心向西苑街道提交《关于拨付2024年1～6月份免费开放社会管理公厕补助费用的请示》，请示拨付上半年补助资金28万元；3月25日，经第五次主任办公会审议同意，并由党工委会议批准后实施；4月16日，西苑街道完成上半年28万元补助费用的资金支付。</w:t>
      </w:r>
    </w:p>
    <w:p w14:paraId="7AA154BB">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2024年8月15日，城市管理综合服务中心再次提交《关于拨付2024年7～12月份免费开放社会管理公厕补助费用的请示》，请示拨付下半年补助资金25万元，不足部分3万元从社会发展资金中列支；9月11日，经第十四次主任办公会及第二十一次党工委会议审议同意；9月19日，完成下半年25万元补助费用的资金支付。</w:t>
      </w:r>
    </w:p>
    <w:p w14:paraId="25AD31C4">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截至绩效评价日，补助资金已全部支付到位，合同约定的服务内容全面落实。自2024年6月起，按照《中共昆明市委城市管理委员会办公室关于印发&lt;昆明市公厕专项整治工作方案&gt;的通知》要求，街道及各管理单位每周开展一次公厕巡查检查，现场均留有水印相机记录，并建立完善的台账资料，形成了规范、细致、可追溯的管理闭环。</w:t>
      </w:r>
    </w:p>
    <w:p w14:paraId="133E1AC2">
      <w:pPr>
        <w:shd w:val="clear"/>
        <w:spacing w:line="579" w:lineRule="exact"/>
        <w:ind w:firstLine="630" w:firstLineChars="200"/>
        <w:outlineLvl w:val="9"/>
        <w:rPr>
          <w:rFonts w:hint="default" w:hAnsi="仿宋"/>
          <w:szCs w:val="30"/>
          <w:highlight w:val="none"/>
          <w:lang w:val="en-US" w:eastAsia="zh-CN"/>
        </w:rPr>
      </w:pPr>
      <w:r>
        <w:rPr>
          <w:rFonts w:hint="eastAsia" w:hAnsi="仿宋"/>
          <w:szCs w:val="30"/>
          <w:highlight w:val="none"/>
          <w:lang w:val="en-US" w:eastAsia="zh-CN"/>
        </w:rPr>
        <w:t>2.2024年项目进展情况。</w:t>
      </w:r>
    </w:p>
    <w:p w14:paraId="4C2B8B6F">
      <w:pPr>
        <w:shd w:val="clear"/>
        <w:spacing w:line="579" w:lineRule="exact"/>
        <w:ind w:firstLine="630" w:firstLineChars="200"/>
        <w:outlineLvl w:val="9"/>
        <w:rPr>
          <w:rFonts w:hint="eastAsia" w:hAnsi="仿宋"/>
          <w:szCs w:val="30"/>
          <w:highlight w:val="none"/>
          <w:lang w:val="en-US" w:eastAsia="zh-CN"/>
        </w:rPr>
      </w:pPr>
      <w:bookmarkStart w:id="6" w:name="_Toc16422"/>
      <w:r>
        <w:rPr>
          <w:rFonts w:hint="eastAsia" w:hAnsi="仿宋"/>
          <w:szCs w:val="30"/>
          <w:highlight w:val="none"/>
          <w:lang w:val="en-US" w:eastAsia="zh-CN"/>
        </w:rPr>
        <w:t>项目共涉及8座社会管理公厕，由云南城建物业集团有限公司、昆明云安物业管理有限公司、云南北控环境服务有限公司、昆明英泽房屋拆迁有限公司及云南云智城市服务有限责任公司5家单位分别承担日常管理工作。</w:t>
      </w:r>
    </w:p>
    <w:p w14:paraId="45B7E440">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各公厕年度补助标准根据《西山区公厕免费开放补助专项资金管理实施方案（2024版）》确定，平均每蹲位补助金额为5000元/年，合同约定上半年及下半年各支付一次，具体补助金额共计56万元（其中社会发展资金补足3万元）。</w:t>
      </w:r>
    </w:p>
    <w:p w14:paraId="2184E788">
      <w:pPr>
        <w:shd w:val="clear"/>
        <w:spacing w:line="579" w:lineRule="exact"/>
        <w:ind w:firstLine="630" w:firstLineChars="200"/>
        <w:outlineLvl w:val="9"/>
        <w:rPr>
          <w:rFonts w:hint="default" w:ascii="楷体" w:hAnsi="楷体" w:eastAsia="楷体"/>
          <w:szCs w:val="30"/>
          <w:highlight w:val="none"/>
          <w:lang w:val="en-US" w:eastAsia="zh-CN"/>
        </w:rPr>
      </w:pPr>
      <w:r>
        <w:rPr>
          <w:rFonts w:hint="eastAsia" w:ascii="楷体" w:hAnsi="楷体" w:eastAsia="楷体"/>
          <w:szCs w:val="30"/>
          <w:highlight w:val="none"/>
        </w:rPr>
        <w:t>（</w:t>
      </w:r>
      <w:r>
        <w:rPr>
          <w:rFonts w:hint="eastAsia" w:ascii="楷体" w:hAnsi="楷体" w:eastAsia="楷体"/>
          <w:szCs w:val="30"/>
          <w:highlight w:val="none"/>
          <w:lang w:val="en-US" w:eastAsia="zh-CN"/>
        </w:rPr>
        <w:t>四</w:t>
      </w:r>
      <w:r>
        <w:rPr>
          <w:rFonts w:hint="eastAsia" w:ascii="楷体" w:hAnsi="楷体" w:eastAsia="楷体"/>
          <w:szCs w:val="30"/>
          <w:highlight w:val="none"/>
        </w:rPr>
        <w:t>）绩效目标</w:t>
      </w:r>
      <w:r>
        <w:rPr>
          <w:rFonts w:hint="eastAsia" w:ascii="楷体" w:hAnsi="楷体" w:eastAsia="楷体"/>
          <w:szCs w:val="30"/>
          <w:highlight w:val="none"/>
          <w:lang w:val="en-US" w:eastAsia="zh-CN"/>
        </w:rPr>
        <w:t>设立情况</w:t>
      </w:r>
      <w:bookmarkEnd w:id="6"/>
    </w:p>
    <w:p w14:paraId="675C4473">
      <w:pPr>
        <w:spacing w:line="579" w:lineRule="exact"/>
        <w:ind w:firstLine="630" w:firstLineChars="200"/>
        <w:rPr>
          <w:rFonts w:hAnsi="仿宋"/>
          <w:szCs w:val="30"/>
          <w:highlight w:val="none"/>
        </w:rPr>
      </w:pPr>
      <w:bookmarkStart w:id="7" w:name="_Hlk525314309"/>
      <w:r>
        <w:rPr>
          <w:rFonts w:hint="eastAsia" w:hAnsi="仿宋"/>
          <w:szCs w:val="30"/>
          <w:highlight w:val="none"/>
        </w:rPr>
        <w:t>1.</w:t>
      </w:r>
      <w:r>
        <w:rPr>
          <w:rFonts w:hint="eastAsia" w:hAnsi="仿宋"/>
          <w:szCs w:val="30"/>
          <w:highlight w:val="none"/>
          <w:lang w:val="en-US" w:eastAsia="zh-CN"/>
        </w:rPr>
        <w:t>下达</w:t>
      </w:r>
      <w:r>
        <w:rPr>
          <w:rFonts w:hint="eastAsia" w:hAnsi="仿宋"/>
          <w:szCs w:val="30"/>
          <w:highlight w:val="none"/>
        </w:rPr>
        <w:t>绩效目标和绩效指标情况</w:t>
      </w:r>
    </w:p>
    <w:p w14:paraId="04477410">
      <w:pPr>
        <w:numPr>
          <w:ilvl w:val="0"/>
          <w:numId w:val="0"/>
        </w:num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（1）绩效目标</w:t>
      </w:r>
    </w:p>
    <w:p w14:paraId="30979226">
      <w:pPr>
        <w:numPr>
          <w:ilvl w:val="0"/>
          <w:numId w:val="0"/>
        </w:num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保证辖区内的8座社会管理公厕共112个蹲位进行免费开放使用。加强对这8座免费开放公厕清扫保洁的巡查、监督力度，落实专人管理、按时开放要求，确保公厕管理和服务达标。</w:t>
      </w:r>
    </w:p>
    <w:p w14:paraId="08CC0897">
      <w:pPr>
        <w:numPr>
          <w:ilvl w:val="0"/>
          <w:numId w:val="0"/>
        </w:num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（2）绩效指标</w:t>
      </w:r>
    </w:p>
    <w:p w14:paraId="22926F82">
      <w:pPr>
        <w:ind w:firstLine="504"/>
        <w:jc w:val="center"/>
        <w:rPr>
          <w:rFonts w:hint="eastAsia" w:ascii="黑体" w:hAnsi="黑体" w:eastAsia="黑体" w:cs="黑体"/>
          <w:spacing w:val="6"/>
          <w:sz w:val="24"/>
          <w:highlight w:val="none"/>
        </w:rPr>
      </w:pPr>
      <w:r>
        <w:rPr>
          <w:rFonts w:hint="eastAsia" w:ascii="黑体" w:hAnsi="黑体" w:eastAsia="黑体" w:cs="黑体"/>
          <w:spacing w:val="6"/>
          <w:sz w:val="24"/>
          <w:highlight w:val="none"/>
        </w:rPr>
        <w:t>表</w:t>
      </w:r>
      <w:r>
        <w:rPr>
          <w:rFonts w:hint="eastAsia" w:ascii="黑体" w:hAnsi="黑体" w:eastAsia="黑体" w:cs="黑体"/>
          <w:spacing w:val="6"/>
          <w:sz w:val="24"/>
          <w:highlight w:val="none"/>
          <w:lang w:val="en-US" w:eastAsia="zh-CN"/>
        </w:rPr>
        <w:t>1</w:t>
      </w:r>
      <w:r>
        <w:rPr>
          <w:rFonts w:hint="eastAsia" w:ascii="黑体" w:hAnsi="黑体" w:eastAsia="黑体" w:cs="黑体"/>
          <w:spacing w:val="6"/>
          <w:sz w:val="24"/>
          <w:highlight w:val="none"/>
        </w:rPr>
        <w:t xml:space="preserve"> 项目绩效目标申报绩效</w:t>
      </w:r>
      <w:r>
        <w:rPr>
          <w:rFonts w:hint="eastAsia" w:ascii="黑体" w:hAnsi="黑体" w:eastAsia="黑体" w:cs="黑体"/>
          <w:spacing w:val="6"/>
          <w:sz w:val="24"/>
          <w:highlight w:val="none"/>
          <w:lang w:val="en-US" w:eastAsia="zh-CN"/>
        </w:rPr>
        <w:t>指标</w:t>
      </w:r>
      <w:r>
        <w:rPr>
          <w:rFonts w:hint="eastAsia" w:ascii="黑体" w:hAnsi="黑体" w:eastAsia="黑体" w:cs="黑体"/>
          <w:spacing w:val="6"/>
          <w:sz w:val="24"/>
          <w:highlight w:val="none"/>
        </w:rPr>
        <w:t>表</w:t>
      </w:r>
    </w:p>
    <w:tbl>
      <w:tblPr>
        <w:tblStyle w:val="20"/>
        <w:tblW w:w="7960"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0"/>
        <w:gridCol w:w="1485"/>
        <w:gridCol w:w="3129"/>
        <w:gridCol w:w="977"/>
        <w:gridCol w:w="1339"/>
      </w:tblGrid>
      <w:tr w14:paraId="78E3747A">
        <w:trPr>
          <w:trHeight w:val="68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60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一级</w:t>
            </w:r>
          </w:p>
          <w:p w14:paraId="1EC48A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A8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3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E0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0C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指标</w:t>
            </w:r>
          </w:p>
          <w:p w14:paraId="3FC3A6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性质</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8F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14:paraId="49807243">
        <w:trPr>
          <w:trHeight w:val="720" w:hRule="atLeast"/>
        </w:trPr>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88D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产出</w:t>
            </w:r>
          </w:p>
          <w:p w14:paraId="1BDB28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66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数量指标</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44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蹲位</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33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2F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100二类B座112个</w:t>
            </w:r>
          </w:p>
        </w:tc>
      </w:tr>
      <w:tr w14:paraId="23289D1B">
        <w:trPr>
          <w:trHeight w:val="360" w:hRule="atLeast"/>
        </w:trPr>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3652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55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质量指标</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14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蹲位社会管理公厕免费</w:t>
            </w:r>
          </w:p>
          <w:p w14:paraId="2C65C8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开放率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3C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DD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4FF03B37">
        <w:trPr>
          <w:trHeight w:val="720" w:hRule="atLeast"/>
        </w:trPr>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5120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EA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时效指标</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BF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社会管理公厕免费开放</w:t>
            </w:r>
          </w:p>
          <w:p w14:paraId="3E4ACE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时间</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E5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19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2024年1月1日-12月份</w:t>
            </w:r>
          </w:p>
        </w:tc>
      </w:tr>
      <w:tr w14:paraId="624A0356">
        <w:trPr>
          <w:trHeight w:val="680" w:hRule="atLeast"/>
        </w:trPr>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E13A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A1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成本指标</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B6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社会成本指标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ED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22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r>
      <w:tr w14:paraId="14253403">
        <w:trPr>
          <w:trHeight w:val="68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19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效益</w:t>
            </w:r>
          </w:p>
          <w:p w14:paraId="3DFCBD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BE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社会效益</w:t>
            </w:r>
          </w:p>
          <w:p w14:paraId="6BB820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指标</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A7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改善人居环境，提升居民幸福指数</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E1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D1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0D7882DF">
        <w:trPr>
          <w:trHeight w:val="84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E1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满意度指标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FF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服务对象满意度指标</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F8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辖区居民满意度</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35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73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bl>
    <w:p w14:paraId="75074B3A">
      <w:pPr>
        <w:pStyle w:val="46"/>
        <w:ind w:left="0" w:leftChars="0" w:firstLine="0" w:firstLineChars="0"/>
      </w:pPr>
    </w:p>
    <w:p w14:paraId="1786172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Ansi="仿宋"/>
          <w:szCs w:val="30"/>
          <w:highlight w:val="none"/>
        </w:rPr>
      </w:pPr>
      <w:r>
        <w:rPr>
          <w:rFonts w:hint="eastAsia" w:hAnsi="仿宋"/>
          <w:szCs w:val="30"/>
          <w:highlight w:val="none"/>
        </w:rPr>
        <w:t>2.绩效评价调整后的绩效目标和绩效指标情况</w:t>
      </w:r>
    </w:p>
    <w:bookmarkEnd w:id="7"/>
    <w:p w14:paraId="7F4F593C">
      <w:pPr>
        <w:spacing w:line="579" w:lineRule="exact"/>
        <w:ind w:firstLine="630" w:firstLineChars="200"/>
        <w:rPr>
          <w:rFonts w:hint="eastAsia" w:hAnsi="仿宋" w:cs="Times New Roman"/>
          <w:szCs w:val="30"/>
          <w:lang w:val="en-US" w:eastAsia="zh-CN"/>
        </w:rPr>
      </w:pPr>
      <w:bookmarkStart w:id="8" w:name="_Toc7130"/>
      <w:bookmarkStart w:id="9" w:name="_Toc19159"/>
      <w:r>
        <w:rPr>
          <w:rFonts w:hint="eastAsia" w:hAnsi="仿宋" w:cs="Times New Roman"/>
          <w:szCs w:val="30"/>
          <w:lang w:val="en-US" w:eastAsia="zh-CN"/>
        </w:rPr>
        <w:t>为进一步提高绩效评价的科学性、针对性和可操作性，本年度在保持原有指标框架不变的基础上，对绩效指标体系进行了适度优化和细化。调整主要基于项目性质、实施阶段及评价可量化程度的综合考量。</w:t>
      </w:r>
    </w:p>
    <w:p w14:paraId="6509D6F4">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本年度绩效指标体系在保持原有架构稳定性的前提下，根据项目运行特征和可量化评价需求，对产出类和效益类指标进行了针对性优化，以增强指标的可衡量性、解释力和适用性。</w:t>
      </w:r>
    </w:p>
    <w:p w14:paraId="346D2C79">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首先，在产出类指标方面，进一步明确了各项指标的评分标准。数量指标继续沿用原有设置，以实际完成量与计划量的匹配程度作为评分依据；质量指标则由原先的“开放率”调整为“检查和评价结果达标率”，更加契合质量评价应反映的规范性、稳定性与管理成效；时效和成本指标保持不变，仍以项目实施进度和支出节奏的匹配情况作为核心考量。</w:t>
      </w:r>
    </w:p>
    <w:p w14:paraId="7C629B37">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其次，在效益类指标中，将原独立设置的满意度指标并入效益一级类别进行统一评价，更贴近公共服务项目以服务对象感受为导向的本质。与此同时，对原“社会效益”指标进行了细化和重构，将其拆解为“可持续影响”（8分）、“替代效应”（6分）和“可及性”（6分）三个可量化的三级指标，总计20分，使绩效评价更能反映项目在持续供给能力、社会减负效果以及服务覆盖面等方面的综合成效。</w:t>
      </w:r>
    </w:p>
    <w:p w14:paraId="770447DE">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通过上述调整，新的绩效指标体系更贴合项目类型和实施阶段特点，突出可测量、可验证的结果导向，实现了体系结构的优化、指标内涵的强化以及评分标准的明晰化，为本年度绩效评价提供了更加科学、完整和可操作的依据。</w:t>
      </w:r>
    </w:p>
    <w:p w14:paraId="021CF27E">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通过以上调整，绩效指标体系更契合公共服务项目特征，兼顾科学性、合理性与可比性，为后续年度评价和持续改进提供了量化依据和制度化参考。</w:t>
      </w:r>
    </w:p>
    <w:p w14:paraId="59473484">
      <w:pPr>
        <w:spacing w:line="579" w:lineRule="exact"/>
        <w:ind w:firstLine="630" w:firstLineChars="200"/>
        <w:rPr>
          <w:rFonts w:hint="eastAsia" w:ascii="楷体" w:hAnsi="楷体" w:eastAsia="楷体"/>
          <w:szCs w:val="30"/>
          <w:highlight w:val="none"/>
        </w:rPr>
      </w:pPr>
      <w:r>
        <w:rPr>
          <w:rFonts w:hint="eastAsia" w:ascii="楷体" w:hAnsi="楷体" w:eastAsia="楷体"/>
          <w:color w:val="auto"/>
          <w:szCs w:val="30"/>
          <w:highlight w:val="none"/>
          <w:u w:val="none"/>
        </w:rPr>
        <w:t>（五）</w:t>
      </w:r>
      <w:r>
        <w:rPr>
          <w:rFonts w:hint="eastAsia" w:ascii="楷体" w:hAnsi="楷体" w:eastAsia="楷体"/>
          <w:szCs w:val="30"/>
          <w:highlight w:val="none"/>
        </w:rPr>
        <w:t>组织管理情况</w:t>
      </w:r>
      <w:bookmarkEnd w:id="8"/>
      <w:bookmarkEnd w:id="9"/>
    </w:p>
    <w:p w14:paraId="4A73F250">
      <w:pPr>
        <w:spacing w:line="579" w:lineRule="exact"/>
        <w:ind w:firstLine="630" w:firstLineChars="200"/>
        <w:rPr>
          <w:rFonts w:hint="eastAsia" w:hAnsi="仿宋"/>
          <w:szCs w:val="30"/>
          <w:highlight w:val="none"/>
        </w:rPr>
      </w:pPr>
      <w:r>
        <w:rPr>
          <w:rFonts w:hint="eastAsia" w:hAnsi="仿宋"/>
          <w:szCs w:val="30"/>
          <w:highlight w:val="none"/>
        </w:rPr>
        <w:t>1.项目管理情况</w:t>
      </w:r>
    </w:p>
    <w:p w14:paraId="2E536D9C">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为落实《中共昆明市委城市管理委员会办公室关于开展公厕常态化巡查检查的通知》精神，按照《西城管委办通〔2024〕2号——关于开展公厕常态化巡查检查的通知》 及区级“工作提醒” 要求，西苑街道高度重视辖区内社会管理公厕的运行与补助管理工作，建立了由街道党工委书记任组长、街道办主任任副组长、城市管理综合服务中心为具体执行单位的项目管理工作机制，形成了“街道统筹、部门联动、专班落实、逐级负责”的组织体系。</w:t>
      </w:r>
    </w:p>
    <w:p w14:paraId="7D40029E">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根据上级部署，公厕巡查检查实行“三级联动、四表管理”模式：</w:t>
      </w:r>
    </w:p>
    <w:p w14:paraId="592FB8FE">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一是市级建立主城区公厕巡查总任务表，明确各区、各街道检查任务及频次；</w:t>
      </w:r>
    </w:p>
    <w:p w14:paraId="0774D0DF">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二是区级制定《公厕巡查检查任务表》，要求每周开展全覆盖检查，重点区域实行每日抽查，检查内容包括设施完好、环境卫生、管理台账、开放情况等；</w:t>
      </w:r>
    </w:p>
    <w:p w14:paraId="7BA1BD7E">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三是街道层面具体组织执行，结合辖区公厕管养实际情况，“一厕一表”填写《昆明市公共厕所巡查情况表》《昆明市公厕管养情况“红黄绿”汇总表》，发现问题同步记录《公厕巡查问题清单》，并以水印相机方式留存现场照片，确保问题可追溯、整改可核实。</w:t>
      </w:r>
    </w:p>
    <w:p w14:paraId="6FFC4BEE">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在实际执行中，西苑街道严格按照市、区文件要求，细化检查方案，实行“周查、月评、季通报”的闭环监督机制。街道城市管理综合服务中心负责组织8座社会管理公厕的每周检查，协调5家受托管理单位落实日常保洁和设备维护。所有检查资料按时上报区城市管理局市政综合服务中心备案，形成台账管理。</w:t>
      </w:r>
    </w:p>
    <w:p w14:paraId="421A4F21">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此外，街道还将《昆明市公厕专项整治工作方案》《昆明市公厕巡查检查任务表》《昆明市公厕管养情况“红黄绿”汇总表》等上级文件要求同步纳入合同考核条款，将量化标准、巡查频次、质量要求写入《免费开放公厕补助管理协议》，实现了项目合同化、标准化、制度化管理，有效提升了公厕日常运行质量和资金使用绩效。</w:t>
      </w:r>
    </w:p>
    <w:p w14:paraId="79C29FF3">
      <w:pPr>
        <w:spacing w:line="579" w:lineRule="exact"/>
        <w:ind w:firstLine="630" w:firstLineChars="200"/>
        <w:rPr>
          <w:rFonts w:hint="default" w:hAnsi="仿宋" w:eastAsia="仿宋"/>
          <w:szCs w:val="30"/>
          <w:highlight w:val="none"/>
          <w:lang w:val="en-US" w:eastAsia="zh-CN"/>
        </w:rPr>
      </w:pPr>
      <w:r>
        <w:rPr>
          <w:rFonts w:hint="eastAsia" w:hAnsi="仿宋"/>
          <w:szCs w:val="30"/>
          <w:highlight w:val="none"/>
        </w:rPr>
        <w:t>2.资金</w:t>
      </w:r>
      <w:r>
        <w:rPr>
          <w:rFonts w:hint="eastAsia" w:hAnsi="仿宋"/>
          <w:szCs w:val="30"/>
          <w:highlight w:val="none"/>
          <w:lang w:val="en-US" w:eastAsia="zh-CN"/>
        </w:rPr>
        <w:t>管理情况</w:t>
      </w:r>
    </w:p>
    <w:p w14:paraId="7CB6E0D6">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西苑街道按照《预算法》《会计法》及区财政部门有关专项资金管理要求，建立了申请、审议、批复、拨付等闭环流程，实行专账管理和分级审核，确保资金支付凭证齐备、流向清晰。项目年度预算56万元，其中区财政下达公厕免费开放补助53万元，差额由社会发展资金列支。</w:t>
      </w:r>
    </w:p>
    <w:p w14:paraId="402111DE">
      <w:pPr>
        <w:spacing w:line="579" w:lineRule="exact"/>
        <w:ind w:firstLine="630" w:firstLineChars="200"/>
        <w:rPr>
          <w:rFonts w:hint="default" w:hAnsi="仿宋"/>
          <w:szCs w:val="30"/>
          <w:lang w:val="en-US" w:eastAsia="zh-CN"/>
        </w:rPr>
      </w:pPr>
      <w:r>
        <w:rPr>
          <w:rFonts w:hint="eastAsia" w:hAnsi="仿宋"/>
          <w:szCs w:val="30"/>
          <w:highlight w:val="none"/>
          <w:lang w:val="en-US" w:eastAsia="zh-CN"/>
        </w:rPr>
        <w:t>经主任办公会和党工委会议集体研究，同意签订年度管理协议并按约定拨付补助资金。项目资金分期申请、逐级审议并通过财政集中支付拨付至受托单位，所有支付均附合同、纪要、凭证及台账并按制度入账管理。经核查，资金拨付与预算批复和合同约定一致，支出用途明确，账实相符、账账对应、账证一致，资金流向可追溯、资料留痕充分。截至2024年12月31日，财政资金累计拨付53万元，支出符合规定用途，未发现截留、挪用等违规情形，资金管理总体规范透明，有效保障了项目实施。</w:t>
      </w:r>
    </w:p>
    <w:p w14:paraId="45A9DD8B">
      <w:pPr>
        <w:spacing w:line="579" w:lineRule="exact"/>
        <w:ind w:firstLine="630" w:firstLineChars="200"/>
        <w:outlineLvl w:val="0"/>
        <w:rPr>
          <w:rFonts w:ascii="黑体" w:hAnsi="宋体" w:eastAsia="黑体" w:cs="宋体"/>
          <w:szCs w:val="30"/>
        </w:rPr>
      </w:pPr>
      <w:bookmarkStart w:id="10" w:name="_Toc26824"/>
      <w:r>
        <w:rPr>
          <w:rFonts w:hint="eastAsia" w:ascii="黑体" w:hAnsi="宋体" w:eastAsia="黑体" w:cs="宋体"/>
          <w:szCs w:val="30"/>
          <w:lang w:val="en-US" w:eastAsia="zh-CN"/>
        </w:rPr>
        <w:t>二</w:t>
      </w:r>
      <w:r>
        <w:rPr>
          <w:rFonts w:hint="eastAsia" w:ascii="黑体" w:hAnsi="宋体" w:eastAsia="黑体" w:cs="宋体"/>
          <w:szCs w:val="30"/>
        </w:rPr>
        <w:t>、绩效评价工作开展情况</w:t>
      </w:r>
      <w:bookmarkEnd w:id="10"/>
    </w:p>
    <w:p w14:paraId="0A49F1DC">
      <w:pPr>
        <w:spacing w:line="579" w:lineRule="exact"/>
        <w:ind w:firstLine="630" w:firstLineChars="200"/>
        <w:outlineLvl w:val="1"/>
        <w:rPr>
          <w:rFonts w:hint="default" w:ascii="楷体" w:hAnsi="楷体" w:eastAsia="楷体"/>
          <w:szCs w:val="30"/>
          <w:highlight w:val="none"/>
          <w:lang w:val="en-US" w:eastAsia="zh-CN"/>
        </w:rPr>
      </w:pPr>
      <w:bookmarkStart w:id="11" w:name="_Toc17233"/>
      <w:r>
        <w:rPr>
          <w:rFonts w:hint="eastAsia" w:ascii="楷体" w:hAnsi="楷体" w:eastAsia="楷体"/>
          <w:szCs w:val="30"/>
          <w:highlight w:val="none"/>
        </w:rPr>
        <w:t>（一）绩效评价</w:t>
      </w:r>
      <w:r>
        <w:rPr>
          <w:rFonts w:hint="eastAsia" w:ascii="楷体" w:hAnsi="楷体" w:eastAsia="楷体"/>
          <w:szCs w:val="30"/>
          <w:highlight w:val="none"/>
          <w:lang w:val="en-US" w:eastAsia="zh-CN"/>
        </w:rPr>
        <w:t>目的、对象和范围</w:t>
      </w:r>
      <w:bookmarkEnd w:id="11"/>
    </w:p>
    <w:p w14:paraId="5B4D4EC6">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1.绩效评价的目的</w:t>
      </w:r>
    </w:p>
    <w:p w14:paraId="3CAB519B">
      <w:pPr>
        <w:spacing w:line="579" w:lineRule="exact"/>
        <w:ind w:firstLine="630" w:firstLineChars="200"/>
        <w:rPr>
          <w:rFonts w:hint="default" w:hAnsi="仿宋"/>
          <w:szCs w:val="30"/>
          <w:lang w:val="en-US" w:eastAsia="zh-CN"/>
        </w:rPr>
      </w:pPr>
      <w:r>
        <w:rPr>
          <w:rFonts w:hint="default" w:hAnsi="仿宋"/>
          <w:szCs w:val="30"/>
          <w:lang w:val="en-US" w:eastAsia="zh-CN"/>
        </w:rPr>
        <w:t>本次绩效评价围绕项目决策合理性、管理过程是否规范、产出目标是否完成以及效益目标是否实现等方面的内容，重点关注项目</w:t>
      </w:r>
      <w:r>
        <w:rPr>
          <w:rFonts w:hint="eastAsia" w:hAnsi="仿宋"/>
          <w:szCs w:val="30"/>
          <w:lang w:val="en-US" w:eastAsia="zh-CN"/>
        </w:rPr>
        <w:t>是否按时按质完工、是否产生预期效益、</w:t>
      </w:r>
      <w:r>
        <w:rPr>
          <w:rFonts w:hint="eastAsia" w:hAnsi="仿宋"/>
          <w:szCs w:val="30"/>
          <w:highlight w:val="none"/>
          <w:lang w:val="en-US" w:eastAsia="zh-CN"/>
        </w:rPr>
        <w:t>资金使用是否规范等</w:t>
      </w:r>
      <w:r>
        <w:rPr>
          <w:rFonts w:hint="default" w:hAnsi="仿宋"/>
          <w:szCs w:val="30"/>
          <w:highlight w:val="none"/>
          <w:lang w:val="en-US" w:eastAsia="zh-CN"/>
        </w:rPr>
        <w:t>。为进一步规范财政资金运行和预算绩效管理，推动部门有效履职，优化资源配置和财政支出结构，强化支出责任，提高财</w:t>
      </w:r>
      <w:r>
        <w:rPr>
          <w:rFonts w:hint="default" w:hAnsi="仿宋"/>
          <w:szCs w:val="30"/>
          <w:lang w:val="en-US" w:eastAsia="zh-CN"/>
        </w:rPr>
        <w:t>政资金使用效益提供支撑。</w:t>
      </w:r>
    </w:p>
    <w:p w14:paraId="1008BE1B">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2.绩效评价对象和范围</w:t>
      </w:r>
    </w:p>
    <w:p w14:paraId="1DABD706">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（1）评价对象</w:t>
      </w:r>
    </w:p>
    <w:p w14:paraId="08EBFE70">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根据项目立项批复、项目管理及资金使用情况、绩效目标完成情况等内容，依据《财政支出绩效评价管理办法》等相关规定，对昆明市西山区西苑街道办事处承担的“公厕免费开放补助专项经费”项目实施绩效进行综合评价。</w:t>
      </w:r>
    </w:p>
    <w:p w14:paraId="48206F54">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（2）评价范围</w:t>
      </w:r>
    </w:p>
    <w:p w14:paraId="25E0064B">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2024年度。</w:t>
      </w:r>
    </w:p>
    <w:p w14:paraId="38BACEAB">
      <w:pPr>
        <w:spacing w:line="579" w:lineRule="exact"/>
        <w:ind w:firstLine="630" w:firstLineChars="200"/>
        <w:outlineLvl w:val="1"/>
        <w:rPr>
          <w:rFonts w:hint="eastAsia" w:hAnsi="仿宋" w:eastAsia="仿宋"/>
          <w:szCs w:val="30"/>
          <w:lang w:eastAsia="zh-CN"/>
        </w:rPr>
      </w:pPr>
      <w:bookmarkStart w:id="12" w:name="_Toc2924"/>
      <w:r>
        <w:rPr>
          <w:rFonts w:hint="eastAsia" w:ascii="楷体" w:hAnsi="楷体" w:eastAsia="楷体"/>
          <w:szCs w:val="30"/>
          <w:lang w:eastAsia="zh-CN"/>
        </w:rPr>
        <w:t>（</w:t>
      </w:r>
      <w:r>
        <w:rPr>
          <w:rFonts w:hint="eastAsia" w:ascii="楷体" w:hAnsi="楷体" w:eastAsia="楷体"/>
          <w:szCs w:val="30"/>
          <w:lang w:val="en-US" w:eastAsia="zh-CN"/>
        </w:rPr>
        <w:t>二</w:t>
      </w:r>
      <w:r>
        <w:rPr>
          <w:rFonts w:hint="eastAsia" w:ascii="楷体" w:hAnsi="楷体" w:eastAsia="楷体"/>
          <w:szCs w:val="30"/>
          <w:lang w:eastAsia="zh-CN"/>
        </w:rPr>
        <w:t>）</w:t>
      </w:r>
      <w:r>
        <w:rPr>
          <w:rFonts w:hint="eastAsia" w:ascii="楷体" w:hAnsi="楷体" w:eastAsia="楷体"/>
          <w:szCs w:val="30"/>
        </w:rPr>
        <w:t>绩效评价原则</w:t>
      </w:r>
      <w:bookmarkEnd w:id="12"/>
    </w:p>
    <w:p w14:paraId="3B158493">
      <w:pPr>
        <w:spacing w:line="579" w:lineRule="exact"/>
        <w:ind w:firstLine="630" w:firstLineChars="200"/>
        <w:rPr>
          <w:rFonts w:hint="eastAsia" w:hAnsi="仿宋"/>
          <w:szCs w:val="30"/>
          <w:lang w:val="en-US" w:eastAsia="zh-CN"/>
        </w:rPr>
      </w:pPr>
      <w:r>
        <w:rPr>
          <w:rFonts w:hint="eastAsia" w:hAnsi="仿宋"/>
          <w:szCs w:val="30"/>
          <w:lang w:val="en-US" w:eastAsia="zh-CN"/>
        </w:rPr>
        <w:t>1.公平性原则。公平公正是绩效评价工作的前提，坚持公平的原则才能客观真实的反映绩效评价结果。运用科学合理的方法，按照规范的程序，对项目绩效进行客观、公正的反映。</w:t>
      </w:r>
    </w:p>
    <w:p w14:paraId="09DFCF1C">
      <w:pPr>
        <w:spacing w:line="579" w:lineRule="exact"/>
        <w:ind w:firstLine="630" w:firstLineChars="200"/>
        <w:rPr>
          <w:rFonts w:hint="eastAsia" w:hAnsi="仿宋"/>
          <w:szCs w:val="30"/>
          <w:lang w:val="en-US" w:eastAsia="zh-CN"/>
        </w:rPr>
      </w:pPr>
      <w:r>
        <w:rPr>
          <w:rFonts w:hint="eastAsia" w:hAnsi="仿宋"/>
          <w:szCs w:val="30"/>
          <w:lang w:val="en-US" w:eastAsia="zh-CN"/>
        </w:rPr>
        <w:t>2.客观性原则。绩效评价应当把考核标准与绩效目标联系起来，过程中应标准明确、方法科学、制度严格、态度认真，确保评价依据数据的客观准确，不同抽样点评价标准一致。</w:t>
      </w:r>
    </w:p>
    <w:p w14:paraId="4375BF9A">
      <w:pPr>
        <w:spacing w:line="579" w:lineRule="exact"/>
        <w:ind w:firstLine="630" w:firstLineChars="200"/>
        <w:rPr>
          <w:rFonts w:hint="eastAsia" w:hAnsi="仿宋"/>
          <w:szCs w:val="30"/>
          <w:lang w:val="en-US" w:eastAsia="zh-CN"/>
        </w:rPr>
      </w:pPr>
      <w:r>
        <w:rPr>
          <w:rFonts w:hint="eastAsia" w:hAnsi="仿宋"/>
          <w:szCs w:val="30"/>
          <w:lang w:val="en-US" w:eastAsia="zh-CN"/>
        </w:rPr>
        <w:t>3.可行性原则。绩效评价标准应客观反映被评价单位的部门履职情况，评价的数据来源应具备客观性，评价标准应得到被评价单位的认可。</w:t>
      </w:r>
    </w:p>
    <w:p w14:paraId="18411803">
      <w:pPr>
        <w:spacing w:line="579" w:lineRule="exact"/>
        <w:ind w:firstLine="630" w:firstLineChars="200"/>
        <w:rPr>
          <w:rFonts w:hint="eastAsia" w:hAnsi="仿宋"/>
          <w:szCs w:val="30"/>
        </w:rPr>
      </w:pPr>
      <w:r>
        <w:rPr>
          <w:rFonts w:hint="eastAsia" w:hAnsi="仿宋"/>
          <w:szCs w:val="30"/>
          <w:lang w:val="en-US" w:eastAsia="zh-CN"/>
        </w:rPr>
        <w:t>4.公开性原则。绩效评价过程中评价内容、评价标准、评价结果应对被评价单位公开，避免评价结论出现误判</w:t>
      </w:r>
      <w:r>
        <w:rPr>
          <w:rFonts w:hint="eastAsia" w:hAnsi="仿宋"/>
          <w:szCs w:val="30"/>
        </w:rPr>
        <w:t>。</w:t>
      </w:r>
    </w:p>
    <w:p w14:paraId="265271E5">
      <w:pPr>
        <w:spacing w:line="579" w:lineRule="exact"/>
        <w:ind w:firstLine="632"/>
        <w:outlineLvl w:val="1"/>
        <w:rPr>
          <w:rFonts w:hint="eastAsia" w:ascii="楷体" w:hAnsi="楷体" w:eastAsia="楷体"/>
          <w:szCs w:val="30"/>
        </w:rPr>
      </w:pPr>
      <w:bookmarkStart w:id="13" w:name="_Toc6375"/>
      <w:r>
        <w:rPr>
          <w:rFonts w:hint="eastAsia" w:ascii="楷体" w:hAnsi="楷体" w:eastAsia="楷体"/>
          <w:szCs w:val="30"/>
        </w:rPr>
        <w:t>（三）绩效评价依据</w:t>
      </w:r>
      <w:bookmarkEnd w:id="13"/>
    </w:p>
    <w:p w14:paraId="047FB855">
      <w:pPr>
        <w:spacing w:line="579" w:lineRule="exact"/>
        <w:ind w:firstLine="1071" w:firstLineChars="340"/>
        <w:rPr>
          <w:rFonts w:hint="eastAsia" w:hAnsi="仿宋"/>
          <w:szCs w:val="30"/>
          <w:lang w:val="en-US" w:eastAsia="zh-CN"/>
        </w:rPr>
      </w:pPr>
      <w:r>
        <w:rPr>
          <w:rFonts w:hint="eastAsia" w:hAnsi="仿宋"/>
          <w:szCs w:val="30"/>
          <w:lang w:val="en-US" w:eastAsia="zh-CN"/>
        </w:rPr>
        <w:t>1.《中华人民共和国预算法》（2018年修订）；</w:t>
      </w:r>
    </w:p>
    <w:p w14:paraId="0B093EC9">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2.</w:t>
      </w:r>
      <w:r>
        <w:rPr>
          <w:rFonts w:hint="eastAsia" w:hAnsi="仿宋"/>
          <w:szCs w:val="30"/>
          <w:lang w:val="en-US" w:eastAsia="zh-CN"/>
        </w:rPr>
        <w:tab/>
      </w:r>
      <w:r>
        <w:rPr>
          <w:rFonts w:hint="eastAsia" w:hAnsi="仿宋"/>
          <w:szCs w:val="30"/>
          <w:lang w:val="en-US" w:eastAsia="zh-CN"/>
        </w:rPr>
        <w:t>《会计法》（2017年修订）；</w:t>
      </w:r>
    </w:p>
    <w:p w14:paraId="2F1DE3DA">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3.</w:t>
      </w:r>
      <w:r>
        <w:rPr>
          <w:rFonts w:hint="eastAsia" w:hAnsi="仿宋"/>
          <w:szCs w:val="30"/>
          <w:lang w:val="en-US" w:eastAsia="zh-CN"/>
        </w:rPr>
        <w:tab/>
      </w:r>
      <w:r>
        <w:rPr>
          <w:rFonts w:hint="eastAsia" w:hAnsi="仿宋"/>
          <w:szCs w:val="30"/>
          <w:lang w:val="en-US" w:eastAsia="zh-CN"/>
        </w:rPr>
        <w:t>财政部《项目支出绩效评价管理办法》（财预〔2020〕10号）；</w:t>
      </w:r>
    </w:p>
    <w:p w14:paraId="7EA46016">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4.</w:t>
      </w:r>
      <w:r>
        <w:rPr>
          <w:rFonts w:hint="eastAsia" w:hAnsi="仿宋"/>
          <w:szCs w:val="30"/>
          <w:lang w:val="en-US" w:eastAsia="zh-CN"/>
        </w:rPr>
        <w:tab/>
      </w:r>
      <w:r>
        <w:rPr>
          <w:rFonts w:hint="eastAsia" w:hAnsi="仿宋"/>
          <w:szCs w:val="30"/>
          <w:lang w:val="en-US" w:eastAsia="zh-CN"/>
        </w:rPr>
        <w:t>云南省财政厅《云南省项目支出绩效评价管理办法》（云财绩〔2020〕11号）；</w:t>
      </w:r>
    </w:p>
    <w:p w14:paraId="6271E511">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5.</w:t>
      </w:r>
      <w:r>
        <w:rPr>
          <w:rFonts w:hint="eastAsia" w:hAnsi="仿宋"/>
          <w:szCs w:val="30"/>
          <w:lang w:val="en-US" w:eastAsia="zh-CN"/>
        </w:rPr>
        <w:tab/>
      </w:r>
      <w:r>
        <w:rPr>
          <w:rFonts w:hint="eastAsia" w:hAnsi="仿宋"/>
          <w:szCs w:val="30"/>
          <w:lang w:val="en-US" w:eastAsia="zh-CN"/>
        </w:rPr>
        <w:t>《中共昆明市委 昆明市人民政府关于全面实施预算绩效管理的实施意见》（昆发〔2019〕12号）；</w:t>
      </w:r>
    </w:p>
    <w:p w14:paraId="66AA9A1A">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6.</w:t>
      </w:r>
      <w:r>
        <w:rPr>
          <w:rFonts w:hint="eastAsia" w:hAnsi="仿宋"/>
          <w:szCs w:val="30"/>
          <w:lang w:val="en-US" w:eastAsia="zh-CN"/>
        </w:rPr>
        <w:tab/>
      </w:r>
      <w:r>
        <w:rPr>
          <w:rFonts w:hint="eastAsia" w:hAnsi="仿宋"/>
          <w:szCs w:val="30"/>
          <w:lang w:val="en-US" w:eastAsia="zh-CN"/>
        </w:rPr>
        <w:t>《昆明市城市管理局 中共昆明市委城市管理委员会办公室关于印发〈昆明市公厕专项整治工作方案〉的通知》；</w:t>
      </w:r>
    </w:p>
    <w:p w14:paraId="5A2C6EFA">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7.</w:t>
      </w:r>
      <w:r>
        <w:rPr>
          <w:rFonts w:hint="eastAsia" w:hAnsi="仿宋"/>
          <w:szCs w:val="30"/>
          <w:lang w:val="en-US" w:eastAsia="zh-CN"/>
        </w:rPr>
        <w:tab/>
      </w:r>
      <w:r>
        <w:rPr>
          <w:rFonts w:hint="eastAsia" w:hAnsi="仿宋"/>
          <w:szCs w:val="30"/>
          <w:lang w:val="en-US" w:eastAsia="zh-CN"/>
        </w:rPr>
        <w:t>《西政办通〔2017〕67号 关于印发〈西山区公厕免费开放管理工作方案〉的通知》；</w:t>
      </w:r>
    </w:p>
    <w:p w14:paraId="3C39A4D1">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8.</w:t>
      </w:r>
      <w:r>
        <w:rPr>
          <w:rFonts w:hint="eastAsia" w:hAnsi="仿宋"/>
          <w:szCs w:val="30"/>
          <w:lang w:val="en-US" w:eastAsia="zh-CN"/>
        </w:rPr>
        <w:tab/>
      </w:r>
      <w:r>
        <w:rPr>
          <w:rFonts w:hint="eastAsia" w:hAnsi="仿宋"/>
          <w:szCs w:val="30"/>
          <w:lang w:val="en-US" w:eastAsia="zh-CN"/>
        </w:rPr>
        <w:t>《（昆明市城市管理局）中共昆明市委城市管理委员会办公室关于开展公厕常态化巡查检查的通知》；</w:t>
      </w:r>
    </w:p>
    <w:p w14:paraId="25A4A315">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9.</w:t>
      </w:r>
      <w:r>
        <w:rPr>
          <w:rFonts w:hint="eastAsia" w:hAnsi="仿宋"/>
          <w:szCs w:val="30"/>
          <w:lang w:val="en-US" w:eastAsia="zh-CN"/>
        </w:rPr>
        <w:tab/>
      </w:r>
      <w:r>
        <w:rPr>
          <w:rFonts w:hint="eastAsia" w:hAnsi="仿宋"/>
          <w:szCs w:val="30"/>
          <w:lang w:val="en-US" w:eastAsia="zh-CN"/>
        </w:rPr>
        <w:t>《西城管委办通〔2024〕2号 关于开展公厕常态化巡查检查的通知》；</w:t>
      </w:r>
    </w:p>
    <w:p w14:paraId="2ABE3201">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10.</w:t>
      </w:r>
      <w:r>
        <w:rPr>
          <w:rFonts w:hint="eastAsia" w:hAnsi="仿宋"/>
          <w:szCs w:val="30"/>
          <w:lang w:val="en-US" w:eastAsia="zh-CN"/>
        </w:rPr>
        <w:tab/>
      </w:r>
      <w:r>
        <w:rPr>
          <w:rFonts w:hint="eastAsia" w:hAnsi="仿宋"/>
          <w:szCs w:val="30"/>
          <w:lang w:val="en-US" w:eastAsia="zh-CN"/>
        </w:rPr>
        <w:t>《西苑街道办事处关于免费开放社会管理公厕管养维护情况的报告》；</w:t>
      </w:r>
    </w:p>
    <w:p w14:paraId="32D181A7">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11.</w:t>
      </w:r>
      <w:r>
        <w:rPr>
          <w:rFonts w:hint="eastAsia" w:hAnsi="仿宋"/>
          <w:szCs w:val="30"/>
          <w:lang w:val="en-US" w:eastAsia="zh-CN"/>
        </w:rPr>
        <w:tab/>
      </w:r>
      <w:r>
        <w:rPr>
          <w:rFonts w:hint="eastAsia" w:hAnsi="仿宋"/>
          <w:szCs w:val="30"/>
          <w:lang w:val="en-US" w:eastAsia="zh-CN"/>
        </w:rPr>
        <w:t>《关于签订〈2024年西苑街道办事处免费开放补助公厕管理协议〉的请示》（2024001号）；</w:t>
      </w:r>
    </w:p>
    <w:p w14:paraId="14B4842C">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12.</w:t>
      </w:r>
      <w:r>
        <w:rPr>
          <w:rFonts w:hint="eastAsia" w:hAnsi="仿宋"/>
          <w:szCs w:val="30"/>
          <w:lang w:val="en-US" w:eastAsia="zh-CN"/>
        </w:rPr>
        <w:tab/>
      </w:r>
      <w:r>
        <w:rPr>
          <w:rFonts w:hint="eastAsia" w:hAnsi="仿宋"/>
          <w:szCs w:val="30"/>
          <w:lang w:val="en-US" w:eastAsia="zh-CN"/>
        </w:rPr>
        <w:t>《关于拨付2024年1～6月份免费开放社会管理公厕补助费用的请示》《关于拨付2024年7～12月份免费开放社会管理公厕补助费用的请示》及相关主任办公会、党工委会议纪要；</w:t>
      </w:r>
    </w:p>
    <w:p w14:paraId="4C56C188">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13.</w:t>
      </w:r>
      <w:r>
        <w:rPr>
          <w:rFonts w:hint="eastAsia" w:hAnsi="仿宋"/>
          <w:szCs w:val="30"/>
          <w:lang w:val="en-US" w:eastAsia="zh-CN"/>
        </w:rPr>
        <w:tab/>
      </w:r>
      <w:r>
        <w:rPr>
          <w:rFonts w:hint="eastAsia" w:hAnsi="仿宋"/>
          <w:szCs w:val="30"/>
          <w:lang w:val="en-US" w:eastAsia="zh-CN"/>
        </w:rPr>
        <w:t>《西苑街道城市管理综合服务中心公厕巡查检查台账》和各相关检查表单；</w:t>
      </w:r>
    </w:p>
    <w:p w14:paraId="2BA563F2">
      <w:pPr>
        <w:spacing w:line="579" w:lineRule="exact"/>
        <w:ind w:firstLine="630" w:firstLineChars="200"/>
        <w:rPr>
          <w:rFonts w:hint="default" w:hAnsi="仿宋"/>
          <w:szCs w:val="30"/>
          <w:lang w:val="en-US" w:eastAsia="zh-CN"/>
        </w:rPr>
      </w:pPr>
      <w:r>
        <w:rPr>
          <w:rFonts w:hint="eastAsia" w:hAnsi="仿宋"/>
          <w:szCs w:val="30"/>
          <w:lang w:val="en-US" w:eastAsia="zh-CN"/>
        </w:rPr>
        <w:tab/>
      </w:r>
      <w:r>
        <w:rPr>
          <w:rFonts w:hint="eastAsia" w:hAnsi="仿宋"/>
          <w:szCs w:val="30"/>
          <w:lang w:val="en-US" w:eastAsia="zh-CN"/>
        </w:rPr>
        <w:t>14.</w:t>
      </w:r>
      <w:r>
        <w:rPr>
          <w:rFonts w:hint="eastAsia" w:hAnsi="仿宋"/>
          <w:szCs w:val="30"/>
          <w:lang w:val="en-US" w:eastAsia="zh-CN"/>
        </w:rPr>
        <w:tab/>
      </w:r>
      <w:r>
        <w:rPr>
          <w:rFonts w:hint="eastAsia" w:hAnsi="仿宋"/>
          <w:szCs w:val="30"/>
          <w:lang w:val="en-US" w:eastAsia="zh-CN"/>
        </w:rPr>
        <w:t>西山区财政局关于公厕免费开放补助专项经费管理的有关规定，补助明细表，支付凭证，以及与五家单位签订的合同等相关材料。</w:t>
      </w:r>
    </w:p>
    <w:p w14:paraId="1DBE43E6">
      <w:pPr>
        <w:spacing w:line="579" w:lineRule="exact"/>
        <w:ind w:firstLine="632"/>
        <w:outlineLvl w:val="1"/>
        <w:rPr>
          <w:rFonts w:hint="eastAsia" w:ascii="楷体" w:hAnsi="楷体" w:eastAsia="楷体"/>
          <w:szCs w:val="30"/>
        </w:rPr>
      </w:pPr>
      <w:bookmarkStart w:id="14" w:name="_Toc14400"/>
      <w:r>
        <w:rPr>
          <w:rFonts w:hint="eastAsia" w:ascii="楷体" w:hAnsi="楷体" w:eastAsia="楷体"/>
          <w:szCs w:val="30"/>
        </w:rPr>
        <w:t>（</w:t>
      </w:r>
      <w:r>
        <w:rPr>
          <w:rFonts w:hint="eastAsia" w:ascii="楷体" w:hAnsi="楷体" w:eastAsia="楷体"/>
          <w:szCs w:val="30"/>
          <w:lang w:val="en-US" w:eastAsia="zh-CN"/>
        </w:rPr>
        <w:t>四</w:t>
      </w:r>
      <w:r>
        <w:rPr>
          <w:rFonts w:hint="eastAsia" w:ascii="楷体" w:hAnsi="楷体" w:eastAsia="楷体"/>
          <w:szCs w:val="30"/>
        </w:rPr>
        <w:t>）</w:t>
      </w:r>
      <w:r>
        <w:rPr>
          <w:rFonts w:hint="eastAsia" w:ascii="楷体" w:hAnsi="楷体" w:eastAsia="楷体"/>
          <w:szCs w:val="30"/>
          <w:lang w:val="en-US" w:eastAsia="zh-CN"/>
        </w:rPr>
        <w:t>绩效</w:t>
      </w:r>
      <w:r>
        <w:rPr>
          <w:rFonts w:hint="eastAsia" w:ascii="楷体" w:hAnsi="楷体" w:eastAsia="楷体"/>
          <w:szCs w:val="30"/>
        </w:rPr>
        <w:t>评价方法</w:t>
      </w:r>
      <w:bookmarkEnd w:id="14"/>
    </w:p>
    <w:p w14:paraId="30F93F31">
      <w:pPr>
        <w:spacing w:line="579" w:lineRule="exact"/>
        <w:ind w:firstLine="630" w:firstLineChars="200"/>
        <w:rPr>
          <w:rFonts w:hint="eastAsia" w:hAnsi="仿宋"/>
          <w:szCs w:val="30"/>
        </w:rPr>
      </w:pPr>
      <w:r>
        <w:rPr>
          <w:rFonts w:hint="eastAsia" w:hAnsi="仿宋"/>
          <w:szCs w:val="30"/>
        </w:rPr>
        <w:t>绩效评价主要采取的方法包括成本效益分析法、比较法、因素分析法、最低成本法、公众评判法等。结合本次绩效评价项目的具体情况，为确保本次绩效评价工作的真实可靠，采用定量与定性相结合、审阅自评相结合，对收集的相关基础资料、各种技术经济数据，在归集、整理、分析的基础上，结合项目特点确定评价方法。具体如下：</w:t>
      </w:r>
    </w:p>
    <w:p w14:paraId="4262CD4E">
      <w:pPr>
        <w:spacing w:line="579" w:lineRule="exact"/>
        <w:ind w:firstLine="630" w:firstLineChars="200"/>
        <w:rPr>
          <w:rFonts w:hint="eastAsia" w:hAnsi="仿宋"/>
          <w:szCs w:val="30"/>
        </w:rPr>
      </w:pPr>
      <w:r>
        <w:rPr>
          <w:rFonts w:hint="eastAsia" w:hAnsi="仿宋"/>
          <w:szCs w:val="30"/>
          <w:lang w:val="en-US" w:eastAsia="zh-CN"/>
        </w:rPr>
        <w:t>1.</w:t>
      </w:r>
      <w:r>
        <w:rPr>
          <w:rFonts w:hint="eastAsia" w:hAnsi="仿宋"/>
          <w:szCs w:val="30"/>
        </w:rPr>
        <w:t>评价方法</w:t>
      </w:r>
    </w:p>
    <w:p w14:paraId="084259EF">
      <w:pPr>
        <w:spacing w:line="579" w:lineRule="exact"/>
        <w:ind w:firstLine="630" w:firstLineChars="200"/>
        <w:rPr>
          <w:rFonts w:hint="eastAsia" w:hAnsi="仿宋"/>
          <w:szCs w:val="30"/>
        </w:rPr>
      </w:pPr>
      <w:r>
        <w:rPr>
          <w:rFonts w:hint="eastAsia" w:hAnsi="仿宋"/>
          <w:szCs w:val="30"/>
        </w:rPr>
        <w:t>本次评价采用比较法、因素分析法和公众评判法等方法对项目的整体情况进行综合评价。包括将实际执行情况与</w:t>
      </w:r>
      <w:r>
        <w:rPr>
          <w:rFonts w:hint="eastAsia" w:hAnsi="仿宋"/>
          <w:szCs w:val="30"/>
          <w:lang w:val="en-US" w:eastAsia="zh-CN"/>
        </w:rPr>
        <w:t>计划</w:t>
      </w:r>
      <w:r>
        <w:rPr>
          <w:rFonts w:hint="eastAsia" w:hAnsi="仿宋"/>
          <w:szCs w:val="30"/>
        </w:rPr>
        <w:t>绩效目标进行比较分析，在评价中综合分析政策执行外部环境、内部控制等因素对绩效目标完成情况的影响，同时通过专家评估、公众问卷和抽样调查等公众评判法</w:t>
      </w:r>
      <w:r>
        <w:rPr>
          <w:rFonts w:hint="eastAsia" w:hAnsi="仿宋"/>
          <w:szCs w:val="30"/>
          <w:lang w:val="en-US" w:eastAsia="zh-CN"/>
        </w:rPr>
        <w:t>进行评价</w:t>
      </w:r>
      <w:r>
        <w:rPr>
          <w:rFonts w:hint="eastAsia" w:hAnsi="仿宋"/>
          <w:szCs w:val="30"/>
        </w:rPr>
        <w:t>，实地了解预算资金执行情况，社会公众满意度情况。</w:t>
      </w:r>
    </w:p>
    <w:p w14:paraId="0261566E">
      <w:pPr>
        <w:spacing w:line="579" w:lineRule="exact"/>
        <w:ind w:firstLine="630" w:firstLineChars="200"/>
        <w:rPr>
          <w:rFonts w:hint="eastAsia" w:hAnsi="仿宋"/>
          <w:szCs w:val="30"/>
        </w:rPr>
      </w:pPr>
      <w:r>
        <w:rPr>
          <w:rFonts w:hint="eastAsia" w:hAnsi="仿宋"/>
          <w:szCs w:val="30"/>
          <w:lang w:val="en-US" w:eastAsia="zh-CN"/>
        </w:rPr>
        <w:t>2.</w:t>
      </w:r>
      <w:r>
        <w:rPr>
          <w:rFonts w:hint="eastAsia" w:hAnsi="仿宋"/>
          <w:szCs w:val="30"/>
        </w:rPr>
        <w:t>评价方式</w:t>
      </w:r>
    </w:p>
    <w:p w14:paraId="27293A23">
      <w:pPr>
        <w:spacing w:line="579" w:lineRule="exact"/>
        <w:ind w:firstLine="630" w:firstLineChars="200"/>
        <w:rPr>
          <w:rFonts w:hint="eastAsia" w:hAnsi="仿宋"/>
          <w:szCs w:val="30"/>
        </w:rPr>
      </w:pPr>
      <w:r>
        <w:rPr>
          <w:rFonts w:hint="eastAsia" w:hAnsi="仿宋"/>
          <w:szCs w:val="30"/>
        </w:rPr>
        <w:t>一是资料审阅。从被评价部门收集与项目预算、管理、绩效相关的评价数据，形成绩效评价的基础资料，并对基础资料的真实性、可靠性进行审阅。具体为包括对各实施单位上报的自评报告进行认真审阅，核实各项目单位自评工作是否按要求完成，评价完成的效益和质量；收集绩效评价的基础数据，对项目实施单位填报的项目完成情况表、数据采集表、资金使用情况表进行审阅；收集项目绩效的相关资料并结合问卷调查、座谈访谈结果对项目绩效进行客观评价。</w:t>
      </w:r>
    </w:p>
    <w:p w14:paraId="74055D2C">
      <w:pPr>
        <w:spacing w:line="579" w:lineRule="exact"/>
        <w:ind w:firstLine="630" w:firstLineChars="200"/>
        <w:rPr>
          <w:rFonts w:hint="eastAsia" w:hAnsi="仿宋"/>
          <w:szCs w:val="30"/>
        </w:rPr>
      </w:pPr>
      <w:r>
        <w:rPr>
          <w:rFonts w:hint="eastAsia" w:hAnsi="仿宋"/>
          <w:szCs w:val="30"/>
        </w:rPr>
        <w:t>二是实地评价。绩效评价工作组根据分工，采用资料收集与数据填报、案卷研究、实地调研、</w:t>
      </w:r>
      <w:r>
        <w:rPr>
          <w:rFonts w:hint="eastAsia" w:hAnsi="仿宋"/>
          <w:szCs w:val="30"/>
          <w:lang w:val="en-US" w:eastAsia="zh-CN"/>
        </w:rPr>
        <w:t>工作访谈</w:t>
      </w:r>
      <w:r>
        <w:rPr>
          <w:rFonts w:hint="eastAsia" w:hAnsi="仿宋"/>
          <w:szCs w:val="30"/>
        </w:rPr>
        <w:t>、问卷调查等方式，组织开展实地评价。在绩效评价实施过程中，根据评价对象的具体情况，设计数据收集表格收集评价数据、资料；同时发放调查问卷调查项目的公众满意度、管理人员意见以及评价相关的信息。</w:t>
      </w:r>
    </w:p>
    <w:p w14:paraId="12291265">
      <w:pPr>
        <w:spacing w:line="579" w:lineRule="exact"/>
        <w:ind w:firstLine="630" w:firstLineChars="200"/>
        <w:outlineLvl w:val="1"/>
        <w:rPr>
          <w:rFonts w:ascii="楷体" w:hAnsi="楷体" w:eastAsia="楷体"/>
          <w:szCs w:val="30"/>
        </w:rPr>
      </w:pPr>
      <w:bookmarkStart w:id="15" w:name="_Toc22344"/>
      <w:r>
        <w:rPr>
          <w:rFonts w:hint="eastAsia" w:ascii="楷体" w:hAnsi="楷体" w:eastAsia="楷体"/>
          <w:szCs w:val="30"/>
        </w:rPr>
        <w:t>（</w:t>
      </w:r>
      <w:r>
        <w:rPr>
          <w:rFonts w:hint="eastAsia" w:ascii="楷体" w:hAnsi="楷体" w:eastAsia="楷体"/>
          <w:szCs w:val="30"/>
          <w:lang w:val="en-US" w:eastAsia="zh-CN"/>
        </w:rPr>
        <w:t>五</w:t>
      </w:r>
      <w:r>
        <w:rPr>
          <w:rFonts w:hint="eastAsia" w:ascii="楷体" w:hAnsi="楷体" w:eastAsia="楷体"/>
          <w:szCs w:val="30"/>
        </w:rPr>
        <w:t>）评价指标体系</w:t>
      </w:r>
      <w:bookmarkEnd w:id="15"/>
    </w:p>
    <w:p w14:paraId="59B1782A">
      <w:pPr>
        <w:spacing w:line="579" w:lineRule="exact"/>
        <w:ind w:firstLine="630" w:firstLineChars="200"/>
        <w:rPr>
          <w:rFonts w:hAnsi="仿宋"/>
          <w:szCs w:val="30"/>
        </w:rPr>
      </w:pPr>
      <w:r>
        <w:rPr>
          <w:rFonts w:hint="eastAsia" w:hAnsi="仿宋"/>
          <w:szCs w:val="30"/>
        </w:rPr>
        <w:t>1.指标体系</w:t>
      </w:r>
    </w:p>
    <w:p w14:paraId="2B9115FC">
      <w:pPr>
        <w:spacing w:line="579" w:lineRule="exact"/>
        <w:ind w:firstLine="630" w:firstLineChars="200"/>
        <w:rPr>
          <w:rFonts w:hint="eastAsia" w:hAnsi="仿宋"/>
          <w:szCs w:val="30"/>
        </w:rPr>
      </w:pPr>
      <w:r>
        <w:rPr>
          <w:rFonts w:hint="eastAsia" w:hAnsi="仿宋"/>
          <w:szCs w:val="30"/>
        </w:rPr>
        <w:t>本次绩效评价以项目全过程绩效管理为导向，从项目立项、管理、产出及效益等环节进行系统分析与量化评价。</w:t>
      </w:r>
    </w:p>
    <w:p w14:paraId="23383C01">
      <w:pPr>
        <w:spacing w:line="579" w:lineRule="exact"/>
        <w:ind w:firstLine="630" w:firstLineChars="200"/>
        <w:rPr>
          <w:rFonts w:hint="eastAsia" w:hAnsi="仿宋"/>
          <w:szCs w:val="30"/>
        </w:rPr>
      </w:pPr>
      <w:r>
        <w:rPr>
          <w:rFonts w:hint="eastAsia" w:hAnsi="仿宋"/>
          <w:szCs w:val="30"/>
        </w:rPr>
        <w:t>绩效评价指标体系共设投入、过程、产出、效益四个一级指标，反映项目实施的主要环节与绩效逻辑。在此基础上，结合“西苑街道免费开放社会公厕补助项目”的实际情况，细化形成项目立项、绩效目标、资金投入、资金管理、项目实施、财务管理、产出数量、产出质量、产出时效、社会效益、公众满意度等内容，</w:t>
      </w:r>
    </w:p>
    <w:p w14:paraId="1E3896C0">
      <w:pPr>
        <w:spacing w:line="579" w:lineRule="exact"/>
        <w:rPr>
          <w:rFonts w:hint="eastAsia" w:hAnsi="仿宋"/>
          <w:szCs w:val="30"/>
        </w:rPr>
      </w:pPr>
      <w:r>
        <w:rPr>
          <w:rFonts w:hint="eastAsia" w:hAnsi="仿宋"/>
          <w:szCs w:val="30"/>
        </w:rPr>
        <w:t>共设置20个三级指标，涵盖了项目从决策到执行、从投入到产出的全过程绩效要求，突出结果导向和公共服务属性。</w:t>
      </w:r>
    </w:p>
    <w:p w14:paraId="2113A700">
      <w:pPr>
        <w:spacing w:line="579" w:lineRule="exact"/>
        <w:ind w:firstLine="756" w:firstLineChars="240"/>
        <w:rPr>
          <w:rFonts w:hAnsi="仿宋"/>
          <w:szCs w:val="30"/>
        </w:rPr>
      </w:pPr>
      <w:r>
        <w:rPr>
          <w:rFonts w:hint="eastAsia" w:hAnsi="仿宋"/>
          <w:szCs w:val="30"/>
        </w:rPr>
        <w:t>2.指标权重</w:t>
      </w:r>
    </w:p>
    <w:p w14:paraId="517480C9">
      <w:pPr>
        <w:spacing w:line="579" w:lineRule="exact"/>
        <w:ind w:firstLine="630" w:firstLineChars="200"/>
        <w:rPr>
          <w:rFonts w:hint="eastAsia" w:hAnsi="仿宋"/>
          <w:szCs w:val="30"/>
        </w:rPr>
      </w:pPr>
      <w:r>
        <w:rPr>
          <w:rFonts w:hint="eastAsia" w:hAnsi="仿宋"/>
          <w:szCs w:val="30"/>
        </w:rPr>
        <w:t>本项目为公共服务类项目，重点在于资金规范使用与服务质量保障，因此评价指标分值权重更加突出管理执行和服务成效两个阶段，兼顾结果导向与制度落实。</w:t>
      </w:r>
      <w:r>
        <w:rPr>
          <w:rFonts w:hint="eastAsia" w:hAnsi="仿宋"/>
          <w:szCs w:val="30"/>
          <w:lang w:val="en-US" w:eastAsia="zh-CN"/>
        </w:rPr>
        <w:t>项目决策</w:t>
      </w:r>
      <w:r>
        <w:rPr>
          <w:rFonts w:hint="eastAsia" w:hAnsi="仿宋"/>
          <w:szCs w:val="30"/>
        </w:rPr>
        <w:t>权重为20%；</w:t>
      </w:r>
      <w:r>
        <w:rPr>
          <w:rFonts w:hint="eastAsia" w:hAnsi="仿宋"/>
          <w:szCs w:val="30"/>
          <w:lang w:val="en-US" w:eastAsia="zh-CN"/>
        </w:rPr>
        <w:t>项目管理</w:t>
      </w:r>
      <w:r>
        <w:rPr>
          <w:rFonts w:hint="eastAsia" w:hAnsi="仿宋"/>
          <w:szCs w:val="30"/>
        </w:rPr>
        <w:t>权重为</w:t>
      </w:r>
      <w:r>
        <w:rPr>
          <w:rFonts w:hint="eastAsia" w:hAnsi="仿宋"/>
          <w:szCs w:val="30"/>
          <w:lang w:val="en-US" w:eastAsia="zh-CN"/>
        </w:rPr>
        <w:t>2</w:t>
      </w:r>
      <w:r>
        <w:rPr>
          <w:rFonts w:hint="eastAsia" w:hAnsi="仿宋"/>
          <w:szCs w:val="30"/>
        </w:rPr>
        <w:t>0%；产出指标权重为30%；效益指标权重为</w:t>
      </w:r>
      <w:r>
        <w:rPr>
          <w:rFonts w:hint="eastAsia" w:hAnsi="仿宋"/>
          <w:szCs w:val="30"/>
          <w:lang w:val="en-US" w:eastAsia="zh-CN"/>
        </w:rPr>
        <w:t>3</w:t>
      </w:r>
      <w:r>
        <w:rPr>
          <w:rFonts w:hint="eastAsia" w:hAnsi="仿宋"/>
          <w:szCs w:val="30"/>
        </w:rPr>
        <w:t>0%。</w:t>
      </w:r>
    </w:p>
    <w:p w14:paraId="4C149422">
      <w:pPr>
        <w:spacing w:line="579" w:lineRule="exact"/>
        <w:ind w:firstLine="630" w:firstLineChars="200"/>
        <w:rPr>
          <w:rFonts w:hint="eastAsia" w:hAnsi="仿宋"/>
          <w:szCs w:val="30"/>
        </w:rPr>
      </w:pPr>
      <w:r>
        <w:rPr>
          <w:rFonts w:hint="eastAsia" w:hAnsi="仿宋"/>
          <w:szCs w:val="30"/>
        </w:rPr>
        <w:t>“决策”指标由“项目立项、绩效目标”2个二级指标构成，同时将2个二级指标细化为4个三级指标。考核项目立项依据充分性、立项程序规范性、绩效目标合理性、绩效指标明确性。</w:t>
      </w:r>
    </w:p>
    <w:p w14:paraId="101D7AA8">
      <w:pPr>
        <w:spacing w:line="579" w:lineRule="exact"/>
        <w:ind w:firstLine="630" w:firstLineChars="200"/>
        <w:rPr>
          <w:rFonts w:hint="eastAsia" w:hAnsi="仿宋"/>
          <w:szCs w:val="30"/>
        </w:rPr>
      </w:pPr>
      <w:r>
        <w:rPr>
          <w:rFonts w:hint="eastAsia" w:hAnsi="仿宋"/>
          <w:szCs w:val="30"/>
        </w:rPr>
        <w:t>“</w:t>
      </w:r>
      <w:r>
        <w:rPr>
          <w:rFonts w:hint="eastAsia" w:hAnsi="仿宋"/>
          <w:szCs w:val="30"/>
          <w:lang w:val="en-US" w:eastAsia="zh-CN"/>
        </w:rPr>
        <w:t>项目管理</w:t>
      </w:r>
      <w:r>
        <w:rPr>
          <w:rFonts w:hint="eastAsia" w:hAnsi="仿宋"/>
          <w:szCs w:val="30"/>
        </w:rPr>
        <w:t>”指标由“资金投入与管理、项目实施管理、财务管理”3个二级指标构成，同时将3个二级指标分解为</w:t>
      </w:r>
      <w:r>
        <w:rPr>
          <w:rFonts w:hint="eastAsia" w:hAnsi="仿宋"/>
          <w:szCs w:val="30"/>
          <w:lang w:val="en-US" w:eastAsia="zh-CN"/>
        </w:rPr>
        <w:t>8</w:t>
      </w:r>
      <w:r>
        <w:rPr>
          <w:rFonts w:hint="eastAsia" w:hAnsi="仿宋"/>
          <w:szCs w:val="30"/>
        </w:rPr>
        <w:t>个三级指标。主要考核预算编制与调整规范性、预算执行率、资金使用合规性、财务监控有效性、管理制度健全性、制度执行有效性，反映项目执行环节的规范性与财务运行的合规性。</w:t>
      </w:r>
    </w:p>
    <w:p w14:paraId="78BD02EC">
      <w:pPr>
        <w:spacing w:line="579" w:lineRule="exact"/>
        <w:ind w:firstLine="630" w:firstLineChars="200"/>
        <w:rPr>
          <w:rFonts w:hint="eastAsia" w:hAnsi="仿宋"/>
          <w:szCs w:val="30"/>
        </w:rPr>
      </w:pPr>
      <w:r>
        <w:rPr>
          <w:rFonts w:hint="eastAsia" w:hAnsi="仿宋"/>
          <w:szCs w:val="30"/>
        </w:rPr>
        <w:t>“产出”指标由“产出数量、产出质量、产出时效、产出成本”4个二级指标构成，同时将4个二级指标分解为4个三级指标。主要考核辖区公共厕所开放任务完成率、质量达标率、完成及时性及成本控制水平，反映项目预期产出目标实现情况。</w:t>
      </w:r>
    </w:p>
    <w:p w14:paraId="6E6A7209">
      <w:pPr>
        <w:spacing w:line="579" w:lineRule="exact"/>
        <w:ind w:firstLine="630" w:firstLineChars="200"/>
        <w:rPr>
          <w:rFonts w:hint="eastAsia" w:hAnsi="仿宋"/>
          <w:szCs w:val="30"/>
        </w:rPr>
      </w:pPr>
      <w:r>
        <w:rPr>
          <w:rFonts w:hint="eastAsia" w:hAnsi="仿宋"/>
          <w:szCs w:val="30"/>
        </w:rPr>
        <w:t>“效益”指标</w:t>
      </w:r>
      <w:r>
        <w:rPr>
          <w:rFonts w:hint="eastAsia" w:hAnsi="仿宋"/>
          <w:szCs w:val="30"/>
          <w:lang w:val="en-US" w:eastAsia="zh-CN"/>
        </w:rPr>
        <w:t>主要设置社会效益和满意度两个二级指标，并</w:t>
      </w:r>
      <w:r>
        <w:rPr>
          <w:rFonts w:hint="eastAsia" w:hAnsi="仿宋"/>
          <w:szCs w:val="30"/>
        </w:rPr>
        <w:t>细化为</w:t>
      </w:r>
      <w:r>
        <w:rPr>
          <w:rFonts w:hint="eastAsia" w:hAnsi="仿宋"/>
          <w:szCs w:val="30"/>
          <w:lang w:val="en-US" w:eastAsia="zh-CN"/>
        </w:rPr>
        <w:t>4</w:t>
      </w:r>
      <w:r>
        <w:rPr>
          <w:rFonts w:hint="eastAsia" w:hAnsi="仿宋"/>
          <w:szCs w:val="30"/>
        </w:rPr>
        <w:t>个三级指标。主要考核项目长效运行机制、替代效应、服务可及性及公众满意度，反映项目的长期服务效益与社会公众获得感。</w:t>
      </w:r>
    </w:p>
    <w:p w14:paraId="0BBE74FD">
      <w:pPr>
        <w:spacing w:line="579" w:lineRule="exact"/>
        <w:ind w:firstLine="632"/>
        <w:outlineLvl w:val="1"/>
        <w:rPr>
          <w:rFonts w:hint="eastAsia" w:ascii="楷体" w:hAnsi="楷体" w:eastAsia="楷体"/>
          <w:szCs w:val="30"/>
          <w:lang w:val="en-US" w:eastAsia="zh-CN"/>
        </w:rPr>
      </w:pPr>
      <w:bookmarkStart w:id="16" w:name="_Toc81575277"/>
      <w:bookmarkStart w:id="17" w:name="_Toc17837"/>
      <w:bookmarkStart w:id="18" w:name="_Toc81575278"/>
      <w:r>
        <w:rPr>
          <w:rFonts w:hint="eastAsia" w:ascii="楷体" w:hAnsi="楷体" w:eastAsia="楷体"/>
          <w:szCs w:val="30"/>
        </w:rPr>
        <w:t>（</w:t>
      </w:r>
      <w:r>
        <w:rPr>
          <w:rFonts w:hint="eastAsia" w:ascii="楷体" w:hAnsi="楷体" w:eastAsia="楷体"/>
          <w:szCs w:val="30"/>
          <w:lang w:val="en-US" w:eastAsia="zh-CN"/>
        </w:rPr>
        <w:t>六</w:t>
      </w:r>
      <w:r>
        <w:rPr>
          <w:rFonts w:hint="eastAsia" w:ascii="楷体" w:hAnsi="楷体" w:eastAsia="楷体"/>
          <w:szCs w:val="30"/>
        </w:rPr>
        <w:t>）</w:t>
      </w:r>
      <w:bookmarkStart w:id="19" w:name="_Toc80023565"/>
      <w:bookmarkStart w:id="20" w:name="_Toc11427721"/>
      <w:r>
        <w:rPr>
          <w:rFonts w:hint="eastAsia" w:ascii="楷体" w:hAnsi="楷体" w:eastAsia="楷体"/>
          <w:szCs w:val="30"/>
          <w:lang w:val="en-US" w:eastAsia="zh-CN"/>
        </w:rPr>
        <w:t>绩效</w:t>
      </w:r>
      <w:r>
        <w:rPr>
          <w:rFonts w:hint="eastAsia" w:ascii="楷体" w:hAnsi="楷体" w:eastAsia="楷体"/>
          <w:szCs w:val="30"/>
        </w:rPr>
        <w:t>评价</w:t>
      </w:r>
      <w:bookmarkEnd w:id="16"/>
      <w:bookmarkEnd w:id="19"/>
      <w:bookmarkEnd w:id="20"/>
      <w:r>
        <w:rPr>
          <w:rFonts w:hint="eastAsia" w:ascii="楷体" w:hAnsi="楷体" w:eastAsia="楷体"/>
          <w:szCs w:val="30"/>
          <w:lang w:val="en-US" w:eastAsia="zh-CN"/>
        </w:rPr>
        <w:t>抽样</w:t>
      </w:r>
      <w:bookmarkEnd w:id="17"/>
    </w:p>
    <w:bookmarkEnd w:id="18"/>
    <w:p w14:paraId="7731E658">
      <w:pPr>
        <w:spacing w:line="579" w:lineRule="exact"/>
        <w:ind w:firstLine="630" w:firstLineChars="200"/>
        <w:rPr>
          <w:rFonts w:hint="eastAsia" w:hAnsi="仿宋" w:cs="Times New Roman"/>
          <w:szCs w:val="30"/>
          <w:lang w:val="en-US" w:eastAsia="zh-CN"/>
        </w:rPr>
      </w:pPr>
      <w:bookmarkStart w:id="21" w:name="_Toc4085"/>
      <w:r>
        <w:rPr>
          <w:rFonts w:hint="eastAsia" w:hAnsi="仿宋" w:cs="Times New Roman"/>
          <w:szCs w:val="30"/>
          <w:lang w:val="en-US" w:eastAsia="zh-CN"/>
        </w:rPr>
        <w:t>本次昆明市西山区西苑街道免费开放社会管理公厕补助专项资金绩效评价采取100%全覆盖抽样方式，对项目实施全过程进行核查。评价范围涵盖项目立项、资金拨付、合同签订、台账记录、巡查管理及问卷调查等环节，重点核查资金使用合规性、管理制度执行情况及服务质量达标情况，确保评价结果的全面性与客观性。</w:t>
      </w:r>
    </w:p>
    <w:p w14:paraId="3CCB9364">
      <w:pPr>
        <w:spacing w:line="579" w:lineRule="exact"/>
        <w:ind w:firstLine="630" w:firstLineChars="200"/>
        <w:outlineLvl w:val="0"/>
        <w:rPr>
          <w:rFonts w:ascii="黑体" w:hAnsi="宋体" w:eastAsia="黑体" w:cs="宋体"/>
          <w:szCs w:val="30"/>
        </w:rPr>
      </w:pPr>
      <w:r>
        <w:rPr>
          <w:rFonts w:hint="eastAsia" w:ascii="黑体" w:hAnsi="宋体" w:eastAsia="黑体" w:cs="宋体"/>
          <w:szCs w:val="30"/>
          <w:lang w:val="en-US" w:eastAsia="zh-CN"/>
        </w:rPr>
        <w:t>三</w:t>
      </w:r>
      <w:r>
        <w:rPr>
          <w:rFonts w:hint="eastAsia" w:ascii="黑体" w:hAnsi="宋体" w:eastAsia="黑体" w:cs="宋体"/>
          <w:szCs w:val="30"/>
        </w:rPr>
        <w:t>、</w:t>
      </w:r>
      <w:r>
        <w:rPr>
          <w:rFonts w:hint="eastAsia" w:ascii="黑体" w:hAnsi="黑体" w:eastAsia="黑体"/>
          <w:lang w:val="en-US" w:eastAsia="zh-CN"/>
        </w:rPr>
        <w:t>绩效评价</w:t>
      </w:r>
      <w:r>
        <w:rPr>
          <w:rFonts w:hint="eastAsia" w:ascii="黑体" w:hAnsi="黑体" w:eastAsia="黑体"/>
        </w:rPr>
        <w:t>结论</w:t>
      </w:r>
      <w:bookmarkEnd w:id="21"/>
    </w:p>
    <w:p w14:paraId="4DA7DA71">
      <w:pPr>
        <w:spacing w:line="579" w:lineRule="exact"/>
        <w:ind w:firstLine="630" w:firstLineChars="200"/>
        <w:outlineLvl w:val="1"/>
        <w:rPr>
          <w:rFonts w:ascii="楷体" w:hAnsi="楷体" w:eastAsia="楷体"/>
          <w:szCs w:val="30"/>
        </w:rPr>
      </w:pPr>
      <w:bookmarkStart w:id="22" w:name="_Toc18661"/>
      <w:r>
        <w:rPr>
          <w:rFonts w:hint="eastAsia" w:ascii="楷体" w:hAnsi="楷体" w:eastAsia="楷体"/>
          <w:szCs w:val="30"/>
        </w:rPr>
        <w:t>（一）绩效评价综合结论</w:t>
      </w:r>
      <w:bookmarkEnd w:id="22"/>
    </w:p>
    <w:p w14:paraId="2DC6CEA9">
      <w:pPr>
        <w:spacing w:line="579" w:lineRule="exact"/>
        <w:ind w:firstLine="630" w:firstLineChars="200"/>
        <w:rPr>
          <w:rFonts w:hint="eastAsia" w:hAnsi="仿宋"/>
          <w:szCs w:val="30"/>
          <w:highlight w:val="none"/>
        </w:rPr>
      </w:pPr>
      <w:bookmarkStart w:id="23" w:name="_Hlk525314439"/>
      <w:r>
        <w:rPr>
          <w:rFonts w:hint="eastAsia" w:hAnsi="仿宋"/>
          <w:szCs w:val="30"/>
          <w:highlight w:val="none"/>
        </w:rPr>
        <w:t>昆明市西山区西苑街道免费开放社会管理公厕补助专项资金项目绩效评价得分</w:t>
      </w:r>
      <w:r>
        <w:rPr>
          <w:rFonts w:hint="eastAsia" w:hAnsi="仿宋"/>
          <w:szCs w:val="30"/>
          <w:highlight w:val="none"/>
          <w:lang w:eastAsia="zh-CN"/>
        </w:rPr>
        <w:t>94.29</w:t>
      </w:r>
      <w:r>
        <w:rPr>
          <w:rFonts w:hint="eastAsia" w:hAnsi="仿宋"/>
          <w:szCs w:val="30"/>
          <w:highlight w:val="none"/>
        </w:rPr>
        <w:t>分，评价等级为“优”。一级指标具体得分情况详见下表：</w:t>
      </w:r>
    </w:p>
    <w:p w14:paraId="75119AD3">
      <w:pPr>
        <w:jc w:val="center"/>
        <w:rPr>
          <w:rFonts w:ascii="黑体" w:hAnsi="黑体" w:eastAsia="黑体" w:cs="宋体"/>
          <w:bCs/>
          <w:sz w:val="24"/>
          <w:szCs w:val="24"/>
        </w:rPr>
      </w:pPr>
      <w:r>
        <w:rPr>
          <w:rFonts w:hint="eastAsia" w:ascii="黑体" w:hAnsi="黑体" w:eastAsia="黑体" w:cs="宋体"/>
          <w:bCs/>
          <w:sz w:val="24"/>
          <w:szCs w:val="24"/>
        </w:rPr>
        <w:t>表</w:t>
      </w:r>
      <w:r>
        <w:rPr>
          <w:rFonts w:hint="eastAsia" w:ascii="黑体" w:hAnsi="黑体" w:eastAsia="黑体" w:cs="宋体"/>
          <w:bCs/>
          <w:sz w:val="24"/>
          <w:szCs w:val="24"/>
          <w:lang w:val="en-US" w:eastAsia="zh-CN"/>
        </w:rPr>
        <w:t xml:space="preserve">2 </w:t>
      </w:r>
      <w:r>
        <w:rPr>
          <w:rFonts w:hint="eastAsia" w:ascii="黑体" w:hAnsi="黑体" w:eastAsia="黑体" w:cs="宋体"/>
          <w:bCs/>
          <w:sz w:val="24"/>
          <w:szCs w:val="24"/>
        </w:rPr>
        <w:t>绩效评价得分情况表</w:t>
      </w:r>
    </w:p>
    <w:tbl>
      <w:tblPr>
        <w:tblStyle w:val="2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5E7908B9">
        <w:trPr>
          <w:trHeight w:val="433" w:hRule="atLeast"/>
          <w:tblHeader/>
          <w:jc w:val="center"/>
        </w:trPr>
        <w:tc>
          <w:tcPr>
            <w:tcW w:w="2212" w:type="dxa"/>
            <w:tcBorders>
              <w:top w:val="single" w:color="auto" w:sz="4" w:space="0"/>
            </w:tcBorders>
            <w:vAlign w:val="center"/>
          </w:tcPr>
          <w:p w14:paraId="44A5B6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一级指标</w:t>
            </w:r>
          </w:p>
        </w:tc>
        <w:tc>
          <w:tcPr>
            <w:tcW w:w="2211" w:type="dxa"/>
            <w:tcBorders>
              <w:top w:val="single" w:color="auto" w:sz="4" w:space="0"/>
            </w:tcBorders>
            <w:vAlign w:val="center"/>
          </w:tcPr>
          <w:p w14:paraId="53DA50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指标分值</w:t>
            </w:r>
          </w:p>
        </w:tc>
        <w:tc>
          <w:tcPr>
            <w:tcW w:w="2211" w:type="dxa"/>
            <w:tcBorders>
              <w:top w:val="single" w:color="auto" w:sz="4" w:space="0"/>
            </w:tcBorders>
            <w:vAlign w:val="center"/>
          </w:tcPr>
          <w:p w14:paraId="13FF78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评价得分</w:t>
            </w:r>
          </w:p>
        </w:tc>
        <w:tc>
          <w:tcPr>
            <w:tcW w:w="2211" w:type="dxa"/>
            <w:tcBorders>
              <w:top w:val="single" w:color="auto" w:sz="4" w:space="0"/>
            </w:tcBorders>
            <w:vAlign w:val="center"/>
          </w:tcPr>
          <w:p w14:paraId="31F080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得分率</w:t>
            </w:r>
          </w:p>
        </w:tc>
      </w:tr>
      <w:tr w14:paraId="375AB145">
        <w:trPr>
          <w:trHeight w:val="447" w:hRule="atLeast"/>
          <w:jc w:val="center"/>
        </w:trPr>
        <w:tc>
          <w:tcPr>
            <w:tcW w:w="2212" w:type="dxa"/>
            <w:vAlign w:val="center"/>
          </w:tcPr>
          <w:p w14:paraId="25D367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hAnsi="仿宋" w:eastAsia="仿宋" w:cs="宋体"/>
                <w:bCs/>
                <w:spacing w:val="6"/>
                <w:sz w:val="21"/>
                <w:highlight w:val="none"/>
                <w:lang w:val="en-US" w:eastAsia="zh-CN"/>
              </w:rPr>
            </w:pPr>
            <w:r>
              <w:rPr>
                <w:rFonts w:hint="eastAsia" w:ascii="仿宋" w:hAnsi="仿宋" w:eastAsia="仿宋" w:cs="仿宋"/>
                <w:i w:val="0"/>
                <w:iCs w:val="0"/>
                <w:color w:val="000000"/>
                <w:kern w:val="0"/>
                <w:sz w:val="21"/>
                <w:szCs w:val="21"/>
                <w:u w:val="none"/>
                <w:lang w:val="en-US" w:eastAsia="zh-CN" w:bidi="ar"/>
              </w:rPr>
              <w:t>决策</w:t>
            </w:r>
          </w:p>
        </w:tc>
        <w:tc>
          <w:tcPr>
            <w:tcW w:w="2211" w:type="dxa"/>
            <w:vAlign w:val="center"/>
          </w:tcPr>
          <w:p w14:paraId="08443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20.00</w:t>
            </w:r>
          </w:p>
        </w:tc>
        <w:tc>
          <w:tcPr>
            <w:tcW w:w="2211" w:type="dxa"/>
            <w:vAlign w:val="center"/>
          </w:tcPr>
          <w:p w14:paraId="155472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16.00</w:t>
            </w:r>
          </w:p>
        </w:tc>
        <w:tc>
          <w:tcPr>
            <w:tcW w:w="2211" w:type="dxa"/>
            <w:vAlign w:val="center"/>
          </w:tcPr>
          <w:p w14:paraId="6B887E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Cs/>
                <w:spacing w:val="6"/>
                <w:sz w:val="21"/>
                <w:highlight w:val="none"/>
              </w:rPr>
            </w:pPr>
            <w:r>
              <w:rPr>
                <w:rFonts w:hint="eastAsia" w:hAnsi="仿宋" w:cs="仿宋"/>
                <w:i w:val="0"/>
                <w:iCs w:val="0"/>
                <w:color w:val="000000"/>
                <w:kern w:val="0"/>
                <w:sz w:val="21"/>
                <w:szCs w:val="21"/>
                <w:u w:val="none"/>
                <w:lang w:val="en-US" w:eastAsia="zh-CN" w:bidi="ar"/>
              </w:rPr>
              <w:t>80.00</w:t>
            </w:r>
            <w:r>
              <w:rPr>
                <w:rFonts w:hint="eastAsia" w:ascii="仿宋" w:hAnsi="仿宋" w:eastAsia="仿宋" w:cs="仿宋"/>
                <w:i w:val="0"/>
                <w:iCs w:val="0"/>
                <w:color w:val="000000"/>
                <w:kern w:val="0"/>
                <w:sz w:val="21"/>
                <w:szCs w:val="21"/>
                <w:u w:val="none"/>
                <w:lang w:val="en-US" w:eastAsia="zh-CN" w:bidi="ar"/>
              </w:rPr>
              <w:t>%</w:t>
            </w:r>
          </w:p>
        </w:tc>
      </w:tr>
      <w:tr w14:paraId="4C1ED0B1">
        <w:trPr>
          <w:trHeight w:val="462" w:hRule="atLeast"/>
          <w:jc w:val="center"/>
        </w:trPr>
        <w:tc>
          <w:tcPr>
            <w:tcW w:w="2212" w:type="dxa"/>
            <w:vAlign w:val="center"/>
          </w:tcPr>
          <w:p w14:paraId="4B2FC5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Cs/>
                <w:spacing w:val="6"/>
                <w:sz w:val="21"/>
                <w:highlight w:val="none"/>
              </w:rPr>
            </w:pPr>
            <w:r>
              <w:rPr>
                <w:rFonts w:hint="eastAsia" w:ascii="仿宋" w:hAnsi="仿宋" w:eastAsia="仿宋" w:cs="仿宋"/>
                <w:i w:val="0"/>
                <w:iCs w:val="0"/>
                <w:color w:val="000000"/>
                <w:kern w:val="0"/>
                <w:sz w:val="21"/>
                <w:szCs w:val="21"/>
                <w:u w:val="none"/>
                <w:lang w:val="en-US" w:eastAsia="zh-CN" w:bidi="ar"/>
              </w:rPr>
              <w:t>过程</w:t>
            </w:r>
          </w:p>
        </w:tc>
        <w:tc>
          <w:tcPr>
            <w:tcW w:w="2211" w:type="dxa"/>
            <w:vAlign w:val="center"/>
          </w:tcPr>
          <w:p w14:paraId="4815FD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20.00</w:t>
            </w:r>
          </w:p>
        </w:tc>
        <w:tc>
          <w:tcPr>
            <w:tcW w:w="2211" w:type="dxa"/>
            <w:vAlign w:val="center"/>
          </w:tcPr>
          <w:p w14:paraId="37AAE2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19.00</w:t>
            </w:r>
          </w:p>
        </w:tc>
        <w:tc>
          <w:tcPr>
            <w:tcW w:w="2211" w:type="dxa"/>
            <w:vAlign w:val="center"/>
          </w:tcPr>
          <w:p w14:paraId="6B9C21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cs="宋体"/>
                <w:bCs/>
                <w:spacing w:val="6"/>
                <w:sz w:val="21"/>
                <w:highlight w:val="none"/>
                <w:lang w:val="en-US"/>
              </w:rPr>
            </w:pPr>
            <w:r>
              <w:rPr>
                <w:rFonts w:hint="eastAsia" w:hAnsi="仿宋" w:cs="仿宋"/>
                <w:i w:val="0"/>
                <w:iCs w:val="0"/>
                <w:color w:val="000000"/>
                <w:kern w:val="0"/>
                <w:sz w:val="21"/>
                <w:szCs w:val="21"/>
                <w:u w:val="none"/>
                <w:lang w:val="en-US" w:eastAsia="zh-CN" w:bidi="ar"/>
              </w:rPr>
              <w:t>95.00%</w:t>
            </w:r>
          </w:p>
        </w:tc>
      </w:tr>
      <w:tr w14:paraId="4B5D514A">
        <w:trPr>
          <w:trHeight w:val="461" w:hRule="atLeast"/>
          <w:jc w:val="center"/>
        </w:trPr>
        <w:tc>
          <w:tcPr>
            <w:tcW w:w="2212" w:type="dxa"/>
            <w:vAlign w:val="center"/>
          </w:tcPr>
          <w:p w14:paraId="4A021B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Cs/>
                <w:spacing w:val="6"/>
                <w:sz w:val="21"/>
                <w:highlight w:val="none"/>
              </w:rPr>
            </w:pPr>
            <w:r>
              <w:rPr>
                <w:rFonts w:hint="eastAsia" w:ascii="仿宋" w:hAnsi="仿宋" w:eastAsia="仿宋" w:cs="仿宋"/>
                <w:i w:val="0"/>
                <w:iCs w:val="0"/>
                <w:color w:val="000000"/>
                <w:kern w:val="0"/>
                <w:sz w:val="21"/>
                <w:szCs w:val="21"/>
                <w:u w:val="none"/>
                <w:lang w:val="en-US" w:eastAsia="zh-CN" w:bidi="ar"/>
              </w:rPr>
              <w:t>产出</w:t>
            </w:r>
          </w:p>
        </w:tc>
        <w:tc>
          <w:tcPr>
            <w:tcW w:w="2211" w:type="dxa"/>
            <w:vAlign w:val="center"/>
          </w:tcPr>
          <w:p w14:paraId="30AD49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30.00</w:t>
            </w:r>
          </w:p>
        </w:tc>
        <w:tc>
          <w:tcPr>
            <w:tcW w:w="2211" w:type="dxa"/>
            <w:vAlign w:val="center"/>
          </w:tcPr>
          <w:p w14:paraId="6CDB0E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30.00</w:t>
            </w:r>
          </w:p>
        </w:tc>
        <w:tc>
          <w:tcPr>
            <w:tcW w:w="2211" w:type="dxa"/>
            <w:vAlign w:val="center"/>
          </w:tcPr>
          <w:p w14:paraId="4BFCDA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Cs/>
                <w:spacing w:val="6"/>
                <w:sz w:val="21"/>
                <w:highlight w:val="none"/>
              </w:rPr>
            </w:pPr>
            <w:r>
              <w:rPr>
                <w:rFonts w:hint="eastAsia" w:hAnsi="仿宋" w:cs="仿宋"/>
                <w:i w:val="0"/>
                <w:iCs w:val="0"/>
                <w:color w:val="000000"/>
                <w:kern w:val="0"/>
                <w:sz w:val="21"/>
                <w:szCs w:val="21"/>
                <w:u w:val="none"/>
                <w:lang w:val="en-US" w:eastAsia="zh-CN" w:bidi="ar"/>
              </w:rPr>
              <w:t>100.00</w:t>
            </w:r>
            <w:r>
              <w:rPr>
                <w:rFonts w:hint="eastAsia" w:ascii="仿宋" w:hAnsi="仿宋" w:eastAsia="仿宋" w:cs="仿宋"/>
                <w:i w:val="0"/>
                <w:iCs w:val="0"/>
                <w:color w:val="000000"/>
                <w:kern w:val="0"/>
                <w:sz w:val="21"/>
                <w:szCs w:val="21"/>
                <w:u w:val="none"/>
                <w:lang w:val="en-US" w:eastAsia="zh-CN" w:bidi="ar"/>
              </w:rPr>
              <w:t>%</w:t>
            </w:r>
          </w:p>
        </w:tc>
      </w:tr>
      <w:tr w14:paraId="135ECDC8">
        <w:trPr>
          <w:trHeight w:val="447" w:hRule="atLeast"/>
          <w:jc w:val="center"/>
        </w:trPr>
        <w:tc>
          <w:tcPr>
            <w:tcW w:w="2212" w:type="dxa"/>
            <w:vAlign w:val="center"/>
          </w:tcPr>
          <w:p w14:paraId="4CEF6C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hAnsi="仿宋" w:eastAsia="仿宋" w:cs="宋体"/>
                <w:bCs/>
                <w:spacing w:val="6"/>
                <w:sz w:val="21"/>
                <w:highlight w:val="none"/>
                <w:lang w:val="en-US" w:eastAsia="zh-CN"/>
              </w:rPr>
            </w:pPr>
            <w:r>
              <w:rPr>
                <w:rFonts w:hint="eastAsia" w:hAnsi="仿宋" w:cs="宋体"/>
                <w:bCs/>
                <w:spacing w:val="6"/>
                <w:sz w:val="21"/>
                <w:highlight w:val="none"/>
                <w:lang w:val="en-US" w:eastAsia="zh-CN"/>
              </w:rPr>
              <w:t>效益</w:t>
            </w:r>
          </w:p>
        </w:tc>
        <w:tc>
          <w:tcPr>
            <w:tcW w:w="2211" w:type="dxa"/>
            <w:vAlign w:val="center"/>
          </w:tcPr>
          <w:p w14:paraId="1AF34C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30.00</w:t>
            </w:r>
          </w:p>
        </w:tc>
        <w:tc>
          <w:tcPr>
            <w:tcW w:w="2211" w:type="dxa"/>
            <w:vAlign w:val="center"/>
          </w:tcPr>
          <w:p w14:paraId="44E4AD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29.29</w:t>
            </w:r>
          </w:p>
        </w:tc>
        <w:tc>
          <w:tcPr>
            <w:tcW w:w="2211" w:type="dxa"/>
            <w:vAlign w:val="center"/>
          </w:tcPr>
          <w:p w14:paraId="7AB379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Cs/>
                <w:spacing w:val="6"/>
                <w:sz w:val="21"/>
                <w:highlight w:val="none"/>
              </w:rPr>
            </w:pPr>
            <w:r>
              <w:rPr>
                <w:rFonts w:hint="eastAsia" w:hAnsi="仿宋" w:cs="仿宋"/>
                <w:i w:val="0"/>
                <w:iCs w:val="0"/>
                <w:color w:val="000000"/>
                <w:kern w:val="0"/>
                <w:sz w:val="21"/>
                <w:szCs w:val="21"/>
                <w:u w:val="none"/>
                <w:lang w:val="en-US" w:eastAsia="zh-CN" w:bidi="ar"/>
              </w:rPr>
              <w:t>97.63</w:t>
            </w:r>
            <w:r>
              <w:rPr>
                <w:rFonts w:hint="eastAsia" w:ascii="仿宋" w:hAnsi="仿宋" w:eastAsia="仿宋" w:cs="仿宋"/>
                <w:i w:val="0"/>
                <w:iCs w:val="0"/>
                <w:color w:val="000000"/>
                <w:kern w:val="0"/>
                <w:sz w:val="21"/>
                <w:szCs w:val="21"/>
                <w:u w:val="none"/>
                <w:lang w:val="en-US" w:eastAsia="zh-CN" w:bidi="ar"/>
              </w:rPr>
              <w:t>%</w:t>
            </w:r>
          </w:p>
        </w:tc>
      </w:tr>
      <w:tr w14:paraId="76100449">
        <w:trPr>
          <w:trHeight w:val="472" w:hRule="atLeast"/>
          <w:jc w:val="center"/>
        </w:trPr>
        <w:tc>
          <w:tcPr>
            <w:tcW w:w="2212" w:type="dxa"/>
            <w:vAlign w:val="center"/>
          </w:tcPr>
          <w:p w14:paraId="1CAD47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合</w:t>
            </w:r>
            <w:r>
              <w:rPr>
                <w:rStyle w:val="47"/>
                <w:lang w:val="en-US" w:eastAsia="zh-CN" w:bidi="ar"/>
              </w:rPr>
              <w:t xml:space="preserve"> 计</w:t>
            </w:r>
          </w:p>
        </w:tc>
        <w:tc>
          <w:tcPr>
            <w:tcW w:w="2211" w:type="dxa"/>
            <w:vAlign w:val="center"/>
          </w:tcPr>
          <w:p w14:paraId="57860A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cs="宋体"/>
                <w:b/>
                <w:bCs/>
                <w:spacing w:val="6"/>
                <w:sz w:val="21"/>
                <w:highlight w:val="none"/>
                <w:lang w:val="en-US"/>
              </w:rPr>
            </w:pPr>
            <w:r>
              <w:rPr>
                <w:rFonts w:hint="eastAsia" w:ascii="仿宋" w:hAnsi="仿宋" w:eastAsia="仿宋" w:cs="仿宋"/>
                <w:b/>
                <w:bCs/>
                <w:i w:val="0"/>
                <w:iCs w:val="0"/>
                <w:color w:val="000000"/>
                <w:kern w:val="0"/>
                <w:sz w:val="21"/>
                <w:szCs w:val="21"/>
                <w:u w:val="none"/>
                <w:lang w:val="en-US" w:eastAsia="zh-CN" w:bidi="ar"/>
              </w:rPr>
              <w:t>100</w:t>
            </w:r>
            <w:r>
              <w:rPr>
                <w:rFonts w:hint="eastAsia" w:hAnsi="仿宋" w:cs="仿宋"/>
                <w:b/>
                <w:bCs/>
                <w:i w:val="0"/>
                <w:iCs w:val="0"/>
                <w:color w:val="000000"/>
                <w:kern w:val="0"/>
                <w:sz w:val="21"/>
                <w:szCs w:val="21"/>
                <w:u w:val="none"/>
                <w:lang w:val="en-US" w:eastAsia="zh-CN" w:bidi="ar"/>
              </w:rPr>
              <w:t>.00</w:t>
            </w:r>
          </w:p>
        </w:tc>
        <w:tc>
          <w:tcPr>
            <w:tcW w:w="2211" w:type="dxa"/>
            <w:vAlign w:val="center"/>
          </w:tcPr>
          <w:p w14:paraId="00098A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
                <w:bCs/>
                <w:spacing w:val="6"/>
                <w:sz w:val="21"/>
                <w:highlight w:val="none"/>
                <w:lang w:val="en-US" w:eastAsia="zh-CN"/>
              </w:rPr>
            </w:pPr>
            <w:r>
              <w:rPr>
                <w:rFonts w:hint="eastAsia" w:hAnsi="仿宋" w:cs="宋体"/>
                <w:b/>
                <w:bCs/>
                <w:spacing w:val="6"/>
                <w:sz w:val="21"/>
                <w:highlight w:val="none"/>
                <w:lang w:val="en-US" w:eastAsia="zh-CN"/>
              </w:rPr>
              <w:t>94.29</w:t>
            </w:r>
          </w:p>
        </w:tc>
        <w:tc>
          <w:tcPr>
            <w:tcW w:w="2211" w:type="dxa"/>
            <w:vAlign w:val="center"/>
          </w:tcPr>
          <w:p w14:paraId="28DEBB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spacing w:val="6"/>
                <w:sz w:val="21"/>
                <w:highlight w:val="none"/>
              </w:rPr>
            </w:pPr>
            <w:r>
              <w:rPr>
                <w:rFonts w:hint="eastAsia" w:hAnsi="仿宋" w:cs="仿宋"/>
                <w:b/>
                <w:bCs/>
                <w:i w:val="0"/>
                <w:iCs w:val="0"/>
                <w:color w:val="000000"/>
                <w:kern w:val="0"/>
                <w:sz w:val="21"/>
                <w:szCs w:val="21"/>
                <w:u w:val="none"/>
                <w:lang w:val="en-US" w:eastAsia="zh-CN" w:bidi="ar"/>
              </w:rPr>
              <w:t>94.29</w:t>
            </w:r>
            <w:r>
              <w:rPr>
                <w:rFonts w:hint="eastAsia" w:ascii="仿宋" w:hAnsi="仿宋" w:eastAsia="仿宋" w:cs="仿宋"/>
                <w:b/>
                <w:bCs/>
                <w:i w:val="0"/>
                <w:iCs w:val="0"/>
                <w:color w:val="000000"/>
                <w:kern w:val="0"/>
                <w:sz w:val="21"/>
                <w:szCs w:val="21"/>
                <w:u w:val="none"/>
                <w:lang w:val="en-US" w:eastAsia="zh-CN" w:bidi="ar"/>
              </w:rPr>
              <w:t>%</w:t>
            </w:r>
          </w:p>
        </w:tc>
      </w:tr>
      <w:bookmarkEnd w:id="23"/>
    </w:tbl>
    <w:p w14:paraId="62AC4DB8">
      <w:pPr>
        <w:ind w:firstLine="630"/>
        <w:rPr>
          <w:rFonts w:hint="eastAsia" w:hAnsi="仿宋" w:cs="Times New Roman"/>
          <w:szCs w:val="30"/>
          <w:highlight w:val="none"/>
        </w:rPr>
      </w:pPr>
      <w:bookmarkStart w:id="24" w:name="_Toc3631"/>
      <w:r>
        <w:rPr>
          <w:rFonts w:hint="eastAsia" w:hAnsi="仿宋" w:cs="Times New Roman"/>
          <w:szCs w:val="30"/>
          <w:highlight w:val="none"/>
        </w:rPr>
        <w:t>整体来看，昆明市西山区西苑街道办事处免费开放社会管理公厕补助专项资金项目紧扣“改善民生、提升城市精细化管理水平”的总体目标，符合国家关于城市公共服务设施管理和财政资金绩效管理的相关要求。项目立项依据充分，程序规范，资金拨付与使用符合《西政办通〔2017〕67号关于印发〈西山区公厕免费开放管理工作方案〉的通知》和《昆明市城市管理局、中共昆明市委城市管理委员会办公室关于印发〈昆明市公厕专项整治工作方案〉的通知》等文件规定，审批程序完整，未发现截留、挤占、挪用等违规情况。</w:t>
      </w:r>
    </w:p>
    <w:p w14:paraId="790EB59C">
      <w:pPr>
        <w:ind w:firstLine="630"/>
        <w:rPr>
          <w:rFonts w:hint="eastAsia" w:hAnsi="仿宋" w:cs="Times New Roman"/>
          <w:szCs w:val="30"/>
          <w:highlight w:val="none"/>
        </w:rPr>
      </w:pPr>
      <w:r>
        <w:rPr>
          <w:rFonts w:hint="eastAsia" w:hAnsi="仿宋" w:cs="Times New Roman"/>
          <w:szCs w:val="30"/>
          <w:highlight w:val="none"/>
        </w:rPr>
        <w:t>为确保项目顺利实施，西苑街道办事处建立了由城市管理综合服务中心牵头的日常巡查和监督机制，明确经费保障、工作职责与台账记录制度，对巡查频率、内容及问题整改形成了制度化安排，并将相关要求纳入年度管理协议绩效目标之中，确保了项目工作落实和监督到位。</w:t>
      </w:r>
    </w:p>
    <w:p w14:paraId="6722701E">
      <w:pPr>
        <w:ind w:firstLine="630"/>
        <w:rPr>
          <w:rFonts w:hint="eastAsia" w:hAnsi="仿宋" w:cs="Times New Roman"/>
          <w:szCs w:val="30"/>
          <w:highlight w:val="none"/>
        </w:rPr>
      </w:pPr>
      <w:r>
        <w:rPr>
          <w:rFonts w:hint="eastAsia" w:hAnsi="仿宋" w:cs="Times New Roman"/>
          <w:szCs w:val="30"/>
          <w:highlight w:val="none"/>
        </w:rPr>
        <w:t>项目执行总体规范，资金运行安全有效，绩效目标实现情况良好。</w:t>
      </w:r>
    </w:p>
    <w:p w14:paraId="3A61D141">
      <w:pPr>
        <w:ind w:firstLine="630"/>
        <w:rPr>
          <w:rFonts w:hint="eastAsia" w:hAnsi="仿宋" w:cs="Times New Roman"/>
          <w:szCs w:val="30"/>
          <w:highlight w:val="none"/>
        </w:rPr>
      </w:pPr>
      <w:r>
        <w:rPr>
          <w:rFonts w:hint="eastAsia" w:hAnsi="仿宋" w:cs="Times New Roman"/>
          <w:szCs w:val="30"/>
          <w:highlight w:val="none"/>
        </w:rPr>
        <w:t>通过项目实施，辖区内8座社会管理公厕实现了免费开放与标准化维护管理，公厕设施环境明显改善，群众使用满意度高，城市公共服务品质得到进一步提升。项目有效缓解了群众如厕难、环境卫生维护难等问题，提升了城市形象，对促进社会公共服务均等化、推动城市管理现代化具有积极意义。整体绩效表现良好，资金使用规范，项目目标全面完成。</w:t>
      </w:r>
    </w:p>
    <w:p w14:paraId="670E2471">
      <w:pPr>
        <w:spacing w:line="579" w:lineRule="exact"/>
        <w:ind w:firstLine="630" w:firstLineChars="200"/>
        <w:outlineLvl w:val="1"/>
        <w:rPr>
          <w:rFonts w:ascii="楷体" w:hAnsi="楷体" w:eastAsia="楷体"/>
          <w:szCs w:val="30"/>
        </w:rPr>
      </w:pPr>
      <w:r>
        <w:rPr>
          <w:rFonts w:hint="eastAsia" w:ascii="楷体" w:hAnsi="楷体" w:eastAsia="楷体"/>
          <w:szCs w:val="30"/>
        </w:rPr>
        <w:t>（二）绩效目标实现情况</w:t>
      </w:r>
      <w:bookmarkEnd w:id="24"/>
    </w:p>
    <w:p w14:paraId="19DADF9E">
      <w:pPr>
        <w:ind w:firstLine="630"/>
        <w:rPr>
          <w:rFonts w:hint="eastAsia" w:hAnsi="仿宋"/>
          <w:szCs w:val="30"/>
          <w:highlight w:val="none"/>
        </w:rPr>
      </w:pPr>
      <w:bookmarkStart w:id="25" w:name="_Hlk26007902"/>
      <w:bookmarkStart w:id="26" w:name="_Hlk525314457"/>
      <w:r>
        <w:rPr>
          <w:rFonts w:hint="eastAsia" w:hAnsi="仿宋"/>
          <w:szCs w:val="30"/>
          <w:highlight w:val="none"/>
        </w:rPr>
        <w:t>根据评价情况，昆明市西山区西苑街道免费开放社会管理公厕补助专项资金项目各项绩效目标总体实现情况良好，全部绩效指标均完成预定目标。经核查，本项目共设定20项具体绩效指标，其中1</w:t>
      </w:r>
      <w:r>
        <w:rPr>
          <w:rFonts w:hint="eastAsia" w:hAnsi="仿宋"/>
          <w:szCs w:val="30"/>
          <w:highlight w:val="none"/>
          <w:lang w:val="en-US" w:eastAsia="zh-CN"/>
        </w:rPr>
        <w:t>7</w:t>
      </w:r>
      <w:r>
        <w:rPr>
          <w:rFonts w:hint="eastAsia" w:hAnsi="仿宋"/>
          <w:szCs w:val="30"/>
          <w:highlight w:val="none"/>
        </w:rPr>
        <w:t>项指标已全面完成，完成比例达</w:t>
      </w:r>
      <w:r>
        <w:rPr>
          <w:rFonts w:hint="eastAsia" w:hAnsi="仿宋"/>
          <w:szCs w:val="30"/>
          <w:highlight w:val="none"/>
          <w:lang w:val="en-US" w:eastAsia="zh-CN"/>
        </w:rPr>
        <w:t>85.00</w:t>
      </w:r>
      <w:r>
        <w:rPr>
          <w:rFonts w:hint="eastAsia" w:hAnsi="仿宋"/>
          <w:szCs w:val="30"/>
          <w:highlight w:val="none"/>
        </w:rPr>
        <w:t>%；</w:t>
      </w:r>
      <w:r>
        <w:rPr>
          <w:rFonts w:hint="eastAsia" w:hAnsi="仿宋"/>
          <w:szCs w:val="30"/>
          <w:highlight w:val="none"/>
          <w:lang w:val="en-US" w:eastAsia="zh-CN"/>
        </w:rPr>
        <w:t>3</w:t>
      </w:r>
      <w:r>
        <w:rPr>
          <w:rFonts w:hint="eastAsia" w:hAnsi="仿宋"/>
          <w:szCs w:val="30"/>
          <w:highlight w:val="none"/>
        </w:rPr>
        <w:t>项指标部分完成，部分完成率为</w:t>
      </w:r>
      <w:r>
        <w:rPr>
          <w:rFonts w:hint="eastAsia" w:hAnsi="仿宋"/>
          <w:szCs w:val="30"/>
          <w:highlight w:val="none"/>
          <w:lang w:val="en-US" w:eastAsia="zh-CN"/>
        </w:rPr>
        <w:t>15.00</w:t>
      </w:r>
      <w:r>
        <w:rPr>
          <w:rFonts w:hint="eastAsia" w:hAnsi="仿宋"/>
          <w:szCs w:val="30"/>
          <w:highlight w:val="none"/>
        </w:rPr>
        <w:t>%；无未完成指标，未实现比例为0</w:t>
      </w:r>
      <w:r>
        <w:rPr>
          <w:rFonts w:hint="eastAsia" w:hAnsi="仿宋"/>
          <w:szCs w:val="30"/>
          <w:highlight w:val="none"/>
          <w:lang w:val="en-US" w:eastAsia="zh-CN"/>
        </w:rPr>
        <w:t>.00</w:t>
      </w:r>
      <w:r>
        <w:rPr>
          <w:rFonts w:hint="eastAsia" w:hAnsi="仿宋"/>
          <w:szCs w:val="30"/>
          <w:highlight w:val="none"/>
        </w:rPr>
        <w:t>%。</w:t>
      </w:r>
      <w:bookmarkEnd w:id="25"/>
      <w:r>
        <w:rPr>
          <w:rFonts w:hint="eastAsia" w:hAnsi="仿宋"/>
          <w:szCs w:val="30"/>
          <w:highlight w:val="none"/>
        </w:rPr>
        <w:t>各指标完成情况详见下表：</w:t>
      </w:r>
    </w:p>
    <w:p w14:paraId="3E0E3AE1">
      <w:pPr>
        <w:pStyle w:val="2"/>
        <w:rPr>
          <w:rFonts w:hint="eastAsia" w:hAnsi="仿宋"/>
          <w:szCs w:val="30"/>
          <w:highlight w:val="none"/>
        </w:rPr>
      </w:pPr>
    </w:p>
    <w:p w14:paraId="23295EAF">
      <w:pPr>
        <w:rPr>
          <w:rFonts w:hint="eastAsia" w:hAnsi="仿宋"/>
          <w:szCs w:val="30"/>
          <w:highlight w:val="none"/>
        </w:rPr>
      </w:pPr>
    </w:p>
    <w:p w14:paraId="4A2E926F">
      <w:pPr>
        <w:pStyle w:val="2"/>
        <w:rPr>
          <w:rFonts w:hint="eastAsia" w:hAnsi="仿宋"/>
          <w:szCs w:val="30"/>
          <w:highlight w:val="none"/>
        </w:rPr>
      </w:pPr>
    </w:p>
    <w:p w14:paraId="70AEF1A8">
      <w:pPr>
        <w:rPr>
          <w:rFonts w:hint="eastAsia" w:hAnsi="仿宋"/>
          <w:szCs w:val="30"/>
          <w:highlight w:val="none"/>
        </w:rPr>
      </w:pPr>
    </w:p>
    <w:p w14:paraId="684197A2">
      <w:pPr>
        <w:pStyle w:val="2"/>
        <w:rPr>
          <w:rFonts w:hint="eastAsia"/>
        </w:rPr>
      </w:pPr>
    </w:p>
    <w:p w14:paraId="56B0DBAF">
      <w:pPr>
        <w:ind w:firstLine="630"/>
        <w:jc w:val="center"/>
        <w:rPr>
          <w:rFonts w:hint="eastAsia" w:ascii="黑体" w:hAnsi="黑体" w:eastAsia="黑体" w:cs="宋体"/>
          <w:bCs/>
          <w:sz w:val="24"/>
          <w:szCs w:val="24"/>
        </w:rPr>
      </w:pPr>
      <w:r>
        <w:rPr>
          <w:rFonts w:hint="eastAsia" w:ascii="黑体" w:hAnsi="黑体" w:eastAsia="黑体" w:cs="宋体"/>
          <w:bCs/>
          <w:sz w:val="24"/>
          <w:szCs w:val="24"/>
        </w:rPr>
        <w:t>表</w:t>
      </w:r>
      <w:r>
        <w:rPr>
          <w:rFonts w:hint="eastAsia" w:ascii="黑体" w:hAnsi="黑体" w:eastAsia="黑体" w:cs="宋体"/>
          <w:bCs/>
          <w:sz w:val="24"/>
          <w:szCs w:val="24"/>
          <w:lang w:val="en-US" w:eastAsia="zh-CN"/>
        </w:rPr>
        <w:t xml:space="preserve">3 </w:t>
      </w:r>
      <w:r>
        <w:rPr>
          <w:rFonts w:hint="eastAsia" w:ascii="黑体" w:hAnsi="黑体" w:eastAsia="黑体" w:cs="宋体"/>
          <w:bCs/>
          <w:sz w:val="24"/>
          <w:szCs w:val="24"/>
        </w:rPr>
        <w:t>绩效指标完成情况表</w:t>
      </w:r>
    </w:p>
    <w:tbl>
      <w:tblPr>
        <w:tblStyle w:val="20"/>
        <w:tblW w:w="8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648"/>
        <w:gridCol w:w="648"/>
        <w:gridCol w:w="2929"/>
        <w:gridCol w:w="984"/>
        <w:gridCol w:w="2763"/>
      </w:tblGrid>
      <w:tr w14:paraId="5D9CCE0E">
        <w:trPr>
          <w:trHeight w:val="695" w:hRule="atLeast"/>
          <w:tblHead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0F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08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40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31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指标说明</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EA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实现</w:t>
            </w:r>
          </w:p>
          <w:p w14:paraId="663006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情况</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7E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完成情况说明</w:t>
            </w:r>
          </w:p>
        </w:tc>
      </w:tr>
      <w:tr w14:paraId="5D095D4B">
        <w:trPr>
          <w:trHeight w:val="1560" w:hRule="atLeast"/>
          <w:tblHeader/>
        </w:trPr>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030C4F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项目决策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（20分）</w:t>
            </w:r>
          </w:p>
        </w:tc>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380ED7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项目立项（8分）</w:t>
            </w:r>
          </w:p>
        </w:tc>
        <w:tc>
          <w:tcPr>
            <w:tcW w:w="648" w:type="dxa"/>
            <w:tcBorders>
              <w:top w:val="single" w:color="000000" w:sz="4" w:space="0"/>
              <w:left w:val="single" w:color="000000" w:sz="4" w:space="0"/>
              <w:bottom w:val="nil"/>
              <w:right w:val="single" w:color="000000" w:sz="4" w:space="0"/>
            </w:tcBorders>
            <w:shd w:val="clear" w:color="auto" w:fill="auto"/>
            <w:vAlign w:val="center"/>
          </w:tcPr>
          <w:p w14:paraId="0E034B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立项依据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充分性（4分）</w:t>
            </w:r>
          </w:p>
        </w:tc>
        <w:tc>
          <w:tcPr>
            <w:tcW w:w="2929" w:type="dxa"/>
            <w:tcBorders>
              <w:top w:val="single" w:color="000000" w:sz="4" w:space="0"/>
              <w:left w:val="single" w:color="000000" w:sz="4" w:space="0"/>
              <w:bottom w:val="nil"/>
              <w:right w:val="single" w:color="000000" w:sz="4" w:space="0"/>
            </w:tcBorders>
            <w:shd w:val="clear" w:color="auto" w:fill="auto"/>
            <w:vAlign w:val="center"/>
          </w:tcPr>
          <w:p w14:paraId="117A2A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①项目立项是否符合相关发展规划和决策；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②项目是否与部门职责密切相关；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③项目是否与部门中长期目标相匹配；</w:t>
            </w:r>
          </w:p>
        </w:tc>
        <w:tc>
          <w:tcPr>
            <w:tcW w:w="984" w:type="dxa"/>
            <w:tcBorders>
              <w:top w:val="single" w:color="000000" w:sz="4" w:space="0"/>
              <w:left w:val="single" w:color="000000" w:sz="4" w:space="0"/>
              <w:bottom w:val="nil"/>
              <w:right w:val="single" w:color="000000" w:sz="4" w:space="0"/>
            </w:tcBorders>
            <w:shd w:val="clear" w:color="auto" w:fill="auto"/>
            <w:vAlign w:val="center"/>
          </w:tcPr>
          <w:p w14:paraId="789185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nil"/>
              <w:right w:val="single" w:color="000000" w:sz="4" w:space="0"/>
            </w:tcBorders>
            <w:shd w:val="clear" w:color="auto" w:fill="auto"/>
            <w:vAlign w:val="center"/>
          </w:tcPr>
          <w:p w14:paraId="4481F2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项目符合相关部门的发展和决策，与项目实施单位或委托单位职责密切相关，与项目实施单位或委托单位中长期目标相匹配，</w:t>
            </w:r>
          </w:p>
        </w:tc>
      </w:tr>
      <w:tr w14:paraId="2DFBDF30">
        <w:trPr>
          <w:trHeight w:val="1500" w:hRule="atLeast"/>
          <w:tblHeader/>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1853DF7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2AF2864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tcBorders>
              <w:top w:val="single" w:color="000000" w:sz="4" w:space="0"/>
              <w:left w:val="single" w:color="000000" w:sz="4" w:space="0"/>
              <w:bottom w:val="nil"/>
              <w:right w:val="single" w:color="000000" w:sz="4" w:space="0"/>
            </w:tcBorders>
            <w:shd w:val="clear" w:color="auto" w:fill="auto"/>
            <w:vAlign w:val="center"/>
          </w:tcPr>
          <w:p w14:paraId="70C1EC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立项程序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规范性（4分）</w:t>
            </w:r>
          </w:p>
        </w:tc>
        <w:tc>
          <w:tcPr>
            <w:tcW w:w="2929" w:type="dxa"/>
            <w:tcBorders>
              <w:top w:val="single" w:color="000000" w:sz="4" w:space="0"/>
              <w:left w:val="single" w:color="000000" w:sz="4" w:space="0"/>
              <w:bottom w:val="nil"/>
              <w:right w:val="single" w:color="000000" w:sz="4" w:space="0"/>
            </w:tcBorders>
            <w:shd w:val="clear" w:color="auto" w:fill="auto"/>
            <w:vAlign w:val="center"/>
          </w:tcPr>
          <w:p w14:paraId="1B3837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①项目是否经过前期调研；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②项目申请、设立过程是否符合相关程序要求，是否经过申报、审议、集体决策。</w:t>
            </w:r>
          </w:p>
        </w:tc>
        <w:tc>
          <w:tcPr>
            <w:tcW w:w="984" w:type="dxa"/>
            <w:tcBorders>
              <w:top w:val="single" w:color="000000" w:sz="4" w:space="0"/>
              <w:left w:val="single" w:color="000000" w:sz="4" w:space="0"/>
              <w:bottom w:val="nil"/>
              <w:right w:val="single" w:color="000000" w:sz="4" w:space="0"/>
            </w:tcBorders>
            <w:shd w:val="clear" w:color="auto" w:fill="auto"/>
            <w:vAlign w:val="center"/>
          </w:tcPr>
          <w:p w14:paraId="0A276D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nil"/>
              <w:right w:val="single" w:color="000000" w:sz="4" w:space="0"/>
            </w:tcBorders>
            <w:shd w:val="clear" w:color="auto" w:fill="auto"/>
            <w:vAlign w:val="center"/>
          </w:tcPr>
          <w:p w14:paraId="495FE0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项目按照规定的程序申请设立；审批文件、材料符合相关要求；事前已经过必要的可行性研究，专家论证、风险评估、绩效评估、集体决策。</w:t>
            </w:r>
          </w:p>
        </w:tc>
      </w:tr>
      <w:tr w14:paraId="59AAEC9D">
        <w:trPr>
          <w:trHeight w:val="1940" w:hRule="atLeast"/>
          <w:tblHeader/>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6FDF984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55002E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绩效目标（12分）</w:t>
            </w:r>
          </w:p>
        </w:tc>
        <w:tc>
          <w:tcPr>
            <w:tcW w:w="648" w:type="dxa"/>
            <w:tcBorders>
              <w:top w:val="single" w:color="000000" w:sz="4" w:space="0"/>
              <w:left w:val="single" w:color="000000" w:sz="4" w:space="0"/>
              <w:bottom w:val="nil"/>
              <w:right w:val="single" w:color="000000" w:sz="4" w:space="0"/>
            </w:tcBorders>
            <w:shd w:val="clear" w:color="auto" w:fill="auto"/>
            <w:vAlign w:val="center"/>
          </w:tcPr>
          <w:p w14:paraId="681D60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合理性（6分）</w:t>
            </w:r>
          </w:p>
        </w:tc>
        <w:tc>
          <w:tcPr>
            <w:tcW w:w="2929" w:type="dxa"/>
            <w:tcBorders>
              <w:top w:val="single" w:color="000000" w:sz="4" w:space="0"/>
              <w:left w:val="single" w:color="000000" w:sz="4" w:space="0"/>
              <w:bottom w:val="nil"/>
              <w:right w:val="single" w:color="000000" w:sz="4" w:space="0"/>
            </w:tcBorders>
            <w:shd w:val="clear" w:color="auto" w:fill="auto"/>
            <w:vAlign w:val="center"/>
          </w:tcPr>
          <w:p w14:paraId="67D0A9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(如未设定预算绩效目标，也可考核其他工作任务目标)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①项目是否有绩效目标；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②项目绩效目标与实际工作内容是否具有相关性；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③项目绩效目标是否完整反映预期产出和效果；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④是否与预算确定的项目投资额或资金量相匹配。</w:t>
            </w:r>
          </w:p>
        </w:tc>
        <w:tc>
          <w:tcPr>
            <w:tcW w:w="984" w:type="dxa"/>
            <w:tcBorders>
              <w:top w:val="single" w:color="000000" w:sz="4" w:space="0"/>
              <w:left w:val="single" w:color="000000" w:sz="4" w:space="0"/>
              <w:bottom w:val="nil"/>
              <w:right w:val="single" w:color="000000" w:sz="4" w:space="0"/>
            </w:tcBorders>
            <w:shd w:val="clear" w:color="auto" w:fill="auto"/>
            <w:vAlign w:val="center"/>
          </w:tcPr>
          <w:p w14:paraId="595CB3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nil"/>
              <w:right w:val="single" w:color="000000" w:sz="4" w:space="0"/>
            </w:tcBorders>
            <w:shd w:val="clear" w:color="auto" w:fill="auto"/>
            <w:vAlign w:val="center"/>
          </w:tcPr>
          <w:p w14:paraId="6D55C7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项目有绩效目标；项目绩效目标与实际工作内容具有相关性；项目预期产出效益和效果符合正常的业绩水平；与预算确定的项目投资额或资金量相匹配。</w:t>
            </w:r>
          </w:p>
        </w:tc>
      </w:tr>
      <w:tr w14:paraId="731DFBC6">
        <w:trPr>
          <w:trHeight w:val="1580" w:hRule="atLeast"/>
          <w:tblHeader/>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3F81593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265D1A5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tcBorders>
              <w:top w:val="single" w:color="000000" w:sz="4" w:space="0"/>
              <w:left w:val="single" w:color="000000" w:sz="4" w:space="0"/>
              <w:bottom w:val="nil"/>
              <w:right w:val="single" w:color="000000" w:sz="4" w:space="0"/>
            </w:tcBorders>
            <w:shd w:val="clear" w:color="auto" w:fill="auto"/>
            <w:vAlign w:val="center"/>
          </w:tcPr>
          <w:p w14:paraId="7FE616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明确性（6分）</w:t>
            </w:r>
          </w:p>
        </w:tc>
        <w:tc>
          <w:tcPr>
            <w:tcW w:w="2929" w:type="dxa"/>
            <w:tcBorders>
              <w:top w:val="single" w:color="000000" w:sz="4" w:space="0"/>
              <w:left w:val="single" w:color="000000" w:sz="4" w:space="0"/>
              <w:bottom w:val="nil"/>
              <w:right w:val="single" w:color="000000" w:sz="4" w:space="0"/>
            </w:tcBorders>
            <w:shd w:val="clear" w:color="auto" w:fill="auto"/>
            <w:vAlign w:val="center"/>
          </w:tcPr>
          <w:p w14:paraId="06A9DD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①是否将项目绩效目标细化分解为具体的绩效指标；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②是否通过清晰、可衡量的指标值予以体现；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③是否与项目目标任务数或计划数相对应。</w:t>
            </w:r>
          </w:p>
        </w:tc>
        <w:tc>
          <w:tcPr>
            <w:tcW w:w="984" w:type="dxa"/>
            <w:tcBorders>
              <w:top w:val="single" w:color="000000" w:sz="4" w:space="0"/>
              <w:left w:val="single" w:color="000000" w:sz="4" w:space="0"/>
              <w:bottom w:val="nil"/>
              <w:right w:val="single" w:color="000000" w:sz="4" w:space="0"/>
            </w:tcBorders>
            <w:shd w:val="clear" w:color="auto" w:fill="auto"/>
            <w:vAlign w:val="center"/>
          </w:tcPr>
          <w:p w14:paraId="115BB9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w:t>
            </w:r>
          </w:p>
          <w:p w14:paraId="5075A1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2763" w:type="dxa"/>
            <w:tcBorders>
              <w:top w:val="single" w:color="000000" w:sz="4" w:space="0"/>
              <w:left w:val="single" w:color="000000" w:sz="4" w:space="0"/>
              <w:bottom w:val="nil"/>
              <w:right w:val="single" w:color="000000" w:sz="4" w:space="0"/>
            </w:tcBorders>
            <w:shd w:val="clear" w:color="auto" w:fill="auto"/>
            <w:vAlign w:val="center"/>
          </w:tcPr>
          <w:p w14:paraId="5D90F6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将绩效目标细化分解为具体的绩效指标；通过清晰、可衡量的指标值予以体现；与项目目标任务数或计划数相对应；设置了清晰检查节点和检查标准。原设置绩效目标中，均没有设置完整清晰可量化的评分标准，不符合②③，扣除4分</w:t>
            </w:r>
          </w:p>
        </w:tc>
      </w:tr>
      <w:tr w14:paraId="29757E2F">
        <w:trPr>
          <w:trHeight w:val="2260" w:hRule="atLeast"/>
          <w:tblHeader/>
        </w:trPr>
        <w:tc>
          <w:tcPr>
            <w:tcW w:w="648" w:type="dxa"/>
            <w:vMerge w:val="restart"/>
            <w:tcBorders>
              <w:top w:val="nil"/>
              <w:left w:val="single" w:color="000000" w:sz="4" w:space="0"/>
              <w:bottom w:val="nil"/>
              <w:right w:val="single" w:color="000000" w:sz="4" w:space="0"/>
            </w:tcBorders>
            <w:shd w:val="clear" w:color="auto" w:fill="auto"/>
            <w:vAlign w:val="center"/>
          </w:tcPr>
          <w:p w14:paraId="08562B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（20分）</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061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资金投入（4分）</w:t>
            </w:r>
          </w:p>
        </w:tc>
        <w:tc>
          <w:tcPr>
            <w:tcW w:w="648" w:type="dxa"/>
            <w:tcBorders>
              <w:top w:val="single" w:color="000000" w:sz="4" w:space="0"/>
              <w:left w:val="single" w:color="000000" w:sz="4" w:space="0"/>
              <w:bottom w:val="nil"/>
              <w:right w:val="single" w:color="000000" w:sz="4" w:space="0"/>
            </w:tcBorders>
            <w:shd w:val="clear" w:color="auto" w:fill="auto"/>
            <w:vAlign w:val="center"/>
          </w:tcPr>
          <w:p w14:paraId="0BD328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预算编制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合理性（1分）</w:t>
            </w:r>
          </w:p>
        </w:tc>
        <w:tc>
          <w:tcPr>
            <w:tcW w:w="2929" w:type="dxa"/>
            <w:tcBorders>
              <w:top w:val="single" w:color="000000" w:sz="4" w:space="0"/>
              <w:left w:val="single" w:color="000000" w:sz="4" w:space="0"/>
              <w:bottom w:val="nil"/>
              <w:right w:val="single" w:color="000000" w:sz="4" w:space="0"/>
            </w:tcBorders>
            <w:shd w:val="clear" w:color="auto" w:fill="auto"/>
            <w:vAlign w:val="center"/>
          </w:tcPr>
          <w:p w14:paraId="1D45FC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①预算编制是否经过科学论证；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②预算内容与项目内容是否匹配；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③预算额度测算依据是否充分，是否按照标准编制；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④预算确定的项目投资额或资金量是否与工作任务相匹配。</w:t>
            </w:r>
          </w:p>
        </w:tc>
        <w:tc>
          <w:tcPr>
            <w:tcW w:w="984" w:type="dxa"/>
            <w:tcBorders>
              <w:top w:val="single" w:color="000000" w:sz="4" w:space="0"/>
              <w:left w:val="single" w:color="000000" w:sz="4" w:space="0"/>
              <w:bottom w:val="nil"/>
              <w:right w:val="single" w:color="000000" w:sz="4" w:space="0"/>
            </w:tcBorders>
            <w:shd w:val="clear" w:color="auto" w:fill="auto"/>
            <w:vAlign w:val="center"/>
          </w:tcPr>
          <w:p w14:paraId="7987D3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nil"/>
              <w:right w:val="single" w:color="000000" w:sz="4" w:space="0"/>
            </w:tcBorders>
            <w:shd w:val="clear" w:color="auto" w:fill="auto"/>
            <w:vAlign w:val="center"/>
          </w:tcPr>
          <w:p w14:paraId="479942F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项目预算编制经过科学论证；预算内容与项目内容匹配；预算额度测算依据充分，按照标准编制；预算确定的项目投资额或资金量与工作任务相匹配。预算在去年相同内容的基础上，按照分类补助标准设置</w:t>
            </w:r>
          </w:p>
        </w:tc>
      </w:tr>
      <w:tr w14:paraId="5E2DBFDB">
        <w:trPr>
          <w:trHeight w:val="2260" w:hRule="atLeast"/>
          <w:tblHeader/>
        </w:trPr>
        <w:tc>
          <w:tcPr>
            <w:tcW w:w="648" w:type="dxa"/>
            <w:vMerge w:val="continue"/>
            <w:tcBorders>
              <w:top w:val="nil"/>
              <w:left w:val="single" w:color="000000" w:sz="4" w:space="0"/>
              <w:bottom w:val="nil"/>
              <w:right w:val="single" w:color="000000" w:sz="4" w:space="0"/>
            </w:tcBorders>
            <w:shd w:val="clear" w:color="auto" w:fill="auto"/>
            <w:vAlign w:val="center"/>
          </w:tcPr>
          <w:p w14:paraId="7A05647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179D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tcBorders>
              <w:top w:val="single" w:color="000000" w:sz="4" w:space="0"/>
              <w:left w:val="single" w:color="000000" w:sz="4" w:space="0"/>
              <w:bottom w:val="nil"/>
              <w:right w:val="single" w:color="000000" w:sz="4" w:space="0"/>
            </w:tcBorders>
            <w:shd w:val="clear" w:color="auto" w:fill="auto"/>
            <w:vAlign w:val="center"/>
          </w:tcPr>
          <w:p w14:paraId="618AFB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规范性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（1分）</w:t>
            </w:r>
          </w:p>
        </w:tc>
        <w:tc>
          <w:tcPr>
            <w:tcW w:w="2929" w:type="dxa"/>
            <w:tcBorders>
              <w:top w:val="single" w:color="000000" w:sz="4" w:space="0"/>
              <w:left w:val="single" w:color="000000" w:sz="4" w:space="0"/>
              <w:bottom w:val="nil"/>
              <w:right w:val="single" w:color="000000" w:sz="4" w:space="0"/>
            </w:tcBorders>
            <w:shd w:val="clear" w:color="auto" w:fill="auto"/>
            <w:vAlign w:val="center"/>
          </w:tcPr>
          <w:p w14:paraId="7F9CCF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①项目预算是否出现变更和调整；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②项目预算的变更和调整是否属于外部环境变更和事项变更、政策变更、不可抗力等不属于被评价单位可控因素带来的调整和变更；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③变更信息是否及时反馈，变更程序是否符合相关程序要求，是否经过申报、审议、集体决策。</w:t>
            </w:r>
          </w:p>
        </w:tc>
        <w:tc>
          <w:tcPr>
            <w:tcW w:w="984" w:type="dxa"/>
            <w:tcBorders>
              <w:top w:val="single" w:color="000000" w:sz="4" w:space="0"/>
              <w:left w:val="single" w:color="000000" w:sz="4" w:space="0"/>
              <w:bottom w:val="nil"/>
              <w:right w:val="single" w:color="000000" w:sz="4" w:space="0"/>
            </w:tcBorders>
            <w:shd w:val="clear" w:color="auto" w:fill="auto"/>
            <w:vAlign w:val="center"/>
          </w:tcPr>
          <w:p w14:paraId="5119F9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nil"/>
              <w:right w:val="single" w:color="000000" w:sz="4" w:space="0"/>
            </w:tcBorders>
            <w:shd w:val="clear" w:color="auto" w:fill="auto"/>
            <w:vAlign w:val="center"/>
          </w:tcPr>
          <w:p w14:paraId="0DD833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未出现预算调整情况，根据年初预算进行管理范围和合同委托签约设定，依据补助标准、级别和数量申报总体预算</w:t>
            </w:r>
          </w:p>
        </w:tc>
      </w:tr>
      <w:tr w14:paraId="461A8998">
        <w:trPr>
          <w:trHeight w:val="1460" w:hRule="atLeast"/>
          <w:tblHeader/>
        </w:trPr>
        <w:tc>
          <w:tcPr>
            <w:tcW w:w="648" w:type="dxa"/>
            <w:vMerge w:val="continue"/>
            <w:tcBorders>
              <w:top w:val="nil"/>
              <w:left w:val="single" w:color="000000" w:sz="4" w:space="0"/>
              <w:bottom w:val="nil"/>
              <w:right w:val="single" w:color="000000" w:sz="4" w:space="0"/>
            </w:tcBorders>
            <w:shd w:val="clear" w:color="auto" w:fill="auto"/>
            <w:vAlign w:val="center"/>
          </w:tcPr>
          <w:p w14:paraId="6A425BC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23A5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1D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5F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预算执行率=(实际支出资金/实际到位资金)×100%。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实际支出资金：一定时期(本年度或项目期)内项目实际拨付的资金。</w:t>
            </w:r>
          </w:p>
        </w:tc>
        <w:tc>
          <w:tcPr>
            <w:tcW w:w="984" w:type="dxa"/>
            <w:tcBorders>
              <w:top w:val="single" w:color="000000" w:sz="4" w:space="0"/>
              <w:left w:val="single" w:color="000000" w:sz="4" w:space="0"/>
              <w:bottom w:val="nil"/>
              <w:right w:val="single" w:color="000000" w:sz="4" w:space="0"/>
            </w:tcBorders>
            <w:shd w:val="clear" w:color="auto" w:fill="auto"/>
            <w:vAlign w:val="center"/>
          </w:tcPr>
          <w:p w14:paraId="7B9CDC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1B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项目实际到位资金53.00万元，截止2024年12月31日实际支出资金53.00万元。</w:t>
            </w:r>
          </w:p>
        </w:tc>
      </w:tr>
      <w:tr w14:paraId="6EE8E90E">
        <w:trPr>
          <w:trHeight w:val="1720" w:hRule="atLeast"/>
          <w:tblHeader/>
        </w:trPr>
        <w:tc>
          <w:tcPr>
            <w:tcW w:w="648" w:type="dxa"/>
            <w:vMerge w:val="restart"/>
            <w:tcBorders>
              <w:top w:val="nil"/>
              <w:left w:val="single" w:color="000000" w:sz="4" w:space="0"/>
              <w:bottom w:val="nil"/>
              <w:right w:val="single" w:color="000000" w:sz="4" w:space="0"/>
            </w:tcBorders>
            <w:shd w:val="clear" w:color="auto" w:fill="auto"/>
            <w:vAlign w:val="center"/>
          </w:tcPr>
          <w:p w14:paraId="53B8BD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（20分）</w:t>
            </w:r>
          </w:p>
        </w:tc>
        <w:tc>
          <w:tcPr>
            <w:tcW w:w="648" w:type="dxa"/>
            <w:vMerge w:val="restart"/>
            <w:tcBorders>
              <w:top w:val="nil"/>
              <w:left w:val="single" w:color="000000" w:sz="4" w:space="0"/>
              <w:bottom w:val="nil"/>
              <w:right w:val="single" w:color="000000" w:sz="4" w:space="0"/>
            </w:tcBorders>
            <w:shd w:val="clear" w:color="auto" w:fill="auto"/>
            <w:vAlign w:val="center"/>
          </w:tcPr>
          <w:p w14:paraId="436921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（6分）</w:t>
            </w:r>
          </w:p>
        </w:tc>
        <w:tc>
          <w:tcPr>
            <w:tcW w:w="648" w:type="dxa"/>
            <w:tcBorders>
              <w:top w:val="single" w:color="000000" w:sz="4" w:space="0"/>
              <w:left w:val="single" w:color="000000" w:sz="4" w:space="0"/>
              <w:bottom w:val="nil"/>
              <w:right w:val="single" w:color="000000" w:sz="4" w:space="0"/>
            </w:tcBorders>
            <w:shd w:val="clear" w:color="auto" w:fill="auto"/>
            <w:vAlign w:val="center"/>
          </w:tcPr>
          <w:p w14:paraId="375F0B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合规性（2分）</w:t>
            </w:r>
          </w:p>
        </w:tc>
        <w:tc>
          <w:tcPr>
            <w:tcW w:w="2929" w:type="dxa"/>
            <w:tcBorders>
              <w:top w:val="single" w:color="000000" w:sz="4" w:space="0"/>
              <w:left w:val="single" w:color="000000" w:sz="4" w:space="0"/>
              <w:bottom w:val="nil"/>
              <w:right w:val="single" w:color="000000" w:sz="4" w:space="0"/>
            </w:tcBorders>
            <w:shd w:val="clear" w:color="auto" w:fill="auto"/>
            <w:vAlign w:val="center"/>
          </w:tcPr>
          <w:p w14:paraId="323CC3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①是否符合项目预算批复或合同规定的用途；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②是否存在截留、挤占、挪用、虚列支出等情况。</w:t>
            </w:r>
          </w:p>
        </w:tc>
        <w:tc>
          <w:tcPr>
            <w:tcW w:w="984" w:type="dxa"/>
            <w:tcBorders>
              <w:top w:val="single" w:color="000000" w:sz="4" w:space="0"/>
              <w:left w:val="single" w:color="000000" w:sz="4" w:space="0"/>
              <w:bottom w:val="nil"/>
              <w:right w:val="single" w:color="000000" w:sz="4" w:space="0"/>
            </w:tcBorders>
            <w:shd w:val="clear" w:color="auto" w:fill="auto"/>
            <w:vAlign w:val="center"/>
          </w:tcPr>
          <w:p w14:paraId="221297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nil"/>
              <w:right w:val="single" w:color="000000" w:sz="4" w:space="0"/>
            </w:tcBorders>
            <w:shd w:val="clear" w:color="auto" w:fill="auto"/>
            <w:vAlign w:val="center"/>
          </w:tcPr>
          <w:p w14:paraId="650E8E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项目符合国家财经法规和财务管理制度以及有关专项资金管理办法的规定；资金的拨付有完整的审批程序和手续；符合项目预算批复或合同规定的用途；未发现存在截留、挤占、挪用、虚列支出等情况。</w:t>
            </w:r>
          </w:p>
        </w:tc>
      </w:tr>
      <w:tr w14:paraId="796FD2EB">
        <w:trPr>
          <w:trHeight w:val="1400" w:hRule="atLeast"/>
          <w:tblHeader/>
        </w:trPr>
        <w:tc>
          <w:tcPr>
            <w:tcW w:w="648" w:type="dxa"/>
            <w:vMerge w:val="continue"/>
            <w:tcBorders>
              <w:top w:val="nil"/>
              <w:left w:val="single" w:color="000000" w:sz="4" w:space="0"/>
              <w:bottom w:val="nil"/>
              <w:right w:val="single" w:color="000000" w:sz="4" w:space="0"/>
            </w:tcBorders>
            <w:shd w:val="clear" w:color="auto" w:fill="auto"/>
            <w:vAlign w:val="center"/>
          </w:tcPr>
          <w:p w14:paraId="36737B3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vMerge w:val="continue"/>
            <w:tcBorders>
              <w:top w:val="nil"/>
              <w:left w:val="single" w:color="000000" w:sz="4" w:space="0"/>
              <w:bottom w:val="nil"/>
              <w:right w:val="single" w:color="000000" w:sz="4" w:space="0"/>
            </w:tcBorders>
            <w:shd w:val="clear" w:color="auto" w:fill="auto"/>
            <w:vAlign w:val="center"/>
          </w:tcPr>
          <w:p w14:paraId="32F9057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tcBorders>
              <w:top w:val="single" w:color="000000" w:sz="4" w:space="0"/>
              <w:left w:val="single" w:color="000000" w:sz="4" w:space="0"/>
              <w:bottom w:val="nil"/>
              <w:right w:val="single" w:color="000000" w:sz="4" w:space="0"/>
            </w:tcBorders>
            <w:shd w:val="clear" w:color="auto" w:fill="auto"/>
            <w:vAlign w:val="center"/>
          </w:tcPr>
          <w:p w14:paraId="66B07E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有效性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（3分）</w:t>
            </w:r>
          </w:p>
        </w:tc>
        <w:tc>
          <w:tcPr>
            <w:tcW w:w="2929" w:type="dxa"/>
            <w:tcBorders>
              <w:top w:val="single" w:color="000000" w:sz="4" w:space="0"/>
              <w:left w:val="single" w:color="000000" w:sz="4" w:space="0"/>
              <w:bottom w:val="nil"/>
              <w:right w:val="single" w:color="000000" w:sz="4" w:space="0"/>
            </w:tcBorders>
            <w:shd w:val="clear" w:color="auto" w:fill="auto"/>
            <w:vAlign w:val="center"/>
          </w:tcPr>
          <w:p w14:paraId="6578CCB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①资金拨付手续是否审批完整；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②是否存在违反制度和流程规定的行为；                                                             </w:t>
            </w:r>
          </w:p>
        </w:tc>
        <w:tc>
          <w:tcPr>
            <w:tcW w:w="984" w:type="dxa"/>
            <w:tcBorders>
              <w:top w:val="single" w:color="000000" w:sz="4" w:space="0"/>
              <w:left w:val="single" w:color="000000" w:sz="4" w:space="0"/>
              <w:bottom w:val="nil"/>
              <w:right w:val="single" w:color="000000" w:sz="4" w:space="0"/>
            </w:tcBorders>
            <w:shd w:val="clear" w:color="auto" w:fill="auto"/>
            <w:vAlign w:val="center"/>
          </w:tcPr>
          <w:p w14:paraId="2624BF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nil"/>
              <w:right w:val="single" w:color="000000" w:sz="4" w:space="0"/>
            </w:tcBorders>
            <w:shd w:val="clear" w:color="auto" w:fill="auto"/>
            <w:vAlign w:val="center"/>
          </w:tcPr>
          <w:p w14:paraId="60956C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资金的拨付有完整的审批程序和手续；符合项目预算批复或合同规定的用途；有相应的监控机制，已采取了相应的财务检查等必要的监控措施或手段。</w:t>
            </w:r>
          </w:p>
        </w:tc>
      </w:tr>
      <w:tr w14:paraId="492DB45D">
        <w:trPr>
          <w:trHeight w:val="1680" w:hRule="atLeast"/>
          <w:tblHeader/>
        </w:trPr>
        <w:tc>
          <w:tcPr>
            <w:tcW w:w="648" w:type="dxa"/>
            <w:vMerge w:val="continue"/>
            <w:tcBorders>
              <w:top w:val="nil"/>
              <w:left w:val="single" w:color="000000" w:sz="4" w:space="0"/>
              <w:bottom w:val="nil"/>
              <w:right w:val="single" w:color="000000" w:sz="4" w:space="0"/>
            </w:tcBorders>
            <w:shd w:val="clear" w:color="auto" w:fill="auto"/>
            <w:vAlign w:val="center"/>
          </w:tcPr>
          <w:p w14:paraId="76199BD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2BF6DC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项目实施（10分）</w:t>
            </w:r>
          </w:p>
        </w:tc>
        <w:tc>
          <w:tcPr>
            <w:tcW w:w="648" w:type="dxa"/>
            <w:tcBorders>
              <w:top w:val="single" w:color="000000" w:sz="4" w:space="0"/>
              <w:left w:val="single" w:color="000000" w:sz="4" w:space="0"/>
              <w:bottom w:val="nil"/>
              <w:right w:val="single" w:color="000000" w:sz="4" w:space="0"/>
            </w:tcBorders>
            <w:shd w:val="clear" w:color="auto" w:fill="auto"/>
            <w:vAlign w:val="center"/>
          </w:tcPr>
          <w:p w14:paraId="63F5EA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健全性（3分）</w:t>
            </w:r>
          </w:p>
        </w:tc>
        <w:tc>
          <w:tcPr>
            <w:tcW w:w="2929" w:type="dxa"/>
            <w:tcBorders>
              <w:top w:val="single" w:color="000000" w:sz="4" w:space="0"/>
              <w:left w:val="single" w:color="000000" w:sz="4" w:space="0"/>
              <w:bottom w:val="nil"/>
              <w:right w:val="single" w:color="000000" w:sz="4" w:space="0"/>
            </w:tcBorders>
            <w:shd w:val="clear" w:color="auto" w:fill="auto"/>
            <w:vAlign w:val="center"/>
          </w:tcPr>
          <w:p w14:paraId="0D08D94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①是否已制定或具有相应的财务和业务管理制度；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②为保障项目顺利实施采取的监管措施是否明确，是否存在需要完善的风险控制环节。</w:t>
            </w:r>
          </w:p>
        </w:tc>
        <w:tc>
          <w:tcPr>
            <w:tcW w:w="984" w:type="dxa"/>
            <w:tcBorders>
              <w:top w:val="single" w:color="000000" w:sz="4" w:space="0"/>
              <w:left w:val="single" w:color="000000" w:sz="4" w:space="0"/>
              <w:bottom w:val="nil"/>
              <w:right w:val="single" w:color="000000" w:sz="4" w:space="0"/>
            </w:tcBorders>
            <w:shd w:val="clear" w:color="auto" w:fill="auto"/>
            <w:vAlign w:val="center"/>
          </w:tcPr>
          <w:p w14:paraId="755106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nil"/>
              <w:right w:val="single" w:color="000000" w:sz="4" w:space="0"/>
            </w:tcBorders>
            <w:shd w:val="clear" w:color="auto" w:fill="auto"/>
            <w:vAlign w:val="center"/>
          </w:tcPr>
          <w:p w14:paraId="4DAE3B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根据《（昆明市城市管理局）中共昆明市委城市管理委员会办公室关于开展公厕常态化巡查检查的通知》，根据检查的任务表、巡查情况表、问题清单和汇总表，制定了台账和情况汇总，执行了常态化检查，并且所有检查工作执行和记录到位</w:t>
            </w:r>
          </w:p>
        </w:tc>
      </w:tr>
      <w:tr w14:paraId="4D635C1C">
        <w:trPr>
          <w:trHeight w:val="2000" w:hRule="atLeast"/>
          <w:tblHeader/>
        </w:trPr>
        <w:tc>
          <w:tcPr>
            <w:tcW w:w="648" w:type="dxa"/>
            <w:vMerge w:val="continue"/>
            <w:tcBorders>
              <w:top w:val="nil"/>
              <w:left w:val="single" w:color="000000" w:sz="4" w:space="0"/>
              <w:bottom w:val="nil"/>
              <w:right w:val="single" w:color="000000" w:sz="4" w:space="0"/>
            </w:tcBorders>
            <w:shd w:val="clear" w:color="auto" w:fill="auto"/>
            <w:vAlign w:val="center"/>
          </w:tcPr>
          <w:p w14:paraId="48F1F7C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70D321C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tcBorders>
              <w:top w:val="single" w:color="000000" w:sz="4" w:space="0"/>
              <w:left w:val="single" w:color="000000" w:sz="4" w:space="0"/>
              <w:bottom w:val="nil"/>
              <w:right w:val="single" w:color="000000" w:sz="4" w:space="0"/>
            </w:tcBorders>
            <w:shd w:val="clear" w:color="auto" w:fill="auto"/>
            <w:vAlign w:val="center"/>
          </w:tcPr>
          <w:p w14:paraId="3F0222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制度执行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有效性（6分）</w:t>
            </w:r>
          </w:p>
        </w:tc>
        <w:tc>
          <w:tcPr>
            <w:tcW w:w="2929" w:type="dxa"/>
            <w:tcBorders>
              <w:top w:val="single" w:color="000000" w:sz="4" w:space="0"/>
              <w:left w:val="single" w:color="000000" w:sz="4" w:space="0"/>
              <w:bottom w:val="nil"/>
              <w:right w:val="single" w:color="000000" w:sz="4" w:space="0"/>
            </w:tcBorders>
            <w:shd w:val="clear" w:color="auto" w:fill="auto"/>
            <w:vAlign w:val="center"/>
          </w:tcPr>
          <w:p w14:paraId="30F97C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①是否遵守相关法律法规和相关管理和实际管理制度规定；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②项目是否签订合同；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③项目合同书、验收报告、技术鉴定等资料是否齐全并及时归档；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④项目是否按照合同的条款得到执行。</w:t>
            </w:r>
          </w:p>
        </w:tc>
        <w:tc>
          <w:tcPr>
            <w:tcW w:w="984" w:type="dxa"/>
            <w:tcBorders>
              <w:top w:val="single" w:color="000000" w:sz="4" w:space="0"/>
              <w:left w:val="single" w:color="000000" w:sz="4" w:space="0"/>
              <w:bottom w:val="nil"/>
              <w:right w:val="single" w:color="000000" w:sz="4" w:space="0"/>
            </w:tcBorders>
            <w:shd w:val="clear" w:color="auto" w:fill="auto"/>
            <w:vAlign w:val="center"/>
          </w:tcPr>
          <w:p w14:paraId="684939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w:t>
            </w:r>
          </w:p>
          <w:p w14:paraId="487FDD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2763" w:type="dxa"/>
            <w:tcBorders>
              <w:top w:val="single" w:color="000000" w:sz="4" w:space="0"/>
              <w:left w:val="single" w:color="000000" w:sz="4" w:space="0"/>
              <w:bottom w:val="nil"/>
              <w:right w:val="single" w:color="000000" w:sz="4" w:space="0"/>
            </w:tcBorders>
            <w:shd w:val="clear" w:color="auto" w:fill="auto"/>
            <w:vAlign w:val="center"/>
          </w:tcPr>
          <w:p w14:paraId="049DF9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项目执行遵守法律法规和相关规定，项目合同和支付材料等内容齐全且及时归档。因审批流程周期，合同为向前签署（2024年1月27日提出签约请示，实际签约时间为2024年3月1日），本项扣分1分</w:t>
            </w:r>
          </w:p>
        </w:tc>
      </w:tr>
      <w:tr w14:paraId="25364B17">
        <w:trPr>
          <w:trHeight w:val="1280" w:hRule="atLeast"/>
          <w:tblHeader/>
        </w:trPr>
        <w:tc>
          <w:tcPr>
            <w:tcW w:w="648" w:type="dxa"/>
            <w:vMerge w:val="continue"/>
            <w:tcBorders>
              <w:top w:val="nil"/>
              <w:left w:val="single" w:color="000000" w:sz="4" w:space="0"/>
              <w:bottom w:val="nil"/>
              <w:right w:val="single" w:color="000000" w:sz="4" w:space="0"/>
            </w:tcBorders>
            <w:shd w:val="clear" w:color="auto" w:fill="auto"/>
            <w:vAlign w:val="center"/>
          </w:tcPr>
          <w:p w14:paraId="002EF68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20C6F3F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tcBorders>
              <w:top w:val="single" w:color="000000" w:sz="4" w:space="0"/>
              <w:left w:val="single" w:color="000000" w:sz="4" w:space="0"/>
              <w:bottom w:val="nil"/>
              <w:right w:val="single" w:color="000000" w:sz="4" w:space="0"/>
            </w:tcBorders>
            <w:shd w:val="clear" w:color="auto" w:fill="auto"/>
            <w:vAlign w:val="center"/>
          </w:tcPr>
          <w:p w14:paraId="769C4A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政府采购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规范性（2分）</w:t>
            </w:r>
          </w:p>
        </w:tc>
        <w:tc>
          <w:tcPr>
            <w:tcW w:w="2929" w:type="dxa"/>
            <w:tcBorders>
              <w:top w:val="single" w:color="000000" w:sz="4" w:space="0"/>
              <w:left w:val="single" w:color="000000" w:sz="4" w:space="0"/>
              <w:bottom w:val="nil"/>
              <w:right w:val="single" w:color="000000" w:sz="4" w:space="0"/>
            </w:tcBorders>
            <w:shd w:val="clear" w:color="auto" w:fill="auto"/>
            <w:vAlign w:val="center"/>
          </w:tcPr>
          <w:p w14:paraId="07E685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①采购方式是否符合国家、本市的相关要求；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②采购流程是否符合相关规定。</w:t>
            </w:r>
          </w:p>
        </w:tc>
        <w:tc>
          <w:tcPr>
            <w:tcW w:w="984" w:type="dxa"/>
            <w:tcBorders>
              <w:top w:val="single" w:color="000000" w:sz="4" w:space="0"/>
              <w:left w:val="single" w:color="000000" w:sz="4" w:space="0"/>
              <w:bottom w:val="nil"/>
              <w:right w:val="single" w:color="000000" w:sz="4" w:space="0"/>
            </w:tcBorders>
            <w:shd w:val="clear" w:color="auto" w:fill="auto"/>
            <w:vAlign w:val="center"/>
          </w:tcPr>
          <w:p w14:paraId="324B30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6C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项目为年度连续项目，并且已经形成相对稳定的委托关系，受托人年度签约，且同步将年度新发布管理文件确认的目标要求纳入年度协议绩效目标中，明确了详细的质量规范的量化指标、检查和巡查机制、台账管理、问题跟踪机制，并且得到有效执行。</w:t>
            </w:r>
          </w:p>
        </w:tc>
      </w:tr>
      <w:tr w14:paraId="4CE35BDC">
        <w:trPr>
          <w:trHeight w:val="2520" w:hRule="atLeast"/>
          <w:tblHeader/>
        </w:trPr>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0AEB1F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产出（30分）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8E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产出数量（8分）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78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实际完成率（8分）</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FB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实际完成率=(实际产出数/计划产出数)×100%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实际产出数：一定时期(本年度或项目期)内项目实际产出的产品或提供的服务数量。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计划产出数：项目绩效目标确定的在一定时期(本年度或项目期)内计划产出的产品或提供的服务数量。</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AF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3A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项目计划完成辖区8个公共厕所112个坑位的补助，实际全部完成</w:t>
            </w:r>
          </w:p>
        </w:tc>
      </w:tr>
      <w:tr w14:paraId="04593FFA">
        <w:trPr>
          <w:trHeight w:val="2200" w:hRule="atLeast"/>
          <w:tblHeader/>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3D15870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28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产出质量（8分）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37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质量达标率（8分）</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22E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质量达标率=(质量达标产出数/实际产出数)×100%。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92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AE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计划完成辖区8个公共厕所112个坑位的补助，资金目标为完成目标公厕的补助，且在日常的巡查中（45轮巡查记录，45*8=360次管理公共厕所巡查记录），均为绿灯公厕，没有出现需整改记录，达标率100%。经查看巡查台账水印相机记录，结合调查问卷记录，工作完成质量较好。</w:t>
            </w:r>
          </w:p>
        </w:tc>
      </w:tr>
      <w:tr w14:paraId="6A2A71B5">
        <w:trPr>
          <w:trHeight w:val="2540" w:hRule="atLeast"/>
          <w:tblHeader/>
        </w:trPr>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32142A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产出（30分）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63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产出时效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A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完成及时性（7分）</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F4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完成及时率=（计划完成天数-实际完成天数）/计划完成天数×100%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实际完成时间：项目实施单位完成该项目实际所耗用的时间，计划完成时间：按照项目实施计划或相关规定完成该项目所需的时间。</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0B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03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1、根据合同和申请约定的年度每个受委托单位两次预付款项支付均已完成；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2、日常运行维护工作正常进行，结合随机满意度调查，没有出现停运或不正常情况；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3、根据文件要求的每周巡查工作均如期完成并登记记录台账；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4、相应相应工作的请示、登记、执行、归档工作均及时完成、记录清晰、分类合理。</w:t>
            </w:r>
          </w:p>
        </w:tc>
      </w:tr>
      <w:tr w14:paraId="1532E89F">
        <w:trPr>
          <w:trHeight w:val="2280" w:hRule="atLeast"/>
          <w:tblHeader/>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5940DBD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B7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EF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成本节约率（7分）</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18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成本节约率=[(计划成本-实际成本)/计划成本]×100%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实际成本：项目实施单位如期、保质、保量完成既定工作目标实际所耗费的支出。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计划成本：项目实施单位为完成工作目标计划安排的支出， 一般以项目预算为参考。</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78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BB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项目计划成本53.00万元，实际成本53.00万元，成本节约率为0.00%。</w:t>
            </w:r>
          </w:p>
        </w:tc>
      </w:tr>
      <w:tr w14:paraId="21B9F4E0">
        <w:trPr>
          <w:trHeight w:val="3120" w:hRule="atLeast"/>
          <w:tblHeader/>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568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效益（30分）</w:t>
            </w:r>
          </w:p>
        </w:tc>
        <w:tc>
          <w:tcPr>
            <w:tcW w:w="648" w:type="dxa"/>
            <w:vMerge w:val="restart"/>
            <w:tcBorders>
              <w:top w:val="single" w:color="000000" w:sz="4" w:space="0"/>
              <w:left w:val="single" w:color="000000" w:sz="4" w:space="0"/>
              <w:right w:val="single" w:color="000000" w:sz="4" w:space="0"/>
            </w:tcBorders>
            <w:shd w:val="clear" w:color="auto" w:fill="auto"/>
            <w:vAlign w:val="center"/>
          </w:tcPr>
          <w:p w14:paraId="63A96C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社会效益（20分）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A7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投入和项目治理连续性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（8分）</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33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 是否建立了公共产品的长效治理机制（包括运维制度、监督机制、责任分工等）；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 是否有稳定的经费来源和资金保障渠道，能够支持长期运行维护；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 是否制定了明确的管理规范（如巡检、维修、清洁、反馈整改制度），并落实执行；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 是否形成了经验总结与制度化成果（定期评估、改进方案、长效制度文件）；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⑤ 是否存在治理机制缺失、经费断档、制度执行不到位等情况。</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96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B2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项目为年度连续项目，并且已经形成相对稳定的委托关系，受托人年度签约，且同步将年度新发布管理文件确认的目标要求纳入年度协议绩效目标中，明确了详细的质量规范的量化指标、检查和巡查机制、台账管理、问题跟踪机制，并且得到有效执行。</w:t>
            </w:r>
          </w:p>
        </w:tc>
      </w:tr>
      <w:tr w14:paraId="004B1C75">
        <w:trPr>
          <w:trHeight w:val="2420" w:hRule="atLeast"/>
          <w:tblHeader/>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8C99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vMerge w:val="continue"/>
            <w:tcBorders>
              <w:left w:val="single" w:color="000000" w:sz="4" w:space="0"/>
              <w:right w:val="single" w:color="000000" w:sz="4" w:space="0"/>
            </w:tcBorders>
            <w:shd w:val="clear" w:color="auto" w:fill="auto"/>
            <w:vAlign w:val="center"/>
          </w:tcPr>
          <w:p w14:paraId="7C00D0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C0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替代效应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（6分）</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AA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替代有效程度=有效问卷满意数量/有效问卷数量×100%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E1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w:t>
            </w:r>
          </w:p>
          <w:p w14:paraId="776C72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26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本次收集有效问卷共计37份，根据调查问卷问题综合计算得分为88.11%，按比例计算得分为6*88.1%=6*88.1%=5.29分</w:t>
            </w:r>
          </w:p>
        </w:tc>
      </w:tr>
      <w:tr w14:paraId="0F67091E">
        <w:trPr>
          <w:trHeight w:val="1260" w:hRule="atLeast"/>
          <w:tblHeader/>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2BF1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vMerge w:val="continue"/>
            <w:tcBorders>
              <w:left w:val="single" w:color="000000" w:sz="4" w:space="0"/>
              <w:bottom w:val="nil"/>
              <w:right w:val="single" w:color="000000" w:sz="4" w:space="0"/>
            </w:tcBorders>
            <w:shd w:val="clear" w:color="auto" w:fill="auto"/>
            <w:vAlign w:val="center"/>
          </w:tcPr>
          <w:p w14:paraId="2ECC54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80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可及性（6分）</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D47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可及性=有效问卷可正常使用作答数/有效问卷数量×100%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94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FB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本次收集有效问卷共计37份，根据调查问卷问题综合计算得分为100%。</w:t>
            </w:r>
          </w:p>
        </w:tc>
      </w:tr>
      <w:tr w14:paraId="4A74A76E">
        <w:trPr>
          <w:trHeight w:val="1840" w:hRule="atLeast"/>
          <w:tblHeader/>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5691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6B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满意度（10分）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20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项目满意度（10分）</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B8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满意度=（有效问卷中达到“满意”的数量/有效问卷总数）×100%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社会公众或服务对象是指因该项目实施而受到影响的部门(单位)、群体或个人。一般采取社会调查的方式。</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FB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0FF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本次收集有效问卷共计37份，根据调查问卷问题综合计算满意度为97.3%。</w:t>
            </w:r>
          </w:p>
        </w:tc>
      </w:tr>
    </w:tbl>
    <w:p w14:paraId="255AD579">
      <w:pPr>
        <w:pStyle w:val="46"/>
        <w:rPr>
          <w:rFonts w:hint="eastAsia"/>
        </w:rPr>
      </w:pPr>
    </w:p>
    <w:bookmarkEnd w:id="26"/>
    <w:p w14:paraId="4DA3FB56">
      <w:pPr>
        <w:spacing w:line="579" w:lineRule="exact"/>
        <w:ind w:firstLine="630" w:firstLineChars="200"/>
        <w:outlineLvl w:val="0"/>
        <w:rPr>
          <w:rFonts w:ascii="黑体" w:hAnsi="宋体" w:eastAsia="黑体" w:cs="宋体"/>
          <w:szCs w:val="30"/>
        </w:rPr>
      </w:pPr>
      <w:bookmarkStart w:id="27" w:name="_Toc1968"/>
      <w:r>
        <w:rPr>
          <w:rFonts w:hint="eastAsia" w:ascii="黑体" w:hAnsi="宋体" w:eastAsia="黑体" w:cs="宋体"/>
          <w:szCs w:val="30"/>
          <w:lang w:val="en-US" w:eastAsia="zh-CN"/>
        </w:rPr>
        <w:t>四</w:t>
      </w:r>
      <w:r>
        <w:rPr>
          <w:rFonts w:hint="eastAsia" w:ascii="黑体" w:hAnsi="宋体" w:eastAsia="黑体" w:cs="宋体"/>
          <w:szCs w:val="30"/>
        </w:rPr>
        <w:t>、绩效评价情况分析</w:t>
      </w:r>
      <w:bookmarkEnd w:id="27"/>
    </w:p>
    <w:p w14:paraId="1F1266FA">
      <w:pPr>
        <w:spacing w:line="579" w:lineRule="exact"/>
        <w:ind w:firstLine="630" w:firstLineChars="200"/>
        <w:outlineLvl w:val="1"/>
        <w:rPr>
          <w:rFonts w:ascii="楷体" w:hAnsi="楷体" w:eastAsia="楷体"/>
          <w:szCs w:val="30"/>
        </w:rPr>
      </w:pPr>
      <w:bookmarkStart w:id="28" w:name="_Toc12798"/>
      <w:r>
        <w:rPr>
          <w:rFonts w:hint="eastAsia" w:ascii="楷体" w:hAnsi="楷体" w:eastAsia="楷体"/>
          <w:szCs w:val="30"/>
        </w:rPr>
        <w:t>（一）</w:t>
      </w:r>
      <w:r>
        <w:rPr>
          <w:rFonts w:hint="eastAsia" w:ascii="楷体" w:hAnsi="楷体" w:eastAsia="楷体"/>
          <w:szCs w:val="30"/>
          <w:lang w:val="en-US" w:eastAsia="zh-CN"/>
        </w:rPr>
        <w:t>项目决策</w:t>
      </w:r>
      <w:r>
        <w:rPr>
          <w:rFonts w:hint="eastAsia" w:ascii="楷体" w:hAnsi="楷体" w:eastAsia="楷体"/>
          <w:szCs w:val="30"/>
        </w:rPr>
        <w:t>情况</w:t>
      </w:r>
      <w:bookmarkEnd w:id="28"/>
    </w:p>
    <w:p w14:paraId="2E85DE33">
      <w:pPr>
        <w:spacing w:line="579" w:lineRule="exact"/>
        <w:ind w:firstLine="630" w:firstLineChars="200"/>
        <w:rPr>
          <w:rFonts w:hint="eastAsia" w:hAnsi="仿宋"/>
          <w:szCs w:val="30"/>
          <w:lang w:val="en-US" w:eastAsia="zh-CN"/>
        </w:rPr>
      </w:pPr>
      <w:r>
        <w:rPr>
          <w:rFonts w:hint="eastAsia" w:hAnsi="仿宋"/>
          <w:szCs w:val="30"/>
          <w:lang w:val="en-US" w:eastAsia="zh-CN"/>
        </w:rPr>
        <w:t>项目决策包括项目立项和绩效目标两个方面。该项满分为20.00分，绩效评价得分16.00分，得分率80.00%。该项目由西山区西苑街道为项目实施单位，项目立项依据充分、立项程序规范，绩效目标合理、绩效指标明确。</w:t>
      </w:r>
    </w:p>
    <w:p w14:paraId="13590924">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1.立项依据充分性方面</w:t>
      </w:r>
    </w:p>
    <w:p w14:paraId="12861698">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项目立项符合合法性法规和相关政策，能够有效衔接发展规划和实施单位职责。完成情况表明，项目紧密结合西山区城市管理相关要求，所提交的依据材料完整，目标设定与实施单位职能相符。整体来看，项目立项具备坚实的政策与制度基础，该项满分4.00分，得分4.00分。</w:t>
      </w:r>
    </w:p>
    <w:p w14:paraId="68E33DE6">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2.立项程序规范性方面</w:t>
      </w:r>
    </w:p>
    <w:p w14:paraId="69EA4CE9">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项目申请和设立严格按照规定的程序执行，申报文件和材料符合相关要求，申报过程符合法定审批环节。项目在立项前已完成必要的可行性研究，组织开展了专家论证、风险评估、绩效评估，并经集体决策同意设立，整体程序完备，充分体现了科学决策和规范操作，该项满分4.00分，得分4.00分。</w:t>
      </w:r>
    </w:p>
    <w:p w14:paraId="33D3745A">
      <w:pPr>
        <w:spacing w:line="579" w:lineRule="exact"/>
        <w:ind w:firstLine="630" w:firstLineChars="200"/>
        <w:rPr>
          <w:rFonts w:hint="eastAsia" w:hAnsi="仿宋" w:cs="Times New Roman"/>
          <w:szCs w:val="30"/>
          <w:lang w:val="en-US" w:eastAsia="zh-CN"/>
        </w:rPr>
      </w:pPr>
      <w:bookmarkStart w:id="29" w:name="_Toc21971"/>
      <w:r>
        <w:rPr>
          <w:rFonts w:hint="eastAsia" w:hAnsi="仿宋" w:cs="Times New Roman"/>
          <w:szCs w:val="30"/>
          <w:lang w:val="en-US" w:eastAsia="zh-CN"/>
        </w:rPr>
        <w:t>3.绩效目标合理性方面</w:t>
      </w:r>
    </w:p>
    <w:p w14:paraId="21D3ACDD">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项目绩效目标与实际工作内容紧密相关，目标设定科学，既关注预期成效，又兼顾与政策职责的一致性。完成情况显示，目标的设置合理反映了资金规模和实施条件，能够确保绩效目标的达成与项目执行保持一致，该项满分6.00分，得分6.00分。</w:t>
      </w:r>
    </w:p>
    <w:p w14:paraId="234ECCE9">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4.绩效指标明确性方面</w:t>
      </w:r>
    </w:p>
    <w:p w14:paraId="0C9F01C9">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整体绩效目标已按要求设定，但在“绩效指标明确性”方面仍存在不足。项目虽设定年度绩效目标，但未将目标进一步细化分解为具体可执行的指标，也未通过明确、可衡量的指标值来体现目标完成情况，绩效指标与项目实际任务数量或计划目标之间缺乏清晰对应关系，导致指标描述与实际执行内容衔接不够紧密。根据评分标准，对未设置可量化指标、未体现与项目任务对应关系的情形予以扣分，本项扣减4.00分，该项满分6.00分，实际得分2.00分。</w:t>
      </w:r>
    </w:p>
    <w:p w14:paraId="2130AD45">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（二）项目管理情况</w:t>
      </w:r>
      <w:bookmarkEnd w:id="29"/>
    </w:p>
    <w:p w14:paraId="1E5338AD">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管理包括资金投入、财务管理、管理制度和项目实施四个方面。该项满分为20.00分，绩效评价得分19.00分，得分率95.00%。该项目由西山区西苑街道为项目实施单位，预算编制合理、预算调整规范、资金使用合规，财务监督有效，管理制度健全，执行情况良好，政府采购合规，整体项目管理规范有序。</w:t>
      </w:r>
    </w:p>
    <w:p w14:paraId="10A3F7F1">
      <w:pPr>
        <w:spacing w:line="579" w:lineRule="exact"/>
        <w:ind w:firstLine="630" w:firstLineChars="200"/>
        <w:rPr>
          <w:rFonts w:hint="eastAsia" w:hAnsi="仿宋" w:cs="Times New Roman"/>
          <w:szCs w:val="30"/>
          <w:highlight w:val="none"/>
          <w:lang w:val="en-US" w:eastAsia="zh-CN"/>
        </w:rPr>
      </w:pPr>
      <w:bookmarkStart w:id="30" w:name="_Toc3207"/>
      <w:r>
        <w:rPr>
          <w:rFonts w:hint="eastAsia" w:hAnsi="仿宋" w:cs="Times New Roman"/>
          <w:szCs w:val="30"/>
          <w:highlight w:val="none"/>
          <w:lang w:val="en-US" w:eastAsia="zh-CN"/>
        </w:rPr>
        <w:t>1.预算编制合理性</w:t>
      </w:r>
    </w:p>
    <w:p w14:paraId="1E3C9E79">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项目预算编制严格依据《西山区公厕免费开放补助专项资金管理实施方案》及相关部门批复文件中明确的补助标准进行测算，预算金额与文件规定保持一致。项目年度补助资金为53万元，而项目总预算为56万元，差额3万元由社会发展资金予以补足。由于编制依据明确、标准清晰，预算测算与补助文件规定基本一致，体现了预算编制的科学性和合理性，</w:t>
      </w:r>
      <w:r>
        <w:rPr>
          <w:rFonts w:hint="eastAsia" w:hAnsi="仿宋" w:cs="Times New Roman"/>
          <w:szCs w:val="30"/>
          <w:lang w:val="en-US" w:eastAsia="zh-CN"/>
        </w:rPr>
        <w:t>该项满分1.00分，得分1.00分</w:t>
      </w:r>
      <w:r>
        <w:rPr>
          <w:rFonts w:hint="eastAsia" w:hAnsi="仿宋" w:cs="Times New Roman"/>
          <w:szCs w:val="30"/>
          <w:highlight w:val="none"/>
          <w:lang w:val="en-US" w:eastAsia="zh-CN"/>
        </w:rPr>
        <w:t>。</w:t>
      </w:r>
    </w:p>
    <w:p w14:paraId="2DD4E382">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2.预算调整规范性</w:t>
      </w:r>
    </w:p>
    <w:p w14:paraId="3CA9D4E4">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项目预算执行过程中未发生违规调整，所有执行均严格依据初预算和批复额度开展，未出现超范围或随意调整的情况，预算编制与批复保持一致，程序规范，</w:t>
      </w:r>
      <w:r>
        <w:rPr>
          <w:rFonts w:hint="eastAsia" w:hAnsi="仿宋" w:cs="Times New Roman"/>
          <w:szCs w:val="30"/>
          <w:lang w:val="en-US" w:eastAsia="zh-CN"/>
        </w:rPr>
        <w:t>该项满分1.00分，得分1.00分</w:t>
      </w:r>
      <w:r>
        <w:rPr>
          <w:rFonts w:hint="eastAsia" w:hAnsi="仿宋" w:cs="Times New Roman"/>
          <w:szCs w:val="30"/>
          <w:highlight w:val="none"/>
          <w:lang w:val="en-US" w:eastAsia="zh-CN"/>
        </w:rPr>
        <w:t>。</w:t>
      </w:r>
    </w:p>
    <w:p w14:paraId="38CCA282">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3.预算执行率</w:t>
      </w:r>
    </w:p>
    <w:p w14:paraId="7C3FFD2A">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项目年度预算资金为53万元，截至2024年12月31日，实际支出资金53万元，预算执行率达到100%。预算资金全部落实到项目实施环节，没有出现结余或超支，执行情况良好，</w:t>
      </w:r>
      <w:r>
        <w:rPr>
          <w:rFonts w:hint="eastAsia" w:hAnsi="仿宋" w:cs="Times New Roman"/>
          <w:szCs w:val="30"/>
          <w:lang w:val="en-US" w:eastAsia="zh-CN"/>
        </w:rPr>
        <w:t>该项满分2.00分，得分2.00分</w:t>
      </w:r>
      <w:r>
        <w:rPr>
          <w:rFonts w:hint="eastAsia" w:hAnsi="仿宋" w:cs="Times New Roman"/>
          <w:szCs w:val="30"/>
          <w:highlight w:val="none"/>
          <w:lang w:val="en-US" w:eastAsia="zh-CN"/>
        </w:rPr>
        <w:t>。</w:t>
      </w:r>
    </w:p>
    <w:p w14:paraId="7BA82FC9">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4.资金使用合规性</w:t>
      </w:r>
    </w:p>
    <w:p w14:paraId="13E1AD2B">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项目资金严格按照预算批复和管理制度执行，使用过程均有请示文件作为前置审批，合同文本完备，支出均附有合法有效的票据和凭证。资金分配合理、用途合规，未发现违规挤占、挪用和虚列情况，体现了资金使用的规范性和合法性，</w:t>
      </w:r>
      <w:r>
        <w:rPr>
          <w:rFonts w:hint="eastAsia" w:hAnsi="仿宋" w:cs="Times New Roman"/>
          <w:szCs w:val="30"/>
          <w:lang w:val="en-US" w:eastAsia="zh-CN"/>
        </w:rPr>
        <w:t>该项满分2.00分，得分2.00分</w:t>
      </w:r>
      <w:r>
        <w:rPr>
          <w:rFonts w:hint="eastAsia" w:hAnsi="仿宋" w:cs="Times New Roman"/>
          <w:szCs w:val="30"/>
          <w:highlight w:val="none"/>
          <w:lang w:val="en-US" w:eastAsia="zh-CN"/>
        </w:rPr>
        <w:t>。</w:t>
      </w:r>
    </w:p>
    <w:p w14:paraId="63198BA6">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5.财务监控有效性</w:t>
      </w:r>
    </w:p>
    <w:p w14:paraId="0AECB7CB">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项目仅为单一服务采购，且有明确补助标准文件为依据，并未单独建立专门的财务监督制度，而是严格依照上级财政及相关部门制定的资金支付制度和管理要求执行。资金收支过程符合规定流程，审批手续齐备，票据完整，账务清晰，能够确保财务运行的真实性和合规性。通过对既有制度的有效落实，项目资金管理实现了全过程可追溯，保障了资金安全使用，</w:t>
      </w:r>
      <w:r>
        <w:rPr>
          <w:rFonts w:hint="eastAsia" w:hAnsi="仿宋" w:cs="Times New Roman"/>
          <w:szCs w:val="30"/>
          <w:lang w:val="en-US" w:eastAsia="zh-CN"/>
        </w:rPr>
        <w:t>该项满分3.00分，得分3.00分</w:t>
      </w:r>
      <w:r>
        <w:rPr>
          <w:rFonts w:hint="eastAsia" w:hAnsi="仿宋" w:cs="Times New Roman"/>
          <w:szCs w:val="30"/>
          <w:highlight w:val="none"/>
          <w:lang w:val="en-US" w:eastAsia="zh-CN"/>
        </w:rPr>
        <w:t>。</w:t>
      </w:r>
    </w:p>
    <w:p w14:paraId="6E5CF87B">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6.管理制度健全性</w:t>
      </w:r>
    </w:p>
    <w:p w14:paraId="2D610996">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项目实施单位并未针对本项目另行制定新的管理制度，这是因为上级部门已就此类项目制定了细致而明确的管理要求，涵盖了预算、合同、采购及监督等主要环节，项目单位无需重复设立制度。实际执行过程中，项目单位严格按照上级制度要求落实各项管理措施，通过合同明确管理责任、执行标准和监督要求，并在后续实施中采取水印相机记录、建立台账和留存检查资料等方式进行全程监督，执行过程细致到位，</w:t>
      </w:r>
      <w:r>
        <w:rPr>
          <w:rFonts w:hint="eastAsia" w:hAnsi="仿宋" w:cs="Times New Roman"/>
          <w:szCs w:val="30"/>
          <w:lang w:val="en-US" w:eastAsia="zh-CN"/>
        </w:rPr>
        <w:t>该项满分3.00分，得分3.00分</w:t>
      </w:r>
      <w:r>
        <w:rPr>
          <w:rFonts w:hint="eastAsia" w:hAnsi="仿宋" w:cs="Times New Roman"/>
          <w:szCs w:val="30"/>
          <w:highlight w:val="none"/>
          <w:lang w:val="en-US" w:eastAsia="zh-CN"/>
        </w:rPr>
        <w:t>。</w:t>
      </w:r>
    </w:p>
    <w:p w14:paraId="7792DBDE">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7.制度执行有效性</w:t>
      </w:r>
    </w:p>
    <w:p w14:paraId="4F80C93B">
      <w:pPr>
        <w:spacing w:line="579" w:lineRule="exact"/>
        <w:ind w:firstLine="630" w:firstLineChars="200"/>
        <w:rPr>
          <w:rFonts w:hint="default" w:hAnsi="仿宋" w:cs="Times New Roman"/>
          <w:szCs w:val="30"/>
          <w:highlight w:val="none"/>
          <w:lang w:val="en-US" w:eastAsia="zh-CN"/>
        </w:rPr>
      </w:pPr>
      <w:r>
        <w:rPr>
          <w:rFonts w:hint="eastAsia" w:hAnsi="仿宋" w:cs="Times New Roman"/>
          <w:szCs w:val="30"/>
          <w:highlight w:val="none"/>
          <w:lang w:val="en-US" w:eastAsia="zh-CN"/>
        </w:rPr>
        <w:t>项目的管理要求得到了严格落实，各项措施执行有力，资料齐全、可追溯性强，充分保障了项目实施的规范性与透明度。需要指出的是，这种以细化措施和过程管控来落实上级制度的做法，体现了较高的执行力和管理水平。建议在未来经验进一步成熟后，将这些检查方式和标准逐步固化，因审批流程周期，合同为向前签署（2024年1月27日提出签约请示，实际签约时间为2024年3月1日），扣分1.00分,</w:t>
      </w:r>
      <w:r>
        <w:rPr>
          <w:rFonts w:hint="eastAsia" w:hAnsi="仿宋" w:cs="Times New Roman"/>
          <w:szCs w:val="30"/>
          <w:lang w:val="en-US" w:eastAsia="zh-CN"/>
        </w:rPr>
        <w:t>该项满分6.00分，得分5.00分</w:t>
      </w:r>
      <w:r>
        <w:rPr>
          <w:rFonts w:hint="eastAsia" w:hAnsi="仿宋" w:cs="Times New Roman"/>
          <w:szCs w:val="30"/>
          <w:highlight w:val="none"/>
          <w:lang w:val="en-US" w:eastAsia="zh-CN"/>
        </w:rPr>
        <w:t>。</w:t>
      </w:r>
    </w:p>
    <w:p w14:paraId="6AC22A63">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8.采购规范性</w:t>
      </w:r>
    </w:p>
    <w:p w14:paraId="21780BAA">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项目金额总体不大，且属于续约实施，实施单位将《昆明市公厕专项整治行动巡查检查及考核实施细则意见》中的量化要求纳入协议的质量服务标准和要求，采购过程合规，合同文件齐全，采购活动在合理范围内体现了规范性和可操作性，</w:t>
      </w:r>
      <w:r>
        <w:rPr>
          <w:rFonts w:hint="eastAsia" w:hAnsi="仿宋" w:cs="Times New Roman"/>
          <w:szCs w:val="30"/>
          <w:lang w:val="en-US" w:eastAsia="zh-CN"/>
        </w:rPr>
        <w:t>该项满分2.00分，得分2.00分</w:t>
      </w:r>
      <w:r>
        <w:rPr>
          <w:rFonts w:hint="eastAsia" w:hAnsi="仿宋" w:cs="Times New Roman"/>
          <w:szCs w:val="30"/>
          <w:highlight w:val="none"/>
          <w:lang w:val="en-US" w:eastAsia="zh-CN"/>
        </w:rPr>
        <w:t>。</w:t>
      </w:r>
    </w:p>
    <w:p w14:paraId="4EFA5781">
      <w:pPr>
        <w:spacing w:line="579" w:lineRule="exact"/>
        <w:ind w:firstLine="630" w:firstLineChars="200"/>
        <w:rPr>
          <w:rFonts w:ascii="楷体" w:hAnsi="楷体" w:eastAsia="楷体"/>
          <w:szCs w:val="30"/>
        </w:rPr>
      </w:pPr>
      <w:r>
        <w:rPr>
          <w:rFonts w:hint="eastAsia" w:ascii="楷体" w:hAnsi="楷体" w:eastAsia="楷体"/>
          <w:szCs w:val="30"/>
        </w:rPr>
        <w:t>（三）</w:t>
      </w:r>
      <w:r>
        <w:rPr>
          <w:rFonts w:hint="eastAsia" w:ascii="楷体" w:hAnsi="楷体" w:eastAsia="楷体"/>
          <w:szCs w:val="30"/>
          <w:lang w:val="en-US" w:eastAsia="zh-CN"/>
        </w:rPr>
        <w:t>项目</w:t>
      </w:r>
      <w:r>
        <w:rPr>
          <w:rFonts w:hint="eastAsia" w:ascii="楷体" w:hAnsi="楷体" w:eastAsia="楷体"/>
          <w:szCs w:val="30"/>
        </w:rPr>
        <w:t>产出情况</w:t>
      </w:r>
      <w:bookmarkEnd w:id="30"/>
    </w:p>
    <w:p w14:paraId="3CA0B73D">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项目产出包括实际完成率、质量达标率、完成及时性和成本节约率四个方面。该项满分30分，绩效评价得分30分，得分率100%。</w:t>
      </w:r>
    </w:p>
    <w:p w14:paraId="3BE64789">
      <w:pPr>
        <w:spacing w:line="579" w:lineRule="exact"/>
        <w:ind w:firstLine="630" w:firstLineChars="200"/>
        <w:rPr>
          <w:rFonts w:hint="eastAsia" w:hAnsi="仿宋"/>
          <w:szCs w:val="30"/>
          <w:lang w:val="en-US" w:eastAsia="zh-CN"/>
        </w:rPr>
      </w:pPr>
      <w:r>
        <w:rPr>
          <w:rFonts w:hint="eastAsia" w:hAnsi="仿宋"/>
          <w:szCs w:val="30"/>
          <w:lang w:val="en-US" w:eastAsia="zh-CN"/>
        </w:rPr>
        <w:t>1.实际完成率</w:t>
      </w:r>
    </w:p>
    <w:p w14:paraId="5EBB0DD4">
      <w:pPr>
        <w:spacing w:line="579" w:lineRule="exact"/>
        <w:ind w:firstLine="630" w:firstLineChars="200"/>
        <w:rPr>
          <w:rFonts w:hint="eastAsia"/>
          <w:lang w:val="en-US" w:eastAsia="zh-CN"/>
        </w:rPr>
      </w:pPr>
      <w:r>
        <w:rPr>
          <w:rFonts w:hint="eastAsia" w:hAnsi="仿宋"/>
          <w:szCs w:val="30"/>
          <w:lang w:val="en-US" w:eastAsia="zh-CN"/>
        </w:rPr>
        <w:t>项目实施补助范围为8个公厕点位，计划补助112个坑位。经核实，已完成对112个坑位的补助，实际完成率达到100%，与项目计划完全一致，</w:t>
      </w:r>
      <w:r>
        <w:rPr>
          <w:rFonts w:hint="eastAsia" w:hAnsi="仿宋" w:cs="Times New Roman"/>
          <w:szCs w:val="30"/>
          <w:lang w:val="en-US" w:eastAsia="zh-CN"/>
        </w:rPr>
        <w:t>该项满分8.00分，得分8.00分，</w:t>
      </w:r>
      <w:r>
        <w:rPr>
          <w:rFonts w:hint="eastAsia" w:hAnsi="仿宋"/>
          <w:szCs w:val="30"/>
          <w:lang w:val="en-US" w:eastAsia="zh-CN"/>
        </w:rPr>
        <w:t>具体如下：</w:t>
      </w:r>
    </w:p>
    <w:tbl>
      <w:tblPr>
        <w:tblStyle w:val="20"/>
        <w:tblpPr w:leftFromText="180" w:rightFromText="180" w:vertAnchor="text" w:horzAnchor="page" w:tblpX="1902" w:tblpY="7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
        <w:gridCol w:w="1575"/>
        <w:gridCol w:w="2637"/>
        <w:gridCol w:w="577"/>
        <w:gridCol w:w="626"/>
        <w:gridCol w:w="589"/>
        <w:gridCol w:w="670"/>
        <w:gridCol w:w="434"/>
        <w:gridCol w:w="1508"/>
      </w:tblGrid>
      <w:tr w14:paraId="77C050D9">
        <w:trPr>
          <w:trHeight w:val="170" w:hRule="atLeast"/>
        </w:trPr>
        <w:tc>
          <w:tcPr>
            <w:tcW w:w="5000" w:type="pct"/>
            <w:gridSpan w:val="9"/>
            <w:tcBorders>
              <w:top w:val="nil"/>
              <w:left w:val="nil"/>
              <w:bottom w:val="nil"/>
              <w:right w:val="nil"/>
            </w:tcBorders>
            <w:shd w:val="clear" w:color="auto" w:fill="auto"/>
            <w:noWrap/>
            <w:vAlign w:val="center"/>
          </w:tcPr>
          <w:p w14:paraId="7D1B7F7F">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2024年西苑街道办事处公厕补助明细</w:t>
            </w:r>
          </w:p>
        </w:tc>
      </w:tr>
      <w:tr w14:paraId="31CCF598">
        <w:trPr>
          <w:trHeight w:val="170"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5CA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5A3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公厕名称</w:t>
            </w:r>
          </w:p>
        </w:tc>
        <w:tc>
          <w:tcPr>
            <w:tcW w:w="1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D22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管理单位</w:t>
            </w:r>
          </w:p>
        </w:tc>
        <w:tc>
          <w:tcPr>
            <w:tcW w:w="135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A69E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蹲位（个）</w:t>
            </w: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D8E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公厕类别</w:t>
            </w:r>
          </w:p>
        </w:tc>
        <w:tc>
          <w:tcPr>
            <w:tcW w:w="8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C0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合同期限</w:t>
            </w:r>
          </w:p>
        </w:tc>
      </w:tr>
      <w:tr w14:paraId="3641D160">
        <w:trPr>
          <w:trHeight w:val="17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AB4E4">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bCs/>
                <w:i w:val="0"/>
                <w:iCs w:val="0"/>
                <w:color w:val="000000"/>
                <w:sz w:val="22"/>
                <w:szCs w:val="22"/>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9C41C">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bCs/>
                <w:i w:val="0"/>
                <w:iCs w:val="0"/>
                <w:color w:val="000000"/>
                <w:sz w:val="22"/>
                <w:szCs w:val="22"/>
                <w:u w:val="none"/>
              </w:rPr>
            </w:pPr>
          </w:p>
        </w:tc>
        <w:tc>
          <w:tcPr>
            <w:tcW w:w="1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4194C">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bCs/>
                <w:i w:val="0"/>
                <w:iCs w:val="0"/>
                <w:color w:val="000000"/>
                <w:sz w:val="22"/>
                <w:szCs w:val="22"/>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1D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男</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C24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女</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AA0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无障碍蹲位</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736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合计</w:t>
            </w: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3362E">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bCs/>
                <w:i w:val="0"/>
                <w:iCs w:val="0"/>
                <w:color w:val="000000"/>
                <w:sz w:val="22"/>
                <w:szCs w:val="22"/>
                <w:u w:val="none"/>
              </w:rPr>
            </w:pPr>
          </w:p>
        </w:tc>
        <w:tc>
          <w:tcPr>
            <w:tcW w:w="8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14F74">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bCs/>
                <w:i w:val="0"/>
                <w:iCs w:val="0"/>
                <w:color w:val="000000"/>
                <w:sz w:val="22"/>
                <w:szCs w:val="22"/>
                <w:u w:val="none"/>
              </w:rPr>
            </w:pPr>
          </w:p>
        </w:tc>
      </w:tr>
      <w:tr w14:paraId="3C72C4FC">
        <w:trPr>
          <w:trHeight w:val="1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260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7CC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智苑巷公厕</w:t>
            </w:r>
          </w:p>
        </w:tc>
        <w:tc>
          <w:tcPr>
            <w:tcW w:w="1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EB7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云南城建物业集团有限公司</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F5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9F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ACA5">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23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B2F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二类</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730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2024.1.1～2024.12.31</w:t>
            </w:r>
          </w:p>
        </w:tc>
      </w:tr>
      <w:tr w14:paraId="0554F1BD">
        <w:trPr>
          <w:trHeight w:val="1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E14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FC5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昆苑巷公厕</w:t>
            </w:r>
          </w:p>
        </w:tc>
        <w:tc>
          <w:tcPr>
            <w:tcW w:w="1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398B3">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2"/>
                <w:szCs w:val="22"/>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6BF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1F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3C592">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E3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878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二类</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4C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2024.1.1～2024.12.31</w:t>
            </w:r>
          </w:p>
        </w:tc>
      </w:tr>
      <w:tr w14:paraId="520CC7A2">
        <w:trPr>
          <w:trHeight w:val="1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919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0E1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高安巷公厕</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362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昆明云安物业管理有限公司</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B0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71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9D55">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E5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31C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二类</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FE0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2024.1.1～2024.12.31</w:t>
            </w:r>
          </w:p>
        </w:tc>
      </w:tr>
      <w:tr w14:paraId="1AF36938">
        <w:trPr>
          <w:trHeight w:val="1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143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14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春苑中心公园公厕</w:t>
            </w:r>
          </w:p>
        </w:tc>
        <w:tc>
          <w:tcPr>
            <w:tcW w:w="14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FD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云南北控环境服务有限公司</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77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36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5C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7D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BF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二类</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8EC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2024.1.1～2024.12.31</w:t>
            </w:r>
          </w:p>
        </w:tc>
      </w:tr>
      <w:tr w14:paraId="1EF1ABE0">
        <w:trPr>
          <w:trHeight w:val="524"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941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05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春苑小区南门公厕</w:t>
            </w:r>
          </w:p>
        </w:tc>
        <w:tc>
          <w:tcPr>
            <w:tcW w:w="14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F2B0">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2"/>
                <w:szCs w:val="22"/>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6A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77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D32A">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82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589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二类</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79D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2024.1.1～2024.12.31</w:t>
            </w:r>
          </w:p>
        </w:tc>
      </w:tr>
      <w:tr w14:paraId="58D09AFB">
        <w:trPr>
          <w:trHeight w:val="1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35C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1F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腾龙巷公厕</w:t>
            </w:r>
          </w:p>
        </w:tc>
        <w:tc>
          <w:tcPr>
            <w:tcW w:w="1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EC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昆明英泽房屋拆迁有限公司</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C3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60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00A5">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49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FB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二类</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0A9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2024.1.1～2024.12.31</w:t>
            </w:r>
          </w:p>
        </w:tc>
      </w:tr>
      <w:tr w14:paraId="0924B322">
        <w:trPr>
          <w:trHeight w:val="1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B6D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3F7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灯火阑珊丽苑路公厕</w:t>
            </w:r>
          </w:p>
        </w:tc>
        <w:tc>
          <w:tcPr>
            <w:tcW w:w="14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B3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云南云智城市服务有限责任公司</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CA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53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B98D">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AA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743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二类</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3D0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2024.1.1～2024.12.31</w:t>
            </w:r>
          </w:p>
        </w:tc>
      </w:tr>
      <w:tr w14:paraId="53CF507E">
        <w:trPr>
          <w:trHeight w:val="1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6DD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907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秋苑一期公厕</w:t>
            </w:r>
          </w:p>
        </w:tc>
        <w:tc>
          <w:tcPr>
            <w:tcW w:w="14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7BAB">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2"/>
                <w:szCs w:val="22"/>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48A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1C6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59CF">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871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A74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二类</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82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2024.1.1～2024.12.31</w:t>
            </w:r>
          </w:p>
        </w:tc>
      </w:tr>
      <w:tr w14:paraId="015E9F7B">
        <w:trPr>
          <w:trHeight w:val="170" w:hRule="atLeast"/>
        </w:trPr>
        <w:tc>
          <w:tcPr>
            <w:tcW w:w="25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C615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52EE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D1A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F4A3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2B5D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113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二类</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A6485">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2"/>
                <w:szCs w:val="22"/>
                <w:u w:val="none"/>
              </w:rPr>
            </w:pPr>
          </w:p>
        </w:tc>
      </w:tr>
    </w:tbl>
    <w:p w14:paraId="2FCE1F94">
      <w:pPr>
        <w:pStyle w:val="2"/>
        <w:rPr>
          <w:rFonts w:hint="eastAsia"/>
          <w:lang w:val="en-US" w:eastAsia="zh-CN"/>
        </w:rPr>
      </w:pPr>
    </w:p>
    <w:p w14:paraId="07EC8C9B">
      <w:pPr>
        <w:spacing w:line="579" w:lineRule="exact"/>
        <w:ind w:firstLine="630" w:firstLineChars="200"/>
        <w:rPr>
          <w:rFonts w:hint="eastAsia" w:hAnsi="仿宋"/>
          <w:szCs w:val="30"/>
          <w:lang w:val="en-US" w:eastAsia="zh-CN"/>
        </w:rPr>
      </w:pPr>
      <w:r>
        <w:rPr>
          <w:rFonts w:hint="eastAsia" w:hAnsi="仿宋"/>
          <w:szCs w:val="30"/>
          <w:lang w:val="en-US" w:eastAsia="zh-CN"/>
        </w:rPr>
        <w:t>2.质量达标率</w:t>
      </w:r>
    </w:p>
    <w:p w14:paraId="02AE1B81">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default"/>
          <w:lang w:val="en-US" w:eastAsia="zh-CN"/>
        </w:rPr>
      </w:pPr>
      <w:r>
        <w:rPr>
          <w:rFonts w:hint="eastAsia" w:hAnsi="仿宋"/>
          <w:szCs w:val="30"/>
          <w:lang w:val="en-US" w:eastAsia="zh-CN"/>
        </w:rPr>
        <w:t>项目补助任务均已按照质量目标和管理要求完成。验收资料显示，公厕日常运行情况良好，360个日常巡查记录规范，未出现质量性问题，项目整体达标率为100%。结合查阅的巡查台账和质量考核记录，表明项目产出质量符合标准。</w:t>
      </w:r>
      <w:r>
        <w:rPr>
          <w:rFonts w:hint="eastAsia" w:hAnsi="仿宋" w:cs="Times New Roman"/>
          <w:szCs w:val="30"/>
          <w:lang w:val="en-US" w:eastAsia="zh-CN"/>
        </w:rPr>
        <w:t>该项满分8.00分，得分8.00分。</w:t>
      </w:r>
    </w:p>
    <w:p w14:paraId="21AC0C0F">
      <w:pPr>
        <w:spacing w:line="579" w:lineRule="exact"/>
        <w:ind w:firstLine="630" w:firstLineChars="200"/>
        <w:rPr>
          <w:rFonts w:hint="eastAsia" w:hAnsi="仿宋"/>
          <w:szCs w:val="30"/>
          <w:lang w:val="en-US" w:eastAsia="zh-CN"/>
        </w:rPr>
      </w:pPr>
    </w:p>
    <w:tbl>
      <w:tblPr>
        <w:tblStyle w:val="20"/>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6"/>
        <w:gridCol w:w="4904"/>
        <w:gridCol w:w="2568"/>
      </w:tblGrid>
      <w:tr w14:paraId="24D82852">
        <w:trPr>
          <w:trHeight w:val="839" w:hRule="atLeast"/>
        </w:trPr>
        <w:tc>
          <w:tcPr>
            <w:tcW w:w="875" w:type="pct"/>
            <w:tcBorders>
              <w:bottom w:val="nil"/>
              <w:right w:val="nil"/>
            </w:tcBorders>
            <w:shd w:val="clear" w:color="auto" w:fill="auto"/>
            <w:vAlign w:val="center"/>
          </w:tcPr>
          <w:p w14:paraId="5368F5E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2706" w:type="pct"/>
            <w:tcBorders>
              <w:left w:val="single" w:color="000000" w:sz="4" w:space="0"/>
              <w:bottom w:val="single" w:color="000000" w:sz="4" w:space="0"/>
              <w:right w:val="single" w:color="000000" w:sz="4" w:space="0"/>
            </w:tcBorders>
            <w:shd w:val="clear" w:color="auto" w:fill="auto"/>
            <w:vAlign w:val="center"/>
          </w:tcPr>
          <w:p w14:paraId="7ED64B2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厕所名称</w:t>
            </w:r>
          </w:p>
        </w:tc>
        <w:tc>
          <w:tcPr>
            <w:tcW w:w="1417" w:type="pct"/>
            <w:tcBorders>
              <w:left w:val="single" w:color="000000" w:sz="4" w:space="0"/>
              <w:bottom w:val="single" w:color="000000" w:sz="4" w:space="0"/>
              <w:right w:val="single" w:color="000000" w:sz="4" w:space="0"/>
            </w:tcBorders>
            <w:shd w:val="clear" w:color="auto" w:fill="auto"/>
            <w:vAlign w:val="center"/>
          </w:tcPr>
          <w:p w14:paraId="6745CB8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 xml:space="preserve">管养情况   </w:t>
            </w:r>
          </w:p>
        </w:tc>
      </w:tr>
      <w:tr w14:paraId="14FD8970">
        <w:trPr>
          <w:trHeight w:val="336" w:hRule="atLeast"/>
        </w:trPr>
        <w:tc>
          <w:tcPr>
            <w:tcW w:w="875" w:type="pct"/>
            <w:tcBorders>
              <w:top w:val="single" w:color="000000" w:sz="4" w:space="0"/>
              <w:bottom w:val="single" w:color="000000" w:sz="4" w:space="0"/>
              <w:right w:val="single" w:color="000000" w:sz="4" w:space="0"/>
            </w:tcBorders>
            <w:shd w:val="clear" w:color="auto" w:fill="auto"/>
            <w:vAlign w:val="center"/>
          </w:tcPr>
          <w:p w14:paraId="101CC7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618F">
            <w:pPr>
              <w:keepNext w:val="0"/>
              <w:keepLines w:val="0"/>
              <w:widowControl/>
              <w:suppressLineNumbers w:val="0"/>
              <w:jc w:val="center"/>
              <w:textAlignment w:val="center"/>
              <w:rPr>
                <w:rFonts w:hint="eastAsia" w:ascii="仿宋" w:hAnsi="仿宋" w:eastAsia="仿宋" w:cs="仿宋"/>
                <w:sz w:val="22"/>
                <w:szCs w:val="22"/>
                <w:lang w:eastAsia="zh-CN"/>
              </w:rPr>
            </w:pPr>
            <w:r>
              <w:rPr>
                <w:rFonts w:hint="eastAsia" w:ascii="仿宋" w:hAnsi="仿宋" w:eastAsia="仿宋" w:cs="仿宋"/>
                <w:i w:val="0"/>
                <w:iCs w:val="0"/>
                <w:color w:val="000000"/>
                <w:kern w:val="0"/>
                <w:sz w:val="22"/>
                <w:szCs w:val="22"/>
                <w:u w:val="none"/>
                <w:lang w:val="en-US" w:eastAsia="zh-CN" w:bidi="ar"/>
              </w:rPr>
              <w:t>智苑巷公厕</w:t>
            </w:r>
          </w:p>
        </w:tc>
        <w:tc>
          <w:tcPr>
            <w:tcW w:w="1417"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1891139">
            <w:pPr>
              <w:jc w:val="center"/>
              <w:rPr>
                <w:rFonts w:hint="eastAsia" w:ascii="仿宋" w:hAnsi="仿宋" w:eastAsia="仿宋" w:cs="仿宋"/>
                <w:i w:val="0"/>
                <w:iCs w:val="0"/>
                <w:color w:val="000000"/>
                <w:sz w:val="22"/>
                <w:szCs w:val="22"/>
                <w:u w:val="none"/>
              </w:rPr>
            </w:pPr>
            <w:r>
              <w:rPr>
                <w:rFonts w:hint="eastAsia" w:ascii="仿宋" w:hAnsi="仿宋" w:eastAsia="仿宋" w:cs="仿宋"/>
                <w:sz w:val="22"/>
                <w:szCs w:val="22"/>
              </w:rPr>
              <w:t>管养良好</w:t>
            </w:r>
          </w:p>
        </w:tc>
      </w:tr>
      <w:tr w14:paraId="62C6189B">
        <w:trPr>
          <w:trHeight w:val="336" w:hRule="atLeast"/>
        </w:trPr>
        <w:tc>
          <w:tcPr>
            <w:tcW w:w="875" w:type="pct"/>
            <w:tcBorders>
              <w:top w:val="single" w:color="000000" w:sz="4" w:space="0"/>
              <w:bottom w:val="single" w:color="000000" w:sz="4" w:space="0"/>
              <w:right w:val="single" w:color="000000" w:sz="4" w:space="0"/>
            </w:tcBorders>
            <w:shd w:val="clear" w:color="auto" w:fill="auto"/>
            <w:vAlign w:val="center"/>
          </w:tcPr>
          <w:p w14:paraId="3CE95D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6EE6">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昆苑巷公厕</w:t>
            </w:r>
          </w:p>
        </w:tc>
        <w:tc>
          <w:tcPr>
            <w:tcW w:w="1417"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0A36FF7">
            <w:pPr>
              <w:jc w:val="center"/>
              <w:rPr>
                <w:rFonts w:hint="eastAsia" w:ascii="仿宋" w:hAnsi="仿宋" w:eastAsia="仿宋" w:cs="仿宋"/>
                <w:i w:val="0"/>
                <w:iCs w:val="0"/>
                <w:color w:val="00B050"/>
                <w:sz w:val="22"/>
                <w:szCs w:val="22"/>
                <w:u w:val="none"/>
              </w:rPr>
            </w:pPr>
            <w:r>
              <w:rPr>
                <w:rFonts w:hint="eastAsia" w:ascii="仿宋" w:hAnsi="仿宋" w:eastAsia="仿宋" w:cs="仿宋"/>
                <w:sz w:val="22"/>
                <w:szCs w:val="22"/>
              </w:rPr>
              <w:t>管养良好</w:t>
            </w:r>
          </w:p>
        </w:tc>
      </w:tr>
      <w:tr w14:paraId="4E0CE0AA">
        <w:trPr>
          <w:trHeight w:val="336" w:hRule="atLeast"/>
        </w:trPr>
        <w:tc>
          <w:tcPr>
            <w:tcW w:w="875" w:type="pct"/>
            <w:tcBorders>
              <w:top w:val="single" w:color="000000" w:sz="4" w:space="0"/>
              <w:bottom w:val="single" w:color="000000" w:sz="4" w:space="0"/>
              <w:right w:val="single" w:color="000000" w:sz="4" w:space="0"/>
            </w:tcBorders>
            <w:shd w:val="clear" w:color="auto" w:fill="auto"/>
            <w:vAlign w:val="center"/>
          </w:tcPr>
          <w:p w14:paraId="157D6EB1">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4C61">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高安巷公厕</w:t>
            </w:r>
          </w:p>
        </w:tc>
        <w:tc>
          <w:tcPr>
            <w:tcW w:w="1417"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79E4C18">
            <w:pPr>
              <w:jc w:val="center"/>
              <w:rPr>
                <w:rFonts w:hint="eastAsia" w:ascii="仿宋" w:hAnsi="仿宋" w:eastAsia="仿宋" w:cs="仿宋"/>
                <w:i w:val="0"/>
                <w:iCs w:val="0"/>
                <w:color w:val="00B050"/>
                <w:sz w:val="22"/>
                <w:szCs w:val="22"/>
                <w:u w:val="none"/>
              </w:rPr>
            </w:pPr>
            <w:r>
              <w:rPr>
                <w:rFonts w:hint="eastAsia" w:ascii="仿宋" w:hAnsi="仿宋" w:eastAsia="仿宋" w:cs="仿宋"/>
                <w:sz w:val="22"/>
                <w:szCs w:val="22"/>
              </w:rPr>
              <w:t>管养良好</w:t>
            </w:r>
          </w:p>
        </w:tc>
      </w:tr>
      <w:tr w14:paraId="5A624996">
        <w:trPr>
          <w:trHeight w:val="336" w:hRule="atLeast"/>
        </w:trPr>
        <w:tc>
          <w:tcPr>
            <w:tcW w:w="875" w:type="pct"/>
            <w:tcBorders>
              <w:top w:val="single" w:color="000000" w:sz="4" w:space="0"/>
              <w:bottom w:val="single" w:color="000000" w:sz="4" w:space="0"/>
              <w:right w:val="single" w:color="000000" w:sz="4" w:space="0"/>
            </w:tcBorders>
            <w:shd w:val="clear" w:color="auto" w:fill="auto"/>
            <w:vAlign w:val="center"/>
          </w:tcPr>
          <w:p w14:paraId="199059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C79A">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春苑中心公园公厕</w:t>
            </w:r>
          </w:p>
        </w:tc>
        <w:tc>
          <w:tcPr>
            <w:tcW w:w="1417"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2026115">
            <w:pPr>
              <w:jc w:val="center"/>
              <w:rPr>
                <w:rFonts w:hint="eastAsia" w:ascii="仿宋" w:hAnsi="仿宋" w:eastAsia="仿宋" w:cs="仿宋"/>
                <w:i w:val="0"/>
                <w:iCs w:val="0"/>
                <w:color w:val="00B050"/>
                <w:sz w:val="22"/>
                <w:szCs w:val="22"/>
                <w:u w:val="none"/>
              </w:rPr>
            </w:pPr>
            <w:r>
              <w:rPr>
                <w:rFonts w:hint="eastAsia" w:ascii="仿宋" w:hAnsi="仿宋" w:eastAsia="仿宋" w:cs="仿宋"/>
                <w:sz w:val="22"/>
                <w:szCs w:val="22"/>
              </w:rPr>
              <w:t>管养良好</w:t>
            </w:r>
          </w:p>
        </w:tc>
      </w:tr>
      <w:tr w14:paraId="6D051723">
        <w:trPr>
          <w:trHeight w:val="336" w:hRule="atLeast"/>
        </w:trPr>
        <w:tc>
          <w:tcPr>
            <w:tcW w:w="875" w:type="pct"/>
            <w:tcBorders>
              <w:top w:val="single" w:color="000000" w:sz="4" w:space="0"/>
              <w:bottom w:val="single" w:color="000000" w:sz="4" w:space="0"/>
              <w:right w:val="single" w:color="000000" w:sz="4" w:space="0"/>
            </w:tcBorders>
            <w:shd w:val="clear" w:color="auto" w:fill="auto"/>
            <w:vAlign w:val="center"/>
          </w:tcPr>
          <w:p w14:paraId="4E559F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1C97">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春苑小区南门公厕</w:t>
            </w:r>
          </w:p>
        </w:tc>
        <w:tc>
          <w:tcPr>
            <w:tcW w:w="1417"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8CF1FF6">
            <w:pPr>
              <w:jc w:val="center"/>
              <w:rPr>
                <w:rFonts w:hint="eastAsia" w:ascii="仿宋" w:hAnsi="仿宋" w:eastAsia="仿宋" w:cs="仿宋"/>
                <w:i w:val="0"/>
                <w:iCs w:val="0"/>
                <w:color w:val="00B050"/>
                <w:sz w:val="22"/>
                <w:szCs w:val="22"/>
                <w:u w:val="none"/>
              </w:rPr>
            </w:pPr>
            <w:r>
              <w:rPr>
                <w:rFonts w:hint="eastAsia" w:ascii="仿宋" w:hAnsi="仿宋" w:eastAsia="仿宋" w:cs="仿宋"/>
                <w:sz w:val="22"/>
                <w:szCs w:val="22"/>
              </w:rPr>
              <w:t>管养良好</w:t>
            </w:r>
          </w:p>
        </w:tc>
      </w:tr>
      <w:tr w14:paraId="3C3FE78C">
        <w:trPr>
          <w:trHeight w:val="260" w:hRule="atLeast"/>
        </w:trPr>
        <w:tc>
          <w:tcPr>
            <w:tcW w:w="875" w:type="pct"/>
            <w:tcBorders>
              <w:top w:val="single" w:color="000000" w:sz="4" w:space="0"/>
              <w:bottom w:val="single" w:color="000000" w:sz="4" w:space="0"/>
              <w:right w:val="single" w:color="000000" w:sz="4" w:space="0"/>
            </w:tcBorders>
            <w:shd w:val="clear" w:color="auto" w:fill="auto"/>
            <w:vAlign w:val="center"/>
          </w:tcPr>
          <w:p w14:paraId="5AFE00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8C3A">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腾龙巷公厕</w:t>
            </w:r>
          </w:p>
        </w:tc>
        <w:tc>
          <w:tcPr>
            <w:tcW w:w="1417"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800769A">
            <w:pPr>
              <w:jc w:val="center"/>
              <w:rPr>
                <w:rFonts w:hint="eastAsia" w:ascii="仿宋" w:hAnsi="仿宋" w:eastAsia="仿宋" w:cs="仿宋"/>
                <w:i w:val="0"/>
                <w:iCs w:val="0"/>
                <w:color w:val="00B050"/>
                <w:sz w:val="22"/>
                <w:szCs w:val="22"/>
                <w:u w:val="none"/>
              </w:rPr>
            </w:pPr>
            <w:r>
              <w:rPr>
                <w:rFonts w:hint="eastAsia" w:ascii="仿宋" w:hAnsi="仿宋" w:eastAsia="仿宋" w:cs="仿宋"/>
                <w:sz w:val="22"/>
                <w:szCs w:val="22"/>
              </w:rPr>
              <w:t>管养良好</w:t>
            </w:r>
          </w:p>
        </w:tc>
      </w:tr>
      <w:tr w14:paraId="0C8D9011">
        <w:trPr>
          <w:trHeight w:val="336" w:hRule="atLeast"/>
        </w:trPr>
        <w:tc>
          <w:tcPr>
            <w:tcW w:w="875" w:type="pct"/>
            <w:tcBorders>
              <w:top w:val="single" w:color="000000" w:sz="4" w:space="0"/>
              <w:bottom w:val="single" w:color="000000" w:sz="4" w:space="0"/>
              <w:right w:val="single" w:color="000000" w:sz="4" w:space="0"/>
            </w:tcBorders>
            <w:shd w:val="clear" w:color="auto" w:fill="auto"/>
            <w:vAlign w:val="center"/>
          </w:tcPr>
          <w:p w14:paraId="36D68F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AC22">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灯火阑珊丽苑路公厕</w:t>
            </w:r>
          </w:p>
        </w:tc>
        <w:tc>
          <w:tcPr>
            <w:tcW w:w="1417"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4ACBCC">
            <w:pPr>
              <w:jc w:val="center"/>
              <w:rPr>
                <w:rFonts w:hint="eastAsia" w:ascii="仿宋" w:hAnsi="仿宋" w:eastAsia="仿宋" w:cs="仿宋"/>
                <w:i w:val="0"/>
                <w:iCs w:val="0"/>
                <w:color w:val="FF0000"/>
                <w:sz w:val="22"/>
                <w:szCs w:val="22"/>
                <w:u w:val="none"/>
              </w:rPr>
            </w:pPr>
            <w:r>
              <w:rPr>
                <w:rFonts w:hint="eastAsia" w:ascii="仿宋" w:hAnsi="仿宋" w:eastAsia="仿宋" w:cs="仿宋"/>
                <w:sz w:val="22"/>
                <w:szCs w:val="22"/>
              </w:rPr>
              <w:t>管养良好</w:t>
            </w:r>
          </w:p>
        </w:tc>
      </w:tr>
      <w:tr w14:paraId="6D175016">
        <w:trPr>
          <w:trHeight w:val="320" w:hRule="atLeast"/>
        </w:trPr>
        <w:tc>
          <w:tcPr>
            <w:tcW w:w="875" w:type="pct"/>
            <w:tcBorders>
              <w:top w:val="single" w:color="000000" w:sz="4" w:space="0"/>
              <w:bottom w:val="single" w:color="000000" w:sz="4" w:space="0"/>
              <w:right w:val="single" w:color="000000" w:sz="4" w:space="0"/>
            </w:tcBorders>
            <w:shd w:val="clear" w:color="auto" w:fill="auto"/>
            <w:vAlign w:val="center"/>
          </w:tcPr>
          <w:p w14:paraId="3A6204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9886">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秋苑一期公厕</w:t>
            </w:r>
          </w:p>
        </w:tc>
        <w:tc>
          <w:tcPr>
            <w:tcW w:w="1417"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F33418">
            <w:pPr>
              <w:jc w:val="center"/>
              <w:rPr>
                <w:rFonts w:hint="eastAsia" w:ascii="仿宋" w:hAnsi="仿宋" w:eastAsia="仿宋" w:cs="仿宋"/>
                <w:i w:val="0"/>
                <w:iCs w:val="0"/>
                <w:color w:val="00B050"/>
                <w:sz w:val="22"/>
                <w:szCs w:val="22"/>
                <w:u w:val="none"/>
              </w:rPr>
            </w:pPr>
            <w:r>
              <w:rPr>
                <w:rFonts w:hint="eastAsia" w:ascii="仿宋" w:hAnsi="仿宋" w:eastAsia="仿宋" w:cs="仿宋"/>
                <w:sz w:val="22"/>
                <w:szCs w:val="22"/>
              </w:rPr>
              <w:t>管养良好</w:t>
            </w:r>
          </w:p>
        </w:tc>
      </w:tr>
    </w:tbl>
    <w:p w14:paraId="6B67C114">
      <w:pPr>
        <w:pStyle w:val="7"/>
        <w:rPr>
          <w:rFonts w:hint="eastAsia"/>
          <w:lang w:val="en-US" w:eastAsia="zh-CN"/>
        </w:rPr>
      </w:pPr>
    </w:p>
    <w:p w14:paraId="4D05A63E">
      <w:pPr>
        <w:spacing w:line="579" w:lineRule="exact"/>
        <w:ind w:firstLine="630" w:firstLineChars="200"/>
        <w:rPr>
          <w:rFonts w:hint="eastAsia" w:hAnsi="仿宋"/>
          <w:szCs w:val="30"/>
          <w:lang w:val="en-US" w:eastAsia="zh-CN"/>
        </w:rPr>
      </w:pPr>
      <w:r>
        <w:rPr>
          <w:rFonts w:hint="eastAsia" w:hAnsi="仿宋"/>
          <w:szCs w:val="30"/>
          <w:lang w:val="en-US" w:eastAsia="zh-CN"/>
        </w:rPr>
        <w:t>3.完成及时性</w:t>
      </w:r>
    </w:p>
    <w:p w14:paraId="7F015E28">
      <w:pPr>
        <w:spacing w:line="579" w:lineRule="exact"/>
        <w:ind w:firstLine="630" w:firstLineChars="200"/>
        <w:rPr>
          <w:rFonts w:hint="eastAsia" w:hAnsi="仿宋"/>
          <w:szCs w:val="30"/>
          <w:lang w:val="en-US" w:eastAsia="zh-CN"/>
        </w:rPr>
      </w:pPr>
      <w:r>
        <w:rPr>
          <w:rFonts w:hint="eastAsia" w:hAnsi="仿宋"/>
          <w:szCs w:val="30"/>
          <w:lang w:val="en-US" w:eastAsia="zh-CN"/>
        </w:rPr>
        <w:t>项目各点位的补助任务均在年度内完成，时间进度符合要求。巡查记录、签证手续和相关台账资料齐全，覆盖全部点位，能够如实反映任务完成的时间和过程，完成及时性良好，</w:t>
      </w:r>
      <w:r>
        <w:rPr>
          <w:rFonts w:hint="eastAsia" w:hAnsi="仿宋" w:cs="Times New Roman"/>
          <w:szCs w:val="30"/>
          <w:lang w:val="en-US" w:eastAsia="zh-CN"/>
        </w:rPr>
        <w:t>该项满分7.00分，得分7.00分</w:t>
      </w:r>
      <w:r>
        <w:rPr>
          <w:rFonts w:hint="eastAsia" w:hAnsi="仿宋"/>
          <w:szCs w:val="30"/>
          <w:lang w:val="en-US" w:eastAsia="zh-CN"/>
        </w:rPr>
        <w:t>。</w:t>
      </w:r>
    </w:p>
    <w:p w14:paraId="60BDCB5C">
      <w:pPr>
        <w:spacing w:line="579" w:lineRule="exact"/>
        <w:ind w:firstLine="630" w:firstLineChars="200"/>
        <w:rPr>
          <w:rFonts w:hint="eastAsia" w:hAnsi="仿宋"/>
          <w:szCs w:val="30"/>
          <w:lang w:val="en-US" w:eastAsia="zh-CN"/>
        </w:rPr>
      </w:pPr>
      <w:r>
        <w:rPr>
          <w:rFonts w:hint="eastAsia" w:hAnsi="仿宋"/>
          <w:szCs w:val="30"/>
          <w:lang w:val="en-US" w:eastAsia="zh-CN"/>
        </w:rPr>
        <w:t>4.成本节约率</w:t>
      </w:r>
    </w:p>
    <w:p w14:paraId="4402D24A">
      <w:pPr>
        <w:spacing w:line="579" w:lineRule="exact"/>
        <w:ind w:firstLine="630" w:firstLineChars="200"/>
        <w:rPr>
          <w:rFonts w:hint="default" w:hAnsi="仿宋"/>
          <w:szCs w:val="30"/>
          <w:highlight w:val="none"/>
          <w:lang w:val="en-US" w:eastAsia="zh-CN"/>
        </w:rPr>
      </w:pPr>
      <w:r>
        <w:rPr>
          <w:rFonts w:hint="eastAsia" w:hAnsi="仿宋"/>
          <w:szCs w:val="30"/>
          <w:lang w:val="en-US" w:eastAsia="zh-CN"/>
        </w:rPr>
        <w:t>项目预算申报资金53.00万元，实际支出53.00万元，成本节约率为0%。项目严格执行预算批复，资金支出真实合规，未发生超支情况，体现了资金使用的规范性，</w:t>
      </w:r>
      <w:r>
        <w:rPr>
          <w:rFonts w:hint="eastAsia" w:hAnsi="仿宋" w:cs="Times New Roman"/>
          <w:szCs w:val="30"/>
          <w:lang w:val="en-US" w:eastAsia="zh-CN"/>
        </w:rPr>
        <w:t>该项满分7.00分，得分7.00分</w:t>
      </w:r>
      <w:r>
        <w:rPr>
          <w:rFonts w:hint="eastAsia" w:hAnsi="仿宋"/>
          <w:szCs w:val="30"/>
          <w:lang w:val="en-US" w:eastAsia="zh-CN"/>
        </w:rPr>
        <w:t>。</w:t>
      </w:r>
    </w:p>
    <w:p w14:paraId="1A129439">
      <w:pPr>
        <w:spacing w:line="579" w:lineRule="exact"/>
        <w:ind w:firstLine="630" w:firstLineChars="200"/>
        <w:outlineLvl w:val="1"/>
        <w:rPr>
          <w:rFonts w:ascii="楷体" w:hAnsi="楷体" w:eastAsia="楷体"/>
          <w:szCs w:val="30"/>
        </w:rPr>
      </w:pPr>
      <w:bookmarkStart w:id="31" w:name="_Toc8841"/>
      <w:r>
        <w:rPr>
          <w:rFonts w:hint="eastAsia" w:ascii="楷体" w:hAnsi="楷体" w:eastAsia="楷体"/>
          <w:szCs w:val="30"/>
        </w:rPr>
        <w:t>（四）</w:t>
      </w:r>
      <w:r>
        <w:rPr>
          <w:rFonts w:hint="eastAsia" w:ascii="楷体" w:hAnsi="楷体" w:eastAsia="楷体"/>
          <w:szCs w:val="30"/>
          <w:lang w:val="en-US" w:eastAsia="zh-CN"/>
        </w:rPr>
        <w:t>项目效益</w:t>
      </w:r>
      <w:r>
        <w:rPr>
          <w:rFonts w:hint="eastAsia" w:ascii="楷体" w:hAnsi="楷体" w:eastAsia="楷体"/>
          <w:szCs w:val="30"/>
        </w:rPr>
        <w:t>情况</w:t>
      </w:r>
      <w:bookmarkEnd w:id="31"/>
    </w:p>
    <w:p w14:paraId="46841D76">
      <w:pPr>
        <w:spacing w:line="579" w:lineRule="exact"/>
        <w:ind w:firstLine="630" w:firstLineChars="200"/>
        <w:rPr>
          <w:rFonts w:hint="eastAsia" w:hAnsi="仿宋"/>
          <w:szCs w:val="30"/>
          <w:highlight w:val="none"/>
        </w:rPr>
      </w:pPr>
      <w:r>
        <w:rPr>
          <w:rFonts w:hint="eastAsia" w:hAnsi="仿宋"/>
          <w:szCs w:val="30"/>
          <w:highlight w:val="none"/>
        </w:rPr>
        <w:t>本项目效益包括可持续影响、</w:t>
      </w:r>
      <w:r>
        <w:rPr>
          <w:rFonts w:hint="eastAsia" w:hAnsi="仿宋"/>
          <w:szCs w:val="30"/>
          <w:highlight w:val="none"/>
          <w:lang w:val="en-US" w:eastAsia="zh-CN"/>
        </w:rPr>
        <w:t>替代效应</w:t>
      </w:r>
      <w:r>
        <w:rPr>
          <w:rFonts w:hint="eastAsia" w:hAnsi="仿宋"/>
          <w:szCs w:val="30"/>
          <w:highlight w:val="none"/>
        </w:rPr>
        <w:t>、</w:t>
      </w:r>
      <w:r>
        <w:rPr>
          <w:rFonts w:hint="eastAsia" w:hAnsi="仿宋"/>
          <w:szCs w:val="30"/>
          <w:highlight w:val="none"/>
          <w:lang w:val="en-US" w:eastAsia="zh-CN"/>
        </w:rPr>
        <w:t>可及性</w:t>
      </w:r>
      <w:r>
        <w:rPr>
          <w:rFonts w:hint="eastAsia" w:hAnsi="仿宋"/>
          <w:szCs w:val="30"/>
          <w:highlight w:val="none"/>
        </w:rPr>
        <w:t>和满意度四个方面。该项满分30分，绩效评价得分2</w:t>
      </w:r>
      <w:r>
        <w:rPr>
          <w:rFonts w:hint="eastAsia" w:hAnsi="仿宋"/>
          <w:szCs w:val="30"/>
          <w:highlight w:val="none"/>
          <w:lang w:val="en-US" w:eastAsia="zh-CN"/>
        </w:rPr>
        <w:t>9.29</w:t>
      </w:r>
      <w:r>
        <w:rPr>
          <w:rFonts w:hint="eastAsia" w:hAnsi="仿宋"/>
          <w:szCs w:val="30"/>
          <w:highlight w:val="none"/>
        </w:rPr>
        <w:t>分，得分率9</w:t>
      </w:r>
      <w:r>
        <w:rPr>
          <w:rFonts w:hint="eastAsia" w:hAnsi="仿宋"/>
          <w:szCs w:val="30"/>
          <w:highlight w:val="none"/>
          <w:lang w:val="en-US" w:eastAsia="zh-CN"/>
        </w:rPr>
        <w:t>7</w:t>
      </w:r>
      <w:r>
        <w:rPr>
          <w:rFonts w:hint="eastAsia" w:hAnsi="仿宋"/>
          <w:szCs w:val="30"/>
          <w:highlight w:val="none"/>
        </w:rPr>
        <w:t>.</w:t>
      </w:r>
      <w:r>
        <w:rPr>
          <w:rFonts w:hint="eastAsia" w:hAnsi="仿宋"/>
          <w:szCs w:val="30"/>
          <w:highlight w:val="none"/>
          <w:lang w:val="en-US" w:eastAsia="zh-CN"/>
        </w:rPr>
        <w:t>63</w:t>
      </w:r>
      <w:r>
        <w:rPr>
          <w:rFonts w:hint="eastAsia" w:hAnsi="仿宋"/>
          <w:szCs w:val="30"/>
          <w:highlight w:val="none"/>
        </w:rPr>
        <w:t>%。</w:t>
      </w:r>
    </w:p>
    <w:p w14:paraId="36F25F05">
      <w:pPr>
        <w:spacing w:line="579" w:lineRule="exact"/>
        <w:ind w:firstLine="630" w:firstLineChars="200"/>
        <w:rPr>
          <w:rFonts w:hint="default" w:hAnsi="仿宋"/>
          <w:szCs w:val="30"/>
          <w:lang w:val="en-US" w:eastAsia="zh-CN"/>
        </w:rPr>
      </w:pPr>
      <w:r>
        <w:rPr>
          <w:rFonts w:hint="default" w:hAnsi="仿宋"/>
          <w:szCs w:val="30"/>
          <w:lang w:val="en-US" w:eastAsia="zh-CN"/>
        </w:rPr>
        <w:t>1.可持续影响</w:t>
      </w:r>
    </w:p>
    <w:p w14:paraId="745790B2">
      <w:pPr>
        <w:spacing w:line="579" w:lineRule="exact"/>
        <w:ind w:firstLine="630" w:firstLineChars="200"/>
        <w:rPr>
          <w:rFonts w:hint="default" w:hAnsi="仿宋"/>
          <w:szCs w:val="30"/>
          <w:lang w:val="en-US" w:eastAsia="zh-CN"/>
        </w:rPr>
      </w:pPr>
      <w:r>
        <w:rPr>
          <w:rFonts w:hint="default" w:hAnsi="仿宋"/>
          <w:szCs w:val="30"/>
          <w:lang w:val="en-US" w:eastAsia="zh-CN"/>
        </w:rPr>
        <w:t>项目年度连续实施，已形成较为稳定的委托关系和管理模式。明确定期巡查和长效管理机制，能够支持后续的运行维护和质量保障。项目通过合同约定，将保洁、维护、清洁和日常检查等要求纳入服务条款，确保长期管护落实到位，制度执行有效。该项表现突出，</w:t>
      </w:r>
      <w:r>
        <w:rPr>
          <w:rFonts w:hint="eastAsia" w:hAnsi="仿宋"/>
          <w:szCs w:val="30"/>
          <w:lang w:val="en-US" w:eastAsia="zh-CN"/>
        </w:rPr>
        <w:t>满分8.00分，</w:t>
      </w:r>
      <w:r>
        <w:rPr>
          <w:rFonts w:hint="default" w:hAnsi="仿宋"/>
          <w:szCs w:val="30"/>
          <w:lang w:val="en-US" w:eastAsia="zh-CN"/>
        </w:rPr>
        <w:t>得分8</w:t>
      </w:r>
      <w:r>
        <w:rPr>
          <w:rFonts w:hint="eastAsia" w:hAnsi="仿宋"/>
          <w:szCs w:val="30"/>
          <w:lang w:val="en-US" w:eastAsia="zh-CN"/>
        </w:rPr>
        <w:t>.00</w:t>
      </w:r>
      <w:r>
        <w:rPr>
          <w:rFonts w:hint="default" w:hAnsi="仿宋"/>
          <w:szCs w:val="30"/>
          <w:lang w:val="en-US" w:eastAsia="zh-CN"/>
        </w:rPr>
        <w:t>分。</w:t>
      </w:r>
    </w:p>
    <w:p w14:paraId="4641D0B0">
      <w:pPr>
        <w:spacing w:line="579" w:lineRule="exact"/>
        <w:ind w:firstLine="630" w:firstLineChars="200"/>
        <w:rPr>
          <w:rFonts w:hint="default" w:hAnsi="仿宋"/>
          <w:szCs w:val="30"/>
          <w:lang w:val="en-US" w:eastAsia="zh-CN"/>
        </w:rPr>
      </w:pPr>
      <w:r>
        <w:rPr>
          <w:rFonts w:hint="default" w:hAnsi="仿宋"/>
          <w:szCs w:val="30"/>
          <w:lang w:val="en-US" w:eastAsia="zh-CN"/>
        </w:rPr>
        <w:t>2.</w:t>
      </w:r>
      <w:r>
        <w:rPr>
          <w:rFonts w:hint="eastAsia" w:hAnsi="仿宋"/>
          <w:szCs w:val="30"/>
          <w:lang w:val="en-US" w:eastAsia="zh-CN"/>
        </w:rPr>
        <w:t>替代效应</w:t>
      </w:r>
    </w:p>
    <w:p w14:paraId="0A38C08C">
      <w:pPr>
        <w:spacing w:line="579" w:lineRule="exact"/>
        <w:ind w:firstLine="630" w:firstLineChars="200"/>
        <w:rPr>
          <w:rFonts w:hint="default" w:hAnsi="仿宋"/>
          <w:szCs w:val="30"/>
          <w:lang w:val="en-US" w:eastAsia="zh-CN"/>
        </w:rPr>
      </w:pPr>
      <w:r>
        <w:rPr>
          <w:rFonts w:hint="default" w:hAnsi="仿宋"/>
          <w:szCs w:val="30"/>
          <w:lang w:val="en-US" w:eastAsia="zh-CN"/>
        </w:rPr>
        <w:t>项目的实施有效减少了周边商户的维护、清洁与安保负担，替代了相关后期卫生开支成本。根据调查问卷结果显示，商户满意度较高，替代效益明显，</w:t>
      </w:r>
      <w:r>
        <w:rPr>
          <w:rFonts w:hint="eastAsia" w:hAnsi="仿宋" w:cs="Times New Roman"/>
          <w:szCs w:val="30"/>
          <w:lang w:val="en-US" w:eastAsia="zh-CN"/>
        </w:rPr>
        <w:t>该项满分6.00分，</w:t>
      </w:r>
      <w:r>
        <w:rPr>
          <w:rFonts w:hint="default" w:hAnsi="仿宋"/>
          <w:szCs w:val="30"/>
          <w:lang w:val="en-US" w:eastAsia="zh-CN"/>
        </w:rPr>
        <w:t>得分5.29分。</w:t>
      </w:r>
    </w:p>
    <w:p w14:paraId="4561C70A">
      <w:pPr>
        <w:spacing w:line="579" w:lineRule="exact"/>
        <w:ind w:firstLine="630" w:firstLineChars="200"/>
        <w:rPr>
          <w:rFonts w:hint="default" w:hAnsi="仿宋"/>
          <w:szCs w:val="30"/>
          <w:lang w:val="en-US" w:eastAsia="zh-CN"/>
        </w:rPr>
      </w:pPr>
      <w:r>
        <w:rPr>
          <w:rFonts w:hint="default" w:hAnsi="仿宋"/>
          <w:szCs w:val="30"/>
          <w:lang w:val="en-US" w:eastAsia="zh-CN"/>
        </w:rPr>
        <w:t>3.</w:t>
      </w:r>
      <w:r>
        <w:rPr>
          <w:rFonts w:hint="eastAsia" w:hAnsi="仿宋"/>
          <w:szCs w:val="30"/>
          <w:lang w:val="en-US" w:eastAsia="zh-CN"/>
        </w:rPr>
        <w:t>可及性</w:t>
      </w:r>
    </w:p>
    <w:p w14:paraId="2435767F">
      <w:pPr>
        <w:spacing w:line="579" w:lineRule="exact"/>
        <w:ind w:firstLine="630" w:firstLineChars="200"/>
        <w:rPr>
          <w:rFonts w:hint="default" w:hAnsi="仿宋"/>
          <w:szCs w:val="30"/>
          <w:lang w:val="en-US" w:eastAsia="zh-CN"/>
        </w:rPr>
      </w:pPr>
      <w:r>
        <w:rPr>
          <w:rFonts w:hint="default" w:hAnsi="仿宋"/>
          <w:szCs w:val="30"/>
          <w:lang w:val="en-US" w:eastAsia="zh-CN"/>
        </w:rPr>
        <w:t>项目的实施</w:t>
      </w:r>
      <w:r>
        <w:rPr>
          <w:rFonts w:hint="eastAsia" w:hAnsi="仿宋"/>
          <w:szCs w:val="30"/>
          <w:lang w:val="en-US" w:eastAsia="zh-CN"/>
        </w:rPr>
        <w:t>在开放时间内</w:t>
      </w:r>
      <w:r>
        <w:rPr>
          <w:rFonts w:hint="default" w:hAnsi="仿宋"/>
          <w:szCs w:val="30"/>
          <w:lang w:val="en-US" w:eastAsia="zh-CN"/>
        </w:rPr>
        <w:t>有效覆盖</w:t>
      </w:r>
      <w:r>
        <w:rPr>
          <w:rFonts w:hint="eastAsia" w:hAnsi="仿宋"/>
          <w:szCs w:val="30"/>
          <w:lang w:val="en-US" w:eastAsia="zh-CN"/>
        </w:rPr>
        <w:t>周边人群，</w:t>
      </w:r>
      <w:r>
        <w:rPr>
          <w:rFonts w:hint="default" w:hAnsi="仿宋"/>
          <w:szCs w:val="30"/>
          <w:lang w:val="en-US" w:eastAsia="zh-CN"/>
        </w:rPr>
        <w:t>根据问卷调查结果，有效问卷共计37份，问卷有效率为</w:t>
      </w:r>
      <w:r>
        <w:rPr>
          <w:rFonts w:hint="eastAsia" w:hAnsi="仿宋"/>
          <w:szCs w:val="30"/>
          <w:lang w:val="en-US" w:eastAsia="zh-CN"/>
        </w:rPr>
        <w:t>100</w:t>
      </w:r>
      <w:r>
        <w:rPr>
          <w:rFonts w:hint="default" w:hAnsi="仿宋"/>
          <w:szCs w:val="30"/>
          <w:lang w:val="en-US" w:eastAsia="zh-CN"/>
        </w:rPr>
        <w:t>%，反映项目在公共服务供给和便利性方面的覆盖效果较好。特别是在开放时间、卫生状况和使用便捷性等方面，群众反馈积极，项目在提升社会公共服务可及性和群众便利性方面发挥了明显作用</w:t>
      </w:r>
      <w:r>
        <w:rPr>
          <w:rFonts w:hint="eastAsia" w:hAnsi="仿宋"/>
          <w:szCs w:val="30"/>
          <w:lang w:val="en-US" w:eastAsia="zh-CN"/>
        </w:rPr>
        <w:t>，</w:t>
      </w:r>
      <w:r>
        <w:rPr>
          <w:rFonts w:hint="eastAsia" w:hAnsi="仿宋" w:cs="Times New Roman"/>
          <w:szCs w:val="30"/>
          <w:lang w:val="en-US" w:eastAsia="zh-CN"/>
        </w:rPr>
        <w:t>该项满分6.00分，</w:t>
      </w:r>
      <w:r>
        <w:rPr>
          <w:rFonts w:hint="default" w:hAnsi="仿宋"/>
          <w:szCs w:val="30"/>
          <w:lang w:val="en-US" w:eastAsia="zh-CN"/>
        </w:rPr>
        <w:t>得分</w:t>
      </w:r>
      <w:r>
        <w:rPr>
          <w:rFonts w:hint="eastAsia" w:hAnsi="仿宋"/>
          <w:szCs w:val="30"/>
          <w:lang w:val="en-US" w:eastAsia="zh-CN"/>
        </w:rPr>
        <w:t>6.00</w:t>
      </w:r>
      <w:r>
        <w:rPr>
          <w:rFonts w:hint="default" w:hAnsi="仿宋"/>
          <w:szCs w:val="30"/>
          <w:lang w:val="en-US" w:eastAsia="zh-CN"/>
        </w:rPr>
        <w:t>分。</w:t>
      </w:r>
    </w:p>
    <w:p w14:paraId="66CF4F62">
      <w:pPr>
        <w:spacing w:line="579" w:lineRule="exact"/>
        <w:ind w:firstLine="630" w:firstLineChars="200"/>
        <w:rPr>
          <w:rFonts w:hint="default" w:hAnsi="仿宋"/>
          <w:szCs w:val="30"/>
          <w:lang w:val="en-US" w:eastAsia="zh-CN"/>
        </w:rPr>
      </w:pPr>
      <w:r>
        <w:rPr>
          <w:rFonts w:hint="default" w:hAnsi="仿宋"/>
          <w:szCs w:val="30"/>
          <w:lang w:val="en-US" w:eastAsia="zh-CN"/>
        </w:rPr>
        <w:t>4.满意度</w:t>
      </w:r>
    </w:p>
    <w:p w14:paraId="22040942">
      <w:pPr>
        <w:spacing w:line="579" w:lineRule="exact"/>
        <w:ind w:firstLine="630" w:firstLineChars="200"/>
        <w:rPr>
          <w:rFonts w:hint="eastAsia" w:hAnsi="仿宋"/>
          <w:szCs w:val="30"/>
          <w:highlight w:val="none"/>
          <w:lang w:val="en-US" w:eastAsia="zh-CN"/>
        </w:rPr>
      </w:pPr>
      <w:r>
        <w:rPr>
          <w:rFonts w:hint="default" w:hAnsi="仿宋"/>
          <w:szCs w:val="30"/>
          <w:lang w:val="en-US" w:eastAsia="zh-CN"/>
        </w:rPr>
        <w:t>群众满意度达到较高水平。根据37份有效问卷结果统计，群众对公厕环境卫生和服务标准的认可度</w:t>
      </w:r>
      <w:r>
        <w:rPr>
          <w:rFonts w:hint="eastAsia" w:hAnsi="仿宋"/>
          <w:szCs w:val="30"/>
          <w:lang w:val="en-US" w:eastAsia="zh-CN"/>
        </w:rPr>
        <w:t>为97.3</w:t>
      </w:r>
      <w:r>
        <w:rPr>
          <w:rFonts w:hint="default" w:hAnsi="仿宋"/>
          <w:szCs w:val="30"/>
          <w:lang w:val="en-US" w:eastAsia="zh-CN"/>
        </w:rPr>
        <w:t>%，整体满意度</w:t>
      </w:r>
      <w:r>
        <w:rPr>
          <w:rFonts w:hint="eastAsia" w:hAnsi="仿宋"/>
          <w:szCs w:val="30"/>
          <w:lang w:val="en-US" w:eastAsia="zh-CN"/>
        </w:rPr>
        <w:t>超过80%</w:t>
      </w:r>
      <w:r>
        <w:rPr>
          <w:rFonts w:hint="default" w:hAnsi="仿宋"/>
          <w:szCs w:val="30"/>
          <w:lang w:val="en-US" w:eastAsia="zh-CN"/>
        </w:rPr>
        <w:t>，</w:t>
      </w:r>
      <w:r>
        <w:rPr>
          <w:rFonts w:hint="eastAsia" w:hAnsi="仿宋" w:cs="Times New Roman"/>
          <w:szCs w:val="30"/>
          <w:lang w:val="en-US" w:eastAsia="zh-CN"/>
        </w:rPr>
        <w:t>该项满分10.00分，</w:t>
      </w:r>
      <w:r>
        <w:rPr>
          <w:rFonts w:hint="default" w:hAnsi="仿宋"/>
          <w:szCs w:val="30"/>
          <w:lang w:val="en-US" w:eastAsia="zh-CN"/>
        </w:rPr>
        <w:t>得分10</w:t>
      </w:r>
      <w:r>
        <w:rPr>
          <w:rFonts w:hint="eastAsia" w:hAnsi="仿宋"/>
          <w:szCs w:val="30"/>
          <w:lang w:val="en-US" w:eastAsia="zh-CN"/>
        </w:rPr>
        <w:t>.00</w:t>
      </w:r>
      <w:r>
        <w:rPr>
          <w:rFonts w:hint="default" w:hAnsi="仿宋"/>
          <w:szCs w:val="30"/>
          <w:lang w:val="en-US" w:eastAsia="zh-CN"/>
        </w:rPr>
        <w:t>分。</w:t>
      </w:r>
    </w:p>
    <w:p w14:paraId="1CFB1429">
      <w:pPr>
        <w:spacing w:line="579" w:lineRule="exact"/>
        <w:ind w:firstLine="630" w:firstLineChars="200"/>
        <w:outlineLvl w:val="0"/>
        <w:rPr>
          <w:rFonts w:ascii="黑体" w:hAnsi="宋体" w:eastAsia="黑体" w:cs="宋体"/>
          <w:szCs w:val="30"/>
          <w:highlight w:val="none"/>
        </w:rPr>
      </w:pPr>
      <w:bookmarkStart w:id="32" w:name="_Toc4118"/>
      <w:r>
        <w:rPr>
          <w:rFonts w:hint="eastAsia" w:ascii="黑体" w:hAnsi="宋体" w:eastAsia="黑体" w:cs="宋体"/>
          <w:szCs w:val="30"/>
          <w:highlight w:val="none"/>
          <w:lang w:val="en-US" w:eastAsia="zh-CN"/>
        </w:rPr>
        <w:t>五</w:t>
      </w:r>
      <w:r>
        <w:rPr>
          <w:rFonts w:hint="eastAsia" w:ascii="黑体" w:hAnsi="宋体" w:eastAsia="黑体" w:cs="宋体"/>
          <w:szCs w:val="30"/>
          <w:highlight w:val="none"/>
        </w:rPr>
        <w:t>、主要经验及做法</w:t>
      </w:r>
      <w:bookmarkEnd w:id="32"/>
    </w:p>
    <w:p w14:paraId="2A0D1E61">
      <w:pPr>
        <w:spacing w:line="579" w:lineRule="exact"/>
        <w:ind w:firstLine="630" w:firstLineChars="200"/>
        <w:rPr>
          <w:rFonts w:hint="eastAsia" w:hAnsi="仿宋"/>
          <w:szCs w:val="30"/>
          <w:lang w:val="en-US" w:eastAsia="zh-CN"/>
        </w:rPr>
      </w:pPr>
      <w:r>
        <w:rPr>
          <w:rFonts w:hint="eastAsia" w:hAnsi="仿宋"/>
          <w:szCs w:val="30"/>
          <w:lang w:val="en-US" w:eastAsia="zh-CN"/>
        </w:rPr>
        <w:t>（一）建立量化卫生管理指标体系，强化目标导向与绩效契约衔接</w:t>
      </w:r>
    </w:p>
    <w:p w14:paraId="021A267A">
      <w:pPr>
        <w:spacing w:line="579" w:lineRule="exact"/>
        <w:ind w:firstLine="630" w:firstLineChars="200"/>
        <w:rPr>
          <w:rFonts w:hint="eastAsia" w:hAnsi="仿宋"/>
          <w:szCs w:val="30"/>
          <w:lang w:val="en-US" w:eastAsia="zh-CN"/>
        </w:rPr>
      </w:pPr>
      <w:r>
        <w:rPr>
          <w:rFonts w:hint="eastAsia" w:hAnsi="仿宋"/>
          <w:szCs w:val="30"/>
          <w:lang w:val="en-US" w:eastAsia="zh-CN"/>
        </w:rPr>
        <w:t>西苑街道在项目实施过程中，针对免费开放社会管理公厕的日常维护、环境卫生、设施完好率、服务规范等方面，制定了细化且可衡量的指标体系，涵盖“环境整洁度、设备完好率、异味控制、巡查频率、群众满意度”等关键维度。</w:t>
      </w:r>
    </w:p>
    <w:p w14:paraId="28F8E3F2">
      <w:pPr>
        <w:spacing w:line="579" w:lineRule="exact"/>
        <w:ind w:firstLine="630" w:firstLineChars="200"/>
        <w:rPr>
          <w:rFonts w:hint="eastAsia" w:hAnsi="仿宋"/>
          <w:szCs w:val="30"/>
          <w:lang w:val="en-US" w:eastAsia="zh-CN"/>
        </w:rPr>
      </w:pPr>
      <w:r>
        <w:rPr>
          <w:rFonts w:hint="eastAsia" w:hAnsi="仿宋"/>
          <w:szCs w:val="30"/>
          <w:lang w:val="en-US" w:eastAsia="zh-CN"/>
        </w:rPr>
        <w:t>各项指标以分值和权重形式明确纳入《免费开放补助公厕管理协议》之中，成为补助发放的重要依据，实现了“绩效指标即合同条款、考核标准即资金依据”的闭环管理。通过将绩效目标契约化、量化化，确保了管理目标与执行颗粒度的一致性，为项目绩效的可衡量、可跟踪、可验证奠定了基础。</w:t>
      </w:r>
    </w:p>
    <w:p w14:paraId="3449B3AC">
      <w:pPr>
        <w:spacing w:line="579" w:lineRule="exact"/>
        <w:ind w:firstLine="630" w:firstLineChars="200"/>
        <w:rPr>
          <w:rFonts w:hint="eastAsia" w:hAnsi="仿宋"/>
          <w:szCs w:val="30"/>
          <w:lang w:val="en-US" w:eastAsia="zh-CN"/>
        </w:rPr>
      </w:pPr>
      <w:r>
        <w:rPr>
          <w:rFonts w:hint="eastAsia" w:hAnsi="仿宋"/>
          <w:szCs w:val="30"/>
          <w:lang w:val="en-US" w:eastAsia="zh-CN"/>
        </w:rPr>
        <w:t>（二）推行水印相机+格式化检查+交叉复核机制，强化过程监督与结果留痕</w:t>
      </w:r>
    </w:p>
    <w:p w14:paraId="7D43D26B">
      <w:pPr>
        <w:spacing w:line="579" w:lineRule="exact"/>
        <w:ind w:firstLine="630" w:firstLineChars="200"/>
        <w:rPr>
          <w:rFonts w:hint="eastAsia" w:hAnsi="仿宋"/>
          <w:szCs w:val="30"/>
          <w:lang w:val="en-US" w:eastAsia="zh-CN"/>
        </w:rPr>
      </w:pPr>
      <w:r>
        <w:rPr>
          <w:rFonts w:hint="eastAsia" w:hAnsi="仿宋"/>
          <w:szCs w:val="30"/>
          <w:lang w:val="en-US" w:eastAsia="zh-CN"/>
        </w:rPr>
        <w:t>为确保绩效目标落实到位，西苑街道城市管理综合服务中心建立了“例行巡查—影像取证—交叉检查—台账留痕”的全过程监督体系。</w:t>
      </w:r>
    </w:p>
    <w:p w14:paraId="2A142490">
      <w:pPr>
        <w:spacing w:line="579" w:lineRule="exact"/>
        <w:ind w:firstLine="630" w:firstLineChars="200"/>
        <w:rPr>
          <w:rFonts w:hint="eastAsia" w:hAnsi="仿宋"/>
          <w:szCs w:val="30"/>
          <w:lang w:val="en-US" w:eastAsia="zh-CN"/>
        </w:rPr>
      </w:pPr>
      <w:r>
        <w:rPr>
          <w:rFonts w:hint="eastAsia" w:hAnsi="仿宋"/>
          <w:szCs w:val="30"/>
          <w:lang w:val="en-US" w:eastAsia="zh-CN"/>
        </w:rPr>
        <w:t>在检查环节中，各公厕管理单位使用水印相机记录巡查时间、位置及实景影像，结合格式化巡查表开展评分检查，并实行跨辖区交叉抽查制度，确保考核公正、标准统一。所有巡查结果均以电子台账形式留存，形成完整的问题发现—整改闭环—复核确认链条。</w:t>
      </w:r>
    </w:p>
    <w:p w14:paraId="00B8C4DF">
      <w:pPr>
        <w:spacing w:line="579" w:lineRule="exact"/>
        <w:ind w:firstLine="630" w:firstLineChars="200"/>
        <w:rPr>
          <w:rFonts w:hint="eastAsia" w:hAnsi="仿宋"/>
          <w:szCs w:val="30"/>
          <w:lang w:val="en-US" w:eastAsia="zh-CN"/>
        </w:rPr>
      </w:pPr>
      <w:r>
        <w:rPr>
          <w:rFonts w:hint="eastAsia" w:hAnsi="仿宋"/>
          <w:szCs w:val="30"/>
          <w:lang w:val="en-US" w:eastAsia="zh-CN"/>
        </w:rPr>
        <w:t>该模式有效防止了“形式化检查”，提升了巡查数据的真实性、可追溯性和绩效评价的客观性，实现了从“事后评价”向“过程监控”的管理转变。</w:t>
      </w:r>
    </w:p>
    <w:p w14:paraId="01425CAB">
      <w:pPr>
        <w:spacing w:line="579" w:lineRule="exact"/>
        <w:ind w:firstLine="630" w:firstLineChars="200"/>
        <w:rPr>
          <w:rFonts w:hint="eastAsia" w:hAnsi="仿宋"/>
          <w:szCs w:val="30"/>
          <w:lang w:val="en-US" w:eastAsia="zh-CN"/>
        </w:rPr>
      </w:pPr>
      <w:r>
        <w:rPr>
          <w:rFonts w:hint="eastAsia" w:hAnsi="仿宋"/>
          <w:szCs w:val="30"/>
          <w:lang w:val="en-US" w:eastAsia="zh-CN"/>
        </w:rPr>
        <w:t>（三）以数据化管理提升绩效透明度和管理效能</w:t>
      </w:r>
    </w:p>
    <w:p w14:paraId="4253C59E">
      <w:pPr>
        <w:spacing w:line="579" w:lineRule="exact"/>
        <w:ind w:firstLine="630" w:firstLineChars="200"/>
        <w:rPr>
          <w:rFonts w:hint="eastAsia" w:hAnsi="仿宋"/>
          <w:szCs w:val="30"/>
          <w:lang w:val="en-US" w:eastAsia="zh-CN"/>
        </w:rPr>
      </w:pPr>
      <w:r>
        <w:rPr>
          <w:rFonts w:hint="eastAsia" w:hAnsi="仿宋"/>
          <w:szCs w:val="30"/>
          <w:lang w:val="en-US" w:eastAsia="zh-CN"/>
        </w:rPr>
        <w:t>西苑街道在项目实施过程中，逐步形成了数据化绩效管理思路。通过建立巡查记录电子台账和问题汇总数据库，实现了对公厕运行状态、问题整改、满意度结果等信息的实时汇总与分析，为下一年度绩效目标设定提供了量化依据。该做法实现了“用数据管绩效、以绩效促管理”，形成了良性循环。</w:t>
      </w:r>
    </w:p>
    <w:p w14:paraId="6BA8A608">
      <w:pPr>
        <w:keepNext/>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0"/>
        <w:rPr>
          <w:rFonts w:hint="eastAsia" w:ascii="楷体" w:hAnsi="楷体" w:eastAsia="楷体"/>
          <w:szCs w:val="30"/>
          <w:highlight w:val="none"/>
        </w:rPr>
      </w:pPr>
      <w:bookmarkStart w:id="33" w:name="_Toc24292"/>
      <w:r>
        <w:rPr>
          <w:rFonts w:hint="eastAsia" w:ascii="黑体" w:hAnsi="宋体" w:eastAsia="黑体" w:cs="宋体"/>
          <w:szCs w:val="30"/>
          <w:highlight w:val="none"/>
          <w:lang w:val="en-US" w:eastAsia="zh-CN"/>
        </w:rPr>
        <w:t>六</w:t>
      </w:r>
      <w:r>
        <w:rPr>
          <w:rFonts w:hint="eastAsia" w:ascii="黑体" w:hAnsi="宋体" w:eastAsia="黑体" w:cs="宋体"/>
          <w:szCs w:val="30"/>
          <w:highlight w:val="none"/>
        </w:rPr>
        <w:t>、存在问题及原因分析</w:t>
      </w:r>
      <w:bookmarkEnd w:id="33"/>
      <w:bookmarkStart w:id="34" w:name="_Toc30571"/>
      <w:bookmarkStart w:id="35" w:name="_Toc19045"/>
      <w:bookmarkStart w:id="36" w:name="_Toc25742923"/>
      <w:bookmarkStart w:id="37" w:name="_Toc6890"/>
    </w:p>
    <w:bookmarkEnd w:id="34"/>
    <w:bookmarkEnd w:id="35"/>
    <w:bookmarkEnd w:id="36"/>
    <w:bookmarkEnd w:id="37"/>
    <w:p w14:paraId="4D9CF7BB">
      <w:pPr>
        <w:spacing w:line="579" w:lineRule="exact"/>
        <w:ind w:firstLine="630" w:firstLineChars="200"/>
        <w:rPr>
          <w:rFonts w:hint="eastAsia" w:hAnsi="仿宋"/>
          <w:b/>
          <w:bCs/>
          <w:szCs w:val="30"/>
          <w:lang w:val="en-US" w:eastAsia="zh-CN"/>
        </w:rPr>
      </w:pPr>
      <w:r>
        <w:rPr>
          <w:rFonts w:hint="eastAsia" w:hAnsi="仿宋"/>
          <w:b/>
          <w:bCs/>
          <w:szCs w:val="30"/>
          <w:lang w:val="en-US" w:eastAsia="zh-CN"/>
        </w:rPr>
        <w:t>（一）绩效结果反馈机制有待完善。</w:t>
      </w:r>
    </w:p>
    <w:p w14:paraId="0360347D">
      <w:pPr>
        <w:spacing w:line="579" w:lineRule="exact"/>
        <w:ind w:firstLine="630" w:firstLineChars="200"/>
        <w:rPr>
          <w:rFonts w:hint="eastAsia" w:hAnsi="仿宋"/>
          <w:szCs w:val="30"/>
          <w:lang w:val="en-US" w:eastAsia="zh-CN"/>
        </w:rPr>
      </w:pPr>
      <w:r>
        <w:rPr>
          <w:rFonts w:hint="eastAsia" w:hAnsi="仿宋"/>
          <w:szCs w:val="30"/>
          <w:lang w:val="en-US" w:eastAsia="zh-CN"/>
        </w:rPr>
        <w:t>绩效结果虽已形成书面报告，但尚未形成持续的反馈与跟踪改进机制。基层街道日常承担事务繁多，人员精简、任务密集，绩效管理更多以完成考核为导向，缺乏系统性的结果运用与再优化。</w:t>
      </w:r>
    </w:p>
    <w:p w14:paraId="0B86B99E">
      <w:pPr>
        <w:spacing w:line="579" w:lineRule="exact"/>
        <w:ind w:firstLine="630" w:firstLineChars="200"/>
        <w:rPr>
          <w:rFonts w:hint="eastAsia" w:hAnsi="仿宋"/>
          <w:szCs w:val="30"/>
          <w:lang w:val="en-US" w:eastAsia="zh-CN"/>
        </w:rPr>
      </w:pPr>
      <w:r>
        <w:rPr>
          <w:rFonts w:hint="eastAsia" w:hAnsi="仿宋"/>
          <w:szCs w:val="30"/>
          <w:lang w:val="en-US" w:eastAsia="zh-CN"/>
        </w:rPr>
        <w:t xml:space="preserve"> 街道承担的工作线条多、事务性任务重，绩效结果虽能形成文字材料，但缺乏专门力量进行后续复盘和机制化反馈；管理制度设计层面尚未形成过程留痕与改进闭环的要求，采用专项检查的方式组织进行，未使用统计学抽样技术，基层在执行中难以兼顾“总结—反馈—优化”的全过程，导致结果转化不足。</w:t>
      </w:r>
    </w:p>
    <w:p w14:paraId="0AC57A73">
      <w:pPr>
        <w:spacing w:line="579" w:lineRule="exact"/>
        <w:ind w:firstLine="630" w:firstLineChars="200"/>
        <w:rPr>
          <w:rFonts w:hint="eastAsia" w:hAnsi="仿宋"/>
          <w:b/>
          <w:bCs/>
          <w:szCs w:val="30"/>
          <w:lang w:val="en-US" w:eastAsia="zh-CN"/>
        </w:rPr>
      </w:pPr>
      <w:r>
        <w:rPr>
          <w:rFonts w:hint="eastAsia" w:hAnsi="仿宋"/>
          <w:b/>
          <w:bCs/>
          <w:szCs w:val="30"/>
          <w:lang w:val="en-US" w:eastAsia="zh-CN"/>
        </w:rPr>
        <w:t>（二）监督检查方式有待优化。</w:t>
      </w:r>
    </w:p>
    <w:p w14:paraId="1C351662">
      <w:pPr>
        <w:spacing w:line="579" w:lineRule="exact"/>
        <w:ind w:firstLine="630" w:firstLineChars="200"/>
        <w:rPr>
          <w:rFonts w:hint="eastAsia" w:hAnsi="仿宋"/>
          <w:szCs w:val="30"/>
          <w:lang w:val="en-US" w:eastAsia="zh-CN"/>
        </w:rPr>
      </w:pPr>
      <w:r>
        <w:rPr>
          <w:rFonts w:hint="eastAsia" w:hAnsi="仿宋"/>
          <w:szCs w:val="30"/>
          <w:lang w:val="en-US" w:eastAsia="zh-CN"/>
        </w:rPr>
        <w:t>街道及受托单位监督检查仍以人工巡查、现场抽查为主，难以形成常态化、数据化的长效机制。部分公厕建设年代较早，设施维护难度逐渐增加，日常管理压力较大。</w:t>
      </w:r>
    </w:p>
    <w:p w14:paraId="7E32EC5F">
      <w:pPr>
        <w:spacing w:line="579" w:lineRule="exact"/>
        <w:ind w:firstLine="630" w:firstLineChars="200"/>
        <w:rPr>
          <w:rFonts w:hint="default" w:hAnsi="仿宋"/>
          <w:szCs w:val="30"/>
          <w:lang w:val="en-US" w:eastAsia="zh-CN"/>
        </w:rPr>
      </w:pPr>
      <w:r>
        <w:rPr>
          <w:rFonts w:hint="eastAsia" w:hAnsi="仿宋"/>
          <w:szCs w:val="30"/>
          <w:lang w:val="en-US" w:eastAsia="zh-CN"/>
        </w:rPr>
        <w:t xml:space="preserve"> 一是基层执行单位在人员与时间资源上受限，难以在繁杂事务中建立科学抽样、信息化巡查体系；二是项目执行仍以“任务完成”为导向，缺乏过程积累与经验沉淀，未能形成项目滚动改进的正向循环；三是既有卫生标准虽科学，但操作性偏低，基层巡查难以完全按照技术参数实施，监督工作更多依赖经验与现场判断。</w:t>
      </w:r>
    </w:p>
    <w:p w14:paraId="7837F951">
      <w:pPr>
        <w:spacing w:line="579" w:lineRule="exact"/>
        <w:ind w:firstLine="630" w:firstLineChars="200"/>
        <w:outlineLvl w:val="0"/>
        <w:rPr>
          <w:rFonts w:ascii="黑体" w:hAnsi="宋体" w:eastAsia="黑体" w:cs="宋体"/>
          <w:szCs w:val="30"/>
          <w:highlight w:val="none"/>
        </w:rPr>
      </w:pPr>
      <w:bookmarkStart w:id="38" w:name="_Toc27664"/>
      <w:r>
        <w:rPr>
          <w:rFonts w:hint="eastAsia" w:ascii="黑体" w:hAnsi="宋体" w:eastAsia="黑体" w:cs="宋体"/>
          <w:szCs w:val="30"/>
          <w:highlight w:val="none"/>
          <w:lang w:val="en-US" w:eastAsia="zh-CN"/>
        </w:rPr>
        <w:t>七</w:t>
      </w:r>
      <w:r>
        <w:rPr>
          <w:rFonts w:hint="eastAsia" w:ascii="黑体" w:hAnsi="宋体" w:eastAsia="黑体" w:cs="宋体"/>
          <w:szCs w:val="30"/>
          <w:highlight w:val="none"/>
        </w:rPr>
        <w:t>、建议</w:t>
      </w:r>
      <w:bookmarkEnd w:id="38"/>
    </w:p>
    <w:p w14:paraId="663875F0">
      <w:pPr>
        <w:pStyle w:val="10"/>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b/>
          <w:bCs/>
          <w:kern w:val="30"/>
          <w:sz w:val="30"/>
          <w:szCs w:val="30"/>
          <w:highlight w:val="none"/>
          <w:lang w:val="en-US" w:eastAsia="zh-CN" w:bidi="ar-SA"/>
        </w:rPr>
      </w:pPr>
      <w:bookmarkStart w:id="39" w:name="_Toc30921"/>
      <w:bookmarkStart w:id="40" w:name="_Hlk525314575"/>
      <w:r>
        <w:rPr>
          <w:rFonts w:hint="eastAsia" w:ascii="仿宋" w:hAnsi="仿宋" w:eastAsia="仿宋" w:cs="Times New Roman"/>
          <w:b/>
          <w:bCs/>
          <w:kern w:val="30"/>
          <w:sz w:val="30"/>
          <w:szCs w:val="30"/>
          <w:highlight w:val="none"/>
          <w:lang w:val="en-US" w:eastAsia="zh-CN" w:bidi="ar-SA"/>
        </w:rPr>
        <w:t>（一）建立绩效结果反馈与合同协同改进机制</w:t>
      </w:r>
    </w:p>
    <w:p w14:paraId="7695800C">
      <w:pPr>
        <w:pStyle w:val="10"/>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建议在后续管理中，建立绩效结果反馈和合同联动机制，将年度绩效评价结果及时通报至各受托物业公司等执行单位，明确存在的薄弱环节及整改方向。可在下一年度签订《免费开放公厕补助管理协议》时，将绩效结果纳入协议修订依据，形成“绩效评价—结果反馈—合同改进—执行提升”的良性闭环，进一步增强执行单位的主动改进意识和绩效责任感。</w:t>
      </w:r>
    </w:p>
    <w:p w14:paraId="33112E27">
      <w:pPr>
        <w:pStyle w:val="10"/>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b/>
          <w:bCs/>
          <w:kern w:val="30"/>
          <w:sz w:val="30"/>
          <w:szCs w:val="30"/>
          <w:highlight w:val="none"/>
          <w:lang w:val="en-US" w:eastAsia="zh-CN" w:bidi="ar-SA"/>
        </w:rPr>
      </w:pPr>
      <w:r>
        <w:rPr>
          <w:rFonts w:hint="eastAsia" w:ascii="仿宋" w:hAnsi="仿宋" w:eastAsia="仿宋" w:cs="Times New Roman"/>
          <w:b/>
          <w:bCs/>
          <w:kern w:val="30"/>
          <w:sz w:val="30"/>
          <w:szCs w:val="30"/>
          <w:highlight w:val="none"/>
          <w:lang w:val="en-US" w:eastAsia="zh-CN" w:bidi="ar-SA"/>
        </w:rPr>
        <w:t>（二）优化巡查检查机制，统筹长效管理与执行成本平衡</w:t>
      </w:r>
    </w:p>
    <w:p w14:paraId="2615077C">
      <w:pPr>
        <w:pStyle w:val="10"/>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建议在继续保持常态化巡查监督强度的基础上，逐步探索更为可持续的长效管理机制。可适度调整巡查频率，完善自查与抽查结合的管理模式，兼顾监管严密性与执行成本的合理性。同时，可在上级部门竞赛性考核要求之外，形成街道自有的内部长效管理制度，使项目从阶段性“创优达标”转向制度化、常态化运行，持续保持良好的卫生水平与服务质量。</w:t>
      </w:r>
    </w:p>
    <w:p w14:paraId="0EA7320C">
      <w:pPr>
        <w:pStyle w:val="10"/>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default" w:ascii="黑体" w:hAnsi="宋体" w:eastAsia="黑体" w:cs="宋体"/>
          <w:szCs w:val="30"/>
          <w:highlight w:val="none"/>
          <w:lang w:val="en-US" w:eastAsia="zh-CN"/>
        </w:rPr>
      </w:pPr>
      <w:r>
        <w:rPr>
          <w:rFonts w:hint="eastAsia" w:ascii="黑体" w:hAnsi="宋体" w:eastAsia="黑体" w:cs="宋体"/>
          <w:szCs w:val="30"/>
          <w:highlight w:val="none"/>
          <w:lang w:val="en-US" w:eastAsia="zh-CN"/>
        </w:rPr>
        <w:t>八、其它需说明的情况</w:t>
      </w:r>
      <w:bookmarkEnd w:id="39"/>
    </w:p>
    <w:p w14:paraId="3ABE8433">
      <w:pPr>
        <w:spacing w:line="579" w:lineRule="exact"/>
        <w:ind w:firstLine="630" w:firstLineChars="200"/>
        <w:rPr>
          <w:rFonts w:hint="eastAsia" w:hAnsi="仿宋"/>
          <w:szCs w:val="30"/>
        </w:rPr>
      </w:pPr>
      <w:r>
        <w:rPr>
          <w:rFonts w:hint="eastAsia" w:ascii="仿宋" w:hAnsi="仿宋" w:eastAsia="仿宋" w:cs="Times New Roman"/>
          <w:sz w:val="30"/>
          <w:szCs w:val="30"/>
          <w:highlight w:val="none"/>
          <w:lang w:val="en-US" w:eastAsia="zh-CN"/>
        </w:rPr>
        <w:t>无。</w:t>
      </w:r>
    </w:p>
    <w:p w14:paraId="77549A58">
      <w:pPr>
        <w:spacing w:line="579" w:lineRule="exact"/>
        <w:ind w:firstLine="630" w:firstLineChars="200"/>
        <w:rPr>
          <w:rFonts w:hint="eastAsia" w:hAnsi="仿宋"/>
          <w:szCs w:val="30"/>
        </w:rPr>
      </w:pPr>
    </w:p>
    <w:p w14:paraId="1552E419">
      <w:pPr>
        <w:pStyle w:val="2"/>
        <w:rPr>
          <w:rFonts w:hint="eastAsia"/>
        </w:rPr>
      </w:pPr>
    </w:p>
    <w:p w14:paraId="2F0E7F6C">
      <w:pPr>
        <w:spacing w:line="579" w:lineRule="exact"/>
        <w:ind w:firstLine="630" w:firstLineChars="200"/>
        <w:rPr>
          <w:rFonts w:hAnsi="仿宋"/>
          <w:szCs w:val="30"/>
        </w:rPr>
      </w:pPr>
      <w:r>
        <w:rPr>
          <w:rFonts w:hint="eastAsia" w:hAnsi="仿宋"/>
          <w:szCs w:val="30"/>
        </w:rPr>
        <w:t>附件：1.绩效目标</w:t>
      </w:r>
      <w:r>
        <w:rPr>
          <w:rFonts w:hint="eastAsia" w:hAnsi="仿宋"/>
          <w:szCs w:val="30"/>
          <w:lang w:val="en-US" w:eastAsia="zh-CN"/>
        </w:rPr>
        <w:t>申报</w:t>
      </w:r>
      <w:r>
        <w:rPr>
          <w:rFonts w:hint="eastAsia" w:hAnsi="仿宋"/>
          <w:szCs w:val="30"/>
        </w:rPr>
        <w:t>表</w:t>
      </w:r>
    </w:p>
    <w:p w14:paraId="3B285238">
      <w:pPr>
        <w:spacing w:line="579" w:lineRule="exact"/>
        <w:ind w:left="1871" w:leftChars="500" w:hanging="296" w:hangingChars="94"/>
        <w:rPr>
          <w:rFonts w:hAnsi="仿宋"/>
          <w:szCs w:val="30"/>
        </w:rPr>
      </w:pPr>
      <w:r>
        <w:rPr>
          <w:rFonts w:hint="eastAsia" w:hAnsi="仿宋"/>
          <w:szCs w:val="30"/>
        </w:rPr>
        <w:t>2</w:t>
      </w:r>
      <w:r>
        <w:rPr>
          <w:rFonts w:hAnsi="仿宋"/>
          <w:szCs w:val="30"/>
        </w:rPr>
        <w:t>.</w:t>
      </w:r>
      <w:bookmarkStart w:id="41" w:name="_Hlk527019547"/>
      <w:r>
        <w:rPr>
          <w:rFonts w:hint="eastAsia" w:hAnsi="仿宋"/>
          <w:szCs w:val="30"/>
        </w:rPr>
        <w:t>绩效评价指标体系及评分表</w:t>
      </w:r>
      <w:bookmarkEnd w:id="41"/>
    </w:p>
    <w:p w14:paraId="798DFB7F">
      <w:pPr>
        <w:spacing w:line="579" w:lineRule="exact"/>
        <w:ind w:left="1871" w:leftChars="500" w:hanging="296" w:hangingChars="94"/>
        <w:rPr>
          <w:rFonts w:hAnsi="仿宋"/>
          <w:szCs w:val="30"/>
        </w:rPr>
      </w:pPr>
      <w:r>
        <w:rPr>
          <w:rFonts w:hint="eastAsia" w:hAnsi="仿宋"/>
          <w:szCs w:val="30"/>
        </w:rPr>
        <w:t>3.资金</w:t>
      </w:r>
      <w:r>
        <w:rPr>
          <w:rFonts w:hint="eastAsia" w:hAnsi="仿宋"/>
          <w:szCs w:val="30"/>
          <w:lang w:val="en-US" w:eastAsia="zh-CN"/>
        </w:rPr>
        <w:t>到位及</w:t>
      </w:r>
      <w:r>
        <w:rPr>
          <w:rFonts w:hint="eastAsia" w:hAnsi="仿宋"/>
          <w:szCs w:val="30"/>
        </w:rPr>
        <w:t>使用情况表</w:t>
      </w:r>
    </w:p>
    <w:p w14:paraId="66449C72">
      <w:pPr>
        <w:spacing w:line="579" w:lineRule="exact"/>
        <w:ind w:firstLine="1575" w:firstLineChars="500"/>
        <w:rPr>
          <w:rFonts w:hint="eastAsia" w:hAnsi="仿宋"/>
          <w:szCs w:val="30"/>
          <w:lang w:val="en-US" w:eastAsia="zh-CN"/>
        </w:rPr>
      </w:pPr>
      <w:r>
        <w:rPr>
          <w:rFonts w:hint="eastAsia" w:hAnsi="仿宋"/>
          <w:szCs w:val="30"/>
        </w:rPr>
        <w:t>4</w:t>
      </w:r>
      <w:r>
        <w:rPr>
          <w:rFonts w:hAnsi="仿宋"/>
          <w:szCs w:val="30"/>
        </w:rPr>
        <w:t>.</w:t>
      </w:r>
      <w:bookmarkStart w:id="42" w:name="_Hlk527019673"/>
      <w:r>
        <w:rPr>
          <w:rFonts w:hint="eastAsia" w:hAnsi="仿宋"/>
          <w:szCs w:val="30"/>
        </w:rPr>
        <w:t>调查问卷</w:t>
      </w:r>
      <w:bookmarkEnd w:id="40"/>
      <w:bookmarkEnd w:id="42"/>
      <w:r>
        <w:rPr>
          <w:rFonts w:hint="eastAsia" w:hAnsi="仿宋"/>
          <w:szCs w:val="30"/>
          <w:lang w:val="en-US" w:eastAsia="zh-CN"/>
        </w:rPr>
        <w:t>结果</w:t>
      </w:r>
    </w:p>
    <w:p w14:paraId="11878544">
      <w:pPr>
        <w:spacing w:line="579" w:lineRule="exact"/>
        <w:ind w:firstLine="1575" w:firstLineChars="500"/>
        <w:rPr>
          <w:rFonts w:hint="default" w:hAnsi="仿宋" w:eastAsia="仿宋"/>
          <w:szCs w:val="30"/>
          <w:lang w:val="en-US" w:eastAsia="zh-CN"/>
        </w:rPr>
      </w:pPr>
      <w:r>
        <w:rPr>
          <w:rFonts w:hint="eastAsia" w:hAnsi="仿宋"/>
          <w:szCs w:val="30"/>
          <w:lang w:val="en-US" w:eastAsia="zh-CN"/>
        </w:rPr>
        <w:t>5</w:t>
      </w:r>
      <w:r>
        <w:rPr>
          <w:rFonts w:hAnsi="仿宋"/>
          <w:szCs w:val="30"/>
        </w:rPr>
        <w:t>.</w:t>
      </w:r>
      <w:r>
        <w:rPr>
          <w:rFonts w:hint="eastAsia" w:hAnsi="仿宋"/>
          <w:szCs w:val="30"/>
        </w:rPr>
        <w:t>绩效评价报告意见反馈表</w:t>
      </w:r>
      <w:r>
        <w:rPr>
          <w:rFonts w:hint="eastAsia" w:hAnsi="仿宋"/>
          <w:szCs w:val="30"/>
          <w:lang w:eastAsia="zh-CN"/>
        </w:rPr>
        <w:t>（</w:t>
      </w:r>
      <w:r>
        <w:rPr>
          <w:rFonts w:hint="eastAsia" w:hAnsi="仿宋"/>
          <w:szCs w:val="30"/>
          <w:lang w:val="en-US" w:eastAsia="zh-CN"/>
        </w:rPr>
        <w:t>财政部门）</w:t>
      </w:r>
    </w:p>
    <w:p w14:paraId="4F573846">
      <w:pPr>
        <w:spacing w:line="579" w:lineRule="exact"/>
        <w:ind w:firstLine="1575" w:firstLineChars="500"/>
        <w:rPr>
          <w:rFonts w:hint="default" w:hAnsi="仿宋" w:eastAsia="仿宋"/>
          <w:szCs w:val="30"/>
          <w:lang w:val="en-US" w:eastAsia="zh-CN"/>
        </w:rPr>
      </w:pPr>
      <w:r>
        <w:rPr>
          <w:rFonts w:hint="eastAsia" w:hAnsi="仿宋"/>
          <w:szCs w:val="30"/>
          <w:lang w:val="en-US" w:eastAsia="zh-CN"/>
        </w:rPr>
        <w:t>6</w:t>
      </w:r>
      <w:r>
        <w:rPr>
          <w:rFonts w:hAnsi="仿宋"/>
          <w:szCs w:val="30"/>
        </w:rPr>
        <w:t>.</w:t>
      </w:r>
      <w:r>
        <w:rPr>
          <w:rFonts w:hint="eastAsia" w:hAnsi="仿宋"/>
          <w:szCs w:val="30"/>
        </w:rPr>
        <w:t>绩效评价报告意见反馈</w:t>
      </w:r>
      <w:bookmarkStart w:id="43" w:name="_GoBack"/>
      <w:bookmarkEnd w:id="43"/>
      <w:r>
        <w:rPr>
          <w:rFonts w:hint="eastAsia" w:hAnsi="仿宋"/>
          <w:szCs w:val="30"/>
        </w:rPr>
        <w:t>表</w:t>
      </w:r>
      <w:r>
        <w:rPr>
          <w:rFonts w:hint="eastAsia" w:hAnsi="仿宋"/>
          <w:szCs w:val="30"/>
          <w:lang w:eastAsia="zh-CN"/>
        </w:rPr>
        <w:t>（</w:t>
      </w:r>
      <w:r>
        <w:rPr>
          <w:rFonts w:hint="eastAsia" w:hAnsi="仿宋"/>
          <w:szCs w:val="30"/>
          <w:lang w:val="en-US" w:eastAsia="zh-CN"/>
        </w:rPr>
        <w:t>项目实施单位）</w:t>
      </w:r>
    </w:p>
    <w:p w14:paraId="03C8E4E1">
      <w:pPr>
        <w:rPr>
          <w:rFonts w:hint="eastAsia"/>
          <w:lang w:val="en-US" w:eastAsia="zh-CN"/>
        </w:rPr>
        <w:sectPr>
          <w:footerReference r:id="rId6" w:type="default"/>
          <w:footerReference r:id="rId7" w:type="even"/>
          <w:pgSz w:w="11906" w:h="16838"/>
          <w:pgMar w:top="2098" w:right="1474" w:bottom="1985" w:left="1588" w:header="851" w:footer="1474" w:gutter="0"/>
          <w:pgNumType w:fmt="decimal" w:start="1"/>
          <w:cols w:space="425" w:num="1"/>
          <w:docGrid w:type="linesAndChars" w:linePitch="579" w:charSpace="3247"/>
        </w:sectPr>
      </w:pPr>
    </w:p>
    <w:p w14:paraId="43E3D089">
      <w:pPr>
        <w:spacing w:line="579" w:lineRule="exact"/>
        <w:rPr>
          <w:rFonts w:hAnsi="仿宋"/>
          <w:szCs w:val="30"/>
        </w:rPr>
      </w:pPr>
    </w:p>
    <w:sectPr>
      <w:footerReference r:id="rId8" w:type="default"/>
      <w:footerReference r:id="rId9" w:type="even"/>
      <w:pgSz w:w="11906" w:h="16838"/>
      <w:pgMar w:top="2098" w:right="1474" w:bottom="1985" w:left="1588" w:header="851" w:footer="1474" w:gutter="0"/>
      <w:pgNumType w:fmt="decimal"/>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50"/>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宋体+FPEF">
    <w:altName w:val="汉仪书宋二KW"/>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F552F">
    <w:pPr>
      <w:pStyle w:val="14"/>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83C6B">
    <w:pPr>
      <w:pStyle w:val="14"/>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F0B0A5">
                          <w:pPr>
                            <w:pStyle w:val="14"/>
                          </w:pPr>
                          <w:r>
                            <w:fldChar w:fldCharType="begin"/>
                          </w:r>
                          <w:r>
                            <w:instrText xml:space="preserve"> PAGE  \* MERGEFORMAT </w:instrText>
                          </w:r>
                          <w:r>
                            <w:fldChar w:fldCharType="separate"/>
                          </w:r>
                          <w:r>
                            <w:t>i</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12F0B0A5">
                    <w:pPr>
                      <w:pStyle w:val="14"/>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43647">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5FA48A">
                          <w:pPr>
                            <w:pStyle w:val="14"/>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775FA48A">
                    <w:pPr>
                      <w:pStyle w:val="1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4DE6D">
    <w:pPr>
      <w:pStyle w:val="14"/>
      <w:jc w:val="right"/>
      <w:rPr>
        <w:rFonts w:ascii="仿宋" w:hAnsi="仿宋" w:eastAsia="仿宋"/>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F0B13D">
                          <w:pPr>
                            <w:pStyle w:val="14"/>
                            <w:jc w:val="right"/>
                          </w:pPr>
                          <w:r>
                            <w:fldChar w:fldCharType="begin"/>
                          </w:r>
                          <w:r>
                            <w:instrText xml:space="preserve"> PAGE  \* MERGEFORMAT </w:instrText>
                          </w:r>
                          <w:r>
                            <w:fldChar w:fldCharType="separate"/>
                          </w:r>
                          <w:r>
                            <w:t>v</w:t>
                          </w:r>
                          <w: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eSac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p3kmnLAQAAnAMAAA4AAAAAAAAAAQAgAAAAHgEAAGRycy9lMm9E&#10;b2MueG1sUEsFBgAAAAAGAAYAWQEAAFsFAAAAAA==&#10;">
              <v:fill on="f" focussize="0,0"/>
              <v:stroke on="f"/>
              <v:imagedata o:title=""/>
              <o:lock v:ext="edit" aspectratio="f"/>
              <v:textbox inset="0mm,0mm,0mm,0mm" style="mso-fit-shape-to-text:t;">
                <w:txbxContent>
                  <w:p w14:paraId="0CF0B13D">
                    <w:pPr>
                      <w:pStyle w:val="14"/>
                      <w:jc w:val="right"/>
                    </w:pPr>
                    <w:r>
                      <w:fldChar w:fldCharType="begin"/>
                    </w:r>
                    <w:r>
                      <w:instrText xml:space="preserve"> PAGE  \* MERGEFORMAT </w:instrText>
                    </w:r>
                    <w:r>
                      <w:fldChar w:fldCharType="separate"/>
                    </w:r>
                    <w:r>
                      <w:t>v</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5E80C">
    <w:pPr>
      <w:pStyle w:val="14"/>
      <w:rPr>
        <w:rFonts w:ascii="仿宋" w:hAnsi="仿宋" w:eastAsia="仿宋"/>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158B73">
                          <w:pPr>
                            <w:pStyle w:val="14"/>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k78s8oBAACc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lW&#10;L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k78s8oBAACcAwAADgAAAAAAAAABACAAAAAeAQAAZHJzL2Uyb0Rv&#10;Yy54bWxQSwUGAAAAAAYABgBZAQAAWgUAAAAA&#10;">
              <v:fill on="f" focussize="0,0"/>
              <v:stroke on="f"/>
              <v:imagedata o:title=""/>
              <o:lock v:ext="edit" aspectratio="f"/>
              <v:textbox inset="0mm,0mm,0mm,0mm" style="mso-fit-shape-to-text:t;">
                <w:txbxContent>
                  <w:p w14:paraId="1E158B73">
                    <w:pPr>
                      <w:pStyle w:val="1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01A1E">
    <w:pPr>
      <w:pStyle w:val="14"/>
      <w:rPr>
        <w:rFonts w:ascii="仿宋" w:hAnsi="仿宋" w:eastAsia="仿宋"/>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7388A">
    <w:pPr>
      <w:pStyle w:val="14"/>
      <w:rPr>
        <w:rFonts w:ascii="仿宋" w:hAnsi="仿宋" w:eastAsia="仿宋"/>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ED19B"/>
    <w:multiLevelType w:val="singleLevel"/>
    <w:tmpl w:val="DBFED19B"/>
    <w:lvl w:ilvl="0" w:tentative="0">
      <w:start w:val="3"/>
      <w:numFmt w:val="chineseCounting"/>
      <w:suff w:val="nothing"/>
      <w:lvlText w:val="（%1）"/>
      <w:lvlJc w:val="left"/>
      <w:rPr>
        <w:rFonts w:hint="eastAsia"/>
      </w:rPr>
    </w:lvl>
  </w:abstractNum>
  <w:abstractNum w:abstractNumId="1">
    <w:nsid w:val="F47F4EA9"/>
    <w:multiLevelType w:val="singleLevel"/>
    <w:tmpl w:val="F47F4EA9"/>
    <w:lvl w:ilvl="0" w:tentative="0">
      <w:start w:val="3"/>
      <w:numFmt w:val="chineseCounting"/>
      <w:suff w:val="nothing"/>
      <w:lvlText w:val="%1、"/>
      <w:lvlJc w:val="left"/>
      <w:rPr>
        <w:rFonts w:hint="eastAsia"/>
      </w:rPr>
    </w:lvl>
  </w:abstractNum>
  <w:abstractNum w:abstractNumId="2">
    <w:nsid w:val="FBEDCEAB"/>
    <w:multiLevelType w:val="singleLevel"/>
    <w:tmpl w:val="FBEDCEAB"/>
    <w:lvl w:ilvl="0" w:tentative="0">
      <w:start w:val="1"/>
      <w:numFmt w:val="decimal"/>
      <w:lvlText w:val="%1."/>
      <w:lvlJc w:val="left"/>
      <w:pPr>
        <w:tabs>
          <w:tab w:val="left" w:pos="312"/>
        </w:tabs>
      </w:pPr>
    </w:lvl>
  </w:abstractNum>
  <w:abstractNum w:abstractNumId="3">
    <w:nsid w:val="FFF8A61A"/>
    <w:multiLevelType w:val="singleLevel"/>
    <w:tmpl w:val="FFF8A61A"/>
    <w:lvl w:ilvl="0" w:tentative="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4"/>
  <w:removePersonalInformation/>
  <w:embedSystemFonts/>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jk5ZGE0ZmY2ODE0NGE0ZTE4NzVkYTVjYTE3YWEifQ=="/>
  </w:docVars>
  <w:rsids>
    <w:rsidRoot w:val="00763D8D"/>
    <w:rsid w:val="000027B8"/>
    <w:rsid w:val="00003457"/>
    <w:rsid w:val="000053D4"/>
    <w:rsid w:val="00007F56"/>
    <w:rsid w:val="000101DC"/>
    <w:rsid w:val="000109E6"/>
    <w:rsid w:val="00011162"/>
    <w:rsid w:val="000163D2"/>
    <w:rsid w:val="00017395"/>
    <w:rsid w:val="00020A87"/>
    <w:rsid w:val="00021B6D"/>
    <w:rsid w:val="00022FFA"/>
    <w:rsid w:val="00023438"/>
    <w:rsid w:val="00023D70"/>
    <w:rsid w:val="00023FF0"/>
    <w:rsid w:val="000267F0"/>
    <w:rsid w:val="000302F4"/>
    <w:rsid w:val="00030BA6"/>
    <w:rsid w:val="00032A27"/>
    <w:rsid w:val="00032BAE"/>
    <w:rsid w:val="000377E6"/>
    <w:rsid w:val="00037F46"/>
    <w:rsid w:val="0004014B"/>
    <w:rsid w:val="00043A7F"/>
    <w:rsid w:val="00044EEC"/>
    <w:rsid w:val="00046291"/>
    <w:rsid w:val="00046463"/>
    <w:rsid w:val="00050813"/>
    <w:rsid w:val="000563A3"/>
    <w:rsid w:val="00062BA9"/>
    <w:rsid w:val="00067604"/>
    <w:rsid w:val="00073C73"/>
    <w:rsid w:val="00075831"/>
    <w:rsid w:val="000761D2"/>
    <w:rsid w:val="00077515"/>
    <w:rsid w:val="0008006D"/>
    <w:rsid w:val="0008270C"/>
    <w:rsid w:val="00082DC6"/>
    <w:rsid w:val="000910C9"/>
    <w:rsid w:val="0009125B"/>
    <w:rsid w:val="000913F5"/>
    <w:rsid w:val="000926D7"/>
    <w:rsid w:val="00093656"/>
    <w:rsid w:val="00094C11"/>
    <w:rsid w:val="00095539"/>
    <w:rsid w:val="000A2576"/>
    <w:rsid w:val="000A3ED9"/>
    <w:rsid w:val="000A4562"/>
    <w:rsid w:val="000A60AC"/>
    <w:rsid w:val="000C04DE"/>
    <w:rsid w:val="000C0984"/>
    <w:rsid w:val="000C1909"/>
    <w:rsid w:val="000C29DC"/>
    <w:rsid w:val="000C3CE0"/>
    <w:rsid w:val="000C5033"/>
    <w:rsid w:val="000D71DD"/>
    <w:rsid w:val="000E21D8"/>
    <w:rsid w:val="000E6F75"/>
    <w:rsid w:val="000F1534"/>
    <w:rsid w:val="000F3E60"/>
    <w:rsid w:val="000F46ED"/>
    <w:rsid w:val="000F5FA5"/>
    <w:rsid w:val="000F6595"/>
    <w:rsid w:val="00106A8B"/>
    <w:rsid w:val="001075E2"/>
    <w:rsid w:val="001114F0"/>
    <w:rsid w:val="00114580"/>
    <w:rsid w:val="001146BA"/>
    <w:rsid w:val="00116445"/>
    <w:rsid w:val="00122361"/>
    <w:rsid w:val="0012393D"/>
    <w:rsid w:val="00124FFE"/>
    <w:rsid w:val="00125D9C"/>
    <w:rsid w:val="001308E4"/>
    <w:rsid w:val="00134DC9"/>
    <w:rsid w:val="00142242"/>
    <w:rsid w:val="001439E1"/>
    <w:rsid w:val="001473A6"/>
    <w:rsid w:val="00147856"/>
    <w:rsid w:val="00147F84"/>
    <w:rsid w:val="00150F3E"/>
    <w:rsid w:val="001513E5"/>
    <w:rsid w:val="00152B2B"/>
    <w:rsid w:val="001537D8"/>
    <w:rsid w:val="00153BC6"/>
    <w:rsid w:val="001556BF"/>
    <w:rsid w:val="00155A7C"/>
    <w:rsid w:val="00157E96"/>
    <w:rsid w:val="0016290B"/>
    <w:rsid w:val="00162B90"/>
    <w:rsid w:val="00167E57"/>
    <w:rsid w:val="001702EB"/>
    <w:rsid w:val="001722F7"/>
    <w:rsid w:val="00173C14"/>
    <w:rsid w:val="00175976"/>
    <w:rsid w:val="00177059"/>
    <w:rsid w:val="00180B66"/>
    <w:rsid w:val="00182613"/>
    <w:rsid w:val="001836BB"/>
    <w:rsid w:val="00183D89"/>
    <w:rsid w:val="001844AE"/>
    <w:rsid w:val="00184577"/>
    <w:rsid w:val="00184C8F"/>
    <w:rsid w:val="0018788E"/>
    <w:rsid w:val="001905A5"/>
    <w:rsid w:val="001A2410"/>
    <w:rsid w:val="001A2D6F"/>
    <w:rsid w:val="001A644B"/>
    <w:rsid w:val="001A77EE"/>
    <w:rsid w:val="001A7B0F"/>
    <w:rsid w:val="001B1BDE"/>
    <w:rsid w:val="001B4784"/>
    <w:rsid w:val="001B5EDA"/>
    <w:rsid w:val="001D4E03"/>
    <w:rsid w:val="001D58D7"/>
    <w:rsid w:val="001E07CC"/>
    <w:rsid w:val="001E3BF6"/>
    <w:rsid w:val="001E410D"/>
    <w:rsid w:val="001E6E29"/>
    <w:rsid w:val="001E713D"/>
    <w:rsid w:val="001F1285"/>
    <w:rsid w:val="001F1844"/>
    <w:rsid w:val="001F1E4B"/>
    <w:rsid w:val="001F3638"/>
    <w:rsid w:val="001F46E7"/>
    <w:rsid w:val="001F566D"/>
    <w:rsid w:val="00200263"/>
    <w:rsid w:val="00201C2D"/>
    <w:rsid w:val="002115B2"/>
    <w:rsid w:val="00212FA7"/>
    <w:rsid w:val="00217869"/>
    <w:rsid w:val="0021797F"/>
    <w:rsid w:val="00217AA8"/>
    <w:rsid w:val="00220DFC"/>
    <w:rsid w:val="002229E2"/>
    <w:rsid w:val="0022365E"/>
    <w:rsid w:val="002260C9"/>
    <w:rsid w:val="00226E95"/>
    <w:rsid w:val="00227678"/>
    <w:rsid w:val="00227A48"/>
    <w:rsid w:val="00227EAF"/>
    <w:rsid w:val="00230719"/>
    <w:rsid w:val="00230C67"/>
    <w:rsid w:val="002335C1"/>
    <w:rsid w:val="00235C5D"/>
    <w:rsid w:val="002422DC"/>
    <w:rsid w:val="00243F53"/>
    <w:rsid w:val="00246276"/>
    <w:rsid w:val="00251346"/>
    <w:rsid w:val="00252898"/>
    <w:rsid w:val="002532A4"/>
    <w:rsid w:val="0025396D"/>
    <w:rsid w:val="00254804"/>
    <w:rsid w:val="00254B91"/>
    <w:rsid w:val="002554E5"/>
    <w:rsid w:val="002567E0"/>
    <w:rsid w:val="00256D4E"/>
    <w:rsid w:val="002606F4"/>
    <w:rsid w:val="0026498A"/>
    <w:rsid w:val="00265F34"/>
    <w:rsid w:val="00274648"/>
    <w:rsid w:val="00277ACC"/>
    <w:rsid w:val="00282CC8"/>
    <w:rsid w:val="0028388B"/>
    <w:rsid w:val="00283F38"/>
    <w:rsid w:val="00285265"/>
    <w:rsid w:val="00290595"/>
    <w:rsid w:val="002917E5"/>
    <w:rsid w:val="002920DF"/>
    <w:rsid w:val="0029356B"/>
    <w:rsid w:val="002957FB"/>
    <w:rsid w:val="002A020A"/>
    <w:rsid w:val="002A1DF7"/>
    <w:rsid w:val="002A5AD2"/>
    <w:rsid w:val="002A6EAA"/>
    <w:rsid w:val="002B2CEA"/>
    <w:rsid w:val="002B3F00"/>
    <w:rsid w:val="002B7B5E"/>
    <w:rsid w:val="002C46F4"/>
    <w:rsid w:val="002C555C"/>
    <w:rsid w:val="002D1D67"/>
    <w:rsid w:val="002D3C45"/>
    <w:rsid w:val="002D498A"/>
    <w:rsid w:val="002D55A2"/>
    <w:rsid w:val="002E06C9"/>
    <w:rsid w:val="002E1041"/>
    <w:rsid w:val="002E1500"/>
    <w:rsid w:val="002E280F"/>
    <w:rsid w:val="002E5BDD"/>
    <w:rsid w:val="002E60CA"/>
    <w:rsid w:val="002F4221"/>
    <w:rsid w:val="002F516E"/>
    <w:rsid w:val="002F59F0"/>
    <w:rsid w:val="002F7BE7"/>
    <w:rsid w:val="00301F5D"/>
    <w:rsid w:val="003020B9"/>
    <w:rsid w:val="00307963"/>
    <w:rsid w:val="00307B63"/>
    <w:rsid w:val="003116BB"/>
    <w:rsid w:val="00313C52"/>
    <w:rsid w:val="00321FF5"/>
    <w:rsid w:val="003221CF"/>
    <w:rsid w:val="003270CD"/>
    <w:rsid w:val="003305B8"/>
    <w:rsid w:val="0033130B"/>
    <w:rsid w:val="0033489A"/>
    <w:rsid w:val="0033762E"/>
    <w:rsid w:val="00337718"/>
    <w:rsid w:val="003427D3"/>
    <w:rsid w:val="0034304B"/>
    <w:rsid w:val="00347579"/>
    <w:rsid w:val="00347950"/>
    <w:rsid w:val="00353796"/>
    <w:rsid w:val="003568A8"/>
    <w:rsid w:val="00357576"/>
    <w:rsid w:val="0036565B"/>
    <w:rsid w:val="00365B28"/>
    <w:rsid w:val="00371BB6"/>
    <w:rsid w:val="00371CAA"/>
    <w:rsid w:val="00375AF4"/>
    <w:rsid w:val="003761AE"/>
    <w:rsid w:val="00376534"/>
    <w:rsid w:val="00376A60"/>
    <w:rsid w:val="00377A2E"/>
    <w:rsid w:val="00380118"/>
    <w:rsid w:val="003807BD"/>
    <w:rsid w:val="00381F0D"/>
    <w:rsid w:val="0038336A"/>
    <w:rsid w:val="00384495"/>
    <w:rsid w:val="0038465D"/>
    <w:rsid w:val="003875C8"/>
    <w:rsid w:val="00392745"/>
    <w:rsid w:val="00393295"/>
    <w:rsid w:val="003948E5"/>
    <w:rsid w:val="003A3987"/>
    <w:rsid w:val="003A5711"/>
    <w:rsid w:val="003A6AB4"/>
    <w:rsid w:val="003B2170"/>
    <w:rsid w:val="003B2603"/>
    <w:rsid w:val="003B355C"/>
    <w:rsid w:val="003B5FE1"/>
    <w:rsid w:val="003B643A"/>
    <w:rsid w:val="003B74B5"/>
    <w:rsid w:val="003D112A"/>
    <w:rsid w:val="003D12B5"/>
    <w:rsid w:val="003D2104"/>
    <w:rsid w:val="003D35C0"/>
    <w:rsid w:val="003D6830"/>
    <w:rsid w:val="003E0E49"/>
    <w:rsid w:val="003E28AB"/>
    <w:rsid w:val="003E37CD"/>
    <w:rsid w:val="003F11BD"/>
    <w:rsid w:val="003F1515"/>
    <w:rsid w:val="003F16E7"/>
    <w:rsid w:val="003F1FDD"/>
    <w:rsid w:val="003F402E"/>
    <w:rsid w:val="003F6354"/>
    <w:rsid w:val="00400D06"/>
    <w:rsid w:val="0040199E"/>
    <w:rsid w:val="0040239B"/>
    <w:rsid w:val="00402CE7"/>
    <w:rsid w:val="00405226"/>
    <w:rsid w:val="00405C75"/>
    <w:rsid w:val="00406D6A"/>
    <w:rsid w:val="00407218"/>
    <w:rsid w:val="004107CB"/>
    <w:rsid w:val="00420BEC"/>
    <w:rsid w:val="0042251D"/>
    <w:rsid w:val="00426FE5"/>
    <w:rsid w:val="004272A6"/>
    <w:rsid w:val="0043119F"/>
    <w:rsid w:val="00433CAA"/>
    <w:rsid w:val="00436B3B"/>
    <w:rsid w:val="00437980"/>
    <w:rsid w:val="004401ED"/>
    <w:rsid w:val="00440843"/>
    <w:rsid w:val="00440F20"/>
    <w:rsid w:val="0044349C"/>
    <w:rsid w:val="00452585"/>
    <w:rsid w:val="00452895"/>
    <w:rsid w:val="00453319"/>
    <w:rsid w:val="004542C8"/>
    <w:rsid w:val="004549D1"/>
    <w:rsid w:val="00457099"/>
    <w:rsid w:val="00460E4C"/>
    <w:rsid w:val="00462343"/>
    <w:rsid w:val="00464A91"/>
    <w:rsid w:val="00465B8C"/>
    <w:rsid w:val="00466165"/>
    <w:rsid w:val="004671F2"/>
    <w:rsid w:val="00472258"/>
    <w:rsid w:val="00474787"/>
    <w:rsid w:val="00474A62"/>
    <w:rsid w:val="0048081D"/>
    <w:rsid w:val="0048089A"/>
    <w:rsid w:val="004811D4"/>
    <w:rsid w:val="004839EA"/>
    <w:rsid w:val="00484612"/>
    <w:rsid w:val="004860CD"/>
    <w:rsid w:val="004866EA"/>
    <w:rsid w:val="00490547"/>
    <w:rsid w:val="00493698"/>
    <w:rsid w:val="004949AC"/>
    <w:rsid w:val="00495FB3"/>
    <w:rsid w:val="004A0A75"/>
    <w:rsid w:val="004A3AAE"/>
    <w:rsid w:val="004A3DDB"/>
    <w:rsid w:val="004A4700"/>
    <w:rsid w:val="004A52B5"/>
    <w:rsid w:val="004A711A"/>
    <w:rsid w:val="004B34FB"/>
    <w:rsid w:val="004B448D"/>
    <w:rsid w:val="004C0BC9"/>
    <w:rsid w:val="004C1CCF"/>
    <w:rsid w:val="004C51F5"/>
    <w:rsid w:val="004C5D7B"/>
    <w:rsid w:val="004C5F17"/>
    <w:rsid w:val="004C6BF0"/>
    <w:rsid w:val="004D0D4D"/>
    <w:rsid w:val="004D2649"/>
    <w:rsid w:val="004D31B0"/>
    <w:rsid w:val="004D34AD"/>
    <w:rsid w:val="004D5F2D"/>
    <w:rsid w:val="004D678B"/>
    <w:rsid w:val="004E013B"/>
    <w:rsid w:val="004E0646"/>
    <w:rsid w:val="004E0906"/>
    <w:rsid w:val="004E5E85"/>
    <w:rsid w:val="004F0288"/>
    <w:rsid w:val="004F0B47"/>
    <w:rsid w:val="004F43AA"/>
    <w:rsid w:val="004F47FC"/>
    <w:rsid w:val="004F5DE3"/>
    <w:rsid w:val="004F6CCC"/>
    <w:rsid w:val="00501100"/>
    <w:rsid w:val="005102A2"/>
    <w:rsid w:val="00510BAB"/>
    <w:rsid w:val="00513B3D"/>
    <w:rsid w:val="00514671"/>
    <w:rsid w:val="00515734"/>
    <w:rsid w:val="00522A6C"/>
    <w:rsid w:val="00526431"/>
    <w:rsid w:val="0053063F"/>
    <w:rsid w:val="00532714"/>
    <w:rsid w:val="005344A8"/>
    <w:rsid w:val="00536F5B"/>
    <w:rsid w:val="00542670"/>
    <w:rsid w:val="00545001"/>
    <w:rsid w:val="00550937"/>
    <w:rsid w:val="0055330D"/>
    <w:rsid w:val="005578D6"/>
    <w:rsid w:val="00561795"/>
    <w:rsid w:val="0056186F"/>
    <w:rsid w:val="00562BA8"/>
    <w:rsid w:val="0056376A"/>
    <w:rsid w:val="00564552"/>
    <w:rsid w:val="00566921"/>
    <w:rsid w:val="005671E8"/>
    <w:rsid w:val="00570BF9"/>
    <w:rsid w:val="005750C4"/>
    <w:rsid w:val="00576CB6"/>
    <w:rsid w:val="00576FBF"/>
    <w:rsid w:val="00577548"/>
    <w:rsid w:val="00577FAD"/>
    <w:rsid w:val="00585784"/>
    <w:rsid w:val="00587462"/>
    <w:rsid w:val="00587C8D"/>
    <w:rsid w:val="00591EF2"/>
    <w:rsid w:val="00592198"/>
    <w:rsid w:val="0059320E"/>
    <w:rsid w:val="005953FB"/>
    <w:rsid w:val="00597B52"/>
    <w:rsid w:val="005A2E6F"/>
    <w:rsid w:val="005A3998"/>
    <w:rsid w:val="005A50E5"/>
    <w:rsid w:val="005A7959"/>
    <w:rsid w:val="005B0482"/>
    <w:rsid w:val="005B6066"/>
    <w:rsid w:val="005B70F0"/>
    <w:rsid w:val="005B74AE"/>
    <w:rsid w:val="005C19D7"/>
    <w:rsid w:val="005C2473"/>
    <w:rsid w:val="005C40D3"/>
    <w:rsid w:val="005D06E4"/>
    <w:rsid w:val="005E0F3C"/>
    <w:rsid w:val="005E4ABD"/>
    <w:rsid w:val="005E6172"/>
    <w:rsid w:val="005E718D"/>
    <w:rsid w:val="005F1102"/>
    <w:rsid w:val="006026DD"/>
    <w:rsid w:val="00613763"/>
    <w:rsid w:val="00620526"/>
    <w:rsid w:val="00621602"/>
    <w:rsid w:val="00623AF9"/>
    <w:rsid w:val="006251E6"/>
    <w:rsid w:val="00626208"/>
    <w:rsid w:val="00627439"/>
    <w:rsid w:val="006323C6"/>
    <w:rsid w:val="00634466"/>
    <w:rsid w:val="00636016"/>
    <w:rsid w:val="00643CC5"/>
    <w:rsid w:val="0064402F"/>
    <w:rsid w:val="0064527F"/>
    <w:rsid w:val="0065445B"/>
    <w:rsid w:val="00655674"/>
    <w:rsid w:val="00656020"/>
    <w:rsid w:val="00656A9A"/>
    <w:rsid w:val="00656F7D"/>
    <w:rsid w:val="006571CA"/>
    <w:rsid w:val="00657FEB"/>
    <w:rsid w:val="0066192E"/>
    <w:rsid w:val="006633E2"/>
    <w:rsid w:val="00663BBB"/>
    <w:rsid w:val="00664AE8"/>
    <w:rsid w:val="0066531C"/>
    <w:rsid w:val="00667C12"/>
    <w:rsid w:val="00671269"/>
    <w:rsid w:val="00674DB5"/>
    <w:rsid w:val="00682BA0"/>
    <w:rsid w:val="0068495B"/>
    <w:rsid w:val="00687D46"/>
    <w:rsid w:val="00693295"/>
    <w:rsid w:val="00694B78"/>
    <w:rsid w:val="00694EAF"/>
    <w:rsid w:val="006960BB"/>
    <w:rsid w:val="006A28E5"/>
    <w:rsid w:val="006A2942"/>
    <w:rsid w:val="006A2A32"/>
    <w:rsid w:val="006A5995"/>
    <w:rsid w:val="006A5FFB"/>
    <w:rsid w:val="006A6752"/>
    <w:rsid w:val="006B510D"/>
    <w:rsid w:val="006B5BCF"/>
    <w:rsid w:val="006B610A"/>
    <w:rsid w:val="006B70DE"/>
    <w:rsid w:val="006C0244"/>
    <w:rsid w:val="006C0E35"/>
    <w:rsid w:val="006D012E"/>
    <w:rsid w:val="006D2836"/>
    <w:rsid w:val="006E342B"/>
    <w:rsid w:val="006E36CF"/>
    <w:rsid w:val="006E3A23"/>
    <w:rsid w:val="006E4449"/>
    <w:rsid w:val="006E76CA"/>
    <w:rsid w:val="006E79B8"/>
    <w:rsid w:val="006E7FBA"/>
    <w:rsid w:val="006F09DA"/>
    <w:rsid w:val="006F38A5"/>
    <w:rsid w:val="00701599"/>
    <w:rsid w:val="00703419"/>
    <w:rsid w:val="00704906"/>
    <w:rsid w:val="00704B20"/>
    <w:rsid w:val="0070532D"/>
    <w:rsid w:val="007061AB"/>
    <w:rsid w:val="00706C0E"/>
    <w:rsid w:val="00707272"/>
    <w:rsid w:val="0070727C"/>
    <w:rsid w:val="00711BD6"/>
    <w:rsid w:val="0071646D"/>
    <w:rsid w:val="00723885"/>
    <w:rsid w:val="007258CC"/>
    <w:rsid w:val="0072647A"/>
    <w:rsid w:val="00727017"/>
    <w:rsid w:val="007319A2"/>
    <w:rsid w:val="00733D12"/>
    <w:rsid w:val="00733E02"/>
    <w:rsid w:val="0073677A"/>
    <w:rsid w:val="007412B5"/>
    <w:rsid w:val="00741C0D"/>
    <w:rsid w:val="007431B7"/>
    <w:rsid w:val="00744DB6"/>
    <w:rsid w:val="00746DEF"/>
    <w:rsid w:val="007474F3"/>
    <w:rsid w:val="0075085D"/>
    <w:rsid w:val="00751985"/>
    <w:rsid w:val="00752CA1"/>
    <w:rsid w:val="00753514"/>
    <w:rsid w:val="00754346"/>
    <w:rsid w:val="007622C7"/>
    <w:rsid w:val="00763D8D"/>
    <w:rsid w:val="00763F0B"/>
    <w:rsid w:val="00766A2A"/>
    <w:rsid w:val="00771DBA"/>
    <w:rsid w:val="00774178"/>
    <w:rsid w:val="00774689"/>
    <w:rsid w:val="00775421"/>
    <w:rsid w:val="00780354"/>
    <w:rsid w:val="00780EAF"/>
    <w:rsid w:val="00780F68"/>
    <w:rsid w:val="00783983"/>
    <w:rsid w:val="007854FB"/>
    <w:rsid w:val="00786B54"/>
    <w:rsid w:val="00795893"/>
    <w:rsid w:val="00796558"/>
    <w:rsid w:val="007A0D31"/>
    <w:rsid w:val="007A157F"/>
    <w:rsid w:val="007A1C7C"/>
    <w:rsid w:val="007A2BCD"/>
    <w:rsid w:val="007A58C0"/>
    <w:rsid w:val="007A6474"/>
    <w:rsid w:val="007A7277"/>
    <w:rsid w:val="007B064B"/>
    <w:rsid w:val="007B2D33"/>
    <w:rsid w:val="007B72C4"/>
    <w:rsid w:val="007C023F"/>
    <w:rsid w:val="007C1423"/>
    <w:rsid w:val="007C18CF"/>
    <w:rsid w:val="007C2CA2"/>
    <w:rsid w:val="007C38FA"/>
    <w:rsid w:val="007C3BD4"/>
    <w:rsid w:val="007C3CB2"/>
    <w:rsid w:val="007C7E73"/>
    <w:rsid w:val="007D051F"/>
    <w:rsid w:val="007D0BBA"/>
    <w:rsid w:val="007D2550"/>
    <w:rsid w:val="007D3332"/>
    <w:rsid w:val="007D333C"/>
    <w:rsid w:val="007D360D"/>
    <w:rsid w:val="007D5E47"/>
    <w:rsid w:val="007D6583"/>
    <w:rsid w:val="007D778F"/>
    <w:rsid w:val="007E0FFD"/>
    <w:rsid w:val="007E18FC"/>
    <w:rsid w:val="007E494F"/>
    <w:rsid w:val="007E5BBF"/>
    <w:rsid w:val="007E68BF"/>
    <w:rsid w:val="007F0B94"/>
    <w:rsid w:val="007F26DD"/>
    <w:rsid w:val="007F2884"/>
    <w:rsid w:val="007F2CFD"/>
    <w:rsid w:val="007F3CED"/>
    <w:rsid w:val="008012F3"/>
    <w:rsid w:val="00801696"/>
    <w:rsid w:val="008035C2"/>
    <w:rsid w:val="00803F6D"/>
    <w:rsid w:val="00803FFB"/>
    <w:rsid w:val="00805C6A"/>
    <w:rsid w:val="00807246"/>
    <w:rsid w:val="00812AFF"/>
    <w:rsid w:val="00814803"/>
    <w:rsid w:val="00814C48"/>
    <w:rsid w:val="008162D6"/>
    <w:rsid w:val="008207F7"/>
    <w:rsid w:val="00821495"/>
    <w:rsid w:val="00822129"/>
    <w:rsid w:val="00827365"/>
    <w:rsid w:val="0083033C"/>
    <w:rsid w:val="00832C5F"/>
    <w:rsid w:val="00833991"/>
    <w:rsid w:val="00834B6A"/>
    <w:rsid w:val="008369B8"/>
    <w:rsid w:val="00837E6A"/>
    <w:rsid w:val="0084288D"/>
    <w:rsid w:val="008429AF"/>
    <w:rsid w:val="008444BD"/>
    <w:rsid w:val="00846B79"/>
    <w:rsid w:val="00847259"/>
    <w:rsid w:val="008476D2"/>
    <w:rsid w:val="00851B24"/>
    <w:rsid w:val="00851F54"/>
    <w:rsid w:val="00854621"/>
    <w:rsid w:val="0086105D"/>
    <w:rsid w:val="008625ED"/>
    <w:rsid w:val="00864A1B"/>
    <w:rsid w:val="00866AB0"/>
    <w:rsid w:val="00867F1E"/>
    <w:rsid w:val="008704E6"/>
    <w:rsid w:val="00870D8D"/>
    <w:rsid w:val="008735D5"/>
    <w:rsid w:val="00873D83"/>
    <w:rsid w:val="00873EA1"/>
    <w:rsid w:val="0087571E"/>
    <w:rsid w:val="00877854"/>
    <w:rsid w:val="00882E11"/>
    <w:rsid w:val="00884635"/>
    <w:rsid w:val="00885EF1"/>
    <w:rsid w:val="00886215"/>
    <w:rsid w:val="00890F31"/>
    <w:rsid w:val="008929D8"/>
    <w:rsid w:val="00894CB7"/>
    <w:rsid w:val="00896267"/>
    <w:rsid w:val="00896DBE"/>
    <w:rsid w:val="008A096F"/>
    <w:rsid w:val="008A2CA9"/>
    <w:rsid w:val="008A3471"/>
    <w:rsid w:val="008A5EF0"/>
    <w:rsid w:val="008A658D"/>
    <w:rsid w:val="008B035B"/>
    <w:rsid w:val="008B4790"/>
    <w:rsid w:val="008C134F"/>
    <w:rsid w:val="008C1413"/>
    <w:rsid w:val="008C33C4"/>
    <w:rsid w:val="008C3699"/>
    <w:rsid w:val="008D007F"/>
    <w:rsid w:val="008D4DB3"/>
    <w:rsid w:val="008D5ECA"/>
    <w:rsid w:val="008D6C00"/>
    <w:rsid w:val="008D7D2E"/>
    <w:rsid w:val="008E077D"/>
    <w:rsid w:val="008E0FBB"/>
    <w:rsid w:val="008E30EF"/>
    <w:rsid w:val="008E70EF"/>
    <w:rsid w:val="008F0F5E"/>
    <w:rsid w:val="008F2D6C"/>
    <w:rsid w:val="008F2F92"/>
    <w:rsid w:val="008F689B"/>
    <w:rsid w:val="00901D0E"/>
    <w:rsid w:val="009034E6"/>
    <w:rsid w:val="00903C2E"/>
    <w:rsid w:val="009041C2"/>
    <w:rsid w:val="0090678C"/>
    <w:rsid w:val="00910CE3"/>
    <w:rsid w:val="00914E87"/>
    <w:rsid w:val="00915956"/>
    <w:rsid w:val="00920E07"/>
    <w:rsid w:val="0092374D"/>
    <w:rsid w:val="00923BAA"/>
    <w:rsid w:val="00924970"/>
    <w:rsid w:val="009267F6"/>
    <w:rsid w:val="009317C0"/>
    <w:rsid w:val="009326BF"/>
    <w:rsid w:val="00936024"/>
    <w:rsid w:val="0093787B"/>
    <w:rsid w:val="00937BC1"/>
    <w:rsid w:val="00942C8E"/>
    <w:rsid w:val="0095111A"/>
    <w:rsid w:val="009546AB"/>
    <w:rsid w:val="00954A89"/>
    <w:rsid w:val="00954F31"/>
    <w:rsid w:val="009607A3"/>
    <w:rsid w:val="00961330"/>
    <w:rsid w:val="00961BEE"/>
    <w:rsid w:val="00963095"/>
    <w:rsid w:val="00964F1C"/>
    <w:rsid w:val="00965869"/>
    <w:rsid w:val="0096633E"/>
    <w:rsid w:val="009669C6"/>
    <w:rsid w:val="009672A4"/>
    <w:rsid w:val="00973859"/>
    <w:rsid w:val="00974A70"/>
    <w:rsid w:val="00976E34"/>
    <w:rsid w:val="00982ABB"/>
    <w:rsid w:val="00983C33"/>
    <w:rsid w:val="00983EB5"/>
    <w:rsid w:val="009900E6"/>
    <w:rsid w:val="00990F17"/>
    <w:rsid w:val="009912B5"/>
    <w:rsid w:val="00991437"/>
    <w:rsid w:val="009914DC"/>
    <w:rsid w:val="00993E30"/>
    <w:rsid w:val="009A3DA3"/>
    <w:rsid w:val="009A3DE0"/>
    <w:rsid w:val="009B0758"/>
    <w:rsid w:val="009B2564"/>
    <w:rsid w:val="009B4C1C"/>
    <w:rsid w:val="009C07AA"/>
    <w:rsid w:val="009C3ECB"/>
    <w:rsid w:val="009C5FAB"/>
    <w:rsid w:val="009C6BDC"/>
    <w:rsid w:val="009C6D8D"/>
    <w:rsid w:val="009D25F6"/>
    <w:rsid w:val="009D3B4B"/>
    <w:rsid w:val="009D4D5E"/>
    <w:rsid w:val="009E56D5"/>
    <w:rsid w:val="009E662A"/>
    <w:rsid w:val="009E7A09"/>
    <w:rsid w:val="009F0910"/>
    <w:rsid w:val="009F17BE"/>
    <w:rsid w:val="009F2679"/>
    <w:rsid w:val="009F41F3"/>
    <w:rsid w:val="009F6719"/>
    <w:rsid w:val="00A000D9"/>
    <w:rsid w:val="00A00612"/>
    <w:rsid w:val="00A01AD8"/>
    <w:rsid w:val="00A02D03"/>
    <w:rsid w:val="00A02E94"/>
    <w:rsid w:val="00A057DC"/>
    <w:rsid w:val="00A0725B"/>
    <w:rsid w:val="00A10153"/>
    <w:rsid w:val="00A11EC9"/>
    <w:rsid w:val="00A121FB"/>
    <w:rsid w:val="00A12F69"/>
    <w:rsid w:val="00A17A74"/>
    <w:rsid w:val="00A22A04"/>
    <w:rsid w:val="00A23FCD"/>
    <w:rsid w:val="00A24BDC"/>
    <w:rsid w:val="00A24E49"/>
    <w:rsid w:val="00A25F38"/>
    <w:rsid w:val="00A27411"/>
    <w:rsid w:val="00A27C51"/>
    <w:rsid w:val="00A31048"/>
    <w:rsid w:val="00A33005"/>
    <w:rsid w:val="00A34C99"/>
    <w:rsid w:val="00A36910"/>
    <w:rsid w:val="00A370A6"/>
    <w:rsid w:val="00A375F1"/>
    <w:rsid w:val="00A41B24"/>
    <w:rsid w:val="00A43DC7"/>
    <w:rsid w:val="00A444BF"/>
    <w:rsid w:val="00A47A9A"/>
    <w:rsid w:val="00A5152D"/>
    <w:rsid w:val="00A5630B"/>
    <w:rsid w:val="00A57205"/>
    <w:rsid w:val="00A57436"/>
    <w:rsid w:val="00A605F9"/>
    <w:rsid w:val="00A60E45"/>
    <w:rsid w:val="00A63BA5"/>
    <w:rsid w:val="00A66EE9"/>
    <w:rsid w:val="00A6714F"/>
    <w:rsid w:val="00A7047C"/>
    <w:rsid w:val="00A7287F"/>
    <w:rsid w:val="00A73844"/>
    <w:rsid w:val="00A76165"/>
    <w:rsid w:val="00A77E6F"/>
    <w:rsid w:val="00A80D20"/>
    <w:rsid w:val="00A83F2E"/>
    <w:rsid w:val="00A84FF4"/>
    <w:rsid w:val="00A8504E"/>
    <w:rsid w:val="00A86EA4"/>
    <w:rsid w:val="00A91A3E"/>
    <w:rsid w:val="00A92139"/>
    <w:rsid w:val="00A92FCE"/>
    <w:rsid w:val="00A95E98"/>
    <w:rsid w:val="00AA01D4"/>
    <w:rsid w:val="00AA2D96"/>
    <w:rsid w:val="00AB0EEC"/>
    <w:rsid w:val="00AB312A"/>
    <w:rsid w:val="00AB5B2F"/>
    <w:rsid w:val="00AB738C"/>
    <w:rsid w:val="00AC1118"/>
    <w:rsid w:val="00AC240E"/>
    <w:rsid w:val="00AC318C"/>
    <w:rsid w:val="00AC3F10"/>
    <w:rsid w:val="00AC42D0"/>
    <w:rsid w:val="00AC5A44"/>
    <w:rsid w:val="00AC66C5"/>
    <w:rsid w:val="00AD619D"/>
    <w:rsid w:val="00AD6AB3"/>
    <w:rsid w:val="00AD6DA0"/>
    <w:rsid w:val="00AD712B"/>
    <w:rsid w:val="00AE0A63"/>
    <w:rsid w:val="00AE1D02"/>
    <w:rsid w:val="00AE1EF8"/>
    <w:rsid w:val="00AE4EBF"/>
    <w:rsid w:val="00AF0B62"/>
    <w:rsid w:val="00B020FB"/>
    <w:rsid w:val="00B0556F"/>
    <w:rsid w:val="00B06A9C"/>
    <w:rsid w:val="00B07B88"/>
    <w:rsid w:val="00B10C1D"/>
    <w:rsid w:val="00B16986"/>
    <w:rsid w:val="00B20A9D"/>
    <w:rsid w:val="00B21437"/>
    <w:rsid w:val="00B2516C"/>
    <w:rsid w:val="00B2587E"/>
    <w:rsid w:val="00B300AD"/>
    <w:rsid w:val="00B3120A"/>
    <w:rsid w:val="00B327D2"/>
    <w:rsid w:val="00B35B22"/>
    <w:rsid w:val="00B36265"/>
    <w:rsid w:val="00B45B74"/>
    <w:rsid w:val="00B53412"/>
    <w:rsid w:val="00B54DC6"/>
    <w:rsid w:val="00B55B57"/>
    <w:rsid w:val="00B567D7"/>
    <w:rsid w:val="00B57693"/>
    <w:rsid w:val="00B61B4E"/>
    <w:rsid w:val="00B63EAD"/>
    <w:rsid w:val="00B70DE9"/>
    <w:rsid w:val="00B74E74"/>
    <w:rsid w:val="00B87192"/>
    <w:rsid w:val="00B873B5"/>
    <w:rsid w:val="00B93260"/>
    <w:rsid w:val="00B93F28"/>
    <w:rsid w:val="00B972CB"/>
    <w:rsid w:val="00BA0FD9"/>
    <w:rsid w:val="00BA40D9"/>
    <w:rsid w:val="00BA75F2"/>
    <w:rsid w:val="00BB0BA8"/>
    <w:rsid w:val="00BB2CA7"/>
    <w:rsid w:val="00BB37A8"/>
    <w:rsid w:val="00BB6206"/>
    <w:rsid w:val="00BC66F9"/>
    <w:rsid w:val="00BC6820"/>
    <w:rsid w:val="00BC6C03"/>
    <w:rsid w:val="00BC6F02"/>
    <w:rsid w:val="00BC6F77"/>
    <w:rsid w:val="00BD1031"/>
    <w:rsid w:val="00BD455D"/>
    <w:rsid w:val="00BE1D81"/>
    <w:rsid w:val="00BE2CD8"/>
    <w:rsid w:val="00BE2E79"/>
    <w:rsid w:val="00BE36D4"/>
    <w:rsid w:val="00BF212F"/>
    <w:rsid w:val="00BF373E"/>
    <w:rsid w:val="00BF43FA"/>
    <w:rsid w:val="00BF62F2"/>
    <w:rsid w:val="00BF652B"/>
    <w:rsid w:val="00C02FA4"/>
    <w:rsid w:val="00C045BB"/>
    <w:rsid w:val="00C06CB9"/>
    <w:rsid w:val="00C12325"/>
    <w:rsid w:val="00C12472"/>
    <w:rsid w:val="00C127E3"/>
    <w:rsid w:val="00C12993"/>
    <w:rsid w:val="00C14194"/>
    <w:rsid w:val="00C1562E"/>
    <w:rsid w:val="00C15C47"/>
    <w:rsid w:val="00C1769E"/>
    <w:rsid w:val="00C20FD7"/>
    <w:rsid w:val="00C21C6A"/>
    <w:rsid w:val="00C226BA"/>
    <w:rsid w:val="00C25D38"/>
    <w:rsid w:val="00C30655"/>
    <w:rsid w:val="00C3203F"/>
    <w:rsid w:val="00C322A8"/>
    <w:rsid w:val="00C342E1"/>
    <w:rsid w:val="00C349B8"/>
    <w:rsid w:val="00C377A0"/>
    <w:rsid w:val="00C40B0E"/>
    <w:rsid w:val="00C40B4E"/>
    <w:rsid w:val="00C40CCE"/>
    <w:rsid w:val="00C41346"/>
    <w:rsid w:val="00C4210A"/>
    <w:rsid w:val="00C43BD6"/>
    <w:rsid w:val="00C45B16"/>
    <w:rsid w:val="00C45EBD"/>
    <w:rsid w:val="00C466DC"/>
    <w:rsid w:val="00C468DC"/>
    <w:rsid w:val="00C47B12"/>
    <w:rsid w:val="00C534CE"/>
    <w:rsid w:val="00C5415C"/>
    <w:rsid w:val="00C541D9"/>
    <w:rsid w:val="00C60313"/>
    <w:rsid w:val="00C62615"/>
    <w:rsid w:val="00C6335B"/>
    <w:rsid w:val="00C63F3D"/>
    <w:rsid w:val="00C645D0"/>
    <w:rsid w:val="00C65119"/>
    <w:rsid w:val="00C67B4F"/>
    <w:rsid w:val="00C71AC0"/>
    <w:rsid w:val="00C72787"/>
    <w:rsid w:val="00C74EDF"/>
    <w:rsid w:val="00C80468"/>
    <w:rsid w:val="00C82335"/>
    <w:rsid w:val="00C82510"/>
    <w:rsid w:val="00C83288"/>
    <w:rsid w:val="00C83A49"/>
    <w:rsid w:val="00C846E1"/>
    <w:rsid w:val="00C85B33"/>
    <w:rsid w:val="00C87F34"/>
    <w:rsid w:val="00C90211"/>
    <w:rsid w:val="00C90783"/>
    <w:rsid w:val="00C95C0B"/>
    <w:rsid w:val="00CA0927"/>
    <w:rsid w:val="00CA0E05"/>
    <w:rsid w:val="00CA4623"/>
    <w:rsid w:val="00CA4B6A"/>
    <w:rsid w:val="00CA54F1"/>
    <w:rsid w:val="00CA7A9C"/>
    <w:rsid w:val="00CB007D"/>
    <w:rsid w:val="00CB0544"/>
    <w:rsid w:val="00CB140F"/>
    <w:rsid w:val="00CB545A"/>
    <w:rsid w:val="00CB7BE6"/>
    <w:rsid w:val="00CC1977"/>
    <w:rsid w:val="00CC1F56"/>
    <w:rsid w:val="00CC2185"/>
    <w:rsid w:val="00CC28DD"/>
    <w:rsid w:val="00CC32D9"/>
    <w:rsid w:val="00CC390A"/>
    <w:rsid w:val="00CC4601"/>
    <w:rsid w:val="00CC75A2"/>
    <w:rsid w:val="00CD2162"/>
    <w:rsid w:val="00CD49EF"/>
    <w:rsid w:val="00CE0348"/>
    <w:rsid w:val="00CE423E"/>
    <w:rsid w:val="00CE67AF"/>
    <w:rsid w:val="00D02747"/>
    <w:rsid w:val="00D029A4"/>
    <w:rsid w:val="00D03FFF"/>
    <w:rsid w:val="00D107B7"/>
    <w:rsid w:val="00D1120B"/>
    <w:rsid w:val="00D11B8A"/>
    <w:rsid w:val="00D14664"/>
    <w:rsid w:val="00D175D4"/>
    <w:rsid w:val="00D21782"/>
    <w:rsid w:val="00D226A0"/>
    <w:rsid w:val="00D27175"/>
    <w:rsid w:val="00D304CE"/>
    <w:rsid w:val="00D3157C"/>
    <w:rsid w:val="00D32626"/>
    <w:rsid w:val="00D33323"/>
    <w:rsid w:val="00D33D96"/>
    <w:rsid w:val="00D35671"/>
    <w:rsid w:val="00D364E5"/>
    <w:rsid w:val="00D37658"/>
    <w:rsid w:val="00D41184"/>
    <w:rsid w:val="00D42666"/>
    <w:rsid w:val="00D428E9"/>
    <w:rsid w:val="00D429FE"/>
    <w:rsid w:val="00D434B3"/>
    <w:rsid w:val="00D47CF4"/>
    <w:rsid w:val="00D517DB"/>
    <w:rsid w:val="00D520F7"/>
    <w:rsid w:val="00D5212F"/>
    <w:rsid w:val="00D52D57"/>
    <w:rsid w:val="00D52EB8"/>
    <w:rsid w:val="00D53012"/>
    <w:rsid w:val="00D543E3"/>
    <w:rsid w:val="00D557FA"/>
    <w:rsid w:val="00D56D8A"/>
    <w:rsid w:val="00D60D81"/>
    <w:rsid w:val="00D6208B"/>
    <w:rsid w:val="00D6323D"/>
    <w:rsid w:val="00D65736"/>
    <w:rsid w:val="00D67916"/>
    <w:rsid w:val="00D70277"/>
    <w:rsid w:val="00D7082A"/>
    <w:rsid w:val="00D76498"/>
    <w:rsid w:val="00D84828"/>
    <w:rsid w:val="00D86780"/>
    <w:rsid w:val="00D86E4E"/>
    <w:rsid w:val="00D878B0"/>
    <w:rsid w:val="00D94156"/>
    <w:rsid w:val="00D94439"/>
    <w:rsid w:val="00DA105E"/>
    <w:rsid w:val="00DA15E3"/>
    <w:rsid w:val="00DB2AE7"/>
    <w:rsid w:val="00DB4813"/>
    <w:rsid w:val="00DB6228"/>
    <w:rsid w:val="00DB6967"/>
    <w:rsid w:val="00DB7A9F"/>
    <w:rsid w:val="00DC5F49"/>
    <w:rsid w:val="00DC77D8"/>
    <w:rsid w:val="00DC7BEC"/>
    <w:rsid w:val="00DE073C"/>
    <w:rsid w:val="00DE16E9"/>
    <w:rsid w:val="00DE4365"/>
    <w:rsid w:val="00DE4C6F"/>
    <w:rsid w:val="00E01B46"/>
    <w:rsid w:val="00E05F95"/>
    <w:rsid w:val="00E06324"/>
    <w:rsid w:val="00E109B2"/>
    <w:rsid w:val="00E11C47"/>
    <w:rsid w:val="00E125EB"/>
    <w:rsid w:val="00E1400B"/>
    <w:rsid w:val="00E15547"/>
    <w:rsid w:val="00E17B51"/>
    <w:rsid w:val="00E2082F"/>
    <w:rsid w:val="00E2249A"/>
    <w:rsid w:val="00E2474A"/>
    <w:rsid w:val="00E271BE"/>
    <w:rsid w:val="00E30C20"/>
    <w:rsid w:val="00E30E91"/>
    <w:rsid w:val="00E30EBB"/>
    <w:rsid w:val="00E32B5E"/>
    <w:rsid w:val="00E33420"/>
    <w:rsid w:val="00E33D2F"/>
    <w:rsid w:val="00E35D4E"/>
    <w:rsid w:val="00E363D3"/>
    <w:rsid w:val="00E41E7A"/>
    <w:rsid w:val="00E4272F"/>
    <w:rsid w:val="00E42FD5"/>
    <w:rsid w:val="00E503CA"/>
    <w:rsid w:val="00E51774"/>
    <w:rsid w:val="00E57717"/>
    <w:rsid w:val="00E6040B"/>
    <w:rsid w:val="00E610C7"/>
    <w:rsid w:val="00E63F8C"/>
    <w:rsid w:val="00E664E3"/>
    <w:rsid w:val="00E66C39"/>
    <w:rsid w:val="00E67AC7"/>
    <w:rsid w:val="00E70CC7"/>
    <w:rsid w:val="00E727B4"/>
    <w:rsid w:val="00E733CB"/>
    <w:rsid w:val="00E758B8"/>
    <w:rsid w:val="00E75A4F"/>
    <w:rsid w:val="00E75D25"/>
    <w:rsid w:val="00E773A0"/>
    <w:rsid w:val="00E77F0E"/>
    <w:rsid w:val="00E82285"/>
    <w:rsid w:val="00E85022"/>
    <w:rsid w:val="00E85235"/>
    <w:rsid w:val="00E91702"/>
    <w:rsid w:val="00E9493D"/>
    <w:rsid w:val="00EA48FC"/>
    <w:rsid w:val="00EA69C3"/>
    <w:rsid w:val="00EB0D59"/>
    <w:rsid w:val="00EB2203"/>
    <w:rsid w:val="00EB3CD1"/>
    <w:rsid w:val="00EB3FD4"/>
    <w:rsid w:val="00EB5501"/>
    <w:rsid w:val="00EB75FE"/>
    <w:rsid w:val="00EC031D"/>
    <w:rsid w:val="00EC2985"/>
    <w:rsid w:val="00EC33B7"/>
    <w:rsid w:val="00EC366B"/>
    <w:rsid w:val="00EC5738"/>
    <w:rsid w:val="00EC5BA4"/>
    <w:rsid w:val="00EC62D7"/>
    <w:rsid w:val="00ED063F"/>
    <w:rsid w:val="00ED7CDD"/>
    <w:rsid w:val="00ED7FF2"/>
    <w:rsid w:val="00EE72CF"/>
    <w:rsid w:val="00EE7F07"/>
    <w:rsid w:val="00EF18F6"/>
    <w:rsid w:val="00EF51B8"/>
    <w:rsid w:val="00EF6E58"/>
    <w:rsid w:val="00F00DC9"/>
    <w:rsid w:val="00F03A6F"/>
    <w:rsid w:val="00F078B5"/>
    <w:rsid w:val="00F12E05"/>
    <w:rsid w:val="00F1540B"/>
    <w:rsid w:val="00F15CE1"/>
    <w:rsid w:val="00F15F42"/>
    <w:rsid w:val="00F1642E"/>
    <w:rsid w:val="00F1677C"/>
    <w:rsid w:val="00F22E84"/>
    <w:rsid w:val="00F24F9C"/>
    <w:rsid w:val="00F30AB9"/>
    <w:rsid w:val="00F30ADA"/>
    <w:rsid w:val="00F361CB"/>
    <w:rsid w:val="00F36F88"/>
    <w:rsid w:val="00F3751F"/>
    <w:rsid w:val="00F448F4"/>
    <w:rsid w:val="00F50CF8"/>
    <w:rsid w:val="00F50FEA"/>
    <w:rsid w:val="00F51A53"/>
    <w:rsid w:val="00F52C04"/>
    <w:rsid w:val="00F53597"/>
    <w:rsid w:val="00F56C74"/>
    <w:rsid w:val="00F57207"/>
    <w:rsid w:val="00F5747F"/>
    <w:rsid w:val="00F606DB"/>
    <w:rsid w:val="00F63A66"/>
    <w:rsid w:val="00F644D9"/>
    <w:rsid w:val="00F64B31"/>
    <w:rsid w:val="00F656A9"/>
    <w:rsid w:val="00F65A75"/>
    <w:rsid w:val="00F66DF8"/>
    <w:rsid w:val="00F67ECF"/>
    <w:rsid w:val="00F70081"/>
    <w:rsid w:val="00F70120"/>
    <w:rsid w:val="00F72138"/>
    <w:rsid w:val="00F72321"/>
    <w:rsid w:val="00F73E58"/>
    <w:rsid w:val="00F74539"/>
    <w:rsid w:val="00F75E34"/>
    <w:rsid w:val="00F80DE2"/>
    <w:rsid w:val="00F8246D"/>
    <w:rsid w:val="00F842CC"/>
    <w:rsid w:val="00F8543D"/>
    <w:rsid w:val="00F86C2F"/>
    <w:rsid w:val="00F9086D"/>
    <w:rsid w:val="00F908C4"/>
    <w:rsid w:val="00F90B56"/>
    <w:rsid w:val="00F9496E"/>
    <w:rsid w:val="00F96741"/>
    <w:rsid w:val="00FA0419"/>
    <w:rsid w:val="00FA211A"/>
    <w:rsid w:val="00FA215F"/>
    <w:rsid w:val="00FA390E"/>
    <w:rsid w:val="00FA3A5D"/>
    <w:rsid w:val="00FA4A3D"/>
    <w:rsid w:val="00FA5054"/>
    <w:rsid w:val="00FA6159"/>
    <w:rsid w:val="00FA6FA2"/>
    <w:rsid w:val="00FB1764"/>
    <w:rsid w:val="00FB2D5E"/>
    <w:rsid w:val="00FB5172"/>
    <w:rsid w:val="00FB664F"/>
    <w:rsid w:val="00FB698D"/>
    <w:rsid w:val="00FC0283"/>
    <w:rsid w:val="00FC076E"/>
    <w:rsid w:val="00FC11EF"/>
    <w:rsid w:val="00FC24B4"/>
    <w:rsid w:val="00FC27A0"/>
    <w:rsid w:val="00FC2B68"/>
    <w:rsid w:val="00FC49E1"/>
    <w:rsid w:val="00FD1537"/>
    <w:rsid w:val="00FD4B91"/>
    <w:rsid w:val="00FD65F4"/>
    <w:rsid w:val="00FD7AFE"/>
    <w:rsid w:val="00FE0ABD"/>
    <w:rsid w:val="00FE0BF8"/>
    <w:rsid w:val="00FE12EB"/>
    <w:rsid w:val="00FE1A58"/>
    <w:rsid w:val="00FE2D4E"/>
    <w:rsid w:val="00FE3AFA"/>
    <w:rsid w:val="00FE6D8D"/>
    <w:rsid w:val="00FE7045"/>
    <w:rsid w:val="00FF362B"/>
    <w:rsid w:val="00FF5F8D"/>
    <w:rsid w:val="01295B51"/>
    <w:rsid w:val="019F7472"/>
    <w:rsid w:val="01F37685"/>
    <w:rsid w:val="021D0A31"/>
    <w:rsid w:val="02512666"/>
    <w:rsid w:val="026076C2"/>
    <w:rsid w:val="02ED03C9"/>
    <w:rsid w:val="03544F93"/>
    <w:rsid w:val="03F607AD"/>
    <w:rsid w:val="05097E4F"/>
    <w:rsid w:val="05D75216"/>
    <w:rsid w:val="08057A5A"/>
    <w:rsid w:val="082603F6"/>
    <w:rsid w:val="08D60932"/>
    <w:rsid w:val="095F690B"/>
    <w:rsid w:val="09F36369"/>
    <w:rsid w:val="0A422001"/>
    <w:rsid w:val="0AF97041"/>
    <w:rsid w:val="0B5120F4"/>
    <w:rsid w:val="0B5C5332"/>
    <w:rsid w:val="0B670C36"/>
    <w:rsid w:val="0BBD34B5"/>
    <w:rsid w:val="0BC76E15"/>
    <w:rsid w:val="0C192996"/>
    <w:rsid w:val="0C726DE1"/>
    <w:rsid w:val="0CE85C83"/>
    <w:rsid w:val="0D4D675A"/>
    <w:rsid w:val="0D6A51E7"/>
    <w:rsid w:val="0D706A8C"/>
    <w:rsid w:val="0DA158CF"/>
    <w:rsid w:val="0DC02ACC"/>
    <w:rsid w:val="0DE52F3D"/>
    <w:rsid w:val="0DF40736"/>
    <w:rsid w:val="0E087302"/>
    <w:rsid w:val="0E467005"/>
    <w:rsid w:val="0E5935E8"/>
    <w:rsid w:val="0E5C065A"/>
    <w:rsid w:val="0E95550D"/>
    <w:rsid w:val="0EAF74F2"/>
    <w:rsid w:val="0EB712F3"/>
    <w:rsid w:val="0EC10829"/>
    <w:rsid w:val="0EC66D9E"/>
    <w:rsid w:val="0FB51E18"/>
    <w:rsid w:val="0FBD1D31"/>
    <w:rsid w:val="1025415A"/>
    <w:rsid w:val="103E459E"/>
    <w:rsid w:val="106E7982"/>
    <w:rsid w:val="10F90CDB"/>
    <w:rsid w:val="11560662"/>
    <w:rsid w:val="119005E6"/>
    <w:rsid w:val="122818C5"/>
    <w:rsid w:val="134F75DC"/>
    <w:rsid w:val="13A31C6C"/>
    <w:rsid w:val="14057954"/>
    <w:rsid w:val="141F2BB8"/>
    <w:rsid w:val="14B13E06"/>
    <w:rsid w:val="14C8300A"/>
    <w:rsid w:val="14D02784"/>
    <w:rsid w:val="15126879"/>
    <w:rsid w:val="151429BA"/>
    <w:rsid w:val="15351FDD"/>
    <w:rsid w:val="156B12DC"/>
    <w:rsid w:val="167101BC"/>
    <w:rsid w:val="16C52E71"/>
    <w:rsid w:val="16E52514"/>
    <w:rsid w:val="16F5263F"/>
    <w:rsid w:val="16FA7CA6"/>
    <w:rsid w:val="182716B9"/>
    <w:rsid w:val="18E84DF2"/>
    <w:rsid w:val="1A821473"/>
    <w:rsid w:val="1B7C140E"/>
    <w:rsid w:val="1DB23C8B"/>
    <w:rsid w:val="1DF54FD5"/>
    <w:rsid w:val="1F3C07EF"/>
    <w:rsid w:val="1FEF4FE6"/>
    <w:rsid w:val="1FF51002"/>
    <w:rsid w:val="200B35B9"/>
    <w:rsid w:val="20AA5A04"/>
    <w:rsid w:val="20D43CCC"/>
    <w:rsid w:val="20D86C9F"/>
    <w:rsid w:val="21693ADA"/>
    <w:rsid w:val="21912EA5"/>
    <w:rsid w:val="21923936"/>
    <w:rsid w:val="225F5AA9"/>
    <w:rsid w:val="22786B5D"/>
    <w:rsid w:val="245103DE"/>
    <w:rsid w:val="25A36113"/>
    <w:rsid w:val="25DC10B1"/>
    <w:rsid w:val="26DFD2B7"/>
    <w:rsid w:val="27027879"/>
    <w:rsid w:val="28324905"/>
    <w:rsid w:val="289406E2"/>
    <w:rsid w:val="28A56626"/>
    <w:rsid w:val="28C707A9"/>
    <w:rsid w:val="28E55678"/>
    <w:rsid w:val="297162B9"/>
    <w:rsid w:val="29B16CB0"/>
    <w:rsid w:val="29F30A01"/>
    <w:rsid w:val="2A215643"/>
    <w:rsid w:val="2A282887"/>
    <w:rsid w:val="2A983DED"/>
    <w:rsid w:val="2AB816D3"/>
    <w:rsid w:val="2AE12FF4"/>
    <w:rsid w:val="2B1C189B"/>
    <w:rsid w:val="2B331A1C"/>
    <w:rsid w:val="2BCC30F7"/>
    <w:rsid w:val="2C286EC2"/>
    <w:rsid w:val="2C4A2BDB"/>
    <w:rsid w:val="2CCB4AF9"/>
    <w:rsid w:val="2CD81EA7"/>
    <w:rsid w:val="2D087B88"/>
    <w:rsid w:val="2D0C07DF"/>
    <w:rsid w:val="2D516D18"/>
    <w:rsid w:val="2D575D26"/>
    <w:rsid w:val="2E4B35A2"/>
    <w:rsid w:val="2E550FF1"/>
    <w:rsid w:val="2EA1576A"/>
    <w:rsid w:val="2F1E2FC7"/>
    <w:rsid w:val="2F5D86C9"/>
    <w:rsid w:val="2FFA4D14"/>
    <w:rsid w:val="306847AE"/>
    <w:rsid w:val="31036A33"/>
    <w:rsid w:val="310476ED"/>
    <w:rsid w:val="315356A2"/>
    <w:rsid w:val="31882664"/>
    <w:rsid w:val="322002DD"/>
    <w:rsid w:val="344B0FEE"/>
    <w:rsid w:val="345B3EFC"/>
    <w:rsid w:val="34AE2066"/>
    <w:rsid w:val="34D87802"/>
    <w:rsid w:val="350D0C42"/>
    <w:rsid w:val="350D3B23"/>
    <w:rsid w:val="358E73B8"/>
    <w:rsid w:val="35AA4ACD"/>
    <w:rsid w:val="363675DE"/>
    <w:rsid w:val="364F109D"/>
    <w:rsid w:val="36E309B3"/>
    <w:rsid w:val="36EB57D1"/>
    <w:rsid w:val="36F33093"/>
    <w:rsid w:val="37405446"/>
    <w:rsid w:val="374E43A0"/>
    <w:rsid w:val="377FD751"/>
    <w:rsid w:val="37BD0431"/>
    <w:rsid w:val="37CC6E4F"/>
    <w:rsid w:val="37ED5336"/>
    <w:rsid w:val="38011941"/>
    <w:rsid w:val="380A11C8"/>
    <w:rsid w:val="3818153F"/>
    <w:rsid w:val="38485A4B"/>
    <w:rsid w:val="385E0B43"/>
    <w:rsid w:val="38A8411D"/>
    <w:rsid w:val="390A4563"/>
    <w:rsid w:val="39CD505D"/>
    <w:rsid w:val="39FB592A"/>
    <w:rsid w:val="3A305B92"/>
    <w:rsid w:val="3A9026A1"/>
    <w:rsid w:val="3B89766A"/>
    <w:rsid w:val="3BB3118E"/>
    <w:rsid w:val="3BF30A69"/>
    <w:rsid w:val="3BF43404"/>
    <w:rsid w:val="3C312507"/>
    <w:rsid w:val="3C5B2BF6"/>
    <w:rsid w:val="3C821C6F"/>
    <w:rsid w:val="3CA80C67"/>
    <w:rsid w:val="3E8A40C6"/>
    <w:rsid w:val="3F8D6A60"/>
    <w:rsid w:val="3FF64E7A"/>
    <w:rsid w:val="41535978"/>
    <w:rsid w:val="421F75A4"/>
    <w:rsid w:val="425125A4"/>
    <w:rsid w:val="425B2DC4"/>
    <w:rsid w:val="425E348A"/>
    <w:rsid w:val="43D84F35"/>
    <w:rsid w:val="440E56A0"/>
    <w:rsid w:val="44A02C93"/>
    <w:rsid w:val="44AB6CB7"/>
    <w:rsid w:val="45BD2587"/>
    <w:rsid w:val="45E91D27"/>
    <w:rsid w:val="47045BFA"/>
    <w:rsid w:val="47FB89E9"/>
    <w:rsid w:val="485B7D62"/>
    <w:rsid w:val="48B672F5"/>
    <w:rsid w:val="48D161BE"/>
    <w:rsid w:val="490714E3"/>
    <w:rsid w:val="49E94869"/>
    <w:rsid w:val="4A211A6D"/>
    <w:rsid w:val="4AD2369D"/>
    <w:rsid w:val="4AF864E8"/>
    <w:rsid w:val="4B277059"/>
    <w:rsid w:val="4B485858"/>
    <w:rsid w:val="4B614187"/>
    <w:rsid w:val="4C000B94"/>
    <w:rsid w:val="4C2C6EC5"/>
    <w:rsid w:val="4C8670D9"/>
    <w:rsid w:val="4C981FB8"/>
    <w:rsid w:val="4D2C63CD"/>
    <w:rsid w:val="4DB34E33"/>
    <w:rsid w:val="4E8A612C"/>
    <w:rsid w:val="4F172905"/>
    <w:rsid w:val="4F557A83"/>
    <w:rsid w:val="4F885CEB"/>
    <w:rsid w:val="502A2F08"/>
    <w:rsid w:val="50406E4E"/>
    <w:rsid w:val="51465B86"/>
    <w:rsid w:val="516960CC"/>
    <w:rsid w:val="517F1F96"/>
    <w:rsid w:val="5235570C"/>
    <w:rsid w:val="53304295"/>
    <w:rsid w:val="53F73779"/>
    <w:rsid w:val="5449480B"/>
    <w:rsid w:val="54B57697"/>
    <w:rsid w:val="54C47110"/>
    <w:rsid w:val="569A78CF"/>
    <w:rsid w:val="578775D4"/>
    <w:rsid w:val="57B34775"/>
    <w:rsid w:val="57CB09C0"/>
    <w:rsid w:val="57F07E88"/>
    <w:rsid w:val="57F34266"/>
    <w:rsid w:val="58BB684A"/>
    <w:rsid w:val="590B7C5F"/>
    <w:rsid w:val="5A32415D"/>
    <w:rsid w:val="5AB441AC"/>
    <w:rsid w:val="5AC17932"/>
    <w:rsid w:val="5AE66FE3"/>
    <w:rsid w:val="5BCA39C3"/>
    <w:rsid w:val="5BD43965"/>
    <w:rsid w:val="5BDC31D7"/>
    <w:rsid w:val="5BF70F53"/>
    <w:rsid w:val="5BF9320A"/>
    <w:rsid w:val="5C2A604B"/>
    <w:rsid w:val="5C857487"/>
    <w:rsid w:val="5D7C44A6"/>
    <w:rsid w:val="5E193160"/>
    <w:rsid w:val="5E88747F"/>
    <w:rsid w:val="5E94525B"/>
    <w:rsid w:val="5EF003DA"/>
    <w:rsid w:val="5EFF2D80"/>
    <w:rsid w:val="5F7C6877"/>
    <w:rsid w:val="60574CEF"/>
    <w:rsid w:val="60D37950"/>
    <w:rsid w:val="613A7416"/>
    <w:rsid w:val="61987E77"/>
    <w:rsid w:val="61C579C1"/>
    <w:rsid w:val="62353290"/>
    <w:rsid w:val="62EE2739"/>
    <w:rsid w:val="639E52DB"/>
    <w:rsid w:val="63E543CF"/>
    <w:rsid w:val="63EC08F9"/>
    <w:rsid w:val="63F2580D"/>
    <w:rsid w:val="642C250E"/>
    <w:rsid w:val="643839B5"/>
    <w:rsid w:val="647E1E99"/>
    <w:rsid w:val="649607F0"/>
    <w:rsid w:val="64B22597"/>
    <w:rsid w:val="64BF6DED"/>
    <w:rsid w:val="6502797D"/>
    <w:rsid w:val="659F203C"/>
    <w:rsid w:val="65EF12F6"/>
    <w:rsid w:val="667B3089"/>
    <w:rsid w:val="67125407"/>
    <w:rsid w:val="6780039A"/>
    <w:rsid w:val="67824A12"/>
    <w:rsid w:val="67832EF6"/>
    <w:rsid w:val="678A5FCA"/>
    <w:rsid w:val="67FA3486"/>
    <w:rsid w:val="68146A3F"/>
    <w:rsid w:val="68C01144"/>
    <w:rsid w:val="691A5502"/>
    <w:rsid w:val="6A100FD1"/>
    <w:rsid w:val="6B2E1807"/>
    <w:rsid w:val="6B505657"/>
    <w:rsid w:val="6B851FF7"/>
    <w:rsid w:val="6BE141F3"/>
    <w:rsid w:val="6CEC000A"/>
    <w:rsid w:val="6D516D25"/>
    <w:rsid w:val="6D716B35"/>
    <w:rsid w:val="6DFE24BB"/>
    <w:rsid w:val="6E9311AE"/>
    <w:rsid w:val="6E933C40"/>
    <w:rsid w:val="6EAE1559"/>
    <w:rsid w:val="6EE104BA"/>
    <w:rsid w:val="6EFC5484"/>
    <w:rsid w:val="6F061516"/>
    <w:rsid w:val="6F513E19"/>
    <w:rsid w:val="6F7ED4B6"/>
    <w:rsid w:val="6FC02188"/>
    <w:rsid w:val="6FE46603"/>
    <w:rsid w:val="6FFB12AF"/>
    <w:rsid w:val="703C4491"/>
    <w:rsid w:val="708D7E89"/>
    <w:rsid w:val="709637C1"/>
    <w:rsid w:val="716D761B"/>
    <w:rsid w:val="71A76928"/>
    <w:rsid w:val="72D3722F"/>
    <w:rsid w:val="731F1983"/>
    <w:rsid w:val="733EA6F1"/>
    <w:rsid w:val="739E7073"/>
    <w:rsid w:val="744D64A9"/>
    <w:rsid w:val="74A206D3"/>
    <w:rsid w:val="756A0A3D"/>
    <w:rsid w:val="75922929"/>
    <w:rsid w:val="763444AF"/>
    <w:rsid w:val="7709607D"/>
    <w:rsid w:val="77445D2C"/>
    <w:rsid w:val="78877820"/>
    <w:rsid w:val="78E70A2D"/>
    <w:rsid w:val="79331D62"/>
    <w:rsid w:val="796061A5"/>
    <w:rsid w:val="7A635A80"/>
    <w:rsid w:val="7AFD91F8"/>
    <w:rsid w:val="7B0A1790"/>
    <w:rsid w:val="7BB8788F"/>
    <w:rsid w:val="7C3005DF"/>
    <w:rsid w:val="7C71247C"/>
    <w:rsid w:val="7CE22776"/>
    <w:rsid w:val="7D04082D"/>
    <w:rsid w:val="7D471B43"/>
    <w:rsid w:val="7D7FDCB6"/>
    <w:rsid w:val="7EB3493A"/>
    <w:rsid w:val="7EDF4DC2"/>
    <w:rsid w:val="7EE4243A"/>
    <w:rsid w:val="7EFA151F"/>
    <w:rsid w:val="7F7D2854"/>
    <w:rsid w:val="ADFF8890"/>
    <w:rsid w:val="BEFF496D"/>
    <w:rsid w:val="D5AFEF03"/>
    <w:rsid w:val="EACC5F50"/>
    <w:rsid w:val="EFEB2985"/>
    <w:rsid w:val="EFFFB267"/>
    <w:rsid w:val="FBE6BB31"/>
    <w:rsid w:val="FFFF31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Times New Roman" w:eastAsia="仿宋" w:cs="Times New Roman"/>
      <w:kern w:val="30"/>
      <w:sz w:val="30"/>
      <w:szCs w:val="21"/>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qFormat/>
    <w:uiPriority w:val="99"/>
    <w:pPr>
      <w:keepNext/>
      <w:keepLines/>
      <w:spacing w:before="260" w:after="260" w:line="416" w:lineRule="auto"/>
      <w:outlineLvl w:val="1"/>
    </w:pPr>
    <w:rPr>
      <w:rFonts w:ascii="Cambria" w:hAnsi="Cambria"/>
      <w:b/>
      <w:bCs/>
      <w:kern w:val="0"/>
      <w:sz w:val="32"/>
      <w:szCs w:val="32"/>
    </w:rPr>
  </w:style>
  <w:style w:type="paragraph" w:styleId="6">
    <w:name w:val="heading 3"/>
    <w:basedOn w:val="1"/>
    <w:next w:val="1"/>
    <w:link w:val="28"/>
    <w:qFormat/>
    <w:uiPriority w:val="99"/>
    <w:pPr>
      <w:keepNext/>
      <w:keepLines/>
      <w:spacing w:before="260" w:after="260" w:line="416" w:lineRule="auto"/>
      <w:outlineLvl w:val="2"/>
    </w:pPr>
    <w:rPr>
      <w:b/>
      <w:bCs/>
      <w:kern w:val="0"/>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
    <w:name w:val="正文1"/>
    <w:qFormat/>
    <w:uiPriority w:val="0"/>
    <w:pPr>
      <w:jc w:val="both"/>
    </w:pPr>
    <w:rPr>
      <w:rFonts w:ascii="Calibri" w:hAnsi="Calibri" w:eastAsia="宋体" w:cs="Times New Roman"/>
      <w:sz w:val="32"/>
      <w:szCs w:val="32"/>
      <w:lang w:val="en-US" w:eastAsia="zh-CN" w:bidi="ar-SA"/>
    </w:rPr>
  </w:style>
  <w:style w:type="paragraph" w:styleId="7">
    <w:name w:val="caption"/>
    <w:basedOn w:val="1"/>
    <w:next w:val="1"/>
    <w:qFormat/>
    <w:uiPriority w:val="0"/>
    <w:pPr>
      <w:spacing w:before="152" w:after="160"/>
    </w:pPr>
    <w:rPr>
      <w:rFonts w:ascii="Arial" w:hAnsi="Arial" w:eastAsia="黑体" w:cs="Arial"/>
      <w:sz w:val="20"/>
    </w:rPr>
  </w:style>
  <w:style w:type="paragraph" w:styleId="8">
    <w:name w:val="Document Map"/>
    <w:basedOn w:val="1"/>
    <w:link w:val="34"/>
    <w:unhideWhenUsed/>
    <w:qFormat/>
    <w:uiPriority w:val="99"/>
    <w:rPr>
      <w:rFonts w:ascii="宋体"/>
      <w:sz w:val="18"/>
      <w:szCs w:val="18"/>
    </w:rPr>
  </w:style>
  <w:style w:type="paragraph" w:styleId="9">
    <w:name w:val="annotation text"/>
    <w:basedOn w:val="1"/>
    <w:link w:val="32"/>
    <w:unhideWhenUsed/>
    <w:qFormat/>
    <w:uiPriority w:val="99"/>
    <w:pPr>
      <w:jc w:val="left"/>
    </w:pPr>
  </w:style>
  <w:style w:type="paragraph" w:styleId="10">
    <w:name w:val="Body Text"/>
    <w:basedOn w:val="1"/>
    <w:next w:val="11"/>
    <w:link w:val="39"/>
    <w:qFormat/>
    <w:uiPriority w:val="1"/>
    <w:pPr>
      <w:ind w:left="119"/>
      <w:jc w:val="left"/>
    </w:pPr>
    <w:rPr>
      <w:rFonts w:ascii="仿宋_GB2312" w:hAnsi="仿宋_GB2312" w:eastAsia="仿宋_GB2312" w:cstheme="minorBidi"/>
      <w:kern w:val="0"/>
      <w:szCs w:val="30"/>
      <w:lang w:eastAsia="en-US"/>
    </w:rPr>
  </w:style>
  <w:style w:type="paragraph" w:styleId="11">
    <w:name w:val="toc 5"/>
    <w:basedOn w:val="1"/>
    <w:next w:val="1"/>
    <w:qFormat/>
    <w:uiPriority w:val="0"/>
    <w:pPr>
      <w:ind w:left="1680" w:leftChars="800"/>
    </w:pPr>
  </w:style>
  <w:style w:type="paragraph" w:styleId="12">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3">
    <w:name w:val="Balloon Text"/>
    <w:basedOn w:val="1"/>
    <w:link w:val="31"/>
    <w:unhideWhenUsed/>
    <w:qFormat/>
    <w:uiPriority w:val="99"/>
    <w:rPr>
      <w:sz w:val="18"/>
      <w:szCs w:val="18"/>
    </w:rPr>
  </w:style>
  <w:style w:type="paragraph" w:styleId="14">
    <w:name w:val="footer"/>
    <w:basedOn w:val="1"/>
    <w:link w:val="3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toc 1"/>
    <w:basedOn w:val="1"/>
    <w:next w:val="1"/>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7">
    <w:name w:val="toc 2"/>
    <w:basedOn w:val="1"/>
    <w:next w:val="1"/>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9">
    <w:name w:val="annotation subject"/>
    <w:basedOn w:val="9"/>
    <w:next w:val="9"/>
    <w:link w:val="33"/>
    <w:unhideWhenUsed/>
    <w:qFormat/>
    <w:uiPriority w:val="99"/>
    <w:rPr>
      <w:b/>
      <w:bCs/>
    </w:rPr>
  </w:style>
  <w:style w:type="table" w:styleId="21">
    <w:name w:val="Table Grid"/>
    <w:basedOn w:val="20"/>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page number"/>
    <w:basedOn w:val="22"/>
    <w:qFormat/>
    <w:uiPriority w:val="0"/>
  </w:style>
  <w:style w:type="character" w:styleId="24">
    <w:name w:val="Hyperlink"/>
    <w:basedOn w:val="22"/>
    <w:unhideWhenUsed/>
    <w:qFormat/>
    <w:uiPriority w:val="99"/>
    <w:rPr>
      <w:color w:val="0000FF" w:themeColor="hyperlink"/>
      <w:u w:val="single"/>
      <w14:textFill>
        <w14:solidFill>
          <w14:schemeClr w14:val="hlink"/>
        </w14:solidFill>
      </w14:textFill>
    </w:rPr>
  </w:style>
  <w:style w:type="character" w:styleId="25">
    <w:name w:val="annotation reference"/>
    <w:basedOn w:val="22"/>
    <w:unhideWhenUsed/>
    <w:qFormat/>
    <w:uiPriority w:val="99"/>
    <w:rPr>
      <w:sz w:val="21"/>
      <w:szCs w:val="21"/>
    </w:rPr>
  </w:style>
  <w:style w:type="character" w:customStyle="1" w:styleId="26">
    <w:name w:val="标题 1 字符"/>
    <w:basedOn w:val="22"/>
    <w:link w:val="4"/>
    <w:qFormat/>
    <w:uiPriority w:val="9"/>
    <w:rPr>
      <w:rFonts w:ascii="Times New Roman" w:hAnsi="Times New Roman" w:eastAsia="宋体" w:cs="Times New Roman"/>
      <w:b/>
      <w:bCs/>
      <w:kern w:val="44"/>
      <w:sz w:val="44"/>
      <w:szCs w:val="44"/>
    </w:rPr>
  </w:style>
  <w:style w:type="character" w:customStyle="1" w:styleId="27">
    <w:name w:val="标题 2 字符"/>
    <w:basedOn w:val="22"/>
    <w:link w:val="5"/>
    <w:qFormat/>
    <w:uiPriority w:val="99"/>
    <w:rPr>
      <w:rFonts w:ascii="Cambria" w:hAnsi="Cambria" w:eastAsia="宋体" w:cs="Times New Roman"/>
      <w:b/>
      <w:bCs/>
      <w:kern w:val="0"/>
      <w:sz w:val="32"/>
      <w:szCs w:val="32"/>
    </w:rPr>
  </w:style>
  <w:style w:type="character" w:customStyle="1" w:styleId="28">
    <w:name w:val="标题 3 字符"/>
    <w:basedOn w:val="22"/>
    <w:link w:val="6"/>
    <w:qFormat/>
    <w:uiPriority w:val="99"/>
    <w:rPr>
      <w:rFonts w:ascii="Times New Roman" w:hAnsi="Times New Roman" w:eastAsia="宋体" w:cs="Times New Roman"/>
      <w:b/>
      <w:bCs/>
      <w:kern w:val="0"/>
      <w:sz w:val="32"/>
      <w:szCs w:val="32"/>
    </w:rPr>
  </w:style>
  <w:style w:type="character" w:customStyle="1" w:styleId="29">
    <w:name w:val="页眉 字符"/>
    <w:basedOn w:val="22"/>
    <w:link w:val="15"/>
    <w:qFormat/>
    <w:uiPriority w:val="99"/>
    <w:rPr>
      <w:sz w:val="18"/>
      <w:szCs w:val="18"/>
    </w:rPr>
  </w:style>
  <w:style w:type="character" w:customStyle="1" w:styleId="30">
    <w:name w:val="页脚 字符"/>
    <w:basedOn w:val="22"/>
    <w:link w:val="14"/>
    <w:qFormat/>
    <w:uiPriority w:val="0"/>
    <w:rPr>
      <w:sz w:val="18"/>
      <w:szCs w:val="18"/>
    </w:rPr>
  </w:style>
  <w:style w:type="character" w:customStyle="1" w:styleId="31">
    <w:name w:val="批注框文本 字符"/>
    <w:basedOn w:val="22"/>
    <w:link w:val="13"/>
    <w:semiHidden/>
    <w:qFormat/>
    <w:uiPriority w:val="99"/>
    <w:rPr>
      <w:rFonts w:ascii="Times New Roman" w:hAnsi="Times New Roman" w:eastAsia="宋体" w:cs="Times New Roman"/>
      <w:sz w:val="18"/>
      <w:szCs w:val="18"/>
    </w:rPr>
  </w:style>
  <w:style w:type="character" w:customStyle="1" w:styleId="32">
    <w:name w:val="批注文字 字符"/>
    <w:basedOn w:val="22"/>
    <w:link w:val="9"/>
    <w:qFormat/>
    <w:uiPriority w:val="99"/>
    <w:rPr>
      <w:rFonts w:ascii="Times New Roman" w:hAnsi="Times New Roman" w:eastAsia="宋体" w:cs="Times New Roman"/>
      <w:szCs w:val="21"/>
    </w:rPr>
  </w:style>
  <w:style w:type="character" w:customStyle="1" w:styleId="33">
    <w:name w:val="批注主题 字符"/>
    <w:basedOn w:val="32"/>
    <w:link w:val="19"/>
    <w:semiHidden/>
    <w:qFormat/>
    <w:uiPriority w:val="99"/>
    <w:rPr>
      <w:rFonts w:ascii="Times New Roman" w:hAnsi="Times New Roman" w:eastAsia="宋体" w:cs="Times New Roman"/>
      <w:b/>
      <w:bCs/>
      <w:szCs w:val="21"/>
    </w:rPr>
  </w:style>
  <w:style w:type="character" w:customStyle="1" w:styleId="34">
    <w:name w:val="文档结构图 字符"/>
    <w:basedOn w:val="22"/>
    <w:link w:val="8"/>
    <w:semiHidden/>
    <w:qFormat/>
    <w:uiPriority w:val="99"/>
    <w:rPr>
      <w:rFonts w:ascii="宋体" w:hAnsi="Times New Roman" w:eastAsia="宋体" w:cs="Times New Roman"/>
      <w:sz w:val="18"/>
      <w:szCs w:val="18"/>
    </w:rPr>
  </w:style>
  <w:style w:type="paragraph" w:customStyle="1" w:styleId="35">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6">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37">
    <w:name w:val="页码 New New"/>
    <w:basedOn w:val="22"/>
    <w:qFormat/>
    <w:uiPriority w:val="0"/>
  </w:style>
  <w:style w:type="paragraph" w:customStyle="1" w:styleId="38">
    <w:name w:val="列表段落1"/>
    <w:basedOn w:val="1"/>
    <w:qFormat/>
    <w:uiPriority w:val="34"/>
    <w:pPr>
      <w:ind w:firstLine="420" w:firstLineChars="200"/>
    </w:pPr>
  </w:style>
  <w:style w:type="character" w:customStyle="1" w:styleId="39">
    <w:name w:val="正文文本 字符"/>
    <w:basedOn w:val="22"/>
    <w:link w:val="10"/>
    <w:qFormat/>
    <w:uiPriority w:val="1"/>
    <w:rPr>
      <w:rFonts w:ascii="仿宋_GB2312" w:hAnsi="仿宋_GB2312" w:eastAsia="仿宋_GB2312"/>
      <w:kern w:val="0"/>
      <w:sz w:val="30"/>
      <w:szCs w:val="30"/>
      <w:lang w:eastAsia="en-US"/>
    </w:rPr>
  </w:style>
  <w:style w:type="character" w:customStyle="1" w:styleId="40">
    <w:name w:val="未处理的提及1"/>
    <w:basedOn w:val="22"/>
    <w:unhideWhenUsed/>
    <w:qFormat/>
    <w:uiPriority w:val="99"/>
    <w:rPr>
      <w:color w:val="605E5C"/>
      <w:shd w:val="clear" w:color="auto" w:fill="E1DFDD"/>
    </w:rPr>
  </w:style>
  <w:style w:type="character" w:customStyle="1" w:styleId="41">
    <w:name w:val="占位符文本1"/>
    <w:basedOn w:val="22"/>
    <w:semiHidden/>
    <w:qFormat/>
    <w:uiPriority w:val="99"/>
    <w:rPr>
      <w:color w:val="808080"/>
    </w:rPr>
  </w:style>
  <w:style w:type="character" w:customStyle="1" w:styleId="42">
    <w:name w:val="font21"/>
    <w:basedOn w:val="22"/>
    <w:qFormat/>
    <w:uiPriority w:val="0"/>
    <w:rPr>
      <w:rFonts w:hint="default" w:ascii="Times New Roman" w:hAnsi="Times New Roman" w:cs="Times New Roman"/>
      <w:color w:val="000000"/>
      <w:sz w:val="20"/>
      <w:szCs w:val="20"/>
      <w:u w:val="none"/>
    </w:rPr>
  </w:style>
  <w:style w:type="character" w:customStyle="1" w:styleId="43">
    <w:name w:val="font41"/>
    <w:basedOn w:val="22"/>
    <w:qFormat/>
    <w:uiPriority w:val="0"/>
    <w:rPr>
      <w:rFonts w:hint="eastAsia" w:ascii="宋体" w:hAnsi="宋体" w:eastAsia="宋体" w:cs="宋体"/>
      <w:color w:val="000000"/>
      <w:sz w:val="20"/>
      <w:szCs w:val="20"/>
      <w:u w:val="none"/>
    </w:rPr>
  </w:style>
  <w:style w:type="character" w:customStyle="1" w:styleId="44">
    <w:name w:val="font31"/>
    <w:basedOn w:val="22"/>
    <w:qFormat/>
    <w:uiPriority w:val="0"/>
    <w:rPr>
      <w:rFonts w:hint="eastAsia" w:ascii="宋体" w:hAnsi="宋体" w:eastAsia="宋体" w:cs="宋体"/>
      <w:color w:val="000000"/>
      <w:sz w:val="20"/>
      <w:szCs w:val="20"/>
      <w:u w:val="none"/>
    </w:rPr>
  </w:style>
  <w:style w:type="character" w:customStyle="1" w:styleId="45">
    <w:name w:val="font11"/>
    <w:basedOn w:val="22"/>
    <w:qFormat/>
    <w:uiPriority w:val="0"/>
    <w:rPr>
      <w:rFonts w:hint="eastAsia" w:ascii="宋体" w:hAnsi="宋体" w:eastAsia="宋体" w:cs="宋体"/>
      <w:color w:val="000000"/>
      <w:sz w:val="20"/>
      <w:szCs w:val="20"/>
      <w:u w:val="none"/>
    </w:rPr>
  </w:style>
  <w:style w:type="paragraph" w:customStyle="1" w:styleId="46">
    <w:name w:val="实施方案正文"/>
    <w:basedOn w:val="1"/>
    <w:qFormat/>
    <w:uiPriority w:val="0"/>
    <w:pPr>
      <w:ind w:firstLine="566" w:firstLineChars="202"/>
    </w:pPr>
    <w:rPr>
      <w:rFonts w:ascii="Calibri" w:hAnsi="Calibri" w:eastAsia="宋体" w:cs="Times New Roman"/>
      <w:sz w:val="21"/>
    </w:rPr>
  </w:style>
  <w:style w:type="character" w:customStyle="1" w:styleId="47">
    <w:name w:val="font01"/>
    <w:basedOn w:val="22"/>
    <w:qFormat/>
    <w:uiPriority w:val="0"/>
    <w:rPr>
      <w:rFonts w:hint="eastAsia" w:ascii="仿宋" w:hAnsi="仿宋" w:eastAsia="仿宋" w:cs="仿宋"/>
      <w:b/>
      <w:bCs/>
      <w:color w:val="000000"/>
      <w:sz w:val="21"/>
      <w:szCs w:val="21"/>
      <w:u w:val="none"/>
    </w:rPr>
  </w:style>
  <w:style w:type="character" w:customStyle="1" w:styleId="48">
    <w:name w:val="公文正文"/>
    <w:basedOn w:val="49"/>
    <w:qFormat/>
    <w:uiPriority w:val="0"/>
    <w:rPr>
      <w:rFonts w:eastAsia="仿宋_GB2312"/>
      <w:sz w:val="32"/>
    </w:rPr>
  </w:style>
  <w:style w:type="character" w:customStyle="1" w:styleId="49">
    <w:name w:val="默认段落字体1"/>
    <w:qFormat/>
    <w:uiPriority w:val="0"/>
  </w:style>
  <w:style w:type="paragraph" w:customStyle="1" w:styleId="5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11517</Words>
  <Characters>12354</Characters>
  <Lines>167</Lines>
  <Paragraphs>47</Paragraphs>
  <TotalTime>0</TotalTime>
  <ScaleCrop>false</ScaleCrop>
  <LinksUpToDate>false</LinksUpToDate>
  <CharactersWithSpaces>12444</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2017-11-02T23:15:00Z</dcterms:created>
  <cp:lastPrinted>2024-05-11T00:20:00Z</cp:lastPrinted>
  <dcterms:modified xsi:type="dcterms:W3CDTF">2025-12-08T11:26:50Z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AAEC5A3D7289A51E6263006917424B32_43</vt:lpwstr>
  </property>
</Properties>
</file>