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4D6C8">
      <w:pPr>
        <w:spacing w:line="590" w:lineRule="exact"/>
        <w:jc w:val="center"/>
        <w:rPr>
          <w:rFonts w:ascii="方正小标宋简体" w:hAnsi="黑体" w:eastAsia="方正小标宋简体" w:cs="宋体+FPEF"/>
          <w:color w:val="0000FF"/>
          <w:spacing w:val="6"/>
          <w:kern w:val="0"/>
          <w:sz w:val="40"/>
          <w:szCs w:val="40"/>
        </w:rPr>
      </w:pPr>
      <w:r>
        <w:rPr>
          <w:rFonts w:asciiTheme="majorEastAsia" w:hAnsiTheme="majorEastAsia" w:eastAsiaTheme="majorEastAsia" w:cstheme="majorEastAsia"/>
          <w:b/>
          <w:bCs/>
          <w:sz w:val="36"/>
          <w:szCs w:val="36"/>
          <w:lang w:val="zh-CN"/>
        </w:rPr>
        <w:tab/>
      </w:r>
    </w:p>
    <w:p w14:paraId="6BB6353C">
      <w:pPr>
        <w:spacing w:line="590" w:lineRule="exact"/>
        <w:jc w:val="center"/>
        <w:rPr>
          <w:rFonts w:ascii="方正小标宋简体" w:hAnsi="方正小标宋简体" w:eastAsia="方正小标宋简体" w:cs="方正小标宋简体"/>
          <w:spacing w:val="6"/>
          <w:kern w:val="0"/>
          <w:sz w:val="40"/>
          <w:szCs w:val="40"/>
        </w:rPr>
      </w:pPr>
    </w:p>
    <w:p w14:paraId="5BA39D2C">
      <w:pPr>
        <w:spacing w:line="590" w:lineRule="exact"/>
        <w:jc w:val="center"/>
        <w:rPr>
          <w:rFonts w:ascii="方正小标宋简体" w:hAnsi="方正小标宋简体" w:eastAsia="方正小标宋简体" w:cs="方正小标宋简体"/>
          <w:spacing w:val="6"/>
          <w:kern w:val="0"/>
          <w:sz w:val="40"/>
          <w:szCs w:val="40"/>
        </w:rPr>
      </w:pPr>
    </w:p>
    <w:p w14:paraId="367D2814">
      <w:pPr>
        <w:spacing w:line="590" w:lineRule="exact"/>
        <w:jc w:val="center"/>
        <w:rPr>
          <w:rFonts w:hint="default"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2024年金碧广场办综合整治管理经费项目支出</w:t>
      </w:r>
    </w:p>
    <w:p w14:paraId="3AF8F3E0">
      <w:pPr>
        <w:spacing w:line="590" w:lineRule="exact"/>
        <w:jc w:val="center"/>
        <w:rPr>
          <w:rFonts w:ascii="方正小标宋简体" w:hAnsi="方正小标宋简体" w:eastAsia="方正小标宋简体" w:cs="方正小标宋简体"/>
          <w:spacing w:val="6"/>
          <w:kern w:val="0"/>
          <w:sz w:val="40"/>
          <w:szCs w:val="40"/>
        </w:rPr>
      </w:pPr>
    </w:p>
    <w:p w14:paraId="3EEBFAFA">
      <w:pPr>
        <w:jc w:val="center"/>
        <w:rPr>
          <w:rFonts w:hint="eastAsia" w:ascii="方正小标宋简体" w:hAnsi="宋体" w:eastAsia="方正小标宋简体"/>
          <w:color w:val="000000"/>
          <w:spacing w:val="6"/>
          <w:sz w:val="72"/>
          <w:szCs w:val="72"/>
        </w:rPr>
      </w:pPr>
      <w:r>
        <w:rPr>
          <w:rFonts w:hint="eastAsia" w:ascii="方正小标宋简体" w:hAnsi="宋体" w:eastAsia="方正小标宋简体"/>
          <w:color w:val="000000"/>
          <w:spacing w:val="6"/>
          <w:sz w:val="72"/>
          <w:szCs w:val="72"/>
        </w:rPr>
        <w:t>绩效评价报告</w:t>
      </w:r>
    </w:p>
    <w:p w14:paraId="1BA09FFC">
      <w:pPr>
        <w:spacing w:line="590" w:lineRule="exact"/>
        <w:jc w:val="center"/>
        <w:rPr>
          <w:rFonts w:ascii="方正小标宋简体" w:hAnsi="Arial Narrow" w:eastAsia="方正小标宋简体"/>
          <w:spacing w:val="6"/>
          <w:kern w:val="0"/>
          <w:sz w:val="40"/>
          <w:szCs w:val="40"/>
        </w:rPr>
      </w:pPr>
    </w:p>
    <w:p w14:paraId="3D344110">
      <w:pPr>
        <w:spacing w:line="590" w:lineRule="exact"/>
        <w:jc w:val="center"/>
        <w:rPr>
          <w:rFonts w:ascii="方正小标宋简体" w:hAnsi="Arial Narrow" w:eastAsia="方正小标宋简体"/>
          <w:spacing w:val="6"/>
          <w:kern w:val="0"/>
          <w:sz w:val="40"/>
          <w:szCs w:val="40"/>
        </w:rPr>
      </w:pPr>
    </w:p>
    <w:p w14:paraId="2C6562C6">
      <w:pPr>
        <w:spacing w:line="590" w:lineRule="exact"/>
        <w:jc w:val="center"/>
        <w:rPr>
          <w:rFonts w:ascii="方正小标宋简体" w:hAnsi="Arial Narrow" w:eastAsia="方正小标宋简体"/>
          <w:spacing w:val="6"/>
          <w:kern w:val="0"/>
          <w:sz w:val="40"/>
          <w:szCs w:val="40"/>
        </w:rPr>
      </w:pPr>
    </w:p>
    <w:p w14:paraId="713FF183">
      <w:pPr>
        <w:spacing w:line="590" w:lineRule="exact"/>
        <w:jc w:val="center"/>
        <w:rPr>
          <w:rFonts w:ascii="方正小标宋简体" w:hAnsi="Arial Narrow" w:eastAsia="方正小标宋简体"/>
          <w:spacing w:val="6"/>
          <w:kern w:val="0"/>
          <w:sz w:val="40"/>
          <w:szCs w:val="40"/>
        </w:rPr>
      </w:pPr>
    </w:p>
    <w:p w14:paraId="2D3FDB6D">
      <w:pPr>
        <w:spacing w:line="590" w:lineRule="exact"/>
        <w:jc w:val="center"/>
        <w:rPr>
          <w:rFonts w:ascii="方正小标宋简体" w:hAnsi="Arial Narrow" w:eastAsia="方正小标宋简体"/>
          <w:spacing w:val="6"/>
          <w:kern w:val="0"/>
          <w:sz w:val="40"/>
          <w:szCs w:val="40"/>
        </w:rPr>
      </w:pPr>
    </w:p>
    <w:p w14:paraId="1018D758">
      <w:pPr>
        <w:spacing w:line="590" w:lineRule="exact"/>
        <w:jc w:val="center"/>
        <w:rPr>
          <w:rFonts w:ascii="方正小标宋简体" w:hAnsi="方正小标宋简体" w:eastAsia="方正小标宋简体" w:cs="方正小标宋简体"/>
          <w:spacing w:val="6"/>
          <w:kern w:val="0"/>
          <w:sz w:val="36"/>
          <w:szCs w:val="36"/>
        </w:rPr>
      </w:pPr>
    </w:p>
    <w:tbl>
      <w:tblPr>
        <w:tblStyle w:val="20"/>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8"/>
        <w:gridCol w:w="5660"/>
      </w:tblGrid>
      <w:tr w14:paraId="3CE9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24FE3889">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委托单位名称：</w:t>
            </w:r>
          </w:p>
        </w:tc>
        <w:tc>
          <w:tcPr>
            <w:tcW w:w="5660" w:type="dxa"/>
            <w:tcBorders>
              <w:bottom w:val="single" w:color="auto" w:sz="4" w:space="0"/>
            </w:tcBorders>
            <w:noWrap w:val="0"/>
            <w:vAlign w:val="center"/>
          </w:tcPr>
          <w:p w14:paraId="438465A8">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昆明市西山区财政局</w:t>
            </w:r>
          </w:p>
        </w:tc>
      </w:tr>
      <w:tr w14:paraId="3974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58F515FE">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评审机构名称：</w:t>
            </w:r>
          </w:p>
        </w:tc>
        <w:tc>
          <w:tcPr>
            <w:tcW w:w="5660" w:type="dxa"/>
            <w:tcBorders>
              <w:bottom w:val="single" w:color="auto" w:sz="4" w:space="0"/>
            </w:tcBorders>
            <w:noWrap w:val="0"/>
            <w:vAlign w:val="center"/>
          </w:tcPr>
          <w:p w14:paraId="057C0D07">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云南谛祥会计师事务所（普通合伙）</w:t>
            </w:r>
          </w:p>
        </w:tc>
      </w:tr>
      <w:tr w14:paraId="1730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37C98C6E">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distribute"/>
              <w:textAlignment w:val="auto"/>
              <w:rPr>
                <w:rFonts w:hint="eastAsia" w:ascii="方正小标宋简体" w:hAnsi="方正小标宋简体" w:eastAsia="方正小标宋简体" w:cs="方正小标宋简体"/>
                <w:spacing w:val="40"/>
                <w:kern w:val="0"/>
                <w:sz w:val="24"/>
                <w:szCs w:val="24"/>
                <w:u w:val="none"/>
                <w:vertAlign w:val="baseline"/>
              </w:rPr>
            </w:pPr>
            <w:r>
              <w:rPr>
                <w:rFonts w:hint="eastAsia" w:ascii="方正小标宋简体" w:hAnsi="方正小标宋简体" w:eastAsia="方正小标宋简体" w:cs="方正小标宋简体"/>
                <w:spacing w:val="40"/>
                <w:kern w:val="0"/>
                <w:sz w:val="24"/>
                <w:szCs w:val="24"/>
                <w:u w:val="none"/>
                <w:lang w:val="en-US" w:eastAsia="zh-CN"/>
              </w:rPr>
              <w:t>项目单位名称</w:t>
            </w:r>
            <w:r>
              <w:rPr>
                <w:rFonts w:hint="eastAsia" w:ascii="方正小标宋简体" w:hAnsi="方正小标宋简体" w:eastAsia="方正小标宋简体" w:cs="方正小标宋简体"/>
                <w:spacing w:val="40"/>
                <w:kern w:val="0"/>
                <w:sz w:val="24"/>
                <w:szCs w:val="24"/>
                <w:u w:val="none"/>
              </w:rPr>
              <w:t>：</w:t>
            </w:r>
          </w:p>
        </w:tc>
        <w:tc>
          <w:tcPr>
            <w:tcW w:w="5660" w:type="dxa"/>
            <w:tcBorders>
              <w:top w:val="single" w:color="auto" w:sz="4" w:space="0"/>
              <w:bottom w:val="single" w:color="auto" w:sz="4" w:space="0"/>
            </w:tcBorders>
            <w:noWrap w:val="0"/>
            <w:vAlign w:val="center"/>
          </w:tcPr>
          <w:p w14:paraId="4E336CD0">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left"/>
              <w:textAlignment w:val="auto"/>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vertAlign w:val="baseline"/>
                <w:lang w:val="en-US" w:eastAsia="zh-CN" w:bidi="ar"/>
              </w:rPr>
              <w:t>西山区人民政府金碧街道办事</w:t>
            </w:r>
            <w:r>
              <w:rPr>
                <w:rFonts w:hint="eastAsia" w:ascii="方正小标宋简体" w:hAnsi="方正小标宋简体" w:eastAsia="方正小标宋简体" w:cs="方正小标宋简体"/>
                <w:spacing w:val="40"/>
                <w:kern w:val="0"/>
                <w:sz w:val="24"/>
                <w:szCs w:val="24"/>
                <w:u w:val="none"/>
                <w:vertAlign w:val="baseline"/>
                <w:lang w:val="en-US" w:eastAsia="zh-CN"/>
              </w:rPr>
              <w:t>处</w:t>
            </w:r>
          </w:p>
        </w:tc>
      </w:tr>
      <w:tr w14:paraId="4853A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4B6046F0">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项目评审起止时间：</w:t>
            </w:r>
          </w:p>
        </w:tc>
        <w:tc>
          <w:tcPr>
            <w:tcW w:w="5660" w:type="dxa"/>
            <w:tcBorders>
              <w:top w:val="single" w:color="auto" w:sz="4" w:space="0"/>
              <w:bottom w:val="single" w:color="auto" w:sz="4" w:space="0"/>
            </w:tcBorders>
            <w:noWrap w:val="0"/>
            <w:vAlign w:val="center"/>
          </w:tcPr>
          <w:p w14:paraId="4BFDE64F">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2025年8</w:t>
            </w:r>
            <w:r>
              <w:rPr>
                <w:rFonts w:hint="eastAsia" w:ascii="方正小标宋简体" w:hAnsi="方正小标宋简体" w:eastAsia="方正小标宋简体" w:cs="方正小标宋简体"/>
                <w:spacing w:val="40"/>
                <w:kern w:val="0"/>
                <w:sz w:val="24"/>
                <w:szCs w:val="24"/>
                <w:vertAlign w:val="baseline"/>
                <w:lang w:val="en-US" w:eastAsia="zh-CN" w:bidi="ar"/>
              </w:rPr>
              <w:t>月—10月</w:t>
            </w:r>
          </w:p>
        </w:tc>
      </w:tr>
      <w:tr w14:paraId="5ABD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61C3B6C6">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评审报告出具时间：</w:t>
            </w:r>
          </w:p>
        </w:tc>
        <w:tc>
          <w:tcPr>
            <w:tcW w:w="5660" w:type="dxa"/>
            <w:tcBorders>
              <w:top w:val="single" w:color="auto" w:sz="4" w:space="0"/>
              <w:bottom w:val="single" w:color="auto" w:sz="4" w:space="0"/>
            </w:tcBorders>
            <w:noWrap w:val="0"/>
            <w:vAlign w:val="center"/>
          </w:tcPr>
          <w:p w14:paraId="0B65C9CC">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2025年10月</w:t>
            </w:r>
          </w:p>
        </w:tc>
      </w:tr>
    </w:tbl>
    <w:p w14:paraId="1AA90806">
      <w:pPr>
        <w:tabs>
          <w:tab w:val="center" w:pos="4422"/>
        </w:tabs>
        <w:rPr>
          <w:rFonts w:ascii="宋体" w:hAnsi="宋体" w:eastAsia="宋体"/>
          <w:sz w:val="36"/>
          <w:szCs w:val="36"/>
        </w:rPr>
        <w:sectPr>
          <w:footerReference r:id="rId3" w:type="default"/>
          <w:pgSz w:w="11906" w:h="16838"/>
          <w:pgMar w:top="2098" w:right="1474" w:bottom="1985" w:left="1588" w:header="851" w:footer="1474" w:gutter="0"/>
          <w:pgNumType w:fmt="lowerRoman" w:start="1"/>
          <w:cols w:space="425" w:num="1"/>
          <w:docGrid w:type="linesAndChars" w:linePitch="579" w:charSpace="3247"/>
        </w:sectPr>
      </w:pPr>
    </w:p>
    <w:p w14:paraId="7878DF46">
      <w:pPr>
        <w:tabs>
          <w:tab w:val="center" w:pos="4422"/>
        </w:tabs>
        <w:rPr>
          <w:rFonts w:ascii="宋体" w:hAnsi="宋体" w:eastAsia="宋体"/>
          <w:sz w:val="36"/>
          <w:szCs w:val="36"/>
        </w:rPr>
        <w:sectPr>
          <w:pgSz w:w="11906" w:h="16838"/>
          <w:pgMar w:top="2098" w:right="1474" w:bottom="1985" w:left="1588" w:header="851" w:footer="1474" w:gutter="0"/>
          <w:pgNumType w:fmt="lowerRoman" w:start="1"/>
          <w:cols w:space="425" w:num="1"/>
          <w:docGrid w:type="linesAndChars" w:linePitch="579" w:charSpace="3247"/>
        </w:sectPr>
      </w:pPr>
    </w:p>
    <w:p w14:paraId="34AE02E6">
      <w:pPr>
        <w:keepNext w:val="0"/>
        <w:keepLines w:val="0"/>
        <w:pageBreakBefore w:val="0"/>
        <w:tabs>
          <w:tab w:val="center" w:pos="4422"/>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val="0"/>
          <w:bCs w:val="0"/>
          <w:sz w:val="44"/>
          <w:szCs w:val="44"/>
        </w:rPr>
      </w:pPr>
      <w:r>
        <w:rPr>
          <w:rFonts w:hint="eastAsia" w:asciiTheme="minorEastAsia" w:hAnsiTheme="minorEastAsia" w:eastAsiaTheme="minorEastAsia" w:cstheme="minorEastAsia"/>
          <w:b w:val="0"/>
          <w:bCs w:val="0"/>
          <w:sz w:val="44"/>
          <w:szCs w:val="44"/>
        </w:rPr>
        <w:t>目  录</w:t>
      </w:r>
    </w:p>
    <w:sdt>
      <w:sdtPr>
        <w:rPr>
          <w:rFonts w:hint="eastAsia" w:asciiTheme="minorEastAsia" w:hAnsiTheme="minorEastAsia" w:eastAsiaTheme="minorEastAsia" w:cstheme="minorEastAsia"/>
          <w:kern w:val="30"/>
          <w:sz w:val="32"/>
          <w:szCs w:val="32"/>
          <w:lang w:val="en-US" w:eastAsia="zh-CN" w:bidi="ar-SA"/>
        </w:rPr>
        <w:id w:val="147473809"/>
        <w15:color w:val="DBDBDB"/>
        <w:docPartObj>
          <w:docPartGallery w:val="Table of Contents"/>
          <w:docPartUnique/>
        </w:docPartObj>
      </w:sdtPr>
      <w:sdtEndPr>
        <w:rPr>
          <w:rFonts w:hint="eastAsia" w:ascii="仿宋" w:hAnsi="Times New Roman" w:eastAsia="仿宋" w:cs="Times New Roman"/>
          <w:kern w:val="30"/>
          <w:sz w:val="30"/>
          <w:szCs w:val="21"/>
          <w:lang w:val="en-US" w:eastAsia="zh-CN" w:bidi="ar-SA"/>
        </w:rPr>
      </w:sdtEndPr>
      <w:sdtContent>
        <w:p w14:paraId="3B468C2F">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Theme="minorEastAsia" w:hAnsiTheme="minorEastAsia" w:eastAsiaTheme="minorEastAsia" w:cstheme="minorEastAsia"/>
              <w:sz w:val="32"/>
              <w:szCs w:val="32"/>
            </w:rPr>
          </w:pPr>
        </w:p>
        <w:p w14:paraId="5FEC9170">
          <w:pPr>
            <w:pStyle w:val="14"/>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TOC \o "1-2" \h \u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_Toc14795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highlight w:val="none"/>
            </w:rPr>
            <w:t>摘  要</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_Toc14795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I</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296EECFB">
          <w:pPr>
            <w:pStyle w:val="14"/>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_Toc18088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highlight w:val="none"/>
            </w:rPr>
            <w:t>一、基本情况</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_Toc18088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I</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131B92FA">
          <w:pPr>
            <w:pStyle w:val="14"/>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_Toc4434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highlight w:val="none"/>
            </w:rPr>
            <w:t>二、绩效评价结论</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_Toc4434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II</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0541B2BB">
          <w:pPr>
            <w:pStyle w:val="14"/>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_Toc15937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xml:space="preserve">三、 </w:t>
          </w:r>
          <w:r>
            <w:rPr>
              <w:rFonts w:hint="eastAsia" w:asciiTheme="minorEastAsia" w:hAnsiTheme="minorEastAsia" w:eastAsiaTheme="minorEastAsia" w:cstheme="minorEastAsia"/>
              <w:sz w:val="32"/>
              <w:szCs w:val="32"/>
              <w:highlight w:val="none"/>
            </w:rPr>
            <w:t>存在问题及原因分析</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_Toc15937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III</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44636BC7">
          <w:pPr>
            <w:pStyle w:val="14"/>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_Toc11928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highlight w:val="none"/>
              <w:lang w:val="en-US" w:eastAsia="zh-CN"/>
            </w:rPr>
            <w:t>四</w:t>
          </w:r>
          <w:r>
            <w:rPr>
              <w:rFonts w:hint="eastAsia" w:asciiTheme="minorEastAsia" w:hAnsiTheme="minorEastAsia" w:eastAsiaTheme="minorEastAsia" w:cstheme="minorEastAsia"/>
              <w:sz w:val="32"/>
              <w:szCs w:val="32"/>
              <w:highlight w:val="none"/>
            </w:rPr>
            <w:t>、建议</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_Toc11928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IV</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005DB15E">
          <w:pPr>
            <w:pStyle w:val="14"/>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_Toc24152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highlight w:val="none"/>
              <w:lang w:val="en-US" w:eastAsia="zh-CN"/>
            </w:rPr>
            <w:t>五、其它需说明的情况</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_Toc24152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IV</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70AAE3A2">
          <w:pPr>
            <w:pStyle w:val="14"/>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_Toc23098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highlight w:val="none"/>
              <w:lang w:val="en-US" w:eastAsia="zh-CN"/>
            </w:rPr>
            <w:t>2024年金碧广场办综合整治管理经费项目支出</w:t>
          </w:r>
          <w:r>
            <w:rPr>
              <w:rFonts w:hint="eastAsia" w:asciiTheme="minorEastAsia" w:hAnsiTheme="minorEastAsia" w:eastAsiaTheme="minorEastAsia" w:cstheme="minorEastAsia"/>
              <w:sz w:val="30"/>
              <w:szCs w:val="30"/>
              <w:highlight w:val="none"/>
            </w:rPr>
            <w:t>绩效评价报告</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_Toc23098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66FB930E">
          <w:pPr>
            <w:pStyle w:val="14"/>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_Toc23775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一、基本情况</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_Toc23775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7FDBD2EB">
          <w:pPr>
            <w:pStyle w:val="16"/>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HYPERLINK \l _Toc27397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（一）项目概况</w:t>
          </w:r>
          <w:r>
            <w:rPr>
              <w:rFonts w:hint="eastAsia" w:asciiTheme="minorEastAsia" w:hAnsiTheme="minorEastAsia" w:eastAsiaTheme="minorEastAsia" w:cstheme="minorEastAsia"/>
              <w:b w:val="0"/>
              <w:bCs w:val="0"/>
              <w:kern w:val="0"/>
              <w:sz w:val="32"/>
              <w:szCs w:val="32"/>
              <w:lang w:val="en-US" w:eastAsia="zh-CN" w:bidi="ar-SA"/>
            </w:rPr>
            <w:tab/>
          </w: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PAGEREF _Toc27397 \h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1</w:t>
          </w:r>
          <w:r>
            <w:rPr>
              <w:rFonts w:hint="eastAsia" w:asciiTheme="minorEastAsia" w:hAnsiTheme="minorEastAsia" w:eastAsiaTheme="minorEastAsia" w:cstheme="minorEastAsia"/>
              <w:b w:val="0"/>
              <w:bCs w:val="0"/>
              <w:kern w:val="0"/>
              <w:sz w:val="32"/>
              <w:szCs w:val="32"/>
              <w:lang w:val="en-US" w:eastAsia="zh-CN" w:bidi="ar-SA"/>
            </w:rPr>
            <w:fldChar w:fldCharType="end"/>
          </w:r>
          <w:r>
            <w:rPr>
              <w:rFonts w:hint="eastAsia" w:asciiTheme="minorEastAsia" w:hAnsiTheme="minorEastAsia" w:eastAsiaTheme="minorEastAsia" w:cstheme="minorEastAsia"/>
              <w:b w:val="0"/>
              <w:bCs w:val="0"/>
              <w:kern w:val="0"/>
              <w:sz w:val="32"/>
              <w:szCs w:val="32"/>
              <w:lang w:val="en-US" w:eastAsia="zh-CN" w:bidi="ar-SA"/>
            </w:rPr>
            <w:fldChar w:fldCharType="end"/>
          </w:r>
        </w:p>
        <w:p w14:paraId="4641EDB8">
          <w:pPr>
            <w:pStyle w:val="16"/>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HYPERLINK \l _Toc21384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（三） 实施内容</w:t>
          </w:r>
          <w:r>
            <w:rPr>
              <w:rFonts w:hint="eastAsia" w:asciiTheme="minorEastAsia" w:hAnsiTheme="minorEastAsia" w:eastAsiaTheme="minorEastAsia" w:cstheme="minorEastAsia"/>
              <w:b w:val="0"/>
              <w:bCs w:val="0"/>
              <w:kern w:val="0"/>
              <w:sz w:val="32"/>
              <w:szCs w:val="32"/>
              <w:lang w:val="en-US" w:eastAsia="zh-CN" w:bidi="ar-SA"/>
            </w:rPr>
            <w:tab/>
          </w: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PAGEREF _Toc21384 \h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3</w:t>
          </w:r>
          <w:r>
            <w:rPr>
              <w:rFonts w:hint="eastAsia" w:asciiTheme="minorEastAsia" w:hAnsiTheme="minorEastAsia" w:eastAsiaTheme="minorEastAsia" w:cstheme="minorEastAsia"/>
              <w:b w:val="0"/>
              <w:bCs w:val="0"/>
              <w:kern w:val="0"/>
              <w:sz w:val="32"/>
              <w:szCs w:val="32"/>
              <w:lang w:val="en-US" w:eastAsia="zh-CN" w:bidi="ar-SA"/>
            </w:rPr>
            <w:fldChar w:fldCharType="end"/>
          </w:r>
          <w:r>
            <w:rPr>
              <w:rFonts w:hint="eastAsia" w:asciiTheme="minorEastAsia" w:hAnsiTheme="minorEastAsia" w:eastAsiaTheme="minorEastAsia" w:cstheme="minorEastAsia"/>
              <w:b w:val="0"/>
              <w:bCs w:val="0"/>
              <w:kern w:val="0"/>
              <w:sz w:val="32"/>
              <w:szCs w:val="32"/>
              <w:lang w:val="en-US" w:eastAsia="zh-CN" w:bidi="ar-SA"/>
            </w:rPr>
            <w:fldChar w:fldCharType="end"/>
          </w:r>
        </w:p>
        <w:p w14:paraId="262B559A">
          <w:pPr>
            <w:pStyle w:val="16"/>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HYPERLINK \l _Toc8591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（四）绩效目标设立情况</w:t>
          </w:r>
          <w:r>
            <w:rPr>
              <w:rFonts w:hint="eastAsia" w:asciiTheme="minorEastAsia" w:hAnsiTheme="minorEastAsia" w:eastAsiaTheme="minorEastAsia" w:cstheme="minorEastAsia"/>
              <w:b w:val="0"/>
              <w:bCs w:val="0"/>
              <w:kern w:val="0"/>
              <w:sz w:val="32"/>
              <w:szCs w:val="32"/>
              <w:lang w:val="en-US" w:eastAsia="zh-CN" w:bidi="ar-SA"/>
            </w:rPr>
            <w:tab/>
          </w: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PAGEREF _Toc8591 \h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3</w:t>
          </w:r>
          <w:r>
            <w:rPr>
              <w:rFonts w:hint="eastAsia" w:asciiTheme="minorEastAsia" w:hAnsiTheme="minorEastAsia" w:eastAsiaTheme="minorEastAsia" w:cstheme="minorEastAsia"/>
              <w:b w:val="0"/>
              <w:bCs w:val="0"/>
              <w:kern w:val="0"/>
              <w:sz w:val="32"/>
              <w:szCs w:val="32"/>
              <w:lang w:val="en-US" w:eastAsia="zh-CN" w:bidi="ar-SA"/>
            </w:rPr>
            <w:fldChar w:fldCharType="end"/>
          </w:r>
          <w:r>
            <w:rPr>
              <w:rFonts w:hint="eastAsia" w:asciiTheme="minorEastAsia" w:hAnsiTheme="minorEastAsia" w:eastAsiaTheme="minorEastAsia" w:cstheme="minorEastAsia"/>
              <w:b w:val="0"/>
              <w:bCs w:val="0"/>
              <w:kern w:val="0"/>
              <w:sz w:val="32"/>
              <w:szCs w:val="32"/>
              <w:lang w:val="en-US" w:eastAsia="zh-CN" w:bidi="ar-SA"/>
            </w:rPr>
            <w:fldChar w:fldCharType="end"/>
          </w:r>
        </w:p>
        <w:p w14:paraId="458BC95D">
          <w:pPr>
            <w:pStyle w:val="16"/>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HYPERLINK \l _Toc8058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（五）组织管理情况</w:t>
          </w:r>
          <w:r>
            <w:rPr>
              <w:rFonts w:hint="eastAsia" w:asciiTheme="minorEastAsia" w:hAnsiTheme="minorEastAsia" w:eastAsiaTheme="minorEastAsia" w:cstheme="minorEastAsia"/>
              <w:b w:val="0"/>
              <w:bCs w:val="0"/>
              <w:kern w:val="0"/>
              <w:sz w:val="32"/>
              <w:szCs w:val="32"/>
              <w:lang w:val="en-US" w:eastAsia="zh-CN" w:bidi="ar-SA"/>
            </w:rPr>
            <w:tab/>
          </w: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PAGEREF _Toc8058 \h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5</w:t>
          </w:r>
          <w:r>
            <w:rPr>
              <w:rFonts w:hint="eastAsia" w:asciiTheme="minorEastAsia" w:hAnsiTheme="minorEastAsia" w:eastAsiaTheme="minorEastAsia" w:cstheme="minorEastAsia"/>
              <w:b w:val="0"/>
              <w:bCs w:val="0"/>
              <w:kern w:val="0"/>
              <w:sz w:val="32"/>
              <w:szCs w:val="32"/>
              <w:lang w:val="en-US" w:eastAsia="zh-CN" w:bidi="ar-SA"/>
            </w:rPr>
            <w:fldChar w:fldCharType="end"/>
          </w:r>
          <w:r>
            <w:rPr>
              <w:rFonts w:hint="eastAsia" w:asciiTheme="minorEastAsia" w:hAnsiTheme="minorEastAsia" w:eastAsiaTheme="minorEastAsia" w:cstheme="minorEastAsia"/>
              <w:b w:val="0"/>
              <w:bCs w:val="0"/>
              <w:kern w:val="0"/>
              <w:sz w:val="32"/>
              <w:szCs w:val="32"/>
              <w:lang w:val="en-US" w:eastAsia="zh-CN" w:bidi="ar-SA"/>
            </w:rPr>
            <w:fldChar w:fldCharType="end"/>
          </w:r>
        </w:p>
        <w:p w14:paraId="186953BD">
          <w:pPr>
            <w:pStyle w:val="14"/>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_Toc12713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lang w:val="en-US" w:eastAsia="zh-CN"/>
            </w:rPr>
            <w:t>二</w:t>
          </w:r>
          <w:r>
            <w:rPr>
              <w:rFonts w:hint="eastAsia" w:asciiTheme="minorEastAsia" w:hAnsiTheme="minorEastAsia" w:eastAsiaTheme="minorEastAsia" w:cstheme="minorEastAsia"/>
              <w:sz w:val="32"/>
              <w:szCs w:val="32"/>
            </w:rPr>
            <w:t>、绩效评价工作开展情况</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_Toc12713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3E7AB5FB">
          <w:pPr>
            <w:pStyle w:val="16"/>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HYPERLINK \l _Toc19325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（一）绩效评价目的、对象和范围</w:t>
          </w:r>
          <w:r>
            <w:rPr>
              <w:rFonts w:hint="eastAsia" w:asciiTheme="minorEastAsia" w:hAnsiTheme="minorEastAsia" w:eastAsiaTheme="minorEastAsia" w:cstheme="minorEastAsia"/>
              <w:b w:val="0"/>
              <w:bCs w:val="0"/>
              <w:kern w:val="0"/>
              <w:sz w:val="32"/>
              <w:szCs w:val="32"/>
              <w:lang w:val="en-US" w:eastAsia="zh-CN" w:bidi="ar-SA"/>
            </w:rPr>
            <w:tab/>
          </w: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PAGEREF _Toc19325 \h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6</w:t>
          </w:r>
          <w:r>
            <w:rPr>
              <w:rFonts w:hint="eastAsia" w:asciiTheme="minorEastAsia" w:hAnsiTheme="minorEastAsia" w:eastAsiaTheme="minorEastAsia" w:cstheme="minorEastAsia"/>
              <w:b w:val="0"/>
              <w:bCs w:val="0"/>
              <w:kern w:val="0"/>
              <w:sz w:val="32"/>
              <w:szCs w:val="32"/>
              <w:lang w:val="en-US" w:eastAsia="zh-CN" w:bidi="ar-SA"/>
            </w:rPr>
            <w:fldChar w:fldCharType="end"/>
          </w:r>
          <w:r>
            <w:rPr>
              <w:rFonts w:hint="eastAsia" w:asciiTheme="minorEastAsia" w:hAnsiTheme="minorEastAsia" w:eastAsiaTheme="minorEastAsia" w:cstheme="minorEastAsia"/>
              <w:b w:val="0"/>
              <w:bCs w:val="0"/>
              <w:kern w:val="0"/>
              <w:sz w:val="32"/>
              <w:szCs w:val="32"/>
              <w:lang w:val="en-US" w:eastAsia="zh-CN" w:bidi="ar-SA"/>
            </w:rPr>
            <w:fldChar w:fldCharType="end"/>
          </w:r>
        </w:p>
        <w:p w14:paraId="1C4C9DAA">
          <w:pPr>
            <w:pStyle w:val="16"/>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HYPERLINK \l _Toc28745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（二）绩效评价原则</w:t>
          </w:r>
          <w:r>
            <w:rPr>
              <w:rFonts w:hint="eastAsia" w:asciiTheme="minorEastAsia" w:hAnsiTheme="minorEastAsia" w:eastAsiaTheme="minorEastAsia" w:cstheme="minorEastAsia"/>
              <w:b w:val="0"/>
              <w:bCs w:val="0"/>
              <w:kern w:val="0"/>
              <w:sz w:val="32"/>
              <w:szCs w:val="32"/>
              <w:lang w:val="en-US" w:eastAsia="zh-CN" w:bidi="ar-SA"/>
            </w:rPr>
            <w:tab/>
          </w: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PAGEREF _Toc28745 \h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7</w:t>
          </w:r>
          <w:r>
            <w:rPr>
              <w:rFonts w:hint="eastAsia" w:asciiTheme="minorEastAsia" w:hAnsiTheme="minorEastAsia" w:eastAsiaTheme="minorEastAsia" w:cstheme="minorEastAsia"/>
              <w:b w:val="0"/>
              <w:bCs w:val="0"/>
              <w:kern w:val="0"/>
              <w:sz w:val="32"/>
              <w:szCs w:val="32"/>
              <w:lang w:val="en-US" w:eastAsia="zh-CN" w:bidi="ar-SA"/>
            </w:rPr>
            <w:fldChar w:fldCharType="end"/>
          </w:r>
          <w:r>
            <w:rPr>
              <w:rFonts w:hint="eastAsia" w:asciiTheme="minorEastAsia" w:hAnsiTheme="minorEastAsia" w:eastAsiaTheme="minorEastAsia" w:cstheme="minorEastAsia"/>
              <w:b w:val="0"/>
              <w:bCs w:val="0"/>
              <w:kern w:val="0"/>
              <w:sz w:val="32"/>
              <w:szCs w:val="32"/>
              <w:lang w:val="en-US" w:eastAsia="zh-CN" w:bidi="ar-SA"/>
            </w:rPr>
            <w:fldChar w:fldCharType="end"/>
          </w:r>
        </w:p>
        <w:p w14:paraId="1A7024C8">
          <w:pPr>
            <w:pStyle w:val="16"/>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HYPERLINK \l _Toc16570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（三）绩效评价依据</w:t>
          </w:r>
          <w:r>
            <w:rPr>
              <w:rFonts w:hint="eastAsia" w:asciiTheme="minorEastAsia" w:hAnsiTheme="minorEastAsia" w:eastAsiaTheme="minorEastAsia" w:cstheme="minorEastAsia"/>
              <w:b w:val="0"/>
              <w:bCs w:val="0"/>
              <w:kern w:val="0"/>
              <w:sz w:val="32"/>
              <w:szCs w:val="32"/>
              <w:lang w:val="en-US" w:eastAsia="zh-CN" w:bidi="ar-SA"/>
            </w:rPr>
            <w:tab/>
          </w: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PAGEREF _Toc16570 \h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8</w:t>
          </w:r>
          <w:r>
            <w:rPr>
              <w:rFonts w:hint="eastAsia" w:asciiTheme="minorEastAsia" w:hAnsiTheme="minorEastAsia" w:eastAsiaTheme="minorEastAsia" w:cstheme="minorEastAsia"/>
              <w:b w:val="0"/>
              <w:bCs w:val="0"/>
              <w:kern w:val="0"/>
              <w:sz w:val="32"/>
              <w:szCs w:val="32"/>
              <w:lang w:val="en-US" w:eastAsia="zh-CN" w:bidi="ar-SA"/>
            </w:rPr>
            <w:fldChar w:fldCharType="end"/>
          </w:r>
          <w:r>
            <w:rPr>
              <w:rFonts w:hint="eastAsia" w:asciiTheme="minorEastAsia" w:hAnsiTheme="minorEastAsia" w:eastAsiaTheme="minorEastAsia" w:cstheme="minorEastAsia"/>
              <w:b w:val="0"/>
              <w:bCs w:val="0"/>
              <w:kern w:val="0"/>
              <w:sz w:val="32"/>
              <w:szCs w:val="32"/>
              <w:lang w:val="en-US" w:eastAsia="zh-CN" w:bidi="ar-SA"/>
            </w:rPr>
            <w:fldChar w:fldCharType="end"/>
          </w:r>
        </w:p>
        <w:p w14:paraId="336D9BB6">
          <w:pPr>
            <w:pStyle w:val="16"/>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HYPERLINK \l _Toc4573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（四）绩效评价方法</w:t>
          </w:r>
          <w:r>
            <w:rPr>
              <w:rFonts w:hint="eastAsia" w:asciiTheme="minorEastAsia" w:hAnsiTheme="minorEastAsia" w:eastAsiaTheme="minorEastAsia" w:cstheme="minorEastAsia"/>
              <w:b w:val="0"/>
              <w:bCs w:val="0"/>
              <w:kern w:val="0"/>
              <w:sz w:val="32"/>
              <w:szCs w:val="32"/>
              <w:lang w:val="en-US" w:eastAsia="zh-CN" w:bidi="ar-SA"/>
            </w:rPr>
            <w:tab/>
          </w: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PAGEREF _Toc4573 \h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8</w:t>
          </w:r>
          <w:r>
            <w:rPr>
              <w:rFonts w:hint="eastAsia" w:asciiTheme="minorEastAsia" w:hAnsiTheme="minorEastAsia" w:eastAsiaTheme="minorEastAsia" w:cstheme="minorEastAsia"/>
              <w:b w:val="0"/>
              <w:bCs w:val="0"/>
              <w:kern w:val="0"/>
              <w:sz w:val="32"/>
              <w:szCs w:val="32"/>
              <w:lang w:val="en-US" w:eastAsia="zh-CN" w:bidi="ar-SA"/>
            </w:rPr>
            <w:fldChar w:fldCharType="end"/>
          </w:r>
          <w:r>
            <w:rPr>
              <w:rFonts w:hint="eastAsia" w:asciiTheme="minorEastAsia" w:hAnsiTheme="minorEastAsia" w:eastAsiaTheme="minorEastAsia" w:cstheme="minorEastAsia"/>
              <w:b w:val="0"/>
              <w:bCs w:val="0"/>
              <w:kern w:val="0"/>
              <w:sz w:val="32"/>
              <w:szCs w:val="32"/>
              <w:lang w:val="en-US" w:eastAsia="zh-CN" w:bidi="ar-SA"/>
            </w:rPr>
            <w:fldChar w:fldCharType="end"/>
          </w:r>
        </w:p>
        <w:p w14:paraId="32D779CA">
          <w:pPr>
            <w:pStyle w:val="16"/>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HYPERLINK \l _Toc6718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（五）评价指标体系</w:t>
          </w:r>
          <w:r>
            <w:rPr>
              <w:rFonts w:hint="eastAsia" w:asciiTheme="minorEastAsia" w:hAnsiTheme="minorEastAsia" w:eastAsiaTheme="minorEastAsia" w:cstheme="minorEastAsia"/>
              <w:b w:val="0"/>
              <w:bCs w:val="0"/>
              <w:kern w:val="0"/>
              <w:sz w:val="32"/>
              <w:szCs w:val="32"/>
              <w:lang w:val="en-US" w:eastAsia="zh-CN" w:bidi="ar-SA"/>
            </w:rPr>
            <w:tab/>
          </w: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PAGEREF _Toc6718 \h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9</w:t>
          </w:r>
          <w:r>
            <w:rPr>
              <w:rFonts w:hint="eastAsia" w:asciiTheme="minorEastAsia" w:hAnsiTheme="minorEastAsia" w:eastAsiaTheme="minorEastAsia" w:cstheme="minorEastAsia"/>
              <w:b w:val="0"/>
              <w:bCs w:val="0"/>
              <w:kern w:val="0"/>
              <w:sz w:val="32"/>
              <w:szCs w:val="32"/>
              <w:lang w:val="en-US" w:eastAsia="zh-CN" w:bidi="ar-SA"/>
            </w:rPr>
            <w:fldChar w:fldCharType="end"/>
          </w:r>
          <w:r>
            <w:rPr>
              <w:rFonts w:hint="eastAsia" w:asciiTheme="minorEastAsia" w:hAnsiTheme="minorEastAsia" w:eastAsiaTheme="minorEastAsia" w:cstheme="minorEastAsia"/>
              <w:b w:val="0"/>
              <w:bCs w:val="0"/>
              <w:kern w:val="0"/>
              <w:sz w:val="32"/>
              <w:szCs w:val="32"/>
              <w:lang w:val="en-US" w:eastAsia="zh-CN" w:bidi="ar-SA"/>
            </w:rPr>
            <w:fldChar w:fldCharType="end"/>
          </w:r>
        </w:p>
        <w:p w14:paraId="0943E734">
          <w:pPr>
            <w:pStyle w:val="16"/>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HYPERLINK \l _Toc1067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（六）绩效评价抽样</w:t>
          </w:r>
          <w:r>
            <w:rPr>
              <w:rFonts w:hint="eastAsia" w:asciiTheme="minorEastAsia" w:hAnsiTheme="minorEastAsia" w:eastAsiaTheme="minorEastAsia" w:cstheme="minorEastAsia"/>
              <w:b w:val="0"/>
              <w:bCs w:val="0"/>
              <w:kern w:val="0"/>
              <w:sz w:val="32"/>
              <w:szCs w:val="32"/>
              <w:lang w:val="en-US" w:eastAsia="zh-CN" w:bidi="ar-SA"/>
            </w:rPr>
            <w:tab/>
          </w: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PAGEREF _Toc1067 \h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11</w:t>
          </w:r>
          <w:r>
            <w:rPr>
              <w:rFonts w:hint="eastAsia" w:asciiTheme="minorEastAsia" w:hAnsiTheme="minorEastAsia" w:eastAsiaTheme="minorEastAsia" w:cstheme="minorEastAsia"/>
              <w:b w:val="0"/>
              <w:bCs w:val="0"/>
              <w:kern w:val="0"/>
              <w:sz w:val="32"/>
              <w:szCs w:val="32"/>
              <w:lang w:val="en-US" w:eastAsia="zh-CN" w:bidi="ar-SA"/>
            </w:rPr>
            <w:fldChar w:fldCharType="end"/>
          </w:r>
          <w:r>
            <w:rPr>
              <w:rFonts w:hint="eastAsia" w:asciiTheme="minorEastAsia" w:hAnsiTheme="minorEastAsia" w:eastAsiaTheme="minorEastAsia" w:cstheme="minorEastAsia"/>
              <w:b w:val="0"/>
              <w:bCs w:val="0"/>
              <w:kern w:val="0"/>
              <w:sz w:val="32"/>
              <w:szCs w:val="32"/>
              <w:lang w:val="en-US" w:eastAsia="zh-CN" w:bidi="ar-SA"/>
            </w:rPr>
            <w:fldChar w:fldCharType="end"/>
          </w:r>
        </w:p>
        <w:p w14:paraId="26F1D7B1">
          <w:pPr>
            <w:pStyle w:val="14"/>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_Toc6630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lang w:val="en-US" w:eastAsia="zh-CN"/>
            </w:rPr>
            <w:t>三</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绩效评价</w:t>
          </w:r>
          <w:r>
            <w:rPr>
              <w:rFonts w:hint="eastAsia" w:asciiTheme="minorEastAsia" w:hAnsiTheme="minorEastAsia" w:eastAsiaTheme="minorEastAsia" w:cstheme="minorEastAsia"/>
              <w:sz w:val="32"/>
              <w:szCs w:val="32"/>
            </w:rPr>
            <w:t>结论</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_Toc6630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420E3A4A">
          <w:pPr>
            <w:pStyle w:val="16"/>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HYPERLINK \l _Toc2081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（一）绩效评价综合结论</w:t>
          </w:r>
          <w:r>
            <w:rPr>
              <w:rFonts w:hint="eastAsia" w:asciiTheme="minorEastAsia" w:hAnsiTheme="minorEastAsia" w:eastAsiaTheme="minorEastAsia" w:cstheme="minorEastAsia"/>
              <w:b w:val="0"/>
              <w:bCs w:val="0"/>
              <w:kern w:val="0"/>
              <w:sz w:val="32"/>
              <w:szCs w:val="32"/>
              <w:lang w:val="en-US" w:eastAsia="zh-CN" w:bidi="ar-SA"/>
            </w:rPr>
            <w:tab/>
          </w: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PAGEREF _Toc2081 \h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11</w:t>
          </w:r>
          <w:r>
            <w:rPr>
              <w:rFonts w:hint="eastAsia" w:asciiTheme="minorEastAsia" w:hAnsiTheme="minorEastAsia" w:eastAsiaTheme="minorEastAsia" w:cstheme="minorEastAsia"/>
              <w:b w:val="0"/>
              <w:bCs w:val="0"/>
              <w:kern w:val="0"/>
              <w:sz w:val="32"/>
              <w:szCs w:val="32"/>
              <w:lang w:val="en-US" w:eastAsia="zh-CN" w:bidi="ar-SA"/>
            </w:rPr>
            <w:fldChar w:fldCharType="end"/>
          </w:r>
          <w:r>
            <w:rPr>
              <w:rFonts w:hint="eastAsia" w:asciiTheme="minorEastAsia" w:hAnsiTheme="minorEastAsia" w:eastAsiaTheme="minorEastAsia" w:cstheme="minorEastAsia"/>
              <w:b w:val="0"/>
              <w:bCs w:val="0"/>
              <w:kern w:val="0"/>
              <w:sz w:val="32"/>
              <w:szCs w:val="32"/>
              <w:lang w:val="en-US" w:eastAsia="zh-CN" w:bidi="ar-SA"/>
            </w:rPr>
            <w:fldChar w:fldCharType="end"/>
          </w:r>
        </w:p>
        <w:p w14:paraId="1CCD940A">
          <w:pPr>
            <w:pStyle w:val="16"/>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HYPERLINK \l _Toc29022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（二）绩效目标实现情况</w:t>
          </w:r>
          <w:r>
            <w:rPr>
              <w:rFonts w:hint="eastAsia" w:asciiTheme="minorEastAsia" w:hAnsiTheme="minorEastAsia" w:eastAsiaTheme="minorEastAsia" w:cstheme="minorEastAsia"/>
              <w:b w:val="0"/>
              <w:bCs w:val="0"/>
              <w:kern w:val="0"/>
              <w:sz w:val="32"/>
              <w:szCs w:val="32"/>
              <w:lang w:val="en-US" w:eastAsia="zh-CN" w:bidi="ar-SA"/>
            </w:rPr>
            <w:tab/>
          </w: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PAGEREF _Toc29022 \h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13</w:t>
          </w:r>
          <w:r>
            <w:rPr>
              <w:rFonts w:hint="eastAsia" w:asciiTheme="minorEastAsia" w:hAnsiTheme="minorEastAsia" w:eastAsiaTheme="minorEastAsia" w:cstheme="minorEastAsia"/>
              <w:b w:val="0"/>
              <w:bCs w:val="0"/>
              <w:kern w:val="0"/>
              <w:sz w:val="32"/>
              <w:szCs w:val="32"/>
              <w:lang w:val="en-US" w:eastAsia="zh-CN" w:bidi="ar-SA"/>
            </w:rPr>
            <w:fldChar w:fldCharType="end"/>
          </w:r>
          <w:r>
            <w:rPr>
              <w:rFonts w:hint="eastAsia" w:asciiTheme="minorEastAsia" w:hAnsiTheme="minorEastAsia" w:eastAsiaTheme="minorEastAsia" w:cstheme="minorEastAsia"/>
              <w:b w:val="0"/>
              <w:bCs w:val="0"/>
              <w:kern w:val="0"/>
              <w:sz w:val="32"/>
              <w:szCs w:val="32"/>
              <w:lang w:val="en-US" w:eastAsia="zh-CN" w:bidi="ar-SA"/>
            </w:rPr>
            <w:fldChar w:fldCharType="end"/>
          </w:r>
        </w:p>
        <w:p w14:paraId="6B26D077">
          <w:pPr>
            <w:pStyle w:val="14"/>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_Toc4937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lang w:val="en-US" w:eastAsia="zh-CN"/>
            </w:rPr>
            <w:t>四</w:t>
          </w:r>
          <w:r>
            <w:rPr>
              <w:rFonts w:hint="eastAsia" w:asciiTheme="minorEastAsia" w:hAnsiTheme="minorEastAsia" w:eastAsiaTheme="minorEastAsia" w:cstheme="minorEastAsia"/>
              <w:sz w:val="32"/>
              <w:szCs w:val="32"/>
            </w:rPr>
            <w:t>、绩效评价情况分析</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_Toc4937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14</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1B229675">
          <w:pPr>
            <w:pStyle w:val="16"/>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HYPERLINK \l _Toc26709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（一）项目决策情况</w:t>
          </w:r>
          <w:r>
            <w:rPr>
              <w:rFonts w:hint="eastAsia" w:asciiTheme="minorEastAsia" w:hAnsiTheme="minorEastAsia" w:eastAsiaTheme="minorEastAsia" w:cstheme="minorEastAsia"/>
              <w:b w:val="0"/>
              <w:bCs w:val="0"/>
              <w:kern w:val="0"/>
              <w:sz w:val="32"/>
              <w:szCs w:val="32"/>
              <w:lang w:val="en-US" w:eastAsia="zh-CN" w:bidi="ar-SA"/>
            </w:rPr>
            <w:tab/>
          </w: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PAGEREF _Toc26709 \h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14</w:t>
          </w:r>
          <w:r>
            <w:rPr>
              <w:rFonts w:hint="eastAsia" w:asciiTheme="minorEastAsia" w:hAnsiTheme="minorEastAsia" w:eastAsiaTheme="minorEastAsia" w:cstheme="minorEastAsia"/>
              <w:b w:val="0"/>
              <w:bCs w:val="0"/>
              <w:kern w:val="0"/>
              <w:sz w:val="32"/>
              <w:szCs w:val="32"/>
              <w:lang w:val="en-US" w:eastAsia="zh-CN" w:bidi="ar-SA"/>
            </w:rPr>
            <w:fldChar w:fldCharType="end"/>
          </w:r>
          <w:r>
            <w:rPr>
              <w:rFonts w:hint="eastAsia" w:asciiTheme="minorEastAsia" w:hAnsiTheme="minorEastAsia" w:eastAsiaTheme="minorEastAsia" w:cstheme="minorEastAsia"/>
              <w:b w:val="0"/>
              <w:bCs w:val="0"/>
              <w:kern w:val="0"/>
              <w:sz w:val="32"/>
              <w:szCs w:val="32"/>
              <w:lang w:val="en-US" w:eastAsia="zh-CN" w:bidi="ar-SA"/>
            </w:rPr>
            <w:fldChar w:fldCharType="end"/>
          </w:r>
        </w:p>
        <w:p w14:paraId="1260EDDC">
          <w:pPr>
            <w:pStyle w:val="16"/>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HYPERLINK \l _Toc32188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（二）项目管理情况</w:t>
          </w:r>
          <w:r>
            <w:rPr>
              <w:rFonts w:hint="eastAsia" w:asciiTheme="minorEastAsia" w:hAnsiTheme="minorEastAsia" w:eastAsiaTheme="minorEastAsia" w:cstheme="minorEastAsia"/>
              <w:b w:val="0"/>
              <w:bCs w:val="0"/>
              <w:kern w:val="0"/>
              <w:sz w:val="32"/>
              <w:szCs w:val="32"/>
              <w:lang w:val="en-US" w:eastAsia="zh-CN" w:bidi="ar-SA"/>
            </w:rPr>
            <w:tab/>
          </w: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PAGEREF _Toc32188 \h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15</w:t>
          </w:r>
          <w:r>
            <w:rPr>
              <w:rFonts w:hint="eastAsia" w:asciiTheme="minorEastAsia" w:hAnsiTheme="minorEastAsia" w:eastAsiaTheme="minorEastAsia" w:cstheme="minorEastAsia"/>
              <w:b w:val="0"/>
              <w:bCs w:val="0"/>
              <w:kern w:val="0"/>
              <w:sz w:val="32"/>
              <w:szCs w:val="32"/>
              <w:lang w:val="en-US" w:eastAsia="zh-CN" w:bidi="ar-SA"/>
            </w:rPr>
            <w:fldChar w:fldCharType="end"/>
          </w:r>
          <w:r>
            <w:rPr>
              <w:rFonts w:hint="eastAsia" w:asciiTheme="minorEastAsia" w:hAnsiTheme="minorEastAsia" w:eastAsiaTheme="minorEastAsia" w:cstheme="minorEastAsia"/>
              <w:b w:val="0"/>
              <w:bCs w:val="0"/>
              <w:kern w:val="0"/>
              <w:sz w:val="32"/>
              <w:szCs w:val="32"/>
              <w:lang w:val="en-US" w:eastAsia="zh-CN" w:bidi="ar-SA"/>
            </w:rPr>
            <w:fldChar w:fldCharType="end"/>
          </w:r>
        </w:p>
        <w:p w14:paraId="3213DB2C">
          <w:pPr>
            <w:pStyle w:val="16"/>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kern w:val="0"/>
              <w:sz w:val="32"/>
              <w:szCs w:val="32"/>
              <w:lang w:val="en-US" w:eastAsia="zh-CN" w:bidi="ar-SA"/>
            </w:rPr>
          </w:pP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HYPERLINK \l _Toc28950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（三）项目产出情况</w:t>
          </w:r>
          <w:r>
            <w:rPr>
              <w:rFonts w:hint="eastAsia" w:asciiTheme="minorEastAsia" w:hAnsiTheme="minorEastAsia" w:eastAsiaTheme="minorEastAsia" w:cstheme="minorEastAsia"/>
              <w:b w:val="0"/>
              <w:bCs w:val="0"/>
              <w:kern w:val="0"/>
              <w:sz w:val="32"/>
              <w:szCs w:val="32"/>
              <w:lang w:val="en-US" w:eastAsia="zh-CN" w:bidi="ar-SA"/>
            </w:rPr>
            <w:tab/>
          </w: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PAGEREF _Toc28950 \h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17</w:t>
          </w:r>
          <w:r>
            <w:rPr>
              <w:rFonts w:hint="eastAsia" w:asciiTheme="minorEastAsia" w:hAnsiTheme="minorEastAsia" w:eastAsiaTheme="minorEastAsia" w:cstheme="minorEastAsia"/>
              <w:b w:val="0"/>
              <w:bCs w:val="0"/>
              <w:kern w:val="0"/>
              <w:sz w:val="32"/>
              <w:szCs w:val="32"/>
              <w:lang w:val="en-US" w:eastAsia="zh-CN" w:bidi="ar-SA"/>
            </w:rPr>
            <w:fldChar w:fldCharType="end"/>
          </w:r>
          <w:r>
            <w:rPr>
              <w:rFonts w:hint="eastAsia" w:asciiTheme="minorEastAsia" w:hAnsiTheme="minorEastAsia" w:eastAsiaTheme="minorEastAsia" w:cstheme="minorEastAsia"/>
              <w:b w:val="0"/>
              <w:bCs w:val="0"/>
              <w:kern w:val="0"/>
              <w:sz w:val="32"/>
              <w:szCs w:val="32"/>
              <w:lang w:val="en-US" w:eastAsia="zh-CN" w:bidi="ar-SA"/>
            </w:rPr>
            <w:fldChar w:fldCharType="end"/>
          </w:r>
        </w:p>
        <w:p w14:paraId="2E1D8B68">
          <w:pPr>
            <w:pStyle w:val="16"/>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HYPERLINK \l _Toc1829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（四）项目效益情况</w:t>
          </w:r>
          <w:r>
            <w:rPr>
              <w:rFonts w:hint="eastAsia" w:asciiTheme="minorEastAsia" w:hAnsiTheme="minorEastAsia" w:eastAsiaTheme="minorEastAsia" w:cstheme="minorEastAsia"/>
              <w:b w:val="0"/>
              <w:bCs w:val="0"/>
              <w:kern w:val="0"/>
              <w:sz w:val="32"/>
              <w:szCs w:val="32"/>
              <w:lang w:val="en-US" w:eastAsia="zh-CN" w:bidi="ar-SA"/>
            </w:rPr>
            <w:tab/>
          </w:r>
          <w:r>
            <w:rPr>
              <w:rFonts w:hint="eastAsia" w:asciiTheme="minorEastAsia" w:hAnsiTheme="minorEastAsia" w:eastAsiaTheme="minorEastAsia" w:cstheme="minorEastAsia"/>
              <w:b w:val="0"/>
              <w:bCs w:val="0"/>
              <w:kern w:val="0"/>
              <w:sz w:val="32"/>
              <w:szCs w:val="32"/>
              <w:lang w:val="en-US" w:eastAsia="zh-CN" w:bidi="ar-SA"/>
            </w:rPr>
            <w:fldChar w:fldCharType="begin"/>
          </w:r>
          <w:r>
            <w:rPr>
              <w:rFonts w:hint="eastAsia" w:asciiTheme="minorEastAsia" w:hAnsiTheme="minorEastAsia" w:eastAsiaTheme="minorEastAsia" w:cstheme="minorEastAsia"/>
              <w:b w:val="0"/>
              <w:bCs w:val="0"/>
              <w:kern w:val="0"/>
              <w:sz w:val="32"/>
              <w:szCs w:val="32"/>
              <w:lang w:val="en-US" w:eastAsia="zh-CN" w:bidi="ar-SA"/>
            </w:rPr>
            <w:instrText xml:space="preserve"> PAGEREF _Toc1829 \h </w:instrText>
          </w:r>
          <w:r>
            <w:rPr>
              <w:rFonts w:hint="eastAsia" w:asciiTheme="minorEastAsia" w:hAnsiTheme="minorEastAsia" w:eastAsiaTheme="minorEastAsia" w:cstheme="minorEastAsia"/>
              <w:b w:val="0"/>
              <w:bCs w:val="0"/>
              <w:kern w:val="0"/>
              <w:sz w:val="32"/>
              <w:szCs w:val="32"/>
              <w:lang w:val="en-US" w:eastAsia="zh-CN" w:bidi="ar-SA"/>
            </w:rPr>
            <w:fldChar w:fldCharType="separate"/>
          </w:r>
          <w:r>
            <w:rPr>
              <w:rFonts w:hint="eastAsia" w:asciiTheme="minorEastAsia" w:hAnsiTheme="minorEastAsia" w:eastAsiaTheme="minorEastAsia" w:cstheme="minorEastAsia"/>
              <w:b w:val="0"/>
              <w:bCs w:val="0"/>
              <w:kern w:val="0"/>
              <w:sz w:val="32"/>
              <w:szCs w:val="32"/>
              <w:lang w:val="en-US" w:eastAsia="zh-CN" w:bidi="ar-SA"/>
            </w:rPr>
            <w:t>18</w:t>
          </w:r>
          <w:r>
            <w:rPr>
              <w:rFonts w:hint="eastAsia" w:asciiTheme="minorEastAsia" w:hAnsiTheme="minorEastAsia" w:eastAsiaTheme="minorEastAsia" w:cstheme="minorEastAsia"/>
              <w:b w:val="0"/>
              <w:bCs w:val="0"/>
              <w:kern w:val="0"/>
              <w:sz w:val="32"/>
              <w:szCs w:val="32"/>
              <w:lang w:val="en-US" w:eastAsia="zh-CN" w:bidi="ar-SA"/>
            </w:rPr>
            <w:fldChar w:fldCharType="end"/>
          </w:r>
          <w:r>
            <w:rPr>
              <w:rFonts w:hint="eastAsia" w:asciiTheme="minorEastAsia" w:hAnsiTheme="minorEastAsia" w:eastAsiaTheme="minorEastAsia" w:cstheme="minorEastAsia"/>
              <w:b w:val="0"/>
              <w:bCs w:val="0"/>
              <w:kern w:val="0"/>
              <w:sz w:val="32"/>
              <w:szCs w:val="32"/>
              <w:lang w:val="en-US" w:eastAsia="zh-CN" w:bidi="ar-SA"/>
            </w:rPr>
            <w:fldChar w:fldCharType="end"/>
          </w:r>
        </w:p>
        <w:p w14:paraId="40791F6A">
          <w:pPr>
            <w:pStyle w:val="14"/>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_Toc27555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highlight w:val="none"/>
              <w:lang w:val="en-US" w:eastAsia="zh-CN"/>
            </w:rPr>
            <w:t>五</w:t>
          </w:r>
          <w:r>
            <w:rPr>
              <w:rFonts w:hint="eastAsia" w:asciiTheme="minorEastAsia" w:hAnsiTheme="minorEastAsia" w:eastAsiaTheme="minorEastAsia" w:cstheme="minorEastAsia"/>
              <w:sz w:val="32"/>
              <w:szCs w:val="32"/>
              <w:highlight w:val="none"/>
            </w:rPr>
            <w:t>、主要经验及做法</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_Toc27555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18</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05562419">
          <w:pPr>
            <w:pStyle w:val="14"/>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_Toc20375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highlight w:val="none"/>
              <w:lang w:val="en-US" w:eastAsia="zh-CN"/>
            </w:rPr>
            <w:t>六</w:t>
          </w:r>
          <w:r>
            <w:rPr>
              <w:rFonts w:hint="eastAsia" w:asciiTheme="minorEastAsia" w:hAnsiTheme="minorEastAsia" w:eastAsiaTheme="minorEastAsia" w:cstheme="minorEastAsia"/>
              <w:sz w:val="32"/>
              <w:szCs w:val="32"/>
              <w:highlight w:val="none"/>
            </w:rPr>
            <w:t>、存在问题及原因分析</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_Toc20375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18</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065D9A4B">
          <w:pPr>
            <w:pStyle w:val="14"/>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_Toc16101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highlight w:val="none"/>
              <w:lang w:val="en-US" w:eastAsia="zh-CN"/>
            </w:rPr>
            <w:t>七</w:t>
          </w:r>
          <w:r>
            <w:rPr>
              <w:rFonts w:hint="eastAsia" w:asciiTheme="minorEastAsia" w:hAnsiTheme="minorEastAsia" w:eastAsiaTheme="minorEastAsia" w:cstheme="minorEastAsia"/>
              <w:sz w:val="32"/>
              <w:szCs w:val="32"/>
              <w:highlight w:val="none"/>
            </w:rPr>
            <w:t>、建议</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_Toc16101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19</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21151D7C">
          <w:pPr>
            <w:pStyle w:val="14"/>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_Toc28976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highlight w:val="none"/>
              <w:lang w:val="en-US" w:eastAsia="zh-CN"/>
            </w:rPr>
            <w:t>八、其它需说明的情况</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_Toc28976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20</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6026E410">
          <w:pPr>
            <w:pStyle w:val="3"/>
            <w:keepNext w:val="0"/>
            <w:keepLines w:val="0"/>
            <w:pageBreakBefore w:val="0"/>
            <w:kinsoku/>
            <w:wordWrap/>
            <w:overflowPunct/>
            <w:topLinePunct w:val="0"/>
            <w:autoSpaceDE/>
            <w:autoSpaceDN/>
            <w:bidi w:val="0"/>
            <w:adjustRightInd/>
            <w:snapToGrid/>
            <w:spacing w:line="600" w:lineRule="exact"/>
            <w:textAlignment w:val="auto"/>
            <w:rPr>
              <w:rFonts w:ascii="方正小标宋简体" w:eastAsia="方正小标宋简体"/>
              <w:sz w:val="44"/>
              <w:szCs w:val="44"/>
            </w:rPr>
            <w:sectPr>
              <w:pgSz w:w="11906" w:h="16838"/>
              <w:pgMar w:top="2098" w:right="1474" w:bottom="1985" w:left="1588" w:header="851" w:footer="1474" w:gutter="0"/>
              <w:pgNumType w:fmt="lowerRoman" w:start="1"/>
              <w:cols w:space="425" w:num="1"/>
              <w:docGrid w:type="linesAndChars" w:linePitch="579" w:charSpace="3247"/>
            </w:sectPr>
          </w:pPr>
          <w:r>
            <w:rPr>
              <w:rFonts w:hint="eastAsia" w:asciiTheme="minorEastAsia" w:hAnsiTheme="minorEastAsia" w:eastAsiaTheme="minorEastAsia" w:cstheme="minorEastAsia"/>
              <w:sz w:val="32"/>
              <w:szCs w:val="32"/>
            </w:rPr>
            <w:fldChar w:fldCharType="end"/>
          </w:r>
        </w:p>
      </w:sdtContent>
    </w:sdt>
    <w:p w14:paraId="0B07A384">
      <w:pPr>
        <w:overflowPunct w:val="0"/>
        <w:spacing w:line="579" w:lineRule="exact"/>
        <w:jc w:val="center"/>
        <w:outlineLvl w:val="0"/>
        <w:rPr>
          <w:rFonts w:ascii="方正小标宋简体" w:eastAsia="方正小标宋简体"/>
          <w:sz w:val="44"/>
          <w:szCs w:val="44"/>
          <w:highlight w:val="none"/>
        </w:rPr>
      </w:pPr>
      <w:bookmarkStart w:id="0" w:name="_Toc7714"/>
      <w:bookmarkStart w:id="1" w:name="_Toc14795"/>
      <w:bookmarkStart w:id="2" w:name="_Toc20378"/>
      <w:r>
        <w:rPr>
          <w:rFonts w:hint="eastAsia" w:ascii="方正小标宋简体" w:eastAsia="方正小标宋简体"/>
          <w:sz w:val="44"/>
          <w:szCs w:val="44"/>
          <w:highlight w:val="none"/>
        </w:rPr>
        <w:t>摘  要</w:t>
      </w:r>
      <w:bookmarkEnd w:id="0"/>
      <w:bookmarkEnd w:id="1"/>
      <w:bookmarkEnd w:id="2"/>
    </w:p>
    <w:p w14:paraId="48105196">
      <w:pPr>
        <w:spacing w:line="579" w:lineRule="exact"/>
        <w:rPr>
          <w:rFonts w:ascii="方正小标宋简体" w:eastAsia="方正小标宋简体"/>
          <w:sz w:val="44"/>
          <w:szCs w:val="44"/>
          <w:highlight w:val="none"/>
        </w:rPr>
      </w:pPr>
    </w:p>
    <w:p w14:paraId="6F4DECCC">
      <w:pPr>
        <w:overflowPunct w:val="0"/>
        <w:spacing w:line="579" w:lineRule="exact"/>
        <w:ind w:firstLine="629" w:firstLineChars="0"/>
        <w:outlineLvl w:val="0"/>
        <w:rPr>
          <w:rFonts w:hint="eastAsia" w:ascii="方正小标宋简体" w:eastAsia="方正小标宋简体"/>
          <w:sz w:val="44"/>
          <w:szCs w:val="44"/>
          <w:highlight w:val="none"/>
          <w:lang w:val="en-US" w:eastAsia="zh-CN"/>
        </w:rPr>
      </w:pPr>
      <w:bookmarkStart w:id="3" w:name="_Toc18088"/>
      <w:r>
        <w:rPr>
          <w:rFonts w:hint="eastAsia" w:ascii="黑体" w:hAnsi="黑体" w:eastAsia="黑体"/>
          <w:szCs w:val="30"/>
          <w:highlight w:val="none"/>
        </w:rPr>
        <w:t>一、基本情况</w:t>
      </w:r>
      <w:bookmarkEnd w:id="3"/>
    </w:p>
    <w:p w14:paraId="46BA094E">
      <w:pPr>
        <w:spacing w:line="579" w:lineRule="exact"/>
        <w:ind w:firstLine="670" w:firstLineChars="200"/>
        <w:rPr>
          <w:rFonts w:hint="eastAsia" w:ascii="仿宋" w:hAnsi="仿宋" w:eastAsia="仿宋" w:cs="Times New Roman"/>
          <w:kern w:val="30"/>
          <w:sz w:val="32"/>
          <w:szCs w:val="32"/>
          <w:highlight w:val="none"/>
          <w:lang w:val="en-US" w:eastAsia="zh-CN" w:bidi="ar-SA"/>
        </w:rPr>
      </w:pPr>
      <w:r>
        <w:rPr>
          <w:rFonts w:hint="eastAsia" w:ascii="仿宋" w:hAnsi="仿宋" w:eastAsia="仿宋" w:cs="Times New Roman"/>
          <w:kern w:val="30"/>
          <w:sz w:val="32"/>
          <w:szCs w:val="32"/>
          <w:highlight w:val="none"/>
          <w:lang w:val="en-US" w:eastAsia="zh-CN" w:bidi="ar-SA"/>
        </w:rPr>
        <w:t>为提升金马碧鸡广场及周边区域市容环境质量，改善市民生活环境，金碧街道办事处申请并实施了“金马碧鸡广场城市管理市容环境综合整治经费”项目。根据《关于请予核拨金马碧鸡广场城市管理市容环境综合整治经费的请示》（金处请〔2019〕46号）及昆明市西山区人民政府《关于同意拨付金马碧鸡广场城市管理市容环境综合整治经费的批复》（西政复〔2019〕130号）等文件，设立了金碧广场办综合整治管理经费项目。</w:t>
      </w:r>
    </w:p>
    <w:p w14:paraId="4D8FCE4F">
      <w:pPr>
        <w:spacing w:line="579" w:lineRule="exact"/>
        <w:ind w:firstLine="670" w:firstLineChars="200"/>
        <w:rPr>
          <w:rFonts w:hint="eastAsia" w:ascii="仿宋" w:hAnsi="仿宋" w:eastAsia="仿宋" w:cs="Times New Roman"/>
          <w:kern w:val="30"/>
          <w:sz w:val="32"/>
          <w:szCs w:val="32"/>
          <w:highlight w:val="none"/>
          <w:lang w:val="en-US" w:eastAsia="zh-CN" w:bidi="ar-SA"/>
        </w:rPr>
      </w:pPr>
      <w:r>
        <w:rPr>
          <w:rFonts w:hint="eastAsia" w:ascii="仿宋" w:hAnsi="仿宋" w:eastAsia="仿宋" w:cs="Times New Roman"/>
          <w:kern w:val="30"/>
          <w:sz w:val="32"/>
          <w:szCs w:val="32"/>
          <w:highlight w:val="none"/>
          <w:lang w:val="en-US" w:eastAsia="zh-CN" w:bidi="ar-SA"/>
        </w:rPr>
        <w:t>项目预算资金总额为94.53万元，资金来源为本级财力安排，实际到位94.53万元，资金到位率100%，资金使用94.53万元，预算执行率100%。资金具体用于支付两个阶段的辅助性服务费用：</w:t>
      </w:r>
    </w:p>
    <w:p w14:paraId="4613DA33">
      <w:pPr>
        <w:spacing w:line="579" w:lineRule="exact"/>
        <w:ind w:firstLine="670" w:firstLineChars="200"/>
        <w:rPr>
          <w:rFonts w:hint="eastAsia" w:ascii="仿宋" w:hAnsi="仿宋" w:eastAsia="仿宋" w:cs="Times New Roman"/>
          <w:kern w:val="30"/>
          <w:sz w:val="32"/>
          <w:szCs w:val="32"/>
          <w:highlight w:val="none"/>
          <w:lang w:val="en-US" w:eastAsia="zh-CN" w:bidi="ar-SA"/>
        </w:rPr>
      </w:pPr>
      <w:r>
        <w:rPr>
          <w:rFonts w:hint="eastAsia" w:ascii="仿宋" w:hAnsi="仿宋" w:eastAsia="仿宋" w:cs="Times New Roman"/>
          <w:kern w:val="30"/>
          <w:sz w:val="32"/>
          <w:szCs w:val="32"/>
          <w:highlight w:val="none"/>
          <w:lang w:val="en-US" w:eastAsia="zh-CN" w:bidi="ar-SA"/>
        </w:rPr>
        <w:t>1.支付2024年1月22日至2024年4月30日期间的服务费用25.60万元；</w:t>
      </w:r>
    </w:p>
    <w:p w14:paraId="27235554">
      <w:pPr>
        <w:spacing w:line="579" w:lineRule="exact"/>
        <w:ind w:firstLine="670" w:firstLineChars="200"/>
        <w:rPr>
          <w:rFonts w:hint="eastAsia" w:ascii="仿宋" w:hAnsi="仿宋" w:eastAsia="仿宋" w:cs="Times New Roman"/>
          <w:kern w:val="30"/>
          <w:sz w:val="32"/>
          <w:szCs w:val="32"/>
          <w:highlight w:val="none"/>
          <w:lang w:val="en-US" w:eastAsia="zh-CN" w:bidi="ar-SA"/>
        </w:rPr>
      </w:pPr>
      <w:r>
        <w:rPr>
          <w:rFonts w:hint="eastAsia" w:ascii="仿宋" w:hAnsi="仿宋" w:eastAsia="仿宋" w:cs="Times New Roman"/>
          <w:kern w:val="30"/>
          <w:sz w:val="32"/>
          <w:szCs w:val="32"/>
          <w:highlight w:val="none"/>
          <w:lang w:val="en-US" w:eastAsia="zh-CN" w:bidi="ar-SA"/>
        </w:rPr>
        <w:t>2.支付通过政府购买服务采购的、2024年5月1日至2025年4月30日期间的服务费用68.93万元。</w:t>
      </w:r>
    </w:p>
    <w:p w14:paraId="64B8C42A">
      <w:pPr>
        <w:spacing w:line="579" w:lineRule="exact"/>
        <w:ind w:firstLine="670" w:firstLineChars="200"/>
        <w:rPr>
          <w:rFonts w:hint="default"/>
          <w:sz w:val="32"/>
          <w:szCs w:val="32"/>
          <w:lang w:val="en-US" w:eastAsia="zh-CN"/>
        </w:rPr>
      </w:pPr>
      <w:r>
        <w:rPr>
          <w:rFonts w:hint="eastAsia" w:ascii="仿宋" w:hAnsi="仿宋" w:eastAsia="仿宋" w:cs="Times New Roman"/>
          <w:kern w:val="30"/>
          <w:sz w:val="32"/>
          <w:szCs w:val="32"/>
          <w:highlight w:val="none"/>
          <w:lang w:val="en-US" w:eastAsia="zh-CN" w:bidi="ar-SA"/>
        </w:rPr>
        <w:t>项目主要通过购买城市管理辅助性服务，聘请协勤人员对重点区域进行市容环境综合治理，具体包括街面秩序维护、占道经营整治、乱停乱放管理等工作，旨在实现城市精细化管理的目标</w:t>
      </w:r>
      <w:r>
        <w:rPr>
          <w:rFonts w:hint="eastAsia" w:hAnsi="仿宋" w:cs="Times New Roman"/>
          <w:kern w:val="30"/>
          <w:sz w:val="32"/>
          <w:szCs w:val="32"/>
          <w:lang w:val="en-US" w:eastAsia="zh-CN" w:bidi="ar-SA"/>
        </w:rPr>
        <w:t>。</w:t>
      </w:r>
    </w:p>
    <w:p w14:paraId="6EEC5A61">
      <w:pPr>
        <w:overflowPunct w:val="0"/>
        <w:spacing w:line="579" w:lineRule="exact"/>
        <w:ind w:firstLine="629" w:firstLineChars="0"/>
        <w:outlineLvl w:val="0"/>
        <w:rPr>
          <w:rFonts w:hint="eastAsia" w:hAnsi="仿宋"/>
          <w:szCs w:val="30"/>
          <w:highlight w:val="none"/>
          <w:lang w:val="en-US" w:eastAsia="zh-CN"/>
        </w:rPr>
      </w:pPr>
      <w:bookmarkStart w:id="4" w:name="_Toc4434"/>
      <w:r>
        <w:rPr>
          <w:rFonts w:hint="eastAsia" w:ascii="黑体" w:hAnsi="黑体" w:eastAsia="黑体"/>
          <w:szCs w:val="30"/>
          <w:highlight w:val="none"/>
        </w:rPr>
        <w:t>二、绩效评价结论</w:t>
      </w:r>
      <w:bookmarkEnd w:id="4"/>
    </w:p>
    <w:p w14:paraId="2A667335">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2024年金碧广场办综合整治管理经费项目绩效评价得分90分，评价等级为“优”。</w:t>
      </w:r>
    </w:p>
    <w:p w14:paraId="413BA7EF">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整体来看，项目依据充分：项目严格按照《金碧街道办事处“三重一大”事项集体决策制度实施办法》进行集体决策，并遵循《金碧街道办事处财务管理办法》及政府采购相关规定。</w:t>
      </w:r>
    </w:p>
    <w:p w14:paraId="5EC87CD2">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目标明确，服务方根据合同约定，派驻协勤人员31名，按东、中、西三个片区实行网格化管理。服务期间，严格依据《金碧综合行政执法队协勤人员考核办法》及《金碧街道办事处城市管理辅助性服务考评办法》进行日常管理、巡查与季度考核，确保了服务的有效交付。通过项目的实施，协勤人员有效开展了街面巡查、占道经营整治、非机动车停放管理、数字城管案件处置等工作，服务范围内的市容秩序得到有效维护，完成了合同约定的各项服务内容。</w:t>
      </w:r>
    </w:p>
    <w:p w14:paraId="48489D7A">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管理制度健全，制定了完善的《金碧街道办事处财务管理办法》《金碧综合行政执法队协勤人员考核办法》等一系列业务与财务管理制度。项目执行过程中，严格遵守相关法律法规和内部管理规定，合同、验收单、考核记录等资料齐全并及时归档，为项目的顺利实施提供了制度保障。</w:t>
      </w:r>
    </w:p>
    <w:p w14:paraId="4DECDFE2">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过程可控，项目资金使用符合国家财经法规和贵单位财务管理制度。资金的拨付具有完整的审批程序和手续，未发现截留、挤占、挪用、虚列支出等情况。财务监控机制健全，采取了必要的财务检查和对账措施，保障了资金的安全规范运行。</w:t>
      </w:r>
    </w:p>
    <w:p w14:paraId="2F963B2D">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项目执行实际完成率、完成及时率、质量达标率均达到预期目标，有效保障了辖区重点区域的市容环境秩序。项目成本节约率为0，实际支出与预算基本一致，实现了对成本的精准控制。</w:t>
      </w:r>
    </w:p>
    <w:p w14:paraId="34FE178F">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社会效益突出，项目的实施有效提升了金碧街道的市容环境质量和城市管理效能，社会效益与履职效益显著。</w:t>
      </w:r>
    </w:p>
    <w:p w14:paraId="7A468319">
      <w:pPr>
        <w:spacing w:line="579" w:lineRule="exact"/>
        <w:ind w:firstLine="670" w:firstLineChars="200"/>
        <w:rPr>
          <w:rFonts w:hint="default"/>
          <w:lang w:val="en-US" w:eastAsia="zh-CN"/>
        </w:rPr>
      </w:pPr>
      <w:r>
        <w:rPr>
          <w:rFonts w:hint="eastAsia" w:hAnsi="仿宋"/>
          <w:sz w:val="32"/>
          <w:szCs w:val="32"/>
          <w:highlight w:val="none"/>
          <w:lang w:val="en-US" w:eastAsia="zh-CN"/>
        </w:rPr>
        <w:t>服务对象满意，根据满意度问卷调查结果汇总分析，社会公众和单位工作人员对项目整体实施效果的满意度较</w:t>
      </w:r>
      <w:r>
        <w:rPr>
          <w:rFonts w:hint="eastAsia" w:hAnsi="仿宋"/>
          <w:szCs w:val="30"/>
          <w:highlight w:val="none"/>
          <w:lang w:val="en-US" w:eastAsia="zh-CN"/>
        </w:rPr>
        <w:t>高。</w:t>
      </w:r>
    </w:p>
    <w:p w14:paraId="202B73DF">
      <w:pPr>
        <w:numPr>
          <w:ilvl w:val="0"/>
          <w:numId w:val="1"/>
        </w:numPr>
        <w:spacing w:line="579" w:lineRule="exact"/>
        <w:ind w:firstLine="630" w:firstLineChars="200"/>
        <w:outlineLvl w:val="0"/>
        <w:rPr>
          <w:rFonts w:hint="eastAsia" w:ascii="黑体" w:hAnsi="宋体" w:eastAsia="黑体" w:cs="宋体"/>
          <w:szCs w:val="30"/>
          <w:highlight w:val="none"/>
        </w:rPr>
      </w:pPr>
      <w:bookmarkStart w:id="5" w:name="_Toc15937"/>
      <w:r>
        <w:rPr>
          <w:rFonts w:hint="eastAsia" w:ascii="黑体" w:hAnsi="宋体" w:eastAsia="黑体" w:cs="宋体"/>
          <w:szCs w:val="30"/>
          <w:highlight w:val="none"/>
        </w:rPr>
        <w:t>存在问题及原因分析</w:t>
      </w:r>
      <w:bookmarkEnd w:id="5"/>
    </w:p>
    <w:p w14:paraId="72F658C1">
      <w:pPr>
        <w:pStyle w:val="7"/>
        <w:numPr>
          <w:ilvl w:val="0"/>
          <w:numId w:val="0"/>
        </w:numPr>
        <w:ind w:firstLine="804" w:firstLineChars="240"/>
        <w:rPr>
          <w:rFonts w:hint="eastAsia" w:ascii="仿宋" w:hAnsi="仿宋" w:eastAsia="仿宋" w:cs="Times New Roman"/>
          <w:kern w:val="30"/>
          <w:sz w:val="32"/>
          <w:szCs w:val="32"/>
          <w:highlight w:val="none"/>
          <w:lang w:val="en-US" w:eastAsia="zh-CN" w:bidi="ar-SA"/>
        </w:rPr>
      </w:pPr>
      <w:r>
        <w:rPr>
          <w:rFonts w:hint="eastAsia" w:ascii="仿宋" w:hAnsi="仿宋" w:eastAsia="仿宋" w:cs="Times New Roman"/>
          <w:kern w:val="30"/>
          <w:sz w:val="32"/>
          <w:szCs w:val="32"/>
          <w:highlight w:val="none"/>
          <w:lang w:val="en-US" w:eastAsia="zh-CN" w:bidi="ar-SA"/>
        </w:rPr>
        <w:t>1.绩效目标设定不够科学，可衡量性不足</w:t>
      </w:r>
    </w:p>
    <w:p w14:paraId="06EF318E">
      <w:pPr>
        <w:pStyle w:val="7"/>
        <w:numPr>
          <w:ilvl w:val="0"/>
          <w:numId w:val="0"/>
        </w:numPr>
        <w:ind w:firstLine="670" w:firstLineChars="200"/>
        <w:rPr>
          <w:rFonts w:hint="eastAsia" w:ascii="仿宋" w:hAnsi="仿宋" w:eastAsia="仿宋" w:cs="Times New Roman"/>
          <w:kern w:val="30"/>
          <w:sz w:val="32"/>
          <w:szCs w:val="32"/>
          <w:highlight w:val="none"/>
          <w:lang w:val="en-US" w:eastAsia="zh-CN" w:bidi="ar-SA"/>
        </w:rPr>
      </w:pPr>
      <w:r>
        <w:rPr>
          <w:rFonts w:hint="eastAsia" w:ascii="仿宋" w:hAnsi="仿宋" w:eastAsia="仿宋" w:cs="Times New Roman"/>
          <w:kern w:val="30"/>
          <w:sz w:val="32"/>
          <w:szCs w:val="32"/>
          <w:highlight w:val="none"/>
          <w:lang w:val="en-US" w:eastAsia="zh-CN" w:bidi="ar-SA"/>
        </w:rPr>
        <w:t>指标值设定过于宽泛，如“综合治理完成率”未分解为“占道经营整治率”“非机动车规范停放率”等具体可量化指标。缺乏过程与结果相结合的分级指标，未区分日常巡查覆盖率、问题处置率、复发控制率等，难以全面反映治理成效。</w:t>
      </w:r>
    </w:p>
    <w:p w14:paraId="027A1826">
      <w:pPr>
        <w:pStyle w:val="7"/>
        <w:numPr>
          <w:ilvl w:val="0"/>
          <w:numId w:val="0"/>
        </w:numPr>
        <w:ind w:firstLine="804" w:firstLineChars="240"/>
        <w:rPr>
          <w:rFonts w:hint="eastAsia" w:ascii="仿宋" w:hAnsi="仿宋" w:eastAsia="仿宋" w:cs="Times New Roman"/>
          <w:kern w:val="30"/>
          <w:sz w:val="32"/>
          <w:szCs w:val="32"/>
          <w:highlight w:val="none"/>
          <w:lang w:val="en-US" w:eastAsia="zh-CN" w:bidi="ar-SA"/>
        </w:rPr>
      </w:pPr>
      <w:r>
        <w:rPr>
          <w:rFonts w:hint="eastAsia" w:ascii="仿宋" w:hAnsi="仿宋" w:eastAsia="仿宋" w:cs="Times New Roman"/>
          <w:kern w:val="30"/>
          <w:sz w:val="32"/>
          <w:szCs w:val="32"/>
          <w:highlight w:val="none"/>
          <w:lang w:val="en-US" w:eastAsia="zh-CN" w:bidi="ar-SA"/>
        </w:rPr>
        <w:t>2.管理重心偏重于短期秩序维护</w:t>
      </w:r>
    </w:p>
    <w:p w14:paraId="39E0EEA1">
      <w:pPr>
        <w:pStyle w:val="7"/>
        <w:numPr>
          <w:ilvl w:val="0"/>
          <w:numId w:val="0"/>
        </w:numPr>
        <w:ind w:firstLine="670" w:firstLineChars="200"/>
        <w:rPr>
          <w:rFonts w:hint="eastAsia" w:ascii="仿宋" w:hAnsi="仿宋" w:eastAsia="仿宋" w:cs="Times New Roman"/>
          <w:kern w:val="30"/>
          <w:sz w:val="32"/>
          <w:szCs w:val="32"/>
          <w:highlight w:val="none"/>
          <w:lang w:val="en-US" w:eastAsia="zh-CN" w:bidi="ar-SA"/>
        </w:rPr>
      </w:pPr>
      <w:r>
        <w:rPr>
          <w:rFonts w:hint="eastAsia" w:ascii="仿宋" w:hAnsi="仿宋" w:eastAsia="仿宋" w:cs="Times New Roman"/>
          <w:kern w:val="30"/>
          <w:sz w:val="32"/>
          <w:szCs w:val="32"/>
          <w:highlight w:val="none"/>
          <w:lang w:val="en-US" w:eastAsia="zh-CN" w:bidi="ar-SA"/>
        </w:rPr>
        <w:t>管理多集中于日常事务监督，缺乏针对复杂问题的协同处置预案、人员长效培训及基于绩效的激励机制，服务效果存在反弹风险。项目管理重心偏向短期秩序维护，对培育专业化、稳定化的管理力量及形成可持续管理模式缺乏长远规划与制度安排。</w:t>
      </w:r>
    </w:p>
    <w:p w14:paraId="1991851B">
      <w:pPr>
        <w:spacing w:line="579" w:lineRule="exact"/>
        <w:ind w:firstLine="630" w:firstLineChars="200"/>
        <w:outlineLvl w:val="0"/>
        <w:rPr>
          <w:rFonts w:ascii="黑体" w:hAnsi="宋体" w:eastAsia="黑体" w:cs="宋体"/>
          <w:szCs w:val="30"/>
          <w:highlight w:val="none"/>
        </w:rPr>
      </w:pPr>
      <w:bookmarkStart w:id="6" w:name="_Toc11928"/>
      <w:r>
        <w:rPr>
          <w:rFonts w:hint="eastAsia" w:ascii="黑体" w:hAnsi="宋体" w:eastAsia="黑体" w:cs="宋体"/>
          <w:szCs w:val="30"/>
          <w:highlight w:val="none"/>
          <w:lang w:val="en-US" w:eastAsia="zh-CN"/>
        </w:rPr>
        <w:t>四</w:t>
      </w:r>
      <w:r>
        <w:rPr>
          <w:rFonts w:hint="eastAsia" w:ascii="黑体" w:hAnsi="宋体" w:eastAsia="黑体" w:cs="宋体"/>
          <w:szCs w:val="30"/>
          <w:highlight w:val="none"/>
        </w:rPr>
        <w:t>、建议</w:t>
      </w:r>
      <w:bookmarkEnd w:id="6"/>
    </w:p>
    <w:p w14:paraId="1451949C">
      <w:pPr>
        <w:spacing w:line="579" w:lineRule="exact"/>
        <w:ind w:firstLine="670" w:firstLineChars="200"/>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1.建议在下一预算周期，重构绩效指标</w:t>
      </w:r>
    </w:p>
    <w:p w14:paraId="6A119C6F">
      <w:pPr>
        <w:spacing w:line="579" w:lineRule="exact"/>
        <w:ind w:firstLine="670" w:firstLineChars="200"/>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在保留必要过程指标基础上，大幅增加结果性、效益性指标权重。针对“乱停乱放”设置“重点区域泊位周转率</w:t>
      </w:r>
      <w:r>
        <w:rPr>
          <w:rFonts w:hint="eastAsia" w:hAnsi="仿宋" w:cs="Times New Roman"/>
          <w:sz w:val="32"/>
          <w:szCs w:val="32"/>
          <w:highlight w:val="none"/>
          <w:lang w:val="en-US" w:eastAsia="zh-CN"/>
        </w:rPr>
        <w:t>”“</w:t>
      </w:r>
      <w:r>
        <w:rPr>
          <w:rFonts w:hint="eastAsia" w:ascii="仿宋" w:hAnsi="仿宋" w:eastAsia="仿宋" w:cs="Times New Roman"/>
          <w:sz w:val="32"/>
          <w:szCs w:val="32"/>
          <w:highlight w:val="none"/>
          <w:lang w:val="en-US" w:eastAsia="zh-CN"/>
        </w:rPr>
        <w:t>市民规范停放调查得分”等笼统指标，分解为不同片区、问题类型的精细化目标。</w:t>
      </w:r>
    </w:p>
    <w:p w14:paraId="634F9D1A">
      <w:pPr>
        <w:spacing w:line="579" w:lineRule="exact"/>
        <w:ind w:firstLine="670" w:firstLineChars="200"/>
        <w:rPr>
          <w:rFonts w:hint="eastAsia" w:ascii="仿宋" w:hAnsi="仿宋" w:eastAsia="仿宋" w:cs="Times New Roman"/>
          <w:sz w:val="32"/>
          <w:szCs w:val="32"/>
          <w:highlight w:val="none"/>
          <w:lang w:val="en-US" w:eastAsia="zh-CN"/>
        </w:rPr>
      </w:pPr>
      <w:r>
        <w:rPr>
          <w:rFonts w:hint="eastAsia" w:hAnsi="仿宋" w:cs="Times New Roman"/>
          <w:sz w:val="32"/>
          <w:szCs w:val="32"/>
          <w:highlight w:val="none"/>
          <w:lang w:val="en-US" w:eastAsia="zh-CN"/>
        </w:rPr>
        <w:t>2.</w:t>
      </w:r>
      <w:r>
        <w:rPr>
          <w:rFonts w:hint="eastAsia" w:ascii="仿宋" w:hAnsi="仿宋" w:eastAsia="仿宋" w:cs="Times New Roman"/>
          <w:sz w:val="32"/>
          <w:szCs w:val="32"/>
          <w:highlight w:val="none"/>
          <w:lang w:val="en-US" w:eastAsia="zh-CN"/>
        </w:rPr>
        <w:t>深化公众参与，提升治理共识与满意度</w:t>
      </w:r>
    </w:p>
    <w:p w14:paraId="75894DA8">
      <w:pPr>
        <w:numPr>
          <w:ilvl w:val="0"/>
          <w:numId w:val="0"/>
        </w:numPr>
        <w:spacing w:line="579" w:lineRule="exact"/>
        <w:ind w:firstLine="670" w:firstLineChars="200"/>
        <w:rPr>
          <w:rFonts w:hint="default"/>
          <w:sz w:val="32"/>
          <w:szCs w:val="32"/>
          <w:lang w:val="en-US" w:eastAsia="zh-CN"/>
        </w:rPr>
      </w:pPr>
      <w:r>
        <w:rPr>
          <w:rFonts w:hint="eastAsia" w:ascii="仿宋" w:hAnsi="仿宋" w:eastAsia="仿宋" w:cs="Times New Roman"/>
          <w:sz w:val="32"/>
          <w:szCs w:val="32"/>
          <w:highlight w:val="none"/>
          <w:lang w:val="en-US" w:eastAsia="zh-CN"/>
        </w:rPr>
        <w:t>建议推动跨部门协同治理，加强内部培训与沟通</w:t>
      </w:r>
      <w:r>
        <w:rPr>
          <w:rFonts w:hint="eastAsia" w:hAnsi="仿宋" w:cs="Times New Roman"/>
          <w:sz w:val="32"/>
          <w:szCs w:val="32"/>
          <w:highlight w:val="none"/>
          <w:lang w:val="en-US" w:eastAsia="zh-CN"/>
        </w:rPr>
        <w:t>，</w:t>
      </w:r>
      <w:r>
        <w:rPr>
          <w:rFonts w:hint="eastAsia" w:ascii="仿宋" w:hAnsi="仿宋" w:eastAsia="仿宋" w:cs="Times New Roman"/>
          <w:sz w:val="32"/>
          <w:szCs w:val="32"/>
          <w:highlight w:val="none"/>
          <w:lang w:val="en-US" w:eastAsia="zh-CN"/>
        </w:rPr>
        <w:t>面向工作人员开展绩效目标解读、沟通技巧培训，提升组织协同效率，提升项目可持续性</w:t>
      </w:r>
      <w:r>
        <w:rPr>
          <w:rFonts w:hint="eastAsia" w:hAnsi="仿宋" w:cs="Times New Roman"/>
          <w:sz w:val="32"/>
          <w:szCs w:val="32"/>
          <w:highlight w:val="none"/>
          <w:lang w:val="en-US" w:eastAsia="zh-CN"/>
        </w:rPr>
        <w:t>，</w:t>
      </w:r>
      <w:r>
        <w:rPr>
          <w:rFonts w:hint="eastAsia" w:ascii="仿宋" w:hAnsi="仿宋" w:eastAsia="仿宋" w:cs="Times New Roman"/>
          <w:sz w:val="32"/>
          <w:szCs w:val="32"/>
          <w:highlight w:val="none"/>
          <w:lang w:val="en-US" w:eastAsia="zh-CN"/>
        </w:rPr>
        <w:t>鼓励商户和居民共同参与，邀请大家当监督员、提意见。</w:t>
      </w:r>
    </w:p>
    <w:p w14:paraId="62B3D3A8">
      <w:pPr>
        <w:spacing w:line="579" w:lineRule="exact"/>
        <w:ind w:firstLine="630" w:firstLineChars="200"/>
        <w:outlineLvl w:val="0"/>
        <w:rPr>
          <w:rFonts w:hint="default" w:ascii="黑体" w:hAnsi="宋体" w:eastAsia="黑体" w:cs="宋体"/>
          <w:szCs w:val="30"/>
          <w:highlight w:val="none"/>
          <w:lang w:val="en-US" w:eastAsia="zh-CN"/>
        </w:rPr>
      </w:pPr>
      <w:bookmarkStart w:id="7" w:name="_Toc24152"/>
      <w:r>
        <w:rPr>
          <w:rFonts w:hint="eastAsia" w:ascii="黑体" w:hAnsi="宋体" w:eastAsia="黑体" w:cs="宋体"/>
          <w:szCs w:val="30"/>
          <w:highlight w:val="none"/>
          <w:lang w:val="en-US" w:eastAsia="zh-CN"/>
        </w:rPr>
        <w:t>五、其他需说明的情况</w:t>
      </w:r>
      <w:bookmarkEnd w:id="7"/>
    </w:p>
    <w:p w14:paraId="46E44354">
      <w:pPr>
        <w:spacing w:line="579" w:lineRule="exact"/>
        <w:ind w:firstLine="630" w:firstLineChars="200"/>
        <w:rPr>
          <w:rFonts w:hint="default" w:ascii="仿宋" w:hAnsi="仿宋" w:eastAsia="仿宋" w:cs="Times New Roman"/>
          <w:sz w:val="30"/>
          <w:szCs w:val="30"/>
          <w:highlight w:val="none"/>
          <w:lang w:val="en-US" w:eastAsia="zh-CN"/>
        </w:rPr>
        <w:sectPr>
          <w:footerReference r:id="rId4" w:type="default"/>
          <w:footerReference r:id="rId5" w:type="even"/>
          <w:pgSz w:w="11906" w:h="16838"/>
          <w:pgMar w:top="2098" w:right="1474" w:bottom="1985" w:left="1588" w:header="851" w:footer="1474" w:gutter="0"/>
          <w:pgNumType w:fmt="upperRoman" w:start="1"/>
          <w:cols w:space="425" w:num="1"/>
          <w:docGrid w:type="linesAndChars" w:linePitch="579" w:charSpace="3247"/>
        </w:sectPr>
      </w:pPr>
      <w:r>
        <w:rPr>
          <w:rFonts w:hint="eastAsia" w:ascii="仿宋" w:hAnsi="仿宋" w:eastAsia="仿宋" w:cs="Times New Roman"/>
          <w:sz w:val="30"/>
          <w:szCs w:val="30"/>
          <w:highlight w:val="none"/>
          <w:lang w:val="en-US" w:eastAsia="zh-CN"/>
        </w:rPr>
        <w:t>无</w:t>
      </w:r>
      <w:r>
        <w:rPr>
          <w:rFonts w:hint="eastAsia" w:hAnsi="仿宋" w:cs="Times New Roman"/>
          <w:sz w:val="30"/>
          <w:szCs w:val="30"/>
          <w:highlight w:val="none"/>
          <w:lang w:val="en-US" w:eastAsia="zh-CN"/>
        </w:rPr>
        <w:t>。</w:t>
      </w:r>
    </w:p>
    <w:p w14:paraId="6F5E216A">
      <w:pPr>
        <w:overflowPunct w:val="0"/>
        <w:spacing w:line="579" w:lineRule="exact"/>
        <w:jc w:val="center"/>
        <w:outlineLvl w:val="0"/>
        <w:rPr>
          <w:rFonts w:ascii="方正小标宋简体" w:eastAsia="方正小标宋简体"/>
          <w:sz w:val="44"/>
          <w:szCs w:val="44"/>
        </w:rPr>
      </w:pPr>
      <w:bookmarkStart w:id="8" w:name="_Toc23098"/>
      <w:r>
        <w:rPr>
          <w:rFonts w:hint="eastAsia" w:ascii="方正小标宋简体" w:eastAsia="方正小标宋简体"/>
          <w:sz w:val="44"/>
          <w:szCs w:val="44"/>
          <w:highlight w:val="none"/>
          <w:lang w:val="en-US" w:eastAsia="zh-CN"/>
        </w:rPr>
        <w:t>2024年金碧广场办综合整治管理经费项目支出</w:t>
      </w:r>
      <w:r>
        <w:rPr>
          <w:rFonts w:hint="eastAsia" w:ascii="方正小标宋简体" w:eastAsia="方正小标宋简体"/>
          <w:sz w:val="44"/>
          <w:szCs w:val="44"/>
          <w:highlight w:val="none"/>
        </w:rPr>
        <w:t>绩效评价报告</w:t>
      </w:r>
      <w:bookmarkEnd w:id="8"/>
    </w:p>
    <w:p w14:paraId="386166CB">
      <w:pPr>
        <w:spacing w:line="579" w:lineRule="exact"/>
        <w:rPr>
          <w:rFonts w:hAnsi="仿宋"/>
          <w:sz w:val="36"/>
          <w:szCs w:val="36"/>
        </w:rPr>
      </w:pPr>
    </w:p>
    <w:p w14:paraId="22AB3F4A">
      <w:pPr>
        <w:spacing w:line="579" w:lineRule="exact"/>
        <w:ind w:firstLine="670" w:firstLineChars="200"/>
        <w:rPr>
          <w:rFonts w:hAnsi="仿宋"/>
          <w:sz w:val="32"/>
          <w:szCs w:val="32"/>
          <w:highlight w:val="none"/>
        </w:rPr>
      </w:pPr>
      <w:r>
        <w:rPr>
          <w:rFonts w:hint="eastAsia" w:hAnsi="仿宋"/>
          <w:sz w:val="32"/>
          <w:szCs w:val="32"/>
          <w:highlight w:val="none"/>
        </w:rPr>
        <w:t>根据昆明市</w:t>
      </w:r>
      <w:r>
        <w:rPr>
          <w:rFonts w:hint="eastAsia" w:hAnsi="仿宋"/>
          <w:sz w:val="32"/>
          <w:szCs w:val="32"/>
          <w:highlight w:val="none"/>
          <w:lang w:val="en-US" w:eastAsia="zh-CN"/>
        </w:rPr>
        <w:t>西山区</w:t>
      </w:r>
      <w:r>
        <w:rPr>
          <w:rFonts w:hint="eastAsia" w:hAnsi="仿宋"/>
          <w:sz w:val="32"/>
          <w:szCs w:val="32"/>
          <w:highlight w:val="none"/>
        </w:rPr>
        <w:t>财政局《关于开展西山区 2024年度项目支出财政重点绩效评价工作的通知》</w:t>
      </w:r>
      <w:r>
        <w:rPr>
          <w:rFonts w:hint="eastAsia" w:hAnsi="仿宋"/>
          <w:sz w:val="32"/>
          <w:szCs w:val="32"/>
          <w:highlight w:val="none"/>
          <w:lang w:eastAsia="zh-CN"/>
        </w:rPr>
        <w:t>（</w:t>
      </w:r>
      <w:r>
        <w:rPr>
          <w:rFonts w:hint="eastAsia" w:hAnsi="仿宋"/>
          <w:sz w:val="32"/>
          <w:szCs w:val="32"/>
          <w:highlight w:val="none"/>
        </w:rPr>
        <w:t>西财评绩〔202</w:t>
      </w:r>
      <w:r>
        <w:rPr>
          <w:rFonts w:hint="eastAsia" w:hAnsi="仿宋"/>
          <w:sz w:val="32"/>
          <w:szCs w:val="32"/>
          <w:highlight w:val="none"/>
          <w:lang w:val="en-US" w:eastAsia="zh-CN"/>
        </w:rPr>
        <w:t>5</w:t>
      </w:r>
      <w:r>
        <w:rPr>
          <w:rFonts w:hint="eastAsia" w:hAnsi="仿宋"/>
          <w:sz w:val="32"/>
          <w:szCs w:val="32"/>
          <w:highlight w:val="none"/>
        </w:rPr>
        <w:t>〕1</w:t>
      </w:r>
      <w:r>
        <w:rPr>
          <w:rFonts w:hint="eastAsia" w:hAnsi="仿宋"/>
          <w:sz w:val="32"/>
          <w:szCs w:val="32"/>
          <w:highlight w:val="none"/>
          <w:lang w:val="en-US" w:eastAsia="zh-CN"/>
        </w:rPr>
        <w:t>6</w:t>
      </w:r>
      <w:r>
        <w:rPr>
          <w:rFonts w:hint="eastAsia" w:hAnsi="仿宋"/>
          <w:sz w:val="32"/>
          <w:szCs w:val="32"/>
          <w:highlight w:val="none"/>
        </w:rPr>
        <w:t>号</w:t>
      </w:r>
      <w:r>
        <w:rPr>
          <w:rFonts w:hint="eastAsia" w:hAnsi="仿宋"/>
          <w:sz w:val="32"/>
          <w:szCs w:val="32"/>
          <w:highlight w:val="none"/>
          <w:lang w:eastAsia="zh-CN"/>
        </w:rPr>
        <w:t>）</w:t>
      </w:r>
      <w:r>
        <w:rPr>
          <w:rFonts w:hint="eastAsia" w:hAnsi="仿宋"/>
          <w:sz w:val="32"/>
          <w:szCs w:val="32"/>
          <w:highlight w:val="none"/>
        </w:rPr>
        <w:t>，结合财政部《项目支出绩效评价管理办法》（财预〔2020〕10号）、《中共云南省委</w:t>
      </w:r>
      <w:r>
        <w:rPr>
          <w:rFonts w:hint="eastAsia" w:hAnsi="仿宋"/>
          <w:sz w:val="32"/>
          <w:szCs w:val="32"/>
          <w:highlight w:val="none"/>
          <w:lang w:val="en-US" w:eastAsia="zh-CN"/>
        </w:rPr>
        <w:t>、</w:t>
      </w:r>
      <w:r>
        <w:rPr>
          <w:rFonts w:hint="eastAsia" w:hAnsi="仿宋"/>
          <w:sz w:val="32"/>
          <w:szCs w:val="32"/>
          <w:highlight w:val="none"/>
        </w:rPr>
        <w:t>云南省政府关于全面实施预算绩效管理的实施意见》（云发〔2019〕11号）</w:t>
      </w:r>
      <w:r>
        <w:rPr>
          <w:rFonts w:hint="eastAsia" w:hAnsi="仿宋"/>
          <w:sz w:val="32"/>
          <w:szCs w:val="32"/>
          <w:highlight w:val="none"/>
          <w:lang w:eastAsia="zh-CN"/>
        </w:rPr>
        <w:t>、</w:t>
      </w:r>
      <w:r>
        <w:rPr>
          <w:rFonts w:hint="eastAsia" w:hAnsi="仿宋"/>
          <w:sz w:val="32"/>
          <w:szCs w:val="32"/>
          <w:highlight w:val="none"/>
        </w:rPr>
        <w:t>《云南省财政厅关于印发</w:t>
      </w:r>
      <w:r>
        <w:rPr>
          <w:rFonts w:hint="eastAsia" w:hAnsi="仿宋"/>
          <w:sz w:val="32"/>
          <w:szCs w:val="32"/>
          <w:highlight w:val="none"/>
          <w:lang w:eastAsia="zh-CN"/>
        </w:rPr>
        <w:t>〈</w:t>
      </w:r>
      <w:r>
        <w:rPr>
          <w:rFonts w:hint="eastAsia" w:hAnsi="仿宋"/>
          <w:sz w:val="32"/>
          <w:szCs w:val="32"/>
          <w:highlight w:val="none"/>
        </w:rPr>
        <w:t>云南省项目支出绩效评价管理办法</w:t>
      </w:r>
      <w:r>
        <w:rPr>
          <w:rFonts w:hint="eastAsia" w:hAnsi="仿宋"/>
          <w:sz w:val="32"/>
          <w:szCs w:val="32"/>
          <w:highlight w:val="none"/>
          <w:lang w:eastAsia="zh-CN"/>
        </w:rPr>
        <w:t>〉的通知》</w:t>
      </w:r>
      <w:r>
        <w:rPr>
          <w:rFonts w:hint="eastAsia" w:hAnsi="仿宋"/>
          <w:sz w:val="32"/>
          <w:szCs w:val="32"/>
          <w:highlight w:val="none"/>
        </w:rPr>
        <w:t>（云财绩〔2020〕11号）</w:t>
      </w:r>
      <w:r>
        <w:rPr>
          <w:rFonts w:hint="eastAsia" w:hAnsi="仿宋"/>
          <w:sz w:val="32"/>
          <w:szCs w:val="32"/>
          <w:highlight w:val="none"/>
          <w:lang w:eastAsia="zh-CN"/>
        </w:rPr>
        <w:t>、中共昆明市西山区委、昆明市西山区人民政府关于印发《全面实施预算绩效管理的实施意见的通知》（西发〔2020〕3号）</w:t>
      </w:r>
      <w:r>
        <w:rPr>
          <w:rFonts w:hint="eastAsia" w:hAnsi="仿宋"/>
          <w:sz w:val="32"/>
          <w:szCs w:val="32"/>
          <w:highlight w:val="none"/>
          <w:lang w:val="en-US" w:eastAsia="zh-CN"/>
        </w:rPr>
        <w:t>等文件</w:t>
      </w:r>
      <w:r>
        <w:rPr>
          <w:rFonts w:hint="eastAsia" w:hAnsi="仿宋"/>
          <w:sz w:val="32"/>
          <w:szCs w:val="32"/>
          <w:highlight w:val="none"/>
        </w:rPr>
        <w:t>的要求，</w:t>
      </w:r>
      <w:r>
        <w:rPr>
          <w:rFonts w:hint="eastAsia" w:hAnsi="仿宋"/>
          <w:sz w:val="32"/>
          <w:szCs w:val="32"/>
          <w:highlight w:val="none"/>
          <w:lang w:eastAsia="zh-CN"/>
        </w:rPr>
        <w:t>云南谛祥会计师事务所（普通合伙）</w:t>
      </w:r>
      <w:r>
        <w:rPr>
          <w:rFonts w:hint="eastAsia" w:hAnsi="仿宋"/>
          <w:sz w:val="32"/>
          <w:szCs w:val="32"/>
          <w:highlight w:val="none"/>
        </w:rPr>
        <w:t>接受</w:t>
      </w:r>
      <w:r>
        <w:rPr>
          <w:rFonts w:hint="eastAsia" w:hAnsi="仿宋"/>
          <w:sz w:val="32"/>
          <w:szCs w:val="32"/>
          <w:highlight w:val="none"/>
          <w:lang w:val="en-US" w:eastAsia="zh-CN"/>
        </w:rPr>
        <w:t>昆明</w:t>
      </w:r>
      <w:r>
        <w:rPr>
          <w:rFonts w:hint="eastAsia" w:hAnsi="仿宋"/>
          <w:sz w:val="32"/>
          <w:szCs w:val="32"/>
          <w:highlight w:val="none"/>
        </w:rPr>
        <w:t>市</w:t>
      </w:r>
      <w:r>
        <w:rPr>
          <w:rFonts w:hint="eastAsia" w:hAnsi="仿宋"/>
          <w:sz w:val="32"/>
          <w:szCs w:val="32"/>
          <w:highlight w:val="none"/>
          <w:lang w:val="en-US" w:eastAsia="zh-CN"/>
        </w:rPr>
        <w:t>西山区</w:t>
      </w:r>
      <w:r>
        <w:rPr>
          <w:rFonts w:hint="eastAsia" w:hAnsi="仿宋"/>
          <w:sz w:val="32"/>
          <w:szCs w:val="32"/>
          <w:highlight w:val="none"/>
        </w:rPr>
        <w:t>财政局委托，于20</w:t>
      </w:r>
      <w:r>
        <w:rPr>
          <w:rFonts w:hint="eastAsia" w:hAnsi="仿宋"/>
          <w:sz w:val="32"/>
          <w:szCs w:val="32"/>
          <w:highlight w:val="none"/>
          <w:lang w:val="en-US" w:eastAsia="zh-CN"/>
        </w:rPr>
        <w:t>25</w:t>
      </w:r>
      <w:r>
        <w:rPr>
          <w:rFonts w:hint="eastAsia" w:hAnsi="仿宋"/>
          <w:sz w:val="32"/>
          <w:szCs w:val="32"/>
          <w:highlight w:val="none"/>
        </w:rPr>
        <w:t>年</w:t>
      </w:r>
      <w:r>
        <w:rPr>
          <w:rFonts w:hint="eastAsia" w:hAnsi="仿宋"/>
          <w:sz w:val="32"/>
          <w:szCs w:val="32"/>
          <w:highlight w:val="none"/>
          <w:lang w:val="en-US" w:eastAsia="zh-CN"/>
        </w:rPr>
        <w:t>8</w:t>
      </w:r>
      <w:r>
        <w:rPr>
          <w:rFonts w:hint="eastAsia" w:hAnsi="仿宋"/>
          <w:sz w:val="32"/>
          <w:szCs w:val="32"/>
          <w:highlight w:val="none"/>
        </w:rPr>
        <w:t>月至2</w:t>
      </w:r>
      <w:r>
        <w:rPr>
          <w:rFonts w:hint="eastAsia" w:hAnsi="仿宋"/>
          <w:sz w:val="32"/>
          <w:szCs w:val="32"/>
          <w:highlight w:val="none"/>
          <w:lang w:val="en-US" w:eastAsia="zh-CN"/>
        </w:rPr>
        <w:t>025</w:t>
      </w:r>
      <w:r>
        <w:rPr>
          <w:rFonts w:hint="eastAsia" w:hAnsi="仿宋"/>
          <w:sz w:val="32"/>
          <w:szCs w:val="32"/>
          <w:highlight w:val="none"/>
        </w:rPr>
        <w:t>年</w:t>
      </w:r>
      <w:r>
        <w:rPr>
          <w:rFonts w:hint="eastAsia" w:hAnsi="仿宋"/>
          <w:sz w:val="32"/>
          <w:szCs w:val="32"/>
          <w:highlight w:val="none"/>
          <w:lang w:val="en-US" w:eastAsia="zh-CN"/>
        </w:rPr>
        <w:t>10</w:t>
      </w:r>
      <w:r>
        <w:rPr>
          <w:rFonts w:hint="eastAsia" w:hAnsi="仿宋"/>
          <w:sz w:val="32"/>
          <w:szCs w:val="32"/>
          <w:highlight w:val="none"/>
        </w:rPr>
        <w:t>月对</w:t>
      </w:r>
      <w:r>
        <w:rPr>
          <w:rFonts w:hint="eastAsia" w:hAnsi="仿宋"/>
          <w:sz w:val="32"/>
          <w:szCs w:val="32"/>
          <w:highlight w:val="none"/>
          <w:lang w:eastAsia="zh-CN"/>
        </w:rPr>
        <w:t>“2024年金碧广场办综合整治管理经费”</w:t>
      </w:r>
      <w:r>
        <w:rPr>
          <w:rFonts w:hint="eastAsia" w:hAnsi="仿宋"/>
          <w:sz w:val="32"/>
          <w:szCs w:val="32"/>
          <w:highlight w:val="none"/>
          <w:lang w:val="en-US" w:eastAsia="zh-CN"/>
        </w:rPr>
        <w:t>项目</w:t>
      </w:r>
      <w:r>
        <w:rPr>
          <w:rFonts w:hint="eastAsia" w:hAnsi="仿宋"/>
          <w:sz w:val="32"/>
          <w:szCs w:val="32"/>
          <w:highlight w:val="none"/>
        </w:rPr>
        <w:t>开展绩效评价。现将评价情况报告如下：</w:t>
      </w:r>
    </w:p>
    <w:p w14:paraId="4866C230">
      <w:pPr>
        <w:spacing w:line="579" w:lineRule="exact"/>
        <w:ind w:firstLine="630" w:firstLineChars="200"/>
        <w:outlineLvl w:val="0"/>
        <w:rPr>
          <w:rFonts w:ascii="黑体" w:hAnsi="黑体" w:eastAsia="黑体" w:cs="宋体"/>
          <w:szCs w:val="30"/>
        </w:rPr>
      </w:pPr>
      <w:bookmarkStart w:id="9" w:name="_Toc23775"/>
      <w:bookmarkStart w:id="10" w:name="_Toc18223"/>
      <w:r>
        <w:rPr>
          <w:rFonts w:hint="eastAsia" w:ascii="黑体" w:hAnsi="黑体" w:eastAsia="黑体" w:cs="宋体"/>
          <w:szCs w:val="30"/>
        </w:rPr>
        <w:t>一、基本情况</w:t>
      </w:r>
      <w:bookmarkEnd w:id="9"/>
      <w:bookmarkEnd w:id="10"/>
    </w:p>
    <w:p w14:paraId="1976C206">
      <w:pPr>
        <w:spacing w:line="579" w:lineRule="exact"/>
        <w:ind w:firstLine="670" w:firstLineChars="200"/>
        <w:outlineLvl w:val="1"/>
        <w:rPr>
          <w:rFonts w:hint="eastAsia" w:ascii="楷体" w:hAnsi="楷体" w:eastAsia="楷体"/>
          <w:sz w:val="32"/>
          <w:szCs w:val="32"/>
        </w:rPr>
      </w:pPr>
      <w:bookmarkStart w:id="11" w:name="_Toc11393"/>
      <w:bookmarkStart w:id="12" w:name="_Toc27397"/>
      <w:r>
        <w:rPr>
          <w:rFonts w:hint="eastAsia" w:ascii="楷体" w:hAnsi="楷体" w:eastAsia="楷体"/>
          <w:sz w:val="32"/>
          <w:szCs w:val="32"/>
        </w:rPr>
        <w:t>（一）项目概况</w:t>
      </w:r>
      <w:bookmarkEnd w:id="11"/>
      <w:bookmarkEnd w:id="12"/>
    </w:p>
    <w:p w14:paraId="2604D7D9">
      <w:pPr>
        <w:spacing w:line="579" w:lineRule="exact"/>
        <w:ind w:firstLine="670" w:firstLineChars="200"/>
        <w:rPr>
          <w:rFonts w:hint="eastAsia" w:hAnsi="仿宋"/>
          <w:sz w:val="32"/>
          <w:szCs w:val="32"/>
          <w:highlight w:val="none"/>
          <w:lang w:val="en-US" w:eastAsia="zh-CN"/>
        </w:rPr>
      </w:pPr>
      <w:bookmarkStart w:id="13" w:name="_Toc9806"/>
      <w:r>
        <w:rPr>
          <w:rFonts w:hint="eastAsia" w:hAnsi="仿宋"/>
          <w:sz w:val="32"/>
          <w:szCs w:val="32"/>
          <w:highlight w:val="none"/>
          <w:lang w:val="en-US" w:eastAsia="zh-CN"/>
        </w:rPr>
        <w:t>为持续提升金马碧鸡广场及周边区域的城市管理水平，巩固市容环境综合整治成效，建立全国文明城市长效常态机制，根据《关于请予核拨金马碧鸡广场城市管理市容环境综合整治经费的请示》（金处请〔2019〕46号）及昆明市西山区人民政府《关于同意拨付金马碧鸡广场城市管理市容环境综合整治经费的批复》（西政复〔2019〕130号）等文件，设立了金碧广场办综合整治管理经费项目。</w:t>
      </w:r>
    </w:p>
    <w:p w14:paraId="054A2377">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本次评价该项目预算资金总额为94.53万元，资金来源为本级财力安排。资金分两部分用于支付城市管理辅助性服务费用：</w:t>
      </w:r>
    </w:p>
    <w:p w14:paraId="5CE16E07">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1.支付2024年1月22日至2024年4月30日期间的服务费用25.60万元；</w:t>
      </w:r>
    </w:p>
    <w:p w14:paraId="0F2ADE8E">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2.通过政府购买服务程序，支付云南昆仑保安服务有限公司2024年5月1日至2025年4月30日期间的服务费用68.93万元。</w:t>
      </w:r>
    </w:p>
    <w:p w14:paraId="7EA6E401">
      <w:pPr>
        <w:spacing w:line="579" w:lineRule="exact"/>
        <w:ind w:firstLine="670" w:firstLineChars="200"/>
        <w:rPr>
          <w:rFonts w:ascii="楷体" w:hAnsi="楷体" w:eastAsia="楷体"/>
          <w:sz w:val="32"/>
          <w:szCs w:val="32"/>
        </w:rPr>
      </w:pPr>
      <w:r>
        <w:rPr>
          <w:rFonts w:hint="eastAsia" w:hAnsi="仿宋"/>
          <w:sz w:val="32"/>
          <w:szCs w:val="32"/>
          <w:highlight w:val="none"/>
          <w:lang w:val="en-US" w:eastAsia="zh-CN"/>
        </w:rPr>
        <w:t>项目旨在通过引入专业化协勤力量，加强对金马碧鸡广场等重点区域的市容秩序管理，有效处置占道经营、规范非机动车停放、维护街面环境，从而提升城市精细化管理水平。</w:t>
      </w:r>
      <w:r>
        <w:rPr>
          <w:rFonts w:hint="eastAsia" w:hAnsi="仿宋"/>
          <w:szCs w:val="30"/>
          <w:highlight w:val="none"/>
          <w:lang w:val="en-US" w:eastAsia="zh-CN"/>
        </w:rPr>
        <w:br w:type="textWrapping"/>
      </w:r>
      <w:r>
        <w:rPr>
          <w:rFonts w:hint="eastAsia" w:hAnsi="仿宋"/>
          <w:szCs w:val="30"/>
          <w:highlight w:val="none"/>
          <w:lang w:val="en-US" w:eastAsia="zh-CN"/>
        </w:rPr>
        <w:t xml:space="preserve">  （二）</w:t>
      </w:r>
      <w:r>
        <w:rPr>
          <w:rFonts w:hint="eastAsia" w:ascii="楷体" w:hAnsi="楷体" w:eastAsia="楷体"/>
          <w:sz w:val="32"/>
          <w:szCs w:val="32"/>
          <w:lang w:val="en-US" w:eastAsia="zh-CN"/>
        </w:rPr>
        <w:t>资金到位及使用情况</w:t>
      </w:r>
      <w:bookmarkEnd w:id="13"/>
    </w:p>
    <w:p w14:paraId="2EF313CC">
      <w:pPr>
        <w:spacing w:line="579" w:lineRule="exact"/>
        <w:ind w:firstLine="670" w:firstLineChars="200"/>
        <w:outlineLvl w:val="2"/>
        <w:rPr>
          <w:rFonts w:hAnsi="仿宋"/>
          <w:sz w:val="32"/>
          <w:szCs w:val="32"/>
          <w:highlight w:val="none"/>
        </w:rPr>
      </w:pPr>
      <w:r>
        <w:rPr>
          <w:rFonts w:hint="eastAsia" w:hAnsi="仿宋"/>
          <w:sz w:val="32"/>
          <w:szCs w:val="32"/>
          <w:highlight w:val="none"/>
          <w:lang w:val="en-US" w:eastAsia="zh-CN"/>
        </w:rPr>
        <w:t>1.资金到位</w:t>
      </w:r>
      <w:r>
        <w:rPr>
          <w:rFonts w:hint="eastAsia" w:hAnsi="仿宋"/>
          <w:sz w:val="32"/>
          <w:szCs w:val="32"/>
          <w:highlight w:val="none"/>
        </w:rPr>
        <w:t>情况</w:t>
      </w:r>
    </w:p>
    <w:p w14:paraId="32064A00">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根据《昆明市西山区财政局关于批复2024年部门预算的通知》（西财预〔2024〕8号），下达金碧广场办综合整治管理</w:t>
      </w:r>
      <w:r>
        <w:rPr>
          <w:rFonts w:hint="eastAsia" w:hAnsi="仿宋"/>
          <w:sz w:val="32"/>
          <w:szCs w:val="32"/>
          <w:lang w:val="en-US" w:eastAsia="zh-CN"/>
        </w:rPr>
        <w:t>94.53万元</w:t>
      </w:r>
      <w:r>
        <w:rPr>
          <w:rFonts w:hint="eastAsia" w:hAnsi="仿宋"/>
          <w:sz w:val="32"/>
          <w:szCs w:val="32"/>
          <w:highlight w:val="none"/>
          <w:lang w:val="en-US" w:eastAsia="zh-CN"/>
        </w:rPr>
        <w:t>，实际到位</w:t>
      </w:r>
      <w:r>
        <w:rPr>
          <w:rFonts w:hint="eastAsia" w:hAnsi="仿宋"/>
          <w:sz w:val="32"/>
          <w:szCs w:val="32"/>
          <w:lang w:val="en-US" w:eastAsia="zh-CN"/>
        </w:rPr>
        <w:t>94.53万元</w:t>
      </w:r>
      <w:r>
        <w:rPr>
          <w:rFonts w:hint="eastAsia" w:hAnsi="仿宋"/>
          <w:sz w:val="32"/>
          <w:szCs w:val="32"/>
          <w:highlight w:val="none"/>
          <w:lang w:val="en-US" w:eastAsia="zh-CN"/>
        </w:rPr>
        <w:t>，资金到位率100%</w:t>
      </w:r>
      <w:r>
        <w:rPr>
          <w:rFonts w:hint="eastAsia" w:hAnsi="仿宋" w:cs="Times New Roman"/>
          <w:kern w:val="30"/>
          <w:sz w:val="32"/>
          <w:szCs w:val="32"/>
          <w:lang w:val="en-US" w:eastAsia="zh-CN" w:bidi="ar-SA"/>
        </w:rPr>
        <w:t>。</w:t>
      </w:r>
    </w:p>
    <w:p w14:paraId="56219CB5">
      <w:pPr>
        <w:spacing w:line="579" w:lineRule="exact"/>
        <w:ind w:firstLine="670" w:firstLineChars="200"/>
        <w:outlineLvl w:val="2"/>
        <w:rPr>
          <w:rFonts w:hint="eastAsia" w:ascii="仿宋" w:hAnsi="仿宋" w:eastAsia="仿宋" w:cs="Times New Roman"/>
          <w:kern w:val="30"/>
          <w:sz w:val="32"/>
          <w:szCs w:val="32"/>
          <w:highlight w:val="none"/>
          <w:lang w:val="en-US" w:eastAsia="zh-CN" w:bidi="ar-SA"/>
        </w:rPr>
      </w:pPr>
      <w:r>
        <w:rPr>
          <w:rFonts w:hint="eastAsia" w:hAnsi="仿宋" w:cs="Times New Roman"/>
          <w:kern w:val="30"/>
          <w:sz w:val="32"/>
          <w:szCs w:val="32"/>
          <w:highlight w:val="none"/>
          <w:lang w:val="en-US" w:eastAsia="zh-CN" w:bidi="ar-SA"/>
        </w:rPr>
        <w:t>2</w:t>
      </w:r>
      <w:r>
        <w:rPr>
          <w:rFonts w:hint="eastAsia" w:ascii="仿宋" w:hAnsi="仿宋" w:eastAsia="仿宋" w:cs="Times New Roman"/>
          <w:kern w:val="30"/>
          <w:sz w:val="32"/>
          <w:szCs w:val="32"/>
          <w:highlight w:val="none"/>
          <w:lang w:val="en-US" w:eastAsia="zh-CN" w:bidi="ar-SA"/>
        </w:rPr>
        <w:t>.资金使用情况</w:t>
      </w:r>
    </w:p>
    <w:p w14:paraId="05CCB13F">
      <w:pPr>
        <w:spacing w:line="579" w:lineRule="exact"/>
        <w:ind w:firstLine="670" w:firstLineChars="200"/>
        <w:rPr>
          <w:rFonts w:hint="eastAsia" w:ascii="仿宋" w:hAnsi="仿宋" w:eastAsia="仿宋" w:cs="Times New Roman"/>
          <w:kern w:val="30"/>
          <w:sz w:val="32"/>
          <w:szCs w:val="32"/>
          <w:highlight w:val="none"/>
          <w:lang w:val="en-US" w:eastAsia="zh-CN" w:bidi="ar-SA"/>
        </w:rPr>
      </w:pPr>
      <w:r>
        <w:rPr>
          <w:rFonts w:hint="eastAsia" w:ascii="仿宋" w:hAnsi="仿宋" w:eastAsia="仿宋" w:cs="Times New Roman"/>
          <w:kern w:val="30"/>
          <w:sz w:val="32"/>
          <w:szCs w:val="32"/>
          <w:highlight w:val="none"/>
          <w:lang w:val="en-US" w:eastAsia="zh-CN" w:bidi="ar-SA"/>
        </w:rPr>
        <w:t>截至评价日，项目累计支出94.53万元，预算执行率100%。资金支付分两笔执行：</w:t>
      </w:r>
    </w:p>
    <w:p w14:paraId="6E2F5C23">
      <w:pPr>
        <w:spacing w:line="579" w:lineRule="exact"/>
        <w:ind w:firstLine="670" w:firstLineChars="200"/>
        <w:rPr>
          <w:rFonts w:hint="eastAsia" w:ascii="仿宋" w:hAnsi="仿宋" w:eastAsia="仿宋" w:cs="Times New Roman"/>
          <w:kern w:val="30"/>
          <w:sz w:val="32"/>
          <w:szCs w:val="32"/>
          <w:highlight w:val="none"/>
          <w:lang w:val="en-US" w:eastAsia="zh-CN" w:bidi="ar-SA"/>
        </w:rPr>
      </w:pPr>
      <w:r>
        <w:rPr>
          <w:rFonts w:hint="eastAsia" w:ascii="仿宋" w:hAnsi="仿宋" w:eastAsia="仿宋" w:cs="Times New Roman"/>
          <w:kern w:val="30"/>
          <w:sz w:val="32"/>
          <w:szCs w:val="32"/>
          <w:highlight w:val="none"/>
          <w:lang w:val="en-US" w:eastAsia="zh-CN" w:bidi="ar-SA"/>
        </w:rPr>
        <w:t>支付2024年1月22日至2024年4月30日城市管理辅助性服务费用25.60万元；</w:t>
      </w:r>
    </w:p>
    <w:p w14:paraId="51A03219">
      <w:pPr>
        <w:spacing w:line="579" w:lineRule="exact"/>
        <w:ind w:firstLine="670" w:firstLineChars="200"/>
        <w:rPr>
          <w:rFonts w:hint="default" w:ascii="仿宋" w:hAnsi="仿宋" w:eastAsia="仿宋" w:cs="Times New Roman"/>
          <w:kern w:val="30"/>
          <w:sz w:val="32"/>
          <w:szCs w:val="32"/>
          <w:highlight w:val="none"/>
          <w:lang w:val="en-US" w:eastAsia="zh-CN" w:bidi="ar-SA"/>
        </w:rPr>
      </w:pPr>
      <w:r>
        <w:rPr>
          <w:rFonts w:hint="eastAsia" w:ascii="仿宋" w:hAnsi="仿宋" w:eastAsia="仿宋" w:cs="Times New Roman"/>
          <w:kern w:val="30"/>
          <w:sz w:val="32"/>
          <w:szCs w:val="32"/>
          <w:highlight w:val="none"/>
          <w:lang w:val="en-US" w:eastAsia="zh-CN" w:bidi="ar-SA"/>
        </w:rPr>
        <w:t>支付2024年5月至2025年4月购买城市管理辅助性服务费用68.93万元</w:t>
      </w:r>
      <w:r>
        <w:rPr>
          <w:rFonts w:hint="eastAsia" w:hAnsi="仿宋" w:cs="Times New Roman"/>
          <w:kern w:val="30"/>
          <w:sz w:val="32"/>
          <w:szCs w:val="32"/>
          <w:lang w:val="en-US" w:eastAsia="zh-CN" w:bidi="ar-SA"/>
        </w:rPr>
        <w:t>。</w:t>
      </w:r>
    </w:p>
    <w:p w14:paraId="45275380">
      <w:pPr>
        <w:numPr>
          <w:ilvl w:val="0"/>
          <w:numId w:val="2"/>
        </w:numPr>
        <w:spacing w:line="579" w:lineRule="exact"/>
        <w:ind w:firstLine="670" w:firstLineChars="200"/>
        <w:outlineLvl w:val="1"/>
        <w:rPr>
          <w:rFonts w:hint="eastAsia" w:ascii="楷体" w:hAnsi="楷体" w:eastAsia="楷体"/>
          <w:sz w:val="32"/>
          <w:szCs w:val="32"/>
          <w:lang w:val="en-US" w:eastAsia="zh-CN"/>
        </w:rPr>
      </w:pPr>
      <w:bookmarkStart w:id="14" w:name="_Toc6664"/>
      <w:bookmarkStart w:id="15" w:name="_Toc21384"/>
      <w:r>
        <w:rPr>
          <w:rFonts w:hint="eastAsia" w:ascii="楷体" w:hAnsi="楷体" w:eastAsia="楷体"/>
          <w:sz w:val="32"/>
          <w:szCs w:val="32"/>
          <w:lang w:val="en-US" w:eastAsia="zh-CN"/>
        </w:rPr>
        <w:t>实施内容</w:t>
      </w:r>
      <w:bookmarkEnd w:id="14"/>
      <w:bookmarkEnd w:id="15"/>
    </w:p>
    <w:p w14:paraId="7498E74F">
      <w:pPr>
        <w:spacing w:line="579" w:lineRule="exact"/>
        <w:ind w:firstLine="670" w:firstLineChars="200"/>
        <w:outlineLvl w:val="9"/>
        <w:rPr>
          <w:rFonts w:hint="default" w:hAnsi="仿宋"/>
          <w:sz w:val="32"/>
          <w:szCs w:val="32"/>
          <w:lang w:val="en-US" w:eastAsia="zh-CN"/>
        </w:rPr>
      </w:pPr>
      <w:bookmarkStart w:id="16" w:name="_Toc16422"/>
      <w:r>
        <w:rPr>
          <w:rFonts w:hint="eastAsia" w:hAnsi="仿宋"/>
          <w:sz w:val="32"/>
          <w:szCs w:val="32"/>
          <w:lang w:val="en-US" w:eastAsia="zh-CN"/>
        </w:rPr>
        <w:t>根据西政复〔2019〕130号关于同意拨付金马碧鸡广场城市管理市容环境综合整治经费的批复、合同等相关文件，主要内容如下：</w:t>
      </w:r>
    </w:p>
    <w:p w14:paraId="75EFA496">
      <w:pPr>
        <w:shd w:val="clear"/>
        <w:spacing w:line="579" w:lineRule="exact"/>
        <w:ind w:firstLine="670" w:firstLineChars="200"/>
        <w:outlineLvl w:val="9"/>
        <w:rPr>
          <w:rFonts w:hint="eastAsia" w:hAnsi="仿宋"/>
          <w:sz w:val="32"/>
          <w:szCs w:val="32"/>
          <w:highlight w:val="none"/>
          <w:lang w:val="en-US" w:eastAsia="zh-CN"/>
        </w:rPr>
      </w:pPr>
      <w:r>
        <w:rPr>
          <w:rFonts w:hint="eastAsia" w:hAnsi="仿宋"/>
          <w:sz w:val="32"/>
          <w:szCs w:val="32"/>
          <w:lang w:val="en-US" w:eastAsia="zh-CN"/>
        </w:rPr>
        <w:t>该项目由金碧街道办事处执法队负责实施及管理。根据办事处对金碧辖区重点区域市容环境综合治理工作方案的部署及安排，项目资金用于支付两个阶段的辅助性服务费用</w:t>
      </w:r>
      <w:r>
        <w:rPr>
          <w:rFonts w:hint="eastAsia" w:hAnsi="仿宋"/>
          <w:sz w:val="32"/>
          <w:szCs w:val="32"/>
          <w:highlight w:val="none"/>
          <w:lang w:val="en-US" w:eastAsia="zh-CN"/>
        </w:rPr>
        <w:t>：</w:t>
      </w:r>
    </w:p>
    <w:p w14:paraId="1A2CA40E">
      <w:pPr>
        <w:shd w:val="clear"/>
        <w:spacing w:line="579" w:lineRule="exact"/>
        <w:ind w:firstLine="670" w:firstLineChars="200"/>
        <w:outlineLvl w:val="9"/>
        <w:rPr>
          <w:rFonts w:hint="eastAsia"/>
          <w:sz w:val="32"/>
          <w:szCs w:val="32"/>
          <w:lang w:val="en-US" w:eastAsia="zh-CN"/>
        </w:rPr>
      </w:pPr>
      <w:r>
        <w:rPr>
          <w:rFonts w:hint="eastAsia"/>
          <w:sz w:val="32"/>
          <w:szCs w:val="32"/>
          <w:lang w:val="en-US" w:eastAsia="zh-CN"/>
        </w:rPr>
        <w:t>1.前期服务（2024年1月22日—2024年4月30日）： 支付相关城市管理辅助性服务费用25.60万元。</w:t>
      </w:r>
    </w:p>
    <w:p w14:paraId="30C85DCD">
      <w:pPr>
        <w:shd w:val="clear"/>
        <w:spacing w:line="579" w:lineRule="exact"/>
        <w:ind w:firstLine="670" w:firstLineChars="200"/>
        <w:outlineLvl w:val="9"/>
        <w:rPr>
          <w:rFonts w:hint="eastAsia"/>
          <w:sz w:val="32"/>
          <w:szCs w:val="32"/>
          <w:lang w:val="en-US" w:eastAsia="zh-CN"/>
        </w:rPr>
      </w:pPr>
      <w:r>
        <w:rPr>
          <w:rFonts w:hint="eastAsia"/>
          <w:sz w:val="32"/>
          <w:szCs w:val="32"/>
          <w:lang w:val="en-US" w:eastAsia="zh-CN"/>
        </w:rPr>
        <w:t>2.政府购买服务期（2024年5月1日—2025年4月30日）： 严格按照政府采购程序，通过竞争性磋商方式，确定云南昆仑保安服务有限公司为服务供应商，并签订《城市市容管理服务合同书》，合同金额68.93万元。服务方根据合同约定，派驻协勤人员对金碧辖区重点区域（如云南省第一人民医院、昆明市第一人民医院、昆明市儿童医院周边等）实行网格化管理，开展街面秩序维护、占道经营整治、非机动车停放管理等具体工作。</w:t>
      </w:r>
    </w:p>
    <w:p w14:paraId="2184E788">
      <w:pPr>
        <w:shd w:val="clear"/>
        <w:spacing w:line="579" w:lineRule="exact"/>
        <w:ind w:firstLine="670" w:firstLineChars="200"/>
        <w:outlineLvl w:val="1"/>
        <w:rPr>
          <w:rFonts w:hint="default" w:ascii="楷体" w:hAnsi="楷体" w:eastAsia="楷体"/>
          <w:sz w:val="32"/>
          <w:szCs w:val="32"/>
          <w:highlight w:val="none"/>
          <w:lang w:val="en-US" w:eastAsia="zh-CN"/>
        </w:rPr>
      </w:pPr>
      <w:bookmarkStart w:id="17" w:name="_Toc8591"/>
      <w:r>
        <w:rPr>
          <w:rFonts w:hint="eastAsia" w:ascii="楷体" w:hAnsi="楷体" w:eastAsia="楷体"/>
          <w:sz w:val="32"/>
          <w:szCs w:val="32"/>
          <w:highlight w:val="none"/>
        </w:rPr>
        <w:t>（</w:t>
      </w:r>
      <w:r>
        <w:rPr>
          <w:rFonts w:hint="eastAsia" w:ascii="楷体" w:hAnsi="楷体" w:eastAsia="楷体"/>
          <w:sz w:val="32"/>
          <w:szCs w:val="32"/>
          <w:highlight w:val="none"/>
          <w:lang w:val="en-US" w:eastAsia="zh-CN"/>
        </w:rPr>
        <w:t>四</w:t>
      </w:r>
      <w:r>
        <w:rPr>
          <w:rFonts w:hint="eastAsia" w:ascii="楷体" w:hAnsi="楷体" w:eastAsia="楷体"/>
          <w:sz w:val="32"/>
          <w:szCs w:val="32"/>
          <w:highlight w:val="none"/>
        </w:rPr>
        <w:t>）绩效目标</w:t>
      </w:r>
      <w:r>
        <w:rPr>
          <w:rFonts w:hint="eastAsia" w:ascii="楷体" w:hAnsi="楷体" w:eastAsia="楷体"/>
          <w:sz w:val="32"/>
          <w:szCs w:val="32"/>
          <w:highlight w:val="none"/>
          <w:lang w:val="en-US" w:eastAsia="zh-CN"/>
        </w:rPr>
        <w:t>设立情况</w:t>
      </w:r>
      <w:bookmarkEnd w:id="16"/>
      <w:bookmarkEnd w:id="17"/>
    </w:p>
    <w:p w14:paraId="6CA985BD">
      <w:pPr>
        <w:numPr>
          <w:ilvl w:val="0"/>
          <w:numId w:val="0"/>
        </w:numPr>
        <w:spacing w:line="579" w:lineRule="exact"/>
        <w:ind w:left="0" w:leftChars="0" w:firstLine="670" w:firstLineChars="200"/>
        <w:outlineLvl w:val="2"/>
        <w:rPr>
          <w:rFonts w:hint="eastAsia" w:hAnsi="仿宋"/>
          <w:sz w:val="32"/>
          <w:szCs w:val="32"/>
          <w:highlight w:val="none"/>
        </w:rPr>
      </w:pPr>
      <w:bookmarkStart w:id="18" w:name="_Hlk525314309"/>
      <w:r>
        <w:rPr>
          <w:rFonts w:hint="eastAsia" w:hAnsi="仿宋"/>
          <w:sz w:val="32"/>
          <w:szCs w:val="32"/>
          <w:highlight w:val="none"/>
        </w:rPr>
        <w:t>1.下达绩效目标和绩效指标情况</w:t>
      </w:r>
    </w:p>
    <w:p w14:paraId="09690AB9">
      <w:pPr>
        <w:numPr>
          <w:ilvl w:val="0"/>
          <w:numId w:val="0"/>
        </w:numPr>
        <w:spacing w:line="579" w:lineRule="exact"/>
        <w:ind w:left="0" w:leftChars="0" w:firstLine="670" w:firstLineChars="200"/>
        <w:outlineLvl w:val="3"/>
        <w:rPr>
          <w:rFonts w:hint="eastAsia" w:hAnsi="仿宋"/>
          <w:sz w:val="32"/>
          <w:szCs w:val="32"/>
          <w:highlight w:val="none"/>
        </w:rPr>
      </w:pPr>
      <w:r>
        <w:rPr>
          <w:rFonts w:hint="eastAsia" w:hAnsi="仿宋"/>
          <w:sz w:val="32"/>
          <w:szCs w:val="32"/>
          <w:highlight w:val="none"/>
        </w:rPr>
        <w:t>（1）绩效目标</w:t>
      </w:r>
    </w:p>
    <w:p w14:paraId="30979226">
      <w:pPr>
        <w:numPr>
          <w:ilvl w:val="0"/>
          <w:numId w:val="0"/>
        </w:numPr>
        <w:spacing w:line="579" w:lineRule="exact"/>
        <w:ind w:firstLine="670" w:firstLineChars="200"/>
        <w:rPr>
          <w:rFonts w:hint="eastAsia" w:hAnsi="仿宋" w:cs="Times New Roman"/>
          <w:sz w:val="32"/>
          <w:szCs w:val="32"/>
          <w:highlight w:val="none"/>
          <w:lang w:val="en-US" w:eastAsia="zh-CN"/>
        </w:rPr>
      </w:pPr>
      <w:r>
        <w:rPr>
          <w:rFonts w:hint="eastAsia" w:hAnsi="仿宋"/>
          <w:sz w:val="32"/>
          <w:szCs w:val="32"/>
          <w:highlight w:val="none"/>
        </w:rPr>
        <w:t>根据西政复</w:t>
      </w:r>
      <w:r>
        <w:rPr>
          <w:rFonts w:hint="eastAsia" w:hAnsi="仿宋"/>
          <w:sz w:val="32"/>
          <w:szCs w:val="32"/>
          <w:highlight w:val="none"/>
          <w:lang w:eastAsia="zh-CN"/>
        </w:rPr>
        <w:t>〔2019〕130号</w:t>
      </w:r>
      <w:r>
        <w:rPr>
          <w:rFonts w:hint="eastAsia" w:hAnsi="仿宋"/>
          <w:sz w:val="32"/>
          <w:szCs w:val="32"/>
          <w:highlight w:val="none"/>
        </w:rPr>
        <w:t>关于同意拨付金马碧鸡广场城市管理市容环境综合整治经费的批复、合同等相关文件，街道以政府购买服务的方式，与保安公司</w:t>
      </w:r>
      <w:r>
        <w:rPr>
          <w:rFonts w:hint="eastAsia" w:hAnsi="仿宋"/>
          <w:sz w:val="32"/>
          <w:szCs w:val="32"/>
          <w:highlight w:val="none"/>
          <w:lang w:eastAsia="zh-CN"/>
        </w:rPr>
        <w:t>签订</w:t>
      </w:r>
      <w:r>
        <w:rPr>
          <w:rFonts w:hint="eastAsia" w:hAnsi="仿宋"/>
          <w:sz w:val="32"/>
          <w:szCs w:val="32"/>
          <w:highlight w:val="none"/>
        </w:rPr>
        <w:t>辅助性城市管理服务合同，协助街道执法队对辖区城市管理市容环境进行综合整治，增加执法力量，提高工作效率</w:t>
      </w:r>
      <w:r>
        <w:rPr>
          <w:rFonts w:hint="eastAsia" w:hAnsi="仿宋" w:cs="Times New Roman"/>
          <w:sz w:val="32"/>
          <w:szCs w:val="32"/>
          <w:highlight w:val="none"/>
          <w:lang w:val="en-US" w:eastAsia="zh-CN"/>
        </w:rPr>
        <w:t>。</w:t>
      </w:r>
    </w:p>
    <w:p w14:paraId="08CC0897">
      <w:pPr>
        <w:numPr>
          <w:ilvl w:val="0"/>
          <w:numId w:val="0"/>
        </w:numPr>
        <w:spacing w:line="579" w:lineRule="exact"/>
        <w:ind w:left="0" w:leftChars="0" w:firstLine="670" w:firstLineChars="200"/>
        <w:outlineLvl w:val="3"/>
        <w:rPr>
          <w:rFonts w:hint="eastAsia" w:hAnsi="仿宋" w:cs="Times New Roman"/>
          <w:sz w:val="32"/>
          <w:szCs w:val="32"/>
          <w:highlight w:val="none"/>
          <w:lang w:val="en-US" w:eastAsia="zh-CN"/>
        </w:rPr>
      </w:pPr>
      <w:r>
        <w:rPr>
          <w:rFonts w:hint="eastAsia" w:hAnsi="仿宋" w:cs="Times New Roman"/>
          <w:sz w:val="32"/>
          <w:szCs w:val="32"/>
          <w:highlight w:val="none"/>
          <w:lang w:val="en-US" w:eastAsia="zh-CN"/>
        </w:rPr>
        <w:t>（2）绩效指标</w:t>
      </w:r>
    </w:p>
    <w:p w14:paraId="22926F82">
      <w:pPr>
        <w:ind w:firstLine="504"/>
        <w:jc w:val="center"/>
        <w:rPr>
          <w:rFonts w:hint="eastAsia" w:ascii="黑体" w:hAnsi="黑体" w:eastAsia="黑体" w:cs="黑体"/>
          <w:spacing w:val="6"/>
          <w:sz w:val="28"/>
          <w:szCs w:val="28"/>
          <w:highlight w:val="none"/>
        </w:rPr>
      </w:pPr>
      <w:r>
        <w:rPr>
          <w:rFonts w:hint="eastAsia" w:ascii="黑体" w:hAnsi="黑体" w:eastAsia="黑体" w:cs="黑体"/>
          <w:spacing w:val="6"/>
          <w:sz w:val="28"/>
          <w:szCs w:val="28"/>
          <w:highlight w:val="none"/>
        </w:rPr>
        <w:t>表</w:t>
      </w:r>
      <w:r>
        <w:rPr>
          <w:rFonts w:hint="eastAsia" w:ascii="黑体" w:hAnsi="黑体" w:eastAsia="黑体" w:cs="黑体"/>
          <w:spacing w:val="6"/>
          <w:sz w:val="28"/>
          <w:szCs w:val="28"/>
          <w:highlight w:val="none"/>
          <w:lang w:val="en-US" w:eastAsia="zh-CN"/>
        </w:rPr>
        <w:t>1</w:t>
      </w:r>
      <w:r>
        <w:rPr>
          <w:rFonts w:hint="eastAsia" w:ascii="黑体" w:hAnsi="黑体" w:eastAsia="黑体" w:cs="黑体"/>
          <w:spacing w:val="6"/>
          <w:sz w:val="28"/>
          <w:szCs w:val="28"/>
          <w:highlight w:val="none"/>
        </w:rPr>
        <w:t xml:space="preserve"> 项目绩效目标申报绩效</w:t>
      </w:r>
      <w:r>
        <w:rPr>
          <w:rFonts w:hint="eastAsia" w:ascii="黑体" w:hAnsi="黑体" w:eastAsia="黑体" w:cs="黑体"/>
          <w:spacing w:val="6"/>
          <w:sz w:val="28"/>
          <w:szCs w:val="28"/>
          <w:highlight w:val="none"/>
          <w:lang w:val="en-US" w:eastAsia="zh-CN"/>
        </w:rPr>
        <w:t>指标</w:t>
      </w:r>
      <w:r>
        <w:rPr>
          <w:rFonts w:hint="eastAsia" w:ascii="黑体" w:hAnsi="黑体" w:eastAsia="黑体" w:cs="黑体"/>
          <w:spacing w:val="6"/>
          <w:sz w:val="28"/>
          <w:szCs w:val="28"/>
          <w:highlight w:val="none"/>
        </w:rPr>
        <w:t>表</w:t>
      </w:r>
    </w:p>
    <w:tbl>
      <w:tblPr>
        <w:tblStyle w:val="19"/>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629"/>
        <w:gridCol w:w="1748"/>
        <w:gridCol w:w="2931"/>
        <w:gridCol w:w="2931"/>
      </w:tblGrid>
      <w:tr w14:paraId="123B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blHeader/>
          <w:jc w:val="center"/>
        </w:trPr>
        <w:tc>
          <w:tcPr>
            <w:tcW w:w="1629" w:type="dxa"/>
            <w:shd w:val="clear" w:color="auto" w:fill="FFFFFF"/>
            <w:tcMar>
              <w:top w:w="150" w:type="dxa"/>
              <w:left w:w="0" w:type="dxa"/>
              <w:bottom w:w="150" w:type="dxa"/>
              <w:right w:w="240" w:type="dxa"/>
            </w:tcMar>
            <w:vAlign w:val="center"/>
          </w:tcPr>
          <w:p w14:paraId="650D1AF5">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8"/>
                <w:szCs w:val="28"/>
              </w:rPr>
            </w:pPr>
            <w:r>
              <w:rPr>
                <w:rStyle w:val="22"/>
                <w:rFonts w:hint="eastAsia" w:ascii="仿宋" w:hAnsi="仿宋" w:eastAsia="仿宋" w:cs="仿宋"/>
                <w:b/>
                <w:bCs/>
                <w:i w:val="0"/>
                <w:iCs w:val="0"/>
                <w:caps w:val="0"/>
                <w:color w:val="0F1115"/>
                <w:spacing w:val="0"/>
                <w:kern w:val="0"/>
                <w:sz w:val="28"/>
                <w:szCs w:val="28"/>
                <w:lang w:val="en-US" w:eastAsia="zh-CN" w:bidi="ar"/>
              </w:rPr>
              <w:t>一级指标</w:t>
            </w:r>
          </w:p>
        </w:tc>
        <w:tc>
          <w:tcPr>
            <w:tcW w:w="1748" w:type="dxa"/>
            <w:shd w:val="clear" w:color="auto" w:fill="FFFFFF"/>
            <w:tcMar>
              <w:top w:w="150" w:type="dxa"/>
              <w:left w:w="240" w:type="dxa"/>
              <w:bottom w:w="150" w:type="dxa"/>
              <w:right w:w="240" w:type="dxa"/>
            </w:tcMar>
            <w:vAlign w:val="center"/>
          </w:tcPr>
          <w:p w14:paraId="330541F1">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8"/>
                <w:szCs w:val="28"/>
              </w:rPr>
            </w:pPr>
            <w:r>
              <w:rPr>
                <w:rStyle w:val="22"/>
                <w:rFonts w:hint="eastAsia" w:ascii="仿宋" w:hAnsi="仿宋" w:eastAsia="仿宋" w:cs="仿宋"/>
                <w:b/>
                <w:bCs/>
                <w:i w:val="0"/>
                <w:iCs w:val="0"/>
                <w:caps w:val="0"/>
                <w:color w:val="0F1115"/>
                <w:spacing w:val="0"/>
                <w:kern w:val="0"/>
                <w:sz w:val="28"/>
                <w:szCs w:val="28"/>
                <w:lang w:val="en-US" w:eastAsia="zh-CN" w:bidi="ar"/>
              </w:rPr>
              <w:t>二级指标</w:t>
            </w:r>
          </w:p>
        </w:tc>
        <w:tc>
          <w:tcPr>
            <w:tcW w:w="2931" w:type="dxa"/>
            <w:shd w:val="clear" w:color="auto" w:fill="FFFFFF"/>
            <w:tcMar>
              <w:top w:w="150" w:type="dxa"/>
              <w:left w:w="240" w:type="dxa"/>
              <w:bottom w:w="150" w:type="dxa"/>
              <w:right w:w="240" w:type="dxa"/>
            </w:tcMar>
            <w:vAlign w:val="center"/>
          </w:tcPr>
          <w:p w14:paraId="6553B5B8">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8"/>
                <w:szCs w:val="28"/>
              </w:rPr>
            </w:pPr>
            <w:r>
              <w:rPr>
                <w:rStyle w:val="22"/>
                <w:rFonts w:hint="eastAsia" w:ascii="仿宋" w:hAnsi="仿宋" w:eastAsia="仿宋" w:cs="仿宋"/>
                <w:b/>
                <w:bCs/>
                <w:i w:val="0"/>
                <w:iCs w:val="0"/>
                <w:caps w:val="0"/>
                <w:color w:val="0F1115"/>
                <w:spacing w:val="0"/>
                <w:kern w:val="0"/>
                <w:sz w:val="28"/>
                <w:szCs w:val="28"/>
                <w:lang w:val="en-US" w:eastAsia="zh-CN" w:bidi="ar"/>
              </w:rPr>
              <w:t>三级指标</w:t>
            </w:r>
          </w:p>
        </w:tc>
        <w:tc>
          <w:tcPr>
            <w:tcW w:w="2931" w:type="dxa"/>
            <w:shd w:val="clear" w:color="auto" w:fill="FFFFFF"/>
            <w:tcMar>
              <w:top w:w="150" w:type="dxa"/>
              <w:left w:w="240" w:type="dxa"/>
              <w:bottom w:w="150" w:type="dxa"/>
              <w:right w:w="240" w:type="dxa"/>
            </w:tcMar>
            <w:vAlign w:val="center"/>
          </w:tcPr>
          <w:p w14:paraId="68A043C7">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8"/>
                <w:szCs w:val="28"/>
              </w:rPr>
            </w:pPr>
            <w:r>
              <w:rPr>
                <w:rStyle w:val="22"/>
                <w:rFonts w:hint="eastAsia" w:ascii="仿宋" w:hAnsi="仿宋" w:eastAsia="仿宋" w:cs="仿宋"/>
                <w:b/>
                <w:bCs/>
                <w:i w:val="0"/>
                <w:iCs w:val="0"/>
                <w:caps w:val="0"/>
                <w:color w:val="0F1115"/>
                <w:spacing w:val="0"/>
                <w:kern w:val="0"/>
                <w:sz w:val="28"/>
                <w:szCs w:val="28"/>
                <w:lang w:val="en-US" w:eastAsia="zh-CN" w:bidi="ar"/>
              </w:rPr>
              <w:t>指标值</w:t>
            </w:r>
          </w:p>
        </w:tc>
      </w:tr>
      <w:tr w14:paraId="1FCA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629" w:type="dxa"/>
            <w:shd w:val="clear" w:color="auto" w:fill="FFFFFF"/>
            <w:tcMar>
              <w:top w:w="150" w:type="dxa"/>
              <w:left w:w="0" w:type="dxa"/>
              <w:bottom w:w="150" w:type="dxa"/>
              <w:right w:w="240" w:type="dxa"/>
            </w:tcMar>
            <w:vAlign w:val="center"/>
          </w:tcPr>
          <w:p w14:paraId="33707536">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1748" w:type="dxa"/>
            <w:shd w:val="clear" w:color="auto" w:fill="FFFFFF"/>
            <w:tcMar>
              <w:top w:w="150" w:type="dxa"/>
              <w:left w:w="240" w:type="dxa"/>
              <w:bottom w:w="150" w:type="dxa"/>
              <w:right w:w="240" w:type="dxa"/>
            </w:tcMar>
            <w:vAlign w:val="center"/>
          </w:tcPr>
          <w:p w14:paraId="79207921">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数量指标</w:t>
            </w:r>
          </w:p>
        </w:tc>
        <w:tc>
          <w:tcPr>
            <w:tcW w:w="2931" w:type="dxa"/>
            <w:shd w:val="clear" w:color="auto" w:fill="FFFFFF"/>
            <w:tcMar>
              <w:top w:w="150" w:type="dxa"/>
              <w:left w:w="240" w:type="dxa"/>
              <w:bottom w:w="150" w:type="dxa"/>
              <w:right w:w="240" w:type="dxa"/>
            </w:tcMar>
            <w:vAlign w:val="center"/>
          </w:tcPr>
          <w:p w14:paraId="5FF2D328">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购买金碧广场协管员</w:t>
            </w:r>
          </w:p>
        </w:tc>
        <w:tc>
          <w:tcPr>
            <w:tcW w:w="2931" w:type="dxa"/>
            <w:shd w:val="clear" w:color="auto" w:fill="FFFFFF"/>
            <w:tcMar>
              <w:top w:w="150" w:type="dxa"/>
              <w:left w:w="240" w:type="dxa"/>
              <w:bottom w:w="150" w:type="dxa"/>
              <w:right w:w="0" w:type="dxa"/>
            </w:tcMar>
            <w:vAlign w:val="center"/>
          </w:tcPr>
          <w:p w14:paraId="4DF64D2F">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30人</w:t>
            </w:r>
          </w:p>
        </w:tc>
      </w:tr>
      <w:tr w14:paraId="6CAA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629" w:type="dxa"/>
            <w:shd w:val="clear" w:color="auto" w:fill="FFFFFF"/>
            <w:tcMar>
              <w:top w:w="150" w:type="dxa"/>
              <w:left w:w="0" w:type="dxa"/>
              <w:bottom w:w="150" w:type="dxa"/>
              <w:right w:w="240" w:type="dxa"/>
            </w:tcMar>
            <w:vAlign w:val="center"/>
          </w:tcPr>
          <w:p w14:paraId="2FDA5F60">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1748" w:type="dxa"/>
            <w:shd w:val="clear" w:color="auto" w:fill="FFFFFF"/>
            <w:tcMar>
              <w:top w:w="150" w:type="dxa"/>
              <w:left w:w="240" w:type="dxa"/>
              <w:bottom w:w="150" w:type="dxa"/>
              <w:right w:w="240" w:type="dxa"/>
            </w:tcMar>
            <w:vAlign w:val="center"/>
          </w:tcPr>
          <w:p w14:paraId="1E9A58F0">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质量指标</w:t>
            </w:r>
          </w:p>
        </w:tc>
        <w:tc>
          <w:tcPr>
            <w:tcW w:w="2931" w:type="dxa"/>
            <w:shd w:val="clear" w:color="auto" w:fill="FFFFFF"/>
            <w:tcMar>
              <w:top w:w="150" w:type="dxa"/>
              <w:left w:w="240" w:type="dxa"/>
              <w:bottom w:w="150" w:type="dxa"/>
              <w:right w:w="240" w:type="dxa"/>
            </w:tcMar>
            <w:vAlign w:val="center"/>
          </w:tcPr>
          <w:p w14:paraId="6D4C23EA">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金碧广场城市综合治理完成率</w:t>
            </w:r>
          </w:p>
        </w:tc>
        <w:tc>
          <w:tcPr>
            <w:tcW w:w="2931" w:type="dxa"/>
            <w:shd w:val="clear" w:color="auto" w:fill="FFFFFF"/>
            <w:tcMar>
              <w:top w:w="150" w:type="dxa"/>
              <w:left w:w="240" w:type="dxa"/>
              <w:bottom w:w="150" w:type="dxa"/>
              <w:right w:w="0" w:type="dxa"/>
            </w:tcMar>
            <w:vAlign w:val="center"/>
          </w:tcPr>
          <w:p w14:paraId="65BD132D">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100%</w:t>
            </w:r>
          </w:p>
        </w:tc>
      </w:tr>
      <w:tr w14:paraId="137C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629" w:type="dxa"/>
            <w:shd w:val="clear" w:color="auto" w:fill="FFFFFF"/>
            <w:tcMar>
              <w:top w:w="150" w:type="dxa"/>
              <w:left w:w="0" w:type="dxa"/>
              <w:bottom w:w="150" w:type="dxa"/>
              <w:right w:w="240" w:type="dxa"/>
            </w:tcMar>
            <w:vAlign w:val="center"/>
          </w:tcPr>
          <w:p w14:paraId="6B2FDBF9">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1748" w:type="dxa"/>
            <w:shd w:val="clear" w:color="auto" w:fill="FFFFFF"/>
            <w:tcMar>
              <w:top w:w="150" w:type="dxa"/>
              <w:left w:w="240" w:type="dxa"/>
              <w:bottom w:w="150" w:type="dxa"/>
              <w:right w:w="240" w:type="dxa"/>
            </w:tcMar>
            <w:vAlign w:val="center"/>
          </w:tcPr>
          <w:p w14:paraId="4C9EDDFB">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时效指标</w:t>
            </w:r>
          </w:p>
        </w:tc>
        <w:tc>
          <w:tcPr>
            <w:tcW w:w="2931" w:type="dxa"/>
            <w:shd w:val="clear" w:color="auto" w:fill="FFFFFF"/>
            <w:tcMar>
              <w:top w:w="150" w:type="dxa"/>
              <w:left w:w="240" w:type="dxa"/>
              <w:bottom w:w="150" w:type="dxa"/>
              <w:right w:w="240" w:type="dxa"/>
            </w:tcMar>
            <w:vAlign w:val="center"/>
          </w:tcPr>
          <w:p w14:paraId="547A6BF1">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任务完成时限</w:t>
            </w:r>
          </w:p>
        </w:tc>
        <w:tc>
          <w:tcPr>
            <w:tcW w:w="2931" w:type="dxa"/>
            <w:shd w:val="clear" w:color="auto" w:fill="FFFFFF"/>
            <w:tcMar>
              <w:top w:w="150" w:type="dxa"/>
              <w:left w:w="240" w:type="dxa"/>
              <w:bottom w:w="150" w:type="dxa"/>
              <w:right w:w="0" w:type="dxa"/>
            </w:tcMar>
            <w:vAlign w:val="center"/>
          </w:tcPr>
          <w:p w14:paraId="5BC8FDE6">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2024年1月至2025年4月</w:t>
            </w:r>
          </w:p>
        </w:tc>
      </w:tr>
      <w:tr w14:paraId="23BD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629" w:type="dxa"/>
            <w:shd w:val="clear" w:color="auto" w:fill="FFFFFF"/>
            <w:tcMar>
              <w:top w:w="150" w:type="dxa"/>
              <w:left w:w="0" w:type="dxa"/>
              <w:bottom w:w="150" w:type="dxa"/>
              <w:right w:w="240" w:type="dxa"/>
            </w:tcMar>
            <w:vAlign w:val="center"/>
          </w:tcPr>
          <w:p w14:paraId="40C5FDC4">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1748" w:type="dxa"/>
            <w:shd w:val="clear" w:color="auto" w:fill="FFFFFF"/>
            <w:tcMar>
              <w:top w:w="150" w:type="dxa"/>
              <w:left w:w="240" w:type="dxa"/>
              <w:bottom w:w="150" w:type="dxa"/>
              <w:right w:w="240" w:type="dxa"/>
            </w:tcMar>
            <w:vAlign w:val="center"/>
          </w:tcPr>
          <w:p w14:paraId="089C433B">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成本指标</w:t>
            </w:r>
          </w:p>
        </w:tc>
        <w:tc>
          <w:tcPr>
            <w:tcW w:w="2931" w:type="dxa"/>
            <w:shd w:val="clear" w:color="auto" w:fill="FFFFFF"/>
            <w:tcMar>
              <w:top w:w="150" w:type="dxa"/>
              <w:left w:w="240" w:type="dxa"/>
              <w:bottom w:w="150" w:type="dxa"/>
              <w:right w:w="240" w:type="dxa"/>
            </w:tcMar>
            <w:vAlign w:val="center"/>
          </w:tcPr>
          <w:p w14:paraId="2B0BCC57">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经济成本指标</w:t>
            </w:r>
          </w:p>
        </w:tc>
        <w:tc>
          <w:tcPr>
            <w:tcW w:w="2931" w:type="dxa"/>
            <w:shd w:val="clear" w:color="auto" w:fill="FFFFFF"/>
            <w:tcMar>
              <w:top w:w="150" w:type="dxa"/>
              <w:left w:w="240" w:type="dxa"/>
              <w:bottom w:w="150" w:type="dxa"/>
              <w:right w:w="0" w:type="dxa"/>
            </w:tcMar>
            <w:vAlign w:val="center"/>
          </w:tcPr>
          <w:p w14:paraId="63F5DEB4">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94.53万元</w:t>
            </w:r>
          </w:p>
        </w:tc>
      </w:tr>
      <w:tr w14:paraId="0869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629" w:type="dxa"/>
            <w:shd w:val="clear" w:color="auto" w:fill="FFFFFF"/>
            <w:tcMar>
              <w:top w:w="150" w:type="dxa"/>
              <w:left w:w="0" w:type="dxa"/>
              <w:bottom w:w="150" w:type="dxa"/>
              <w:right w:w="240" w:type="dxa"/>
            </w:tcMar>
            <w:vAlign w:val="center"/>
          </w:tcPr>
          <w:p w14:paraId="49675158">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效益指标</w:t>
            </w:r>
          </w:p>
        </w:tc>
        <w:tc>
          <w:tcPr>
            <w:tcW w:w="1748" w:type="dxa"/>
            <w:shd w:val="clear" w:color="auto" w:fill="FFFFFF"/>
            <w:tcMar>
              <w:top w:w="150" w:type="dxa"/>
              <w:left w:w="240" w:type="dxa"/>
              <w:bottom w:w="150" w:type="dxa"/>
              <w:right w:w="240" w:type="dxa"/>
            </w:tcMar>
            <w:vAlign w:val="center"/>
          </w:tcPr>
          <w:p w14:paraId="7971A2BD">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社会效益指标</w:t>
            </w:r>
          </w:p>
        </w:tc>
        <w:tc>
          <w:tcPr>
            <w:tcW w:w="2931" w:type="dxa"/>
            <w:shd w:val="clear" w:color="auto" w:fill="FFFFFF"/>
            <w:tcMar>
              <w:top w:w="150" w:type="dxa"/>
              <w:left w:w="240" w:type="dxa"/>
              <w:bottom w:w="150" w:type="dxa"/>
              <w:right w:w="240" w:type="dxa"/>
            </w:tcMar>
            <w:vAlign w:val="center"/>
          </w:tcPr>
          <w:p w14:paraId="5888DBCD">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增强了执法力量，提高执法水平</w:t>
            </w:r>
          </w:p>
        </w:tc>
        <w:tc>
          <w:tcPr>
            <w:tcW w:w="2931" w:type="dxa"/>
            <w:shd w:val="clear" w:color="auto" w:fill="FFFFFF"/>
            <w:tcMar>
              <w:top w:w="150" w:type="dxa"/>
              <w:left w:w="240" w:type="dxa"/>
              <w:bottom w:w="150" w:type="dxa"/>
              <w:right w:w="0" w:type="dxa"/>
            </w:tcMar>
            <w:vAlign w:val="center"/>
          </w:tcPr>
          <w:p w14:paraId="2FBEF434">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增强了执法力量，提高执法水平</w:t>
            </w:r>
          </w:p>
        </w:tc>
      </w:tr>
      <w:tr w14:paraId="08DB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629" w:type="dxa"/>
            <w:shd w:val="clear" w:color="auto" w:fill="FFFFFF"/>
            <w:tcMar>
              <w:top w:w="150" w:type="dxa"/>
              <w:left w:w="0" w:type="dxa"/>
              <w:bottom w:w="150" w:type="dxa"/>
              <w:right w:w="240" w:type="dxa"/>
            </w:tcMar>
            <w:vAlign w:val="center"/>
          </w:tcPr>
          <w:p w14:paraId="7B8321E7">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效益指标</w:t>
            </w:r>
          </w:p>
        </w:tc>
        <w:tc>
          <w:tcPr>
            <w:tcW w:w="1748" w:type="dxa"/>
            <w:shd w:val="clear" w:color="auto" w:fill="FFFFFF"/>
            <w:tcMar>
              <w:top w:w="150" w:type="dxa"/>
              <w:left w:w="240" w:type="dxa"/>
              <w:bottom w:w="150" w:type="dxa"/>
              <w:right w:w="240" w:type="dxa"/>
            </w:tcMar>
            <w:vAlign w:val="center"/>
          </w:tcPr>
          <w:p w14:paraId="1DA2A873">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社会效益指标</w:t>
            </w:r>
          </w:p>
        </w:tc>
        <w:tc>
          <w:tcPr>
            <w:tcW w:w="2931" w:type="dxa"/>
            <w:shd w:val="clear" w:color="auto" w:fill="FFFFFF"/>
            <w:tcMar>
              <w:top w:w="150" w:type="dxa"/>
              <w:left w:w="240" w:type="dxa"/>
              <w:bottom w:w="150" w:type="dxa"/>
              <w:right w:w="240" w:type="dxa"/>
            </w:tcMar>
            <w:vAlign w:val="center"/>
          </w:tcPr>
          <w:p w14:paraId="09F88FD4">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改善区域整体环境，增强片区发展活力</w:t>
            </w:r>
          </w:p>
        </w:tc>
        <w:tc>
          <w:tcPr>
            <w:tcW w:w="2931" w:type="dxa"/>
            <w:shd w:val="clear" w:color="auto" w:fill="FFFFFF"/>
            <w:tcMar>
              <w:top w:w="150" w:type="dxa"/>
              <w:left w:w="240" w:type="dxa"/>
              <w:bottom w:w="150" w:type="dxa"/>
              <w:right w:w="0" w:type="dxa"/>
            </w:tcMar>
            <w:vAlign w:val="center"/>
          </w:tcPr>
          <w:p w14:paraId="3C9F8ADF">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改善区域整体环境，增强片区发展活力</w:t>
            </w:r>
          </w:p>
        </w:tc>
      </w:tr>
      <w:tr w14:paraId="30AC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629" w:type="dxa"/>
            <w:shd w:val="clear" w:color="auto" w:fill="FFFFFF"/>
            <w:tcMar>
              <w:top w:w="150" w:type="dxa"/>
              <w:left w:w="0" w:type="dxa"/>
              <w:bottom w:w="150" w:type="dxa"/>
              <w:right w:w="240" w:type="dxa"/>
            </w:tcMar>
            <w:vAlign w:val="center"/>
          </w:tcPr>
          <w:p w14:paraId="4E073335">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满意度指标</w:t>
            </w:r>
          </w:p>
        </w:tc>
        <w:tc>
          <w:tcPr>
            <w:tcW w:w="1748" w:type="dxa"/>
            <w:shd w:val="clear" w:color="auto" w:fill="FFFFFF"/>
            <w:tcMar>
              <w:top w:w="150" w:type="dxa"/>
              <w:left w:w="240" w:type="dxa"/>
              <w:bottom w:w="150" w:type="dxa"/>
              <w:right w:w="240" w:type="dxa"/>
            </w:tcMar>
            <w:vAlign w:val="center"/>
          </w:tcPr>
          <w:p w14:paraId="0579B352">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服务对象满意度指标</w:t>
            </w:r>
          </w:p>
        </w:tc>
        <w:tc>
          <w:tcPr>
            <w:tcW w:w="2931" w:type="dxa"/>
            <w:shd w:val="clear" w:color="auto" w:fill="FFFFFF"/>
            <w:tcMar>
              <w:top w:w="150" w:type="dxa"/>
              <w:left w:w="240" w:type="dxa"/>
              <w:bottom w:w="150" w:type="dxa"/>
              <w:right w:w="240" w:type="dxa"/>
            </w:tcMar>
            <w:vAlign w:val="center"/>
          </w:tcPr>
          <w:p w14:paraId="6C781836">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单位工作人员满意度</w:t>
            </w:r>
          </w:p>
        </w:tc>
        <w:tc>
          <w:tcPr>
            <w:tcW w:w="2931" w:type="dxa"/>
            <w:shd w:val="clear" w:color="auto" w:fill="FFFFFF"/>
            <w:tcMar>
              <w:top w:w="150" w:type="dxa"/>
              <w:left w:w="240" w:type="dxa"/>
              <w:bottom w:w="150" w:type="dxa"/>
              <w:right w:w="0" w:type="dxa"/>
            </w:tcMar>
            <w:vAlign w:val="center"/>
          </w:tcPr>
          <w:p w14:paraId="66912B9A">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≥95%</w:t>
            </w:r>
          </w:p>
        </w:tc>
      </w:tr>
      <w:tr w14:paraId="6A08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629" w:type="dxa"/>
            <w:shd w:val="clear" w:color="auto" w:fill="FFFFFF"/>
            <w:tcMar>
              <w:top w:w="150" w:type="dxa"/>
              <w:left w:w="0" w:type="dxa"/>
              <w:bottom w:w="150" w:type="dxa"/>
              <w:right w:w="240" w:type="dxa"/>
            </w:tcMar>
            <w:vAlign w:val="center"/>
          </w:tcPr>
          <w:p w14:paraId="74D9F822">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满意度指标</w:t>
            </w:r>
          </w:p>
        </w:tc>
        <w:tc>
          <w:tcPr>
            <w:tcW w:w="1748" w:type="dxa"/>
            <w:shd w:val="clear" w:color="auto" w:fill="FFFFFF"/>
            <w:tcMar>
              <w:top w:w="150" w:type="dxa"/>
              <w:left w:w="240" w:type="dxa"/>
              <w:bottom w:w="150" w:type="dxa"/>
              <w:right w:w="240" w:type="dxa"/>
            </w:tcMar>
            <w:vAlign w:val="center"/>
          </w:tcPr>
          <w:p w14:paraId="6B30123F">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社会公众满意度指标</w:t>
            </w:r>
          </w:p>
        </w:tc>
        <w:tc>
          <w:tcPr>
            <w:tcW w:w="2931" w:type="dxa"/>
            <w:shd w:val="clear" w:color="auto" w:fill="FFFFFF"/>
            <w:tcMar>
              <w:top w:w="150" w:type="dxa"/>
              <w:left w:w="240" w:type="dxa"/>
              <w:bottom w:w="150" w:type="dxa"/>
              <w:right w:w="240" w:type="dxa"/>
            </w:tcMar>
            <w:vAlign w:val="center"/>
          </w:tcPr>
          <w:p w14:paraId="46ED0C62">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广场周边商铺、群众满意度</w:t>
            </w:r>
          </w:p>
        </w:tc>
        <w:tc>
          <w:tcPr>
            <w:tcW w:w="2931" w:type="dxa"/>
            <w:shd w:val="clear" w:color="auto" w:fill="FFFFFF"/>
            <w:tcMar>
              <w:top w:w="150" w:type="dxa"/>
              <w:left w:w="240" w:type="dxa"/>
              <w:bottom w:w="150" w:type="dxa"/>
              <w:right w:w="0" w:type="dxa"/>
            </w:tcMar>
            <w:vAlign w:val="center"/>
          </w:tcPr>
          <w:p w14:paraId="6F2A96B5">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≥95%</w:t>
            </w:r>
          </w:p>
        </w:tc>
      </w:tr>
    </w:tbl>
    <w:p w14:paraId="1786172F">
      <w:pPr>
        <w:keepNext w:val="0"/>
        <w:keepLines w:val="0"/>
        <w:pageBreakBefore w:val="0"/>
        <w:widowControl w:val="0"/>
        <w:kinsoku/>
        <w:wordWrap/>
        <w:overflowPunct/>
        <w:topLinePunct w:val="0"/>
        <w:autoSpaceDE/>
        <w:autoSpaceDN/>
        <w:bidi w:val="0"/>
        <w:adjustRightInd/>
        <w:snapToGrid/>
        <w:spacing w:line="579" w:lineRule="exact"/>
        <w:ind w:firstLine="670" w:firstLineChars="200"/>
        <w:textAlignment w:val="auto"/>
        <w:outlineLvl w:val="2"/>
        <w:rPr>
          <w:rFonts w:hAnsi="仿宋"/>
          <w:sz w:val="32"/>
          <w:szCs w:val="32"/>
          <w:highlight w:val="none"/>
        </w:rPr>
      </w:pPr>
      <w:r>
        <w:rPr>
          <w:rFonts w:hint="eastAsia" w:hAnsi="仿宋"/>
          <w:sz w:val="32"/>
          <w:szCs w:val="32"/>
          <w:highlight w:val="none"/>
        </w:rPr>
        <w:t>2.绩效评价调整后的绩效目标和绩效指标情况</w:t>
      </w:r>
    </w:p>
    <w:bookmarkEnd w:id="18"/>
    <w:p w14:paraId="704C9B25">
      <w:pPr>
        <w:spacing w:line="579" w:lineRule="exact"/>
        <w:ind w:firstLine="670" w:firstLineChars="200"/>
        <w:rPr>
          <w:rFonts w:hint="eastAsia" w:hAnsi="仿宋" w:cs="Times New Roman"/>
          <w:sz w:val="32"/>
          <w:szCs w:val="32"/>
          <w:lang w:val="en-US" w:eastAsia="zh-CN"/>
        </w:rPr>
      </w:pPr>
      <w:bookmarkStart w:id="19" w:name="_Toc7130"/>
      <w:bookmarkStart w:id="20" w:name="_Toc19159"/>
      <w:r>
        <w:rPr>
          <w:rFonts w:hint="eastAsia" w:hAnsi="仿宋" w:cs="Times New Roman"/>
          <w:sz w:val="32"/>
          <w:szCs w:val="32"/>
          <w:lang w:val="en-US" w:eastAsia="zh-CN"/>
        </w:rPr>
        <w:t>根据西政复〔2019〕130号关于同意拨付金马碧鸡广场城市管理市容环境综合整治经费的批复、合同等相关文件内容和要求，通过对绩效目标的分析，细化分解4个产出指标2个效益指标，具体调整情况如下：</w:t>
      </w:r>
    </w:p>
    <w:p w14:paraId="191FEE34">
      <w:pPr>
        <w:spacing w:line="579" w:lineRule="exact"/>
        <w:ind w:firstLine="670" w:firstLineChars="200"/>
        <w:rPr>
          <w:rFonts w:hint="eastAsia" w:hAnsi="仿宋" w:cs="Times New Roman"/>
          <w:sz w:val="32"/>
          <w:szCs w:val="32"/>
          <w:lang w:val="en-US" w:eastAsia="zh-CN"/>
        </w:rPr>
      </w:pPr>
      <w:r>
        <w:rPr>
          <w:rFonts w:hint="eastAsia" w:hAnsi="仿宋" w:cs="Times New Roman"/>
          <w:sz w:val="32"/>
          <w:szCs w:val="32"/>
          <w:lang w:val="en-US" w:eastAsia="zh-CN"/>
        </w:rPr>
        <w:t>产出主要考核金碧广场协管员、城市综合治理完成率、任务完成时限、经济成本指标。</w:t>
      </w:r>
    </w:p>
    <w:p w14:paraId="770447DE">
      <w:pPr>
        <w:spacing w:line="579" w:lineRule="exact"/>
        <w:ind w:firstLine="670" w:firstLineChars="200"/>
        <w:rPr>
          <w:rFonts w:hint="eastAsia" w:hAnsi="仿宋" w:cs="Times New Roman"/>
          <w:sz w:val="32"/>
          <w:szCs w:val="32"/>
          <w:lang w:val="en-US" w:eastAsia="zh-CN"/>
        </w:rPr>
      </w:pPr>
      <w:r>
        <w:rPr>
          <w:rFonts w:hint="eastAsia" w:hAnsi="仿宋" w:cs="Times New Roman"/>
          <w:sz w:val="32"/>
          <w:szCs w:val="32"/>
          <w:lang w:val="en-US" w:eastAsia="zh-CN"/>
        </w:rPr>
        <w:t>效益主要考核改善区域整体环境，增强片区发展活力、增强执法力量，提高了执法水平、单位工作人员满意度及周边商铺和群众满意度。</w:t>
      </w:r>
    </w:p>
    <w:p w14:paraId="021CF27E">
      <w:pPr>
        <w:spacing w:line="579" w:lineRule="exact"/>
        <w:ind w:firstLine="670" w:firstLineChars="200"/>
        <w:rPr>
          <w:rFonts w:hint="eastAsia" w:hAnsi="仿宋" w:cs="Times New Roman"/>
          <w:sz w:val="32"/>
          <w:szCs w:val="32"/>
          <w:lang w:val="en-US" w:eastAsia="zh-CN"/>
        </w:rPr>
      </w:pPr>
      <w:r>
        <w:rPr>
          <w:rFonts w:hint="eastAsia" w:hAnsi="仿宋" w:cs="Times New Roman"/>
          <w:sz w:val="32"/>
          <w:szCs w:val="32"/>
          <w:lang w:val="en-US" w:eastAsia="zh-CN"/>
        </w:rPr>
        <w:t>通过以上调整，绩效指标体系更契合公共服务项目特征，兼顾科学性、合理性与可比性，为后续年度评价和持续改进提供了量化依据和制度化参考。</w:t>
      </w:r>
    </w:p>
    <w:p w14:paraId="59473484">
      <w:pPr>
        <w:spacing w:line="579" w:lineRule="exact"/>
        <w:ind w:firstLine="670" w:firstLineChars="200"/>
        <w:outlineLvl w:val="1"/>
        <w:rPr>
          <w:rFonts w:hint="eastAsia" w:ascii="楷体" w:hAnsi="楷体" w:eastAsia="楷体"/>
          <w:sz w:val="32"/>
          <w:szCs w:val="32"/>
          <w:highlight w:val="none"/>
        </w:rPr>
      </w:pPr>
      <w:bookmarkStart w:id="21" w:name="_Toc8058"/>
      <w:r>
        <w:rPr>
          <w:rFonts w:hint="eastAsia" w:ascii="楷体" w:hAnsi="楷体" w:eastAsia="楷体"/>
          <w:color w:val="auto"/>
          <w:sz w:val="32"/>
          <w:szCs w:val="32"/>
          <w:highlight w:val="none"/>
          <w:u w:val="none"/>
        </w:rPr>
        <w:t>（五）</w:t>
      </w:r>
      <w:r>
        <w:rPr>
          <w:rFonts w:hint="eastAsia" w:ascii="楷体" w:hAnsi="楷体" w:eastAsia="楷体"/>
          <w:sz w:val="32"/>
          <w:szCs w:val="32"/>
          <w:highlight w:val="none"/>
        </w:rPr>
        <w:t>组织管理情况</w:t>
      </w:r>
      <w:bookmarkEnd w:id="19"/>
      <w:bookmarkEnd w:id="20"/>
      <w:bookmarkEnd w:id="21"/>
    </w:p>
    <w:p w14:paraId="4A73F250">
      <w:pPr>
        <w:spacing w:line="579" w:lineRule="exact"/>
        <w:ind w:firstLine="670" w:firstLineChars="200"/>
        <w:outlineLvl w:val="2"/>
        <w:rPr>
          <w:rFonts w:hint="eastAsia" w:hAnsi="仿宋"/>
          <w:sz w:val="32"/>
          <w:szCs w:val="32"/>
          <w:highlight w:val="none"/>
        </w:rPr>
      </w:pPr>
      <w:r>
        <w:rPr>
          <w:rFonts w:hint="eastAsia" w:hAnsi="仿宋"/>
          <w:sz w:val="32"/>
          <w:szCs w:val="32"/>
          <w:highlight w:val="none"/>
        </w:rPr>
        <w:t>1.项目管理情况</w:t>
      </w:r>
    </w:p>
    <w:p w14:paraId="22A4705D">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金碧综合行政执法队成立了专项治理领导小组，实行网格化管理，明确职责与分工。领导层包括组长章敬先、副组长包月云以及成员段建平，确保工作高效推进。</w:t>
      </w:r>
    </w:p>
    <w:p w14:paraId="2E536D9C">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金碧广场办综合整治管理经费项目主管部门为昆明市西山区人民政府金碧街道办事处，辅助单位为云南昆仑保安有限公司，负责项目前期、过程、验收等具体工作，按照相关法律法规及内控制度要求，对项目资金进行管理使用，加强项目跟踪监督，保障项目顺利实施。</w:t>
      </w:r>
    </w:p>
    <w:p w14:paraId="79C29FF3">
      <w:pPr>
        <w:spacing w:line="579" w:lineRule="exact"/>
        <w:ind w:firstLine="670" w:firstLineChars="200"/>
        <w:outlineLvl w:val="2"/>
        <w:rPr>
          <w:rFonts w:hint="default" w:hAnsi="仿宋" w:eastAsia="仿宋"/>
          <w:sz w:val="32"/>
          <w:szCs w:val="32"/>
          <w:highlight w:val="none"/>
          <w:lang w:val="en-US" w:eastAsia="zh-CN"/>
        </w:rPr>
      </w:pPr>
      <w:r>
        <w:rPr>
          <w:rFonts w:hint="eastAsia" w:hAnsi="仿宋"/>
          <w:sz w:val="32"/>
          <w:szCs w:val="32"/>
          <w:highlight w:val="none"/>
        </w:rPr>
        <w:t>2.资金</w:t>
      </w:r>
      <w:r>
        <w:rPr>
          <w:rFonts w:hint="eastAsia" w:hAnsi="仿宋"/>
          <w:sz w:val="32"/>
          <w:szCs w:val="32"/>
          <w:highlight w:val="none"/>
          <w:lang w:val="en-US" w:eastAsia="zh-CN"/>
        </w:rPr>
        <w:t>管理情况</w:t>
      </w:r>
    </w:p>
    <w:p w14:paraId="402111DE">
      <w:pPr>
        <w:spacing w:line="579" w:lineRule="exact"/>
        <w:ind w:firstLine="670" w:firstLineChars="200"/>
        <w:rPr>
          <w:rFonts w:hint="default" w:hAnsi="仿宋"/>
          <w:sz w:val="32"/>
          <w:szCs w:val="32"/>
          <w:lang w:val="en-US" w:eastAsia="zh-CN"/>
        </w:rPr>
      </w:pPr>
      <w:r>
        <w:rPr>
          <w:rFonts w:hint="eastAsia" w:hAnsi="仿宋"/>
          <w:sz w:val="32"/>
          <w:szCs w:val="32"/>
          <w:highlight w:val="none"/>
          <w:lang w:val="en-US" w:eastAsia="zh-CN"/>
        </w:rPr>
        <w:t>为了建立科学合理的资金管理程序，确保项目专项资金的安全、有效使用。制定了《金碧街道办事处财务管理办法（2022年修订版）》（金处发〔2022〕3号）、《金碧街道办事处贯彻落实“三重一大”集体决策制度实施办法》。项目资金支出严格按管理办法及《中华人民共和国会计法》的有关规定执行，依法设置了会计账簿、会计凭证，确保账表相符、</w:t>
      </w:r>
      <w:bookmarkStart w:id="74" w:name="_GoBack"/>
      <w:r>
        <w:rPr>
          <w:rFonts w:hint="eastAsia" w:hAnsi="仿宋"/>
          <w:sz w:val="32"/>
          <w:szCs w:val="32"/>
          <w:highlight w:val="none"/>
          <w:lang w:val="en-US" w:eastAsia="zh-CN"/>
        </w:rPr>
        <w:t>账账</w:t>
      </w:r>
      <w:bookmarkEnd w:id="74"/>
      <w:r>
        <w:rPr>
          <w:rFonts w:hint="eastAsia" w:hAnsi="仿宋"/>
          <w:sz w:val="32"/>
          <w:szCs w:val="32"/>
          <w:highlight w:val="none"/>
          <w:lang w:val="en-US" w:eastAsia="zh-CN"/>
        </w:rPr>
        <w:t>相符，保证账证的真实性、合法性、完整性。两笔服务费用的支付均履行了完整的审批程序。</w:t>
      </w:r>
    </w:p>
    <w:p w14:paraId="45A9DD8B">
      <w:pPr>
        <w:spacing w:line="579" w:lineRule="exact"/>
        <w:ind w:firstLine="630" w:firstLineChars="200"/>
        <w:outlineLvl w:val="0"/>
        <w:rPr>
          <w:rFonts w:ascii="黑体" w:hAnsi="宋体" w:eastAsia="黑体" w:cs="宋体"/>
          <w:szCs w:val="30"/>
        </w:rPr>
      </w:pPr>
      <w:bookmarkStart w:id="22" w:name="_Toc12713"/>
      <w:bookmarkStart w:id="23" w:name="_Toc26824"/>
      <w:r>
        <w:rPr>
          <w:rFonts w:hint="eastAsia" w:ascii="黑体" w:hAnsi="宋体" w:eastAsia="黑体" w:cs="宋体"/>
          <w:szCs w:val="30"/>
          <w:lang w:val="en-US" w:eastAsia="zh-CN"/>
        </w:rPr>
        <w:t>二</w:t>
      </w:r>
      <w:r>
        <w:rPr>
          <w:rFonts w:hint="eastAsia" w:ascii="黑体" w:hAnsi="宋体" w:eastAsia="黑体" w:cs="宋体"/>
          <w:szCs w:val="30"/>
        </w:rPr>
        <w:t>、绩效评价工作开展情况</w:t>
      </w:r>
      <w:bookmarkEnd w:id="22"/>
      <w:bookmarkEnd w:id="23"/>
    </w:p>
    <w:p w14:paraId="0A49F1DC">
      <w:pPr>
        <w:spacing w:line="579" w:lineRule="exact"/>
        <w:ind w:firstLine="670" w:firstLineChars="200"/>
        <w:outlineLvl w:val="1"/>
        <w:rPr>
          <w:rFonts w:hint="default" w:ascii="楷体" w:hAnsi="楷体" w:eastAsia="楷体"/>
          <w:sz w:val="32"/>
          <w:szCs w:val="32"/>
          <w:highlight w:val="none"/>
          <w:lang w:val="en-US" w:eastAsia="zh-CN"/>
        </w:rPr>
      </w:pPr>
      <w:bookmarkStart w:id="24" w:name="_Toc19325"/>
      <w:bookmarkStart w:id="25" w:name="_Toc17233"/>
      <w:r>
        <w:rPr>
          <w:rFonts w:hint="eastAsia" w:ascii="楷体" w:hAnsi="楷体" w:eastAsia="楷体"/>
          <w:sz w:val="32"/>
          <w:szCs w:val="32"/>
          <w:highlight w:val="none"/>
        </w:rPr>
        <w:t>（一）绩效评价</w:t>
      </w:r>
      <w:r>
        <w:rPr>
          <w:rFonts w:hint="eastAsia" w:ascii="楷体" w:hAnsi="楷体" w:eastAsia="楷体"/>
          <w:sz w:val="32"/>
          <w:szCs w:val="32"/>
          <w:highlight w:val="none"/>
          <w:lang w:val="en-US" w:eastAsia="zh-CN"/>
        </w:rPr>
        <w:t>目的、对象和范围</w:t>
      </w:r>
      <w:bookmarkEnd w:id="24"/>
      <w:bookmarkEnd w:id="25"/>
    </w:p>
    <w:p w14:paraId="5B4D4EC6">
      <w:pPr>
        <w:spacing w:line="579" w:lineRule="exact"/>
        <w:ind w:firstLine="670" w:firstLineChars="200"/>
        <w:outlineLvl w:val="2"/>
        <w:rPr>
          <w:rFonts w:hint="eastAsia" w:hAnsi="仿宋"/>
          <w:sz w:val="32"/>
          <w:szCs w:val="32"/>
          <w:highlight w:val="none"/>
          <w:lang w:val="en-US" w:eastAsia="zh-CN"/>
        </w:rPr>
      </w:pPr>
      <w:r>
        <w:rPr>
          <w:rFonts w:hint="eastAsia" w:hAnsi="仿宋"/>
          <w:sz w:val="32"/>
          <w:szCs w:val="32"/>
          <w:highlight w:val="none"/>
          <w:lang w:val="en-US" w:eastAsia="zh-CN"/>
        </w:rPr>
        <w:t>1.绩效评价的目的</w:t>
      </w:r>
    </w:p>
    <w:p w14:paraId="3CAB519B">
      <w:pPr>
        <w:spacing w:line="579" w:lineRule="exact"/>
        <w:ind w:firstLine="670" w:firstLineChars="200"/>
        <w:rPr>
          <w:rFonts w:hint="default" w:hAnsi="仿宋"/>
          <w:sz w:val="32"/>
          <w:szCs w:val="32"/>
          <w:lang w:val="en-US" w:eastAsia="zh-CN"/>
        </w:rPr>
      </w:pPr>
      <w:r>
        <w:rPr>
          <w:rFonts w:hint="default" w:hAnsi="仿宋"/>
          <w:sz w:val="32"/>
          <w:szCs w:val="32"/>
          <w:lang w:val="en-US" w:eastAsia="zh-CN"/>
        </w:rPr>
        <w:t>本次绩效评价围绕项目决策合理性、管理过程是否规范、产出目标是否完成以及效益目标是否实现等方面的内容，重点关注项目是否按时按质完工、是否产生预期效益、资金使用是否规范等。为进一步规范财政资金运行和预算绩效管理，推动部门有效履职，优化资源配置和财政支出结构，强化支出责任，提高财政资金使用效益提供支撑。</w:t>
      </w:r>
    </w:p>
    <w:p w14:paraId="1008BE1B">
      <w:pPr>
        <w:spacing w:line="579" w:lineRule="exact"/>
        <w:ind w:firstLine="670" w:firstLineChars="200"/>
        <w:outlineLvl w:val="2"/>
        <w:rPr>
          <w:rFonts w:hint="default" w:hAnsi="仿宋"/>
          <w:sz w:val="32"/>
          <w:szCs w:val="32"/>
          <w:highlight w:val="none"/>
          <w:lang w:val="en-US" w:eastAsia="zh-CN"/>
        </w:rPr>
      </w:pPr>
      <w:r>
        <w:rPr>
          <w:rFonts w:hint="eastAsia" w:hAnsi="仿宋"/>
          <w:sz w:val="32"/>
          <w:szCs w:val="32"/>
          <w:highlight w:val="none"/>
          <w:lang w:val="en-US" w:eastAsia="zh-CN"/>
        </w:rPr>
        <w:t>2.绩效评价对象和范围</w:t>
      </w:r>
    </w:p>
    <w:p w14:paraId="50E2EC39">
      <w:pPr>
        <w:spacing w:line="579" w:lineRule="exact"/>
        <w:ind w:firstLine="670" w:firstLineChars="200"/>
        <w:outlineLvl w:val="3"/>
        <w:rPr>
          <w:rFonts w:hint="eastAsia" w:hAnsi="仿宋"/>
          <w:sz w:val="32"/>
          <w:szCs w:val="32"/>
          <w:highlight w:val="none"/>
          <w:lang w:val="en-US" w:eastAsia="zh-CN"/>
        </w:rPr>
      </w:pPr>
      <w:r>
        <w:rPr>
          <w:rFonts w:hint="eastAsia" w:hAnsi="仿宋"/>
          <w:sz w:val="32"/>
          <w:szCs w:val="32"/>
          <w:highlight w:val="none"/>
          <w:lang w:val="en-US" w:eastAsia="zh-CN"/>
        </w:rPr>
        <w:t>（1）评价对象</w:t>
      </w:r>
    </w:p>
    <w:p w14:paraId="4546F922">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根据项目立项、项目管理、资金管理、绩效目标实现情况，对昆明市西山区人民政府金碧街道办事处、云南昆仑保安有限公司的实施管理情况进行评价。</w:t>
      </w:r>
    </w:p>
    <w:p w14:paraId="00E70688">
      <w:pPr>
        <w:spacing w:line="579" w:lineRule="exact"/>
        <w:ind w:firstLine="670" w:firstLineChars="200"/>
        <w:outlineLvl w:val="3"/>
        <w:rPr>
          <w:rFonts w:hint="eastAsia" w:hAnsi="仿宋"/>
          <w:sz w:val="32"/>
          <w:szCs w:val="32"/>
          <w:highlight w:val="none"/>
          <w:lang w:val="en-US" w:eastAsia="zh-CN"/>
        </w:rPr>
      </w:pPr>
      <w:r>
        <w:rPr>
          <w:rFonts w:hint="eastAsia" w:hAnsi="仿宋"/>
          <w:sz w:val="32"/>
          <w:szCs w:val="32"/>
          <w:highlight w:val="none"/>
          <w:lang w:val="en-US" w:eastAsia="zh-CN"/>
        </w:rPr>
        <w:t>（2）评价范围</w:t>
      </w:r>
    </w:p>
    <w:p w14:paraId="25E0064B">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2024年度。</w:t>
      </w:r>
    </w:p>
    <w:p w14:paraId="38BACEAB">
      <w:pPr>
        <w:spacing w:line="579" w:lineRule="exact"/>
        <w:ind w:firstLine="670" w:firstLineChars="200"/>
        <w:outlineLvl w:val="1"/>
        <w:rPr>
          <w:rFonts w:hint="eastAsia" w:hAnsi="仿宋" w:eastAsia="仿宋"/>
          <w:sz w:val="32"/>
          <w:szCs w:val="32"/>
          <w:lang w:eastAsia="zh-CN"/>
        </w:rPr>
      </w:pPr>
      <w:bookmarkStart w:id="26" w:name="_Toc28745"/>
      <w:bookmarkStart w:id="27" w:name="_Toc2924"/>
      <w:r>
        <w:rPr>
          <w:rFonts w:hint="eastAsia" w:ascii="楷体" w:hAnsi="楷体" w:eastAsia="楷体"/>
          <w:sz w:val="32"/>
          <w:szCs w:val="32"/>
          <w:lang w:eastAsia="zh-CN"/>
        </w:rPr>
        <w:t>（</w:t>
      </w:r>
      <w:r>
        <w:rPr>
          <w:rFonts w:hint="eastAsia" w:ascii="楷体" w:hAnsi="楷体" w:eastAsia="楷体"/>
          <w:sz w:val="32"/>
          <w:szCs w:val="32"/>
          <w:lang w:val="en-US" w:eastAsia="zh-CN"/>
        </w:rPr>
        <w:t>二</w:t>
      </w:r>
      <w:r>
        <w:rPr>
          <w:rFonts w:hint="eastAsia" w:ascii="楷体" w:hAnsi="楷体" w:eastAsia="楷体"/>
          <w:sz w:val="32"/>
          <w:szCs w:val="32"/>
          <w:lang w:eastAsia="zh-CN"/>
        </w:rPr>
        <w:t>）</w:t>
      </w:r>
      <w:r>
        <w:rPr>
          <w:rFonts w:hint="eastAsia" w:ascii="楷体" w:hAnsi="楷体" w:eastAsia="楷体"/>
          <w:sz w:val="32"/>
          <w:szCs w:val="32"/>
        </w:rPr>
        <w:t>绩效评价原则</w:t>
      </w:r>
      <w:bookmarkEnd w:id="26"/>
      <w:bookmarkEnd w:id="27"/>
    </w:p>
    <w:p w14:paraId="649EDA02">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1.公平性原则。公平公正是绩效评价工作的前提，坚持公平的原则才能客观真实地反映绩效评价结果。运用科学合理的方法，按照规范的程序，对项目绩效进行客观、公正地反映。</w:t>
      </w:r>
    </w:p>
    <w:p w14:paraId="2CD452AD">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2.客观性原则。绩效评价应当把考核标准与绩效目标联系起来，过程中应标准明确、方法科学、制度严格、态度认真，确保评价依据数据的客观准确，不同抽样点评价标准一致。</w:t>
      </w:r>
    </w:p>
    <w:p w14:paraId="631EFF5B">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3.可行性原则。绩效评价标准应客观反映被评价单位的部门履职情况，评价的数据来源应具备客观性，评价标准应得到被评价单位的认可。</w:t>
      </w:r>
    </w:p>
    <w:p w14:paraId="18411803">
      <w:pPr>
        <w:spacing w:line="579" w:lineRule="exact"/>
        <w:ind w:firstLine="670" w:firstLineChars="200"/>
        <w:rPr>
          <w:rFonts w:hint="eastAsia" w:hAnsi="仿宋"/>
          <w:sz w:val="32"/>
          <w:szCs w:val="32"/>
        </w:rPr>
      </w:pPr>
      <w:r>
        <w:rPr>
          <w:rFonts w:hint="eastAsia" w:hAnsi="仿宋"/>
          <w:sz w:val="32"/>
          <w:szCs w:val="32"/>
          <w:lang w:val="en-US" w:eastAsia="zh-CN"/>
        </w:rPr>
        <w:t>4.公开性原则。绩效评价过程中评价内容、评价标准、评价结果应对被评价单位公开，避免评价结论出现误判</w:t>
      </w:r>
      <w:r>
        <w:rPr>
          <w:rFonts w:hint="eastAsia" w:hAnsi="仿宋"/>
          <w:sz w:val="32"/>
          <w:szCs w:val="32"/>
        </w:rPr>
        <w:t>。</w:t>
      </w:r>
    </w:p>
    <w:p w14:paraId="265271E5">
      <w:pPr>
        <w:spacing w:line="579" w:lineRule="exact"/>
        <w:ind w:firstLine="632"/>
        <w:outlineLvl w:val="1"/>
        <w:rPr>
          <w:rFonts w:hint="eastAsia" w:ascii="楷体" w:hAnsi="楷体" w:eastAsia="楷体"/>
          <w:sz w:val="32"/>
          <w:szCs w:val="32"/>
        </w:rPr>
      </w:pPr>
      <w:bookmarkStart w:id="28" w:name="_Toc16570"/>
      <w:bookmarkStart w:id="29" w:name="_Toc6375"/>
      <w:r>
        <w:rPr>
          <w:rFonts w:hint="eastAsia" w:ascii="楷体" w:hAnsi="楷体" w:eastAsia="楷体"/>
          <w:sz w:val="32"/>
          <w:szCs w:val="32"/>
        </w:rPr>
        <w:t>（三）绩效评价依据</w:t>
      </w:r>
      <w:bookmarkEnd w:id="28"/>
      <w:bookmarkEnd w:id="29"/>
    </w:p>
    <w:p w14:paraId="059EF3F8">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1.财政部《项目支出绩效评价管理办法》（财预〔2020〕10号）；</w:t>
      </w:r>
    </w:p>
    <w:p w14:paraId="789B0F41">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2.《云南省项目支出绩效评价管理办法》（云财绩〔2020〕11号）；</w:t>
      </w:r>
    </w:p>
    <w:p w14:paraId="0582474E">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3.《中共昆明市委、昆明市人民政府关于全面实施预算绩效管理的实施意见》（昆发〔2019〕12号）；</w:t>
      </w:r>
    </w:p>
    <w:p w14:paraId="4176E52B">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4.《关于安排部署金碧辖区重点区域市容环境综合治理工作方案》；</w:t>
      </w:r>
    </w:p>
    <w:p w14:paraId="30EDCDCB">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5.《关于同意拨付金马碧鸡广场城市管理市容环境综合整治经费的批复》（西政复〔2019〕130号）；</w:t>
      </w:r>
    </w:p>
    <w:p w14:paraId="2BA563F2">
      <w:pPr>
        <w:spacing w:line="579" w:lineRule="exact"/>
        <w:ind w:firstLine="670" w:firstLineChars="200"/>
        <w:rPr>
          <w:rFonts w:hint="default" w:hAnsi="仿宋"/>
          <w:sz w:val="32"/>
          <w:szCs w:val="32"/>
          <w:lang w:val="en-US" w:eastAsia="zh-CN"/>
        </w:rPr>
      </w:pPr>
      <w:r>
        <w:rPr>
          <w:rFonts w:hint="eastAsia" w:hAnsi="仿宋"/>
          <w:sz w:val="32"/>
          <w:szCs w:val="32"/>
          <w:lang w:val="en-US" w:eastAsia="zh-CN"/>
        </w:rPr>
        <w:t>6.其他项目相关资料。</w:t>
      </w:r>
    </w:p>
    <w:p w14:paraId="1DBE43E6">
      <w:pPr>
        <w:spacing w:line="579" w:lineRule="exact"/>
        <w:ind w:firstLine="632"/>
        <w:outlineLvl w:val="1"/>
        <w:rPr>
          <w:rFonts w:hint="eastAsia" w:ascii="楷体" w:hAnsi="楷体" w:eastAsia="楷体"/>
          <w:sz w:val="32"/>
          <w:szCs w:val="32"/>
        </w:rPr>
      </w:pPr>
      <w:bookmarkStart w:id="30" w:name="_Toc4573"/>
      <w:bookmarkStart w:id="31" w:name="_Toc14400"/>
      <w:r>
        <w:rPr>
          <w:rFonts w:hint="eastAsia" w:ascii="楷体" w:hAnsi="楷体" w:eastAsia="楷体"/>
          <w:sz w:val="32"/>
          <w:szCs w:val="32"/>
        </w:rPr>
        <w:t>（</w:t>
      </w:r>
      <w:r>
        <w:rPr>
          <w:rFonts w:hint="eastAsia" w:ascii="楷体" w:hAnsi="楷体" w:eastAsia="楷体"/>
          <w:sz w:val="32"/>
          <w:szCs w:val="32"/>
          <w:lang w:val="en-US" w:eastAsia="zh-CN"/>
        </w:rPr>
        <w:t>四</w:t>
      </w:r>
      <w:r>
        <w:rPr>
          <w:rFonts w:hint="eastAsia" w:ascii="楷体" w:hAnsi="楷体" w:eastAsia="楷体"/>
          <w:sz w:val="32"/>
          <w:szCs w:val="32"/>
        </w:rPr>
        <w:t>）</w:t>
      </w:r>
      <w:r>
        <w:rPr>
          <w:rFonts w:hint="eastAsia" w:ascii="楷体" w:hAnsi="楷体" w:eastAsia="楷体"/>
          <w:sz w:val="32"/>
          <w:szCs w:val="32"/>
          <w:lang w:val="en-US" w:eastAsia="zh-CN"/>
        </w:rPr>
        <w:t>绩效</w:t>
      </w:r>
      <w:r>
        <w:rPr>
          <w:rFonts w:hint="eastAsia" w:ascii="楷体" w:hAnsi="楷体" w:eastAsia="楷体"/>
          <w:sz w:val="32"/>
          <w:szCs w:val="32"/>
        </w:rPr>
        <w:t>评价方法</w:t>
      </w:r>
      <w:bookmarkEnd w:id="30"/>
      <w:bookmarkEnd w:id="31"/>
    </w:p>
    <w:p w14:paraId="30F93F31">
      <w:pPr>
        <w:spacing w:line="579" w:lineRule="exact"/>
        <w:ind w:firstLine="670" w:firstLineChars="200"/>
        <w:rPr>
          <w:rFonts w:hint="eastAsia" w:hAnsi="仿宋"/>
          <w:sz w:val="32"/>
          <w:szCs w:val="32"/>
        </w:rPr>
      </w:pPr>
      <w:r>
        <w:rPr>
          <w:rFonts w:hint="eastAsia" w:hAnsi="仿宋"/>
          <w:sz w:val="32"/>
          <w:szCs w:val="32"/>
        </w:rPr>
        <w:t>绩效评价主要采取的方法包括成本效益分析法、比较法、因素分析法、最低成本法、公众评判法等。结合本次绩效评价项目的具体情况，为确保本次绩效评价工作的真实可靠，采用定量与定性相结合、审阅自评相结合，对收集的相关基础资料、各种技术经济数据，在归集、整理、分析的基础上，结合项目特点确定评价方法。具体如下：</w:t>
      </w:r>
    </w:p>
    <w:p w14:paraId="38D14741">
      <w:pPr>
        <w:spacing w:line="579" w:lineRule="exact"/>
        <w:ind w:firstLine="670" w:firstLineChars="200"/>
        <w:outlineLvl w:val="2"/>
        <w:rPr>
          <w:rFonts w:hint="eastAsia" w:hAnsi="仿宋"/>
          <w:sz w:val="32"/>
          <w:szCs w:val="32"/>
          <w:lang w:val="en-US" w:eastAsia="zh-CN"/>
        </w:rPr>
      </w:pPr>
      <w:r>
        <w:rPr>
          <w:rFonts w:hint="eastAsia" w:hAnsi="仿宋"/>
          <w:sz w:val="32"/>
          <w:szCs w:val="32"/>
          <w:lang w:val="en-US" w:eastAsia="zh-CN"/>
        </w:rPr>
        <w:t>1.评价方法</w:t>
      </w:r>
    </w:p>
    <w:p w14:paraId="1D3E3214">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本次评价采用比较法、因素分析法和公众评判法等方法对项目的整体情况进行综合评价。包括将实际执行情况与计划绩效目标进行比较分析，在评价中综合分析政策执行外部环境、内部控制等因素对绩效目标完成情况的影响，同时通过专家评估、公众问卷和抽样调查等公众评判方法进行评价，实地了解预算资金执行情况，社会公众满意度情况。</w:t>
      </w:r>
    </w:p>
    <w:p w14:paraId="1412399C">
      <w:pPr>
        <w:spacing w:line="579" w:lineRule="exact"/>
        <w:ind w:firstLine="670" w:firstLineChars="200"/>
        <w:outlineLvl w:val="2"/>
        <w:rPr>
          <w:rFonts w:hint="eastAsia" w:hAnsi="仿宋"/>
          <w:sz w:val="32"/>
          <w:szCs w:val="32"/>
          <w:lang w:val="en-US" w:eastAsia="zh-CN"/>
        </w:rPr>
      </w:pPr>
      <w:r>
        <w:rPr>
          <w:rFonts w:hint="eastAsia" w:hAnsi="仿宋"/>
          <w:sz w:val="32"/>
          <w:szCs w:val="32"/>
          <w:lang w:val="en-US" w:eastAsia="zh-CN"/>
        </w:rPr>
        <w:t>2.评价方式</w:t>
      </w:r>
    </w:p>
    <w:p w14:paraId="16C38738">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一是资料审阅。从被评价部门收集与项目预算、管理、绩效相关的评价数据，形成绩效评价的基础资料，并对基础资料的真实性、可靠性进行审阅。具体包括对各实施单位上报的自评报告进行认真审阅，核实各项目单位自评工作是否按要求完成，评价完成的效益和质量；收集绩效评价的基础数据，对项目实施单位填报的项目完成情况表、数据采集表、资金使用情况表进行审阅，对异常的资金使用通过实地调查、原始凭证查阅等进行核实；收集项目绩效的相关资料并结合问卷调查、座谈访谈结果对项目绩效进行客观评价。</w:t>
      </w:r>
    </w:p>
    <w:p w14:paraId="74055D2C">
      <w:pPr>
        <w:spacing w:line="579" w:lineRule="exact"/>
        <w:ind w:firstLine="670" w:firstLineChars="200"/>
        <w:rPr>
          <w:rFonts w:hint="eastAsia" w:hAnsi="仿宋"/>
          <w:sz w:val="32"/>
          <w:szCs w:val="32"/>
        </w:rPr>
      </w:pPr>
      <w:r>
        <w:rPr>
          <w:rFonts w:hint="eastAsia" w:hAnsi="仿宋"/>
          <w:sz w:val="32"/>
          <w:szCs w:val="32"/>
          <w:lang w:val="en-US" w:eastAsia="zh-CN"/>
        </w:rPr>
        <w:t>二是沟通调查评价。绩效评价工作组根据分工，采用资料收集与数据填报、案卷研究、座谈会、问卷调查等方式，组织开展实地评价。在绩效评价实施过程中，根据评价对象的具体情况，设计数据收集表格收集评价数据、资料；同时发放调查问卷调查项目的公众满意度、管理人员意见以及评价相关的信息</w:t>
      </w:r>
      <w:r>
        <w:rPr>
          <w:rFonts w:hint="eastAsia" w:hAnsi="仿宋"/>
          <w:sz w:val="32"/>
          <w:szCs w:val="32"/>
        </w:rPr>
        <w:t>。</w:t>
      </w:r>
    </w:p>
    <w:p w14:paraId="12291265">
      <w:pPr>
        <w:spacing w:line="579" w:lineRule="exact"/>
        <w:ind w:firstLine="670" w:firstLineChars="200"/>
        <w:outlineLvl w:val="1"/>
        <w:rPr>
          <w:rFonts w:ascii="楷体" w:hAnsi="楷体" w:eastAsia="楷体"/>
          <w:sz w:val="32"/>
          <w:szCs w:val="32"/>
        </w:rPr>
      </w:pPr>
      <w:bookmarkStart w:id="32" w:name="_Toc22344"/>
      <w:bookmarkStart w:id="33" w:name="_Toc6718"/>
      <w:r>
        <w:rPr>
          <w:rFonts w:hint="eastAsia" w:ascii="楷体" w:hAnsi="楷体" w:eastAsia="楷体"/>
          <w:sz w:val="32"/>
          <w:szCs w:val="32"/>
        </w:rPr>
        <w:t>（</w:t>
      </w:r>
      <w:r>
        <w:rPr>
          <w:rFonts w:hint="eastAsia" w:ascii="楷体" w:hAnsi="楷体" w:eastAsia="楷体"/>
          <w:sz w:val="32"/>
          <w:szCs w:val="32"/>
          <w:lang w:val="en-US" w:eastAsia="zh-CN"/>
        </w:rPr>
        <w:t>五</w:t>
      </w:r>
      <w:r>
        <w:rPr>
          <w:rFonts w:hint="eastAsia" w:ascii="楷体" w:hAnsi="楷体" w:eastAsia="楷体"/>
          <w:sz w:val="32"/>
          <w:szCs w:val="32"/>
        </w:rPr>
        <w:t>）评价指标体系</w:t>
      </w:r>
      <w:bookmarkEnd w:id="32"/>
      <w:bookmarkEnd w:id="33"/>
    </w:p>
    <w:p w14:paraId="6A412C40">
      <w:pPr>
        <w:spacing w:line="579" w:lineRule="exact"/>
        <w:ind w:firstLine="670" w:firstLineChars="200"/>
        <w:outlineLvl w:val="2"/>
        <w:rPr>
          <w:rFonts w:hint="eastAsia" w:hAnsi="仿宋"/>
          <w:sz w:val="32"/>
          <w:szCs w:val="32"/>
        </w:rPr>
      </w:pPr>
      <w:r>
        <w:rPr>
          <w:rFonts w:hint="eastAsia" w:hAnsi="仿宋"/>
          <w:sz w:val="32"/>
          <w:szCs w:val="32"/>
        </w:rPr>
        <w:t>1.指标体系</w:t>
      </w:r>
    </w:p>
    <w:p w14:paraId="3F1D5B0D">
      <w:pPr>
        <w:spacing w:line="579" w:lineRule="exact"/>
        <w:ind w:firstLine="670" w:firstLineChars="200"/>
        <w:rPr>
          <w:rFonts w:hint="eastAsia" w:hAnsi="仿宋"/>
          <w:sz w:val="32"/>
          <w:szCs w:val="32"/>
        </w:rPr>
      </w:pPr>
      <w:r>
        <w:rPr>
          <w:rFonts w:hint="eastAsia" w:hAnsi="仿宋"/>
          <w:sz w:val="32"/>
          <w:szCs w:val="32"/>
        </w:rPr>
        <w:t>本次绩效评价，针对项目设置绩效评价指标体系，设计思路是：本次对项目的绩效评价从项目的设立、执行、产出及效果的全过程的绩效评价，一级指标即共性指标，反映项目评价的通用要素，适合所有的项目评价。即</w:t>
      </w:r>
      <w:r>
        <w:rPr>
          <w:rFonts w:hint="eastAsia" w:hAnsi="仿宋"/>
          <w:sz w:val="32"/>
          <w:szCs w:val="32"/>
          <w:lang w:eastAsia="zh-CN"/>
        </w:rPr>
        <w:t>：</w:t>
      </w:r>
      <w:r>
        <w:rPr>
          <w:rFonts w:hint="eastAsia" w:hAnsi="仿宋"/>
          <w:sz w:val="32"/>
          <w:szCs w:val="32"/>
        </w:rPr>
        <w:t>投入、过程、产出、效果4个一级指标。在此基础上，根据项目自身特性进行细化，分解明确项目立项、资金落实、业务管理、财务管理、项目产出、项目效益、满意度7个二级指标，在此基础上细化分解为19个三级指标。</w:t>
      </w:r>
    </w:p>
    <w:p w14:paraId="020B36B3">
      <w:pPr>
        <w:spacing w:line="579" w:lineRule="exact"/>
        <w:ind w:firstLine="670" w:firstLineChars="200"/>
        <w:outlineLvl w:val="2"/>
        <w:rPr>
          <w:rFonts w:hint="eastAsia" w:hAnsi="仿宋"/>
          <w:sz w:val="32"/>
          <w:szCs w:val="32"/>
        </w:rPr>
      </w:pPr>
      <w:r>
        <w:rPr>
          <w:rFonts w:hint="eastAsia" w:hAnsi="仿宋"/>
          <w:sz w:val="32"/>
          <w:szCs w:val="32"/>
        </w:rPr>
        <w:t>2.指标权重</w:t>
      </w:r>
    </w:p>
    <w:p w14:paraId="3AA5591C">
      <w:pPr>
        <w:spacing w:line="579" w:lineRule="exact"/>
        <w:ind w:firstLine="670" w:firstLineChars="200"/>
        <w:rPr>
          <w:rFonts w:hint="eastAsia" w:hAnsi="仿宋"/>
          <w:sz w:val="32"/>
          <w:szCs w:val="32"/>
        </w:rPr>
      </w:pPr>
      <w:r>
        <w:rPr>
          <w:rFonts w:hint="eastAsia" w:hAnsi="仿宋"/>
          <w:sz w:val="32"/>
          <w:szCs w:val="32"/>
        </w:rPr>
        <w:t>本项目目前已实施</w:t>
      </w:r>
      <w:r>
        <w:rPr>
          <w:rFonts w:hint="eastAsia" w:hAnsi="仿宋"/>
          <w:sz w:val="32"/>
          <w:szCs w:val="32"/>
          <w:lang w:eastAsia="zh-CN"/>
        </w:rPr>
        <w:t>完成</w:t>
      </w:r>
      <w:r>
        <w:rPr>
          <w:rFonts w:hint="eastAsia" w:hAnsi="仿宋"/>
          <w:sz w:val="32"/>
          <w:szCs w:val="32"/>
        </w:rPr>
        <w:t>，由于项目属于服务类型，主要侧重于过程、产出、最终效果阶段。投入指标权重为15%；过程指标权重为34%；产出指标权重为34%；效果指标权重为17%。</w:t>
      </w:r>
    </w:p>
    <w:p w14:paraId="7EF5CDE4">
      <w:pPr>
        <w:spacing w:line="579" w:lineRule="exact"/>
        <w:ind w:firstLine="670" w:firstLineChars="200"/>
        <w:rPr>
          <w:rFonts w:hint="eastAsia" w:hAnsi="仿宋"/>
          <w:sz w:val="32"/>
          <w:szCs w:val="32"/>
        </w:rPr>
      </w:pPr>
      <w:r>
        <w:rPr>
          <w:rFonts w:hint="eastAsia" w:hAnsi="仿宋"/>
          <w:sz w:val="32"/>
          <w:szCs w:val="32"/>
        </w:rPr>
        <w:t>“投入”指标由“项目立项、资金落实”2个二级指标构成，同时将2个二级指标细化为5个三级指标。考核项目立项规范性、立项程序规范性、绩效目标合理性、绩效指标明确性、资金到位率以及到位及时率。</w:t>
      </w:r>
    </w:p>
    <w:p w14:paraId="4EAD2BBF">
      <w:pPr>
        <w:spacing w:line="579" w:lineRule="exact"/>
        <w:ind w:firstLine="670" w:firstLineChars="200"/>
        <w:rPr>
          <w:rFonts w:hint="eastAsia" w:hAnsi="仿宋"/>
          <w:sz w:val="32"/>
          <w:szCs w:val="32"/>
        </w:rPr>
      </w:pPr>
      <w:r>
        <w:rPr>
          <w:rFonts w:hint="eastAsia" w:hAnsi="仿宋"/>
          <w:sz w:val="32"/>
          <w:szCs w:val="32"/>
        </w:rPr>
        <w:t>“过程”指标由“业务管理、财务管理”2个二级指标构成，同时将2个二级指标分解为6个三级指标。主要考核业务管理制度健全性、制度执行有效性、项目质量可控性、管理制度健全性、资金使用合规性、财务监控有效性。</w:t>
      </w:r>
    </w:p>
    <w:p w14:paraId="4C910442">
      <w:pPr>
        <w:spacing w:line="579" w:lineRule="exact"/>
        <w:ind w:firstLine="670" w:firstLineChars="200"/>
        <w:rPr>
          <w:rFonts w:hint="eastAsia" w:hAnsi="仿宋"/>
          <w:sz w:val="32"/>
          <w:szCs w:val="32"/>
        </w:rPr>
      </w:pPr>
      <w:r>
        <w:rPr>
          <w:rFonts w:hint="eastAsia" w:hAnsi="仿宋"/>
          <w:sz w:val="32"/>
          <w:szCs w:val="32"/>
        </w:rPr>
        <w:t>“产出”指标由“项目产出”1个二级指标构成，同时将1个二级指标分解为5个三级指标，主要考核实际完成率、完成及时率、质量达标率、成本节约率。</w:t>
      </w:r>
    </w:p>
    <w:p w14:paraId="6E6A7209">
      <w:pPr>
        <w:spacing w:line="579" w:lineRule="exact"/>
        <w:ind w:firstLine="670" w:firstLineChars="200"/>
        <w:rPr>
          <w:rFonts w:hint="eastAsia" w:hAnsi="仿宋"/>
          <w:sz w:val="32"/>
          <w:szCs w:val="32"/>
        </w:rPr>
      </w:pPr>
      <w:r>
        <w:rPr>
          <w:rFonts w:hint="eastAsia" w:hAnsi="仿宋"/>
          <w:sz w:val="32"/>
          <w:szCs w:val="32"/>
        </w:rPr>
        <w:t>“效益”指标由“项目效益、满意度”2个二级指标构成，同时将2个二级指标细化为4个三级指标，主要考核社会效益、履职效益、单位工作人员满意度、群众满意度。</w:t>
      </w:r>
    </w:p>
    <w:p w14:paraId="0BBE74FD">
      <w:pPr>
        <w:spacing w:line="579" w:lineRule="exact"/>
        <w:ind w:firstLine="632"/>
        <w:outlineLvl w:val="1"/>
        <w:rPr>
          <w:rFonts w:hint="eastAsia" w:ascii="楷体" w:hAnsi="楷体" w:eastAsia="楷体"/>
          <w:sz w:val="32"/>
          <w:szCs w:val="32"/>
          <w:lang w:val="en-US" w:eastAsia="zh-CN"/>
        </w:rPr>
      </w:pPr>
      <w:bookmarkStart w:id="34" w:name="_Toc81575277"/>
      <w:bookmarkStart w:id="35" w:name="_Toc1067"/>
      <w:bookmarkStart w:id="36" w:name="_Toc17837"/>
      <w:bookmarkStart w:id="37" w:name="_Toc81575278"/>
      <w:r>
        <w:rPr>
          <w:rFonts w:hint="eastAsia" w:ascii="楷体" w:hAnsi="楷体" w:eastAsia="楷体"/>
          <w:sz w:val="32"/>
          <w:szCs w:val="32"/>
        </w:rPr>
        <w:t>（</w:t>
      </w:r>
      <w:r>
        <w:rPr>
          <w:rFonts w:hint="eastAsia" w:ascii="楷体" w:hAnsi="楷体" w:eastAsia="楷体"/>
          <w:sz w:val="32"/>
          <w:szCs w:val="32"/>
          <w:lang w:val="en-US" w:eastAsia="zh-CN"/>
        </w:rPr>
        <w:t>六</w:t>
      </w:r>
      <w:r>
        <w:rPr>
          <w:rFonts w:hint="eastAsia" w:ascii="楷体" w:hAnsi="楷体" w:eastAsia="楷体"/>
          <w:sz w:val="32"/>
          <w:szCs w:val="32"/>
        </w:rPr>
        <w:t>）</w:t>
      </w:r>
      <w:bookmarkStart w:id="38" w:name="_Toc11427721"/>
      <w:bookmarkStart w:id="39" w:name="_Toc80023565"/>
      <w:r>
        <w:rPr>
          <w:rFonts w:hint="eastAsia" w:ascii="楷体" w:hAnsi="楷体" w:eastAsia="楷体"/>
          <w:sz w:val="32"/>
          <w:szCs w:val="32"/>
          <w:lang w:val="en-US" w:eastAsia="zh-CN"/>
        </w:rPr>
        <w:t>绩效</w:t>
      </w:r>
      <w:r>
        <w:rPr>
          <w:rFonts w:hint="eastAsia" w:ascii="楷体" w:hAnsi="楷体" w:eastAsia="楷体"/>
          <w:sz w:val="32"/>
          <w:szCs w:val="32"/>
        </w:rPr>
        <w:t>评价</w:t>
      </w:r>
      <w:bookmarkEnd w:id="34"/>
      <w:bookmarkEnd w:id="38"/>
      <w:bookmarkEnd w:id="39"/>
      <w:r>
        <w:rPr>
          <w:rFonts w:hint="eastAsia" w:ascii="楷体" w:hAnsi="楷体" w:eastAsia="楷体"/>
          <w:sz w:val="32"/>
          <w:szCs w:val="32"/>
          <w:lang w:val="en-US" w:eastAsia="zh-CN"/>
        </w:rPr>
        <w:t>抽样</w:t>
      </w:r>
      <w:bookmarkEnd w:id="35"/>
      <w:bookmarkEnd w:id="36"/>
    </w:p>
    <w:bookmarkEnd w:id="37"/>
    <w:p w14:paraId="7731E658">
      <w:pPr>
        <w:spacing w:line="579" w:lineRule="exact"/>
        <w:ind w:firstLine="670" w:firstLineChars="200"/>
        <w:rPr>
          <w:rFonts w:hint="eastAsia" w:hAnsi="仿宋" w:cs="Times New Roman"/>
          <w:szCs w:val="30"/>
          <w:lang w:val="en-US" w:eastAsia="zh-CN"/>
        </w:rPr>
      </w:pPr>
      <w:bookmarkStart w:id="40" w:name="_Toc4085"/>
      <w:r>
        <w:rPr>
          <w:rFonts w:hint="eastAsia" w:hAnsi="仿宋" w:cs="Times New Roman"/>
          <w:sz w:val="32"/>
          <w:szCs w:val="32"/>
          <w:lang w:val="en-US" w:eastAsia="zh-CN"/>
        </w:rPr>
        <w:t>本次2024年金碧广场办综合整治管理经费绩效评价采取100%抽样的方式，对项目进行核查。评价范围涵盖项目立项、资金拨付、合同签订、台账记录、巡查管理及问卷调查等环节，重点核查资金使用合规性、管理制度执行情况及服务质量达标情况，确保评价结果的全面性与客观性。</w:t>
      </w:r>
    </w:p>
    <w:p w14:paraId="3CCB9364">
      <w:pPr>
        <w:spacing w:line="579" w:lineRule="exact"/>
        <w:ind w:firstLine="630" w:firstLineChars="200"/>
        <w:outlineLvl w:val="0"/>
        <w:rPr>
          <w:rFonts w:ascii="黑体" w:hAnsi="宋体" w:eastAsia="黑体" w:cs="宋体"/>
          <w:szCs w:val="30"/>
        </w:rPr>
      </w:pPr>
      <w:bookmarkStart w:id="41" w:name="_Toc6630"/>
      <w:r>
        <w:rPr>
          <w:rFonts w:hint="eastAsia" w:ascii="黑体" w:hAnsi="宋体" w:eastAsia="黑体" w:cs="宋体"/>
          <w:szCs w:val="30"/>
          <w:lang w:val="en-US" w:eastAsia="zh-CN"/>
        </w:rPr>
        <w:t>三</w:t>
      </w:r>
      <w:r>
        <w:rPr>
          <w:rFonts w:hint="eastAsia" w:ascii="黑体" w:hAnsi="宋体" w:eastAsia="黑体" w:cs="宋体"/>
          <w:szCs w:val="30"/>
        </w:rPr>
        <w:t>、</w:t>
      </w:r>
      <w:r>
        <w:rPr>
          <w:rFonts w:hint="eastAsia" w:ascii="黑体" w:hAnsi="黑体" w:eastAsia="黑体"/>
          <w:lang w:val="en-US" w:eastAsia="zh-CN"/>
        </w:rPr>
        <w:t>绩效评价</w:t>
      </w:r>
      <w:r>
        <w:rPr>
          <w:rFonts w:hint="eastAsia" w:ascii="黑体" w:hAnsi="黑体" w:eastAsia="黑体"/>
        </w:rPr>
        <w:t>结论</w:t>
      </w:r>
      <w:bookmarkEnd w:id="40"/>
      <w:bookmarkEnd w:id="41"/>
    </w:p>
    <w:p w14:paraId="4DA7DA71">
      <w:pPr>
        <w:spacing w:line="579" w:lineRule="exact"/>
        <w:ind w:firstLine="670" w:firstLineChars="200"/>
        <w:outlineLvl w:val="1"/>
        <w:rPr>
          <w:rFonts w:ascii="楷体" w:hAnsi="楷体" w:eastAsia="楷体"/>
          <w:sz w:val="32"/>
          <w:szCs w:val="32"/>
        </w:rPr>
      </w:pPr>
      <w:bookmarkStart w:id="42" w:name="_Toc2081"/>
      <w:bookmarkStart w:id="43" w:name="_Toc18661"/>
      <w:r>
        <w:rPr>
          <w:rFonts w:hint="eastAsia" w:ascii="楷体" w:hAnsi="楷体" w:eastAsia="楷体"/>
          <w:sz w:val="32"/>
          <w:szCs w:val="32"/>
        </w:rPr>
        <w:t>（一）绩效评价综合结论</w:t>
      </w:r>
      <w:bookmarkEnd w:id="42"/>
      <w:bookmarkEnd w:id="43"/>
    </w:p>
    <w:p w14:paraId="2DC6CEA9">
      <w:pPr>
        <w:spacing w:line="579" w:lineRule="exact"/>
        <w:ind w:firstLine="670" w:firstLineChars="200"/>
        <w:rPr>
          <w:rFonts w:hint="eastAsia" w:hAnsi="仿宋"/>
          <w:sz w:val="32"/>
          <w:szCs w:val="32"/>
          <w:highlight w:val="none"/>
        </w:rPr>
      </w:pPr>
      <w:bookmarkStart w:id="44" w:name="_Hlk525314439"/>
      <w:r>
        <w:rPr>
          <w:rFonts w:hint="eastAsia" w:hAnsi="仿宋"/>
          <w:sz w:val="32"/>
          <w:szCs w:val="32"/>
          <w:highlight w:val="none"/>
        </w:rPr>
        <w:t>2024年金碧广场办综合整治管理经费项目绩效评价得分9</w:t>
      </w:r>
      <w:r>
        <w:rPr>
          <w:rFonts w:hint="eastAsia" w:hAnsi="仿宋"/>
          <w:sz w:val="32"/>
          <w:szCs w:val="32"/>
          <w:highlight w:val="none"/>
          <w:lang w:val="en-US" w:eastAsia="zh-CN"/>
        </w:rPr>
        <w:t>0</w:t>
      </w:r>
      <w:r>
        <w:rPr>
          <w:rFonts w:hint="eastAsia" w:hAnsi="仿宋"/>
          <w:sz w:val="32"/>
          <w:szCs w:val="32"/>
          <w:highlight w:val="none"/>
        </w:rPr>
        <w:t>分，评价等级为“优”。一级指标具体得分情况详见下表：</w:t>
      </w:r>
    </w:p>
    <w:p w14:paraId="75119AD3">
      <w:pPr>
        <w:jc w:val="center"/>
        <w:rPr>
          <w:rFonts w:ascii="黑体" w:hAnsi="黑体" w:eastAsia="黑体" w:cs="宋体"/>
          <w:bCs/>
          <w:sz w:val="28"/>
          <w:szCs w:val="28"/>
        </w:rPr>
      </w:pPr>
      <w:r>
        <w:rPr>
          <w:rFonts w:hint="eastAsia" w:ascii="黑体" w:hAnsi="黑体" w:eastAsia="黑体" w:cs="宋体"/>
          <w:bCs/>
          <w:sz w:val="28"/>
          <w:szCs w:val="28"/>
        </w:rPr>
        <w:t>表</w:t>
      </w:r>
      <w:r>
        <w:rPr>
          <w:rFonts w:hint="eastAsia" w:ascii="黑体" w:hAnsi="黑体" w:eastAsia="黑体" w:cs="宋体"/>
          <w:bCs/>
          <w:sz w:val="28"/>
          <w:szCs w:val="28"/>
          <w:lang w:val="en-US" w:eastAsia="zh-CN"/>
        </w:rPr>
        <w:t xml:space="preserve">2 </w:t>
      </w:r>
      <w:r>
        <w:rPr>
          <w:rFonts w:hint="eastAsia" w:ascii="黑体" w:hAnsi="黑体" w:eastAsia="黑体" w:cs="宋体"/>
          <w:bCs/>
          <w:sz w:val="28"/>
          <w:szCs w:val="28"/>
        </w:rPr>
        <w:t>绩效评价得分情况表</w:t>
      </w:r>
    </w:p>
    <w:bookmarkEnd w:id="44"/>
    <w:tbl>
      <w:tblPr>
        <w:tblStyle w:val="19"/>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2350"/>
        <w:gridCol w:w="2350"/>
        <w:gridCol w:w="2351"/>
        <w:gridCol w:w="1903"/>
      </w:tblGrid>
      <w:tr w14:paraId="2532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tblHeader/>
          <w:jc w:val="center"/>
        </w:trPr>
        <w:tc>
          <w:tcPr>
            <w:tcW w:w="2350" w:type="dxa"/>
            <w:tcBorders>
              <w:top w:val="single" w:color="auto" w:sz="4" w:space="0"/>
            </w:tcBorders>
            <w:vAlign w:val="center"/>
          </w:tcPr>
          <w:p w14:paraId="695B8FE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Ansi="仿宋" w:cs="宋体"/>
                <w:b/>
                <w:bCs/>
                <w:spacing w:val="6"/>
                <w:sz w:val="28"/>
                <w:szCs w:val="28"/>
                <w:highlight w:val="none"/>
              </w:rPr>
            </w:pPr>
            <w:bookmarkStart w:id="45" w:name="_Toc3631"/>
            <w:r>
              <w:rPr>
                <w:rFonts w:hint="eastAsia" w:ascii="仿宋" w:hAnsi="仿宋" w:eastAsia="仿宋" w:cs="仿宋"/>
                <w:b/>
                <w:bCs/>
                <w:i w:val="0"/>
                <w:iCs w:val="0"/>
                <w:color w:val="000000"/>
                <w:kern w:val="0"/>
                <w:sz w:val="28"/>
                <w:szCs w:val="28"/>
                <w:u w:val="none"/>
                <w:lang w:val="en-US" w:eastAsia="zh-CN" w:bidi="ar"/>
              </w:rPr>
              <w:t>一级指标</w:t>
            </w:r>
          </w:p>
        </w:tc>
        <w:tc>
          <w:tcPr>
            <w:tcW w:w="2350" w:type="dxa"/>
            <w:tcBorders>
              <w:top w:val="single" w:color="auto" w:sz="4" w:space="0"/>
            </w:tcBorders>
            <w:vAlign w:val="center"/>
          </w:tcPr>
          <w:p w14:paraId="6CFEE57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Ansi="仿宋" w:cs="宋体"/>
                <w:b/>
                <w:bCs/>
                <w:spacing w:val="6"/>
                <w:sz w:val="28"/>
                <w:szCs w:val="28"/>
                <w:highlight w:val="none"/>
              </w:rPr>
            </w:pPr>
            <w:r>
              <w:rPr>
                <w:rFonts w:hint="eastAsia" w:ascii="仿宋" w:hAnsi="仿宋" w:eastAsia="仿宋" w:cs="仿宋"/>
                <w:b/>
                <w:bCs/>
                <w:i w:val="0"/>
                <w:iCs w:val="0"/>
                <w:color w:val="000000"/>
                <w:kern w:val="0"/>
                <w:sz w:val="28"/>
                <w:szCs w:val="28"/>
                <w:u w:val="none"/>
                <w:lang w:val="en-US" w:eastAsia="zh-CN" w:bidi="ar"/>
              </w:rPr>
              <w:t>指标分值</w:t>
            </w:r>
          </w:p>
        </w:tc>
        <w:tc>
          <w:tcPr>
            <w:tcW w:w="2351" w:type="dxa"/>
            <w:tcBorders>
              <w:top w:val="single" w:color="auto" w:sz="4" w:space="0"/>
            </w:tcBorders>
            <w:vAlign w:val="center"/>
          </w:tcPr>
          <w:p w14:paraId="3AAFF0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Ansi="仿宋" w:cs="宋体"/>
                <w:b/>
                <w:bCs/>
                <w:spacing w:val="6"/>
                <w:sz w:val="28"/>
                <w:szCs w:val="28"/>
                <w:highlight w:val="none"/>
              </w:rPr>
            </w:pPr>
            <w:r>
              <w:rPr>
                <w:rFonts w:hint="eastAsia" w:ascii="仿宋" w:hAnsi="仿宋" w:eastAsia="仿宋" w:cs="仿宋"/>
                <w:b/>
                <w:bCs/>
                <w:i w:val="0"/>
                <w:iCs w:val="0"/>
                <w:color w:val="000000"/>
                <w:kern w:val="0"/>
                <w:sz w:val="28"/>
                <w:szCs w:val="28"/>
                <w:u w:val="none"/>
                <w:lang w:val="en-US" w:eastAsia="zh-CN" w:bidi="ar"/>
              </w:rPr>
              <w:t>评价得分</w:t>
            </w:r>
          </w:p>
        </w:tc>
        <w:tc>
          <w:tcPr>
            <w:tcW w:w="1903" w:type="dxa"/>
            <w:tcBorders>
              <w:top w:val="single" w:color="auto" w:sz="4" w:space="0"/>
            </w:tcBorders>
            <w:vAlign w:val="center"/>
          </w:tcPr>
          <w:p w14:paraId="04E8FF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Ansi="仿宋" w:cs="宋体"/>
                <w:b/>
                <w:bCs/>
                <w:spacing w:val="6"/>
                <w:sz w:val="28"/>
                <w:szCs w:val="28"/>
                <w:highlight w:val="none"/>
              </w:rPr>
            </w:pPr>
            <w:r>
              <w:rPr>
                <w:rFonts w:hint="eastAsia" w:ascii="仿宋" w:hAnsi="仿宋" w:eastAsia="仿宋" w:cs="仿宋"/>
                <w:b/>
                <w:bCs/>
                <w:i w:val="0"/>
                <w:iCs w:val="0"/>
                <w:color w:val="000000"/>
                <w:kern w:val="0"/>
                <w:sz w:val="28"/>
                <w:szCs w:val="28"/>
                <w:u w:val="none"/>
                <w:lang w:val="en-US" w:eastAsia="zh-CN" w:bidi="ar"/>
              </w:rPr>
              <w:t>得分率</w:t>
            </w:r>
          </w:p>
        </w:tc>
      </w:tr>
      <w:tr w14:paraId="4A1A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2350" w:type="dxa"/>
            <w:vAlign w:val="center"/>
          </w:tcPr>
          <w:p w14:paraId="27D8AC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hAnsi="仿宋" w:eastAsia="仿宋" w:cs="宋体"/>
                <w:bCs/>
                <w:spacing w:val="6"/>
                <w:sz w:val="28"/>
                <w:szCs w:val="28"/>
                <w:highlight w:val="none"/>
                <w:lang w:val="en-US" w:eastAsia="zh-CN"/>
              </w:rPr>
            </w:pPr>
            <w:r>
              <w:rPr>
                <w:rFonts w:hint="eastAsia" w:ascii="仿宋" w:hAnsi="仿宋" w:eastAsia="仿宋" w:cs="仿宋"/>
                <w:i w:val="0"/>
                <w:iCs w:val="0"/>
                <w:color w:val="000000"/>
                <w:kern w:val="0"/>
                <w:sz w:val="28"/>
                <w:szCs w:val="28"/>
                <w:u w:val="none"/>
                <w:lang w:val="en-US" w:eastAsia="zh-CN" w:bidi="ar"/>
              </w:rPr>
              <w:t>决策</w:t>
            </w:r>
          </w:p>
        </w:tc>
        <w:tc>
          <w:tcPr>
            <w:tcW w:w="2350" w:type="dxa"/>
            <w:vAlign w:val="center"/>
          </w:tcPr>
          <w:p w14:paraId="63466B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Ansi="仿宋" w:cs="宋体"/>
                <w:bCs/>
                <w:spacing w:val="6"/>
                <w:sz w:val="28"/>
                <w:szCs w:val="28"/>
                <w:highlight w:val="none"/>
              </w:rPr>
            </w:pPr>
            <w:r>
              <w:rPr>
                <w:rFonts w:hint="eastAsia" w:ascii="仿宋" w:hAnsi="仿宋" w:eastAsia="仿宋" w:cs="仿宋"/>
                <w:i w:val="0"/>
                <w:iCs w:val="0"/>
                <w:color w:val="000000"/>
                <w:kern w:val="0"/>
                <w:sz w:val="28"/>
                <w:szCs w:val="28"/>
                <w:u w:val="none"/>
                <w:lang w:val="en-US" w:eastAsia="zh-CN" w:bidi="ar"/>
              </w:rPr>
              <w:t>15</w:t>
            </w:r>
          </w:p>
        </w:tc>
        <w:tc>
          <w:tcPr>
            <w:tcW w:w="2351" w:type="dxa"/>
            <w:vAlign w:val="center"/>
          </w:tcPr>
          <w:p w14:paraId="7000702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hAnsi="仿宋" w:eastAsia="仿宋" w:cs="宋体"/>
                <w:bCs/>
                <w:spacing w:val="6"/>
                <w:sz w:val="28"/>
                <w:szCs w:val="28"/>
                <w:highlight w:val="none"/>
                <w:lang w:val="en-US" w:eastAsia="zh-CN"/>
              </w:rPr>
            </w:pPr>
            <w:r>
              <w:rPr>
                <w:rFonts w:hint="eastAsia" w:hAnsi="仿宋" w:cs="仿宋"/>
                <w:i w:val="0"/>
                <w:iCs w:val="0"/>
                <w:color w:val="000000"/>
                <w:kern w:val="0"/>
                <w:sz w:val="28"/>
                <w:szCs w:val="28"/>
                <w:u w:val="none"/>
                <w:lang w:val="en-US" w:eastAsia="zh-CN" w:bidi="ar"/>
              </w:rPr>
              <w:t>12</w:t>
            </w:r>
          </w:p>
        </w:tc>
        <w:tc>
          <w:tcPr>
            <w:tcW w:w="1903" w:type="dxa"/>
            <w:vAlign w:val="center"/>
          </w:tcPr>
          <w:p w14:paraId="7792F9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Ansi="仿宋" w:cs="宋体"/>
                <w:bCs/>
                <w:spacing w:val="6"/>
                <w:sz w:val="28"/>
                <w:szCs w:val="28"/>
                <w:highlight w:val="none"/>
              </w:rPr>
            </w:pPr>
            <w:r>
              <w:rPr>
                <w:rFonts w:hint="eastAsia" w:hAnsi="仿宋" w:cs="仿宋"/>
                <w:i w:val="0"/>
                <w:iCs w:val="0"/>
                <w:color w:val="000000"/>
                <w:kern w:val="0"/>
                <w:sz w:val="28"/>
                <w:szCs w:val="28"/>
                <w:u w:val="none"/>
                <w:lang w:val="en-US" w:eastAsia="zh-CN" w:bidi="ar"/>
              </w:rPr>
              <w:t>80</w:t>
            </w:r>
            <w:r>
              <w:rPr>
                <w:rFonts w:hint="eastAsia" w:ascii="仿宋" w:hAnsi="仿宋" w:eastAsia="仿宋" w:cs="仿宋"/>
                <w:i w:val="0"/>
                <w:iCs w:val="0"/>
                <w:color w:val="000000"/>
                <w:kern w:val="0"/>
                <w:sz w:val="28"/>
                <w:szCs w:val="28"/>
                <w:u w:val="none"/>
                <w:lang w:val="en-US" w:eastAsia="zh-CN" w:bidi="ar"/>
              </w:rPr>
              <w:t>%</w:t>
            </w:r>
          </w:p>
        </w:tc>
      </w:tr>
      <w:tr w14:paraId="39C4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2350" w:type="dxa"/>
            <w:vAlign w:val="center"/>
          </w:tcPr>
          <w:p w14:paraId="14C5B94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Ansi="仿宋" w:cs="宋体"/>
                <w:bCs/>
                <w:spacing w:val="6"/>
                <w:sz w:val="28"/>
                <w:szCs w:val="28"/>
                <w:highlight w:val="none"/>
              </w:rPr>
            </w:pPr>
            <w:r>
              <w:rPr>
                <w:rFonts w:hint="eastAsia" w:ascii="仿宋" w:hAnsi="仿宋" w:eastAsia="仿宋" w:cs="仿宋"/>
                <w:i w:val="0"/>
                <w:iCs w:val="0"/>
                <w:color w:val="000000"/>
                <w:kern w:val="0"/>
                <w:sz w:val="28"/>
                <w:szCs w:val="28"/>
                <w:u w:val="none"/>
                <w:lang w:val="en-US" w:eastAsia="zh-CN" w:bidi="ar"/>
              </w:rPr>
              <w:t>过程</w:t>
            </w:r>
          </w:p>
        </w:tc>
        <w:tc>
          <w:tcPr>
            <w:tcW w:w="2350" w:type="dxa"/>
            <w:vAlign w:val="center"/>
          </w:tcPr>
          <w:p w14:paraId="114EE1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hAnsi="仿宋" w:cs="宋体"/>
                <w:bCs/>
                <w:spacing w:val="6"/>
                <w:sz w:val="28"/>
                <w:szCs w:val="28"/>
                <w:highlight w:val="none"/>
                <w:lang w:val="en-US"/>
              </w:rPr>
            </w:pPr>
            <w:r>
              <w:rPr>
                <w:rFonts w:hint="eastAsia" w:hAnsi="仿宋" w:cs="仿宋"/>
                <w:i w:val="0"/>
                <w:iCs w:val="0"/>
                <w:color w:val="000000"/>
                <w:kern w:val="0"/>
                <w:sz w:val="28"/>
                <w:szCs w:val="28"/>
                <w:u w:val="none"/>
                <w:lang w:val="en-US" w:eastAsia="zh-CN" w:bidi="ar"/>
              </w:rPr>
              <w:t>34</w:t>
            </w:r>
          </w:p>
        </w:tc>
        <w:tc>
          <w:tcPr>
            <w:tcW w:w="2351" w:type="dxa"/>
            <w:vAlign w:val="center"/>
          </w:tcPr>
          <w:p w14:paraId="4287EE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hAnsi="仿宋" w:eastAsia="仿宋" w:cs="宋体"/>
                <w:bCs/>
                <w:spacing w:val="6"/>
                <w:sz w:val="28"/>
                <w:szCs w:val="28"/>
                <w:highlight w:val="none"/>
                <w:lang w:val="en-US" w:eastAsia="zh-CN"/>
              </w:rPr>
            </w:pPr>
            <w:r>
              <w:rPr>
                <w:rFonts w:hint="eastAsia" w:hAnsi="仿宋" w:cs="仿宋"/>
                <w:i w:val="0"/>
                <w:iCs w:val="0"/>
                <w:color w:val="000000"/>
                <w:kern w:val="0"/>
                <w:sz w:val="28"/>
                <w:szCs w:val="28"/>
                <w:u w:val="none"/>
                <w:lang w:val="en-US" w:eastAsia="zh-CN" w:bidi="ar"/>
              </w:rPr>
              <w:t>33</w:t>
            </w:r>
          </w:p>
        </w:tc>
        <w:tc>
          <w:tcPr>
            <w:tcW w:w="1903" w:type="dxa"/>
            <w:vAlign w:val="center"/>
          </w:tcPr>
          <w:p w14:paraId="710B43F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hAnsi="仿宋" w:cs="宋体"/>
                <w:bCs/>
                <w:spacing w:val="6"/>
                <w:sz w:val="28"/>
                <w:szCs w:val="28"/>
                <w:highlight w:val="none"/>
                <w:lang w:val="en-US"/>
              </w:rPr>
            </w:pPr>
            <w:r>
              <w:rPr>
                <w:rFonts w:hint="eastAsia" w:hAnsi="仿宋" w:cs="仿宋"/>
                <w:i w:val="0"/>
                <w:iCs w:val="0"/>
                <w:color w:val="000000"/>
                <w:kern w:val="0"/>
                <w:sz w:val="28"/>
                <w:szCs w:val="28"/>
                <w:u w:val="none"/>
                <w:lang w:val="en-US" w:eastAsia="zh-CN" w:bidi="ar"/>
              </w:rPr>
              <w:t>97.06%</w:t>
            </w:r>
          </w:p>
        </w:tc>
      </w:tr>
      <w:tr w14:paraId="686F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2350" w:type="dxa"/>
            <w:vAlign w:val="center"/>
          </w:tcPr>
          <w:p w14:paraId="18B02E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Ansi="仿宋" w:cs="宋体"/>
                <w:bCs/>
                <w:spacing w:val="6"/>
                <w:sz w:val="28"/>
                <w:szCs w:val="28"/>
                <w:highlight w:val="none"/>
              </w:rPr>
            </w:pPr>
            <w:r>
              <w:rPr>
                <w:rFonts w:hint="eastAsia" w:ascii="仿宋" w:hAnsi="仿宋" w:eastAsia="仿宋" w:cs="仿宋"/>
                <w:i w:val="0"/>
                <w:iCs w:val="0"/>
                <w:color w:val="000000"/>
                <w:kern w:val="0"/>
                <w:sz w:val="28"/>
                <w:szCs w:val="28"/>
                <w:u w:val="none"/>
                <w:lang w:val="en-US" w:eastAsia="zh-CN" w:bidi="ar"/>
              </w:rPr>
              <w:t>产出</w:t>
            </w:r>
          </w:p>
        </w:tc>
        <w:tc>
          <w:tcPr>
            <w:tcW w:w="2350" w:type="dxa"/>
            <w:vAlign w:val="center"/>
          </w:tcPr>
          <w:p w14:paraId="3B41636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hAnsi="仿宋" w:eastAsia="仿宋" w:cs="宋体"/>
                <w:bCs/>
                <w:spacing w:val="6"/>
                <w:sz w:val="28"/>
                <w:szCs w:val="28"/>
                <w:highlight w:val="none"/>
                <w:lang w:val="en-US" w:eastAsia="zh-CN"/>
              </w:rPr>
            </w:pPr>
            <w:r>
              <w:rPr>
                <w:rFonts w:hint="eastAsia" w:hAnsi="仿宋" w:cs="仿宋"/>
                <w:i w:val="0"/>
                <w:iCs w:val="0"/>
                <w:color w:val="000000"/>
                <w:kern w:val="0"/>
                <w:sz w:val="28"/>
                <w:szCs w:val="28"/>
                <w:u w:val="none"/>
                <w:lang w:val="en-US" w:eastAsia="zh-CN" w:bidi="ar"/>
              </w:rPr>
              <w:t>34</w:t>
            </w:r>
          </w:p>
        </w:tc>
        <w:tc>
          <w:tcPr>
            <w:tcW w:w="2351" w:type="dxa"/>
            <w:vAlign w:val="center"/>
          </w:tcPr>
          <w:p w14:paraId="5536E9E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hAnsi="仿宋" w:eastAsia="仿宋" w:cs="宋体"/>
                <w:bCs/>
                <w:spacing w:val="6"/>
                <w:sz w:val="28"/>
                <w:szCs w:val="28"/>
                <w:highlight w:val="none"/>
                <w:lang w:val="en-US" w:eastAsia="zh-CN"/>
              </w:rPr>
            </w:pPr>
            <w:r>
              <w:rPr>
                <w:rFonts w:hint="eastAsia" w:hAnsi="仿宋" w:cs="宋体"/>
                <w:bCs/>
                <w:spacing w:val="6"/>
                <w:sz w:val="28"/>
                <w:szCs w:val="28"/>
                <w:highlight w:val="none"/>
                <w:lang w:val="en-US" w:eastAsia="zh-CN"/>
              </w:rPr>
              <w:t>34</w:t>
            </w:r>
          </w:p>
        </w:tc>
        <w:tc>
          <w:tcPr>
            <w:tcW w:w="1903" w:type="dxa"/>
            <w:vAlign w:val="center"/>
          </w:tcPr>
          <w:p w14:paraId="66E500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Ansi="仿宋" w:cs="宋体"/>
                <w:bCs/>
                <w:spacing w:val="6"/>
                <w:sz w:val="28"/>
                <w:szCs w:val="28"/>
                <w:highlight w:val="none"/>
              </w:rPr>
            </w:pPr>
            <w:r>
              <w:rPr>
                <w:rFonts w:hint="eastAsia" w:hAnsi="仿宋" w:cs="仿宋"/>
                <w:i w:val="0"/>
                <w:iCs w:val="0"/>
                <w:color w:val="000000"/>
                <w:kern w:val="0"/>
                <w:sz w:val="28"/>
                <w:szCs w:val="28"/>
                <w:u w:val="none"/>
                <w:lang w:val="en-US" w:eastAsia="zh-CN" w:bidi="ar"/>
              </w:rPr>
              <w:t>100%</w:t>
            </w:r>
          </w:p>
        </w:tc>
      </w:tr>
      <w:tr w14:paraId="3B69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2350" w:type="dxa"/>
            <w:vAlign w:val="center"/>
          </w:tcPr>
          <w:p w14:paraId="4FEA4AE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Ansi="仿宋" w:cs="宋体"/>
                <w:bCs/>
                <w:spacing w:val="6"/>
                <w:sz w:val="28"/>
                <w:szCs w:val="28"/>
                <w:highlight w:val="none"/>
              </w:rPr>
            </w:pPr>
            <w:r>
              <w:rPr>
                <w:rFonts w:hint="eastAsia" w:ascii="仿宋" w:hAnsi="仿宋" w:eastAsia="仿宋" w:cs="仿宋"/>
                <w:i w:val="0"/>
                <w:iCs w:val="0"/>
                <w:color w:val="000000"/>
                <w:kern w:val="0"/>
                <w:sz w:val="28"/>
                <w:szCs w:val="28"/>
                <w:u w:val="none"/>
                <w:lang w:val="en-US" w:eastAsia="zh-CN" w:bidi="ar"/>
              </w:rPr>
              <w:t>效果</w:t>
            </w:r>
          </w:p>
        </w:tc>
        <w:tc>
          <w:tcPr>
            <w:tcW w:w="2350" w:type="dxa"/>
            <w:vAlign w:val="center"/>
          </w:tcPr>
          <w:p w14:paraId="5DE138F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hAnsi="仿宋" w:eastAsia="仿宋" w:cs="宋体"/>
                <w:bCs/>
                <w:spacing w:val="6"/>
                <w:sz w:val="28"/>
                <w:szCs w:val="28"/>
                <w:highlight w:val="none"/>
                <w:lang w:val="en-US" w:eastAsia="zh-CN"/>
              </w:rPr>
            </w:pPr>
            <w:r>
              <w:rPr>
                <w:rFonts w:hint="eastAsia" w:hAnsi="仿宋" w:cs="宋体"/>
                <w:bCs/>
                <w:spacing w:val="6"/>
                <w:sz w:val="28"/>
                <w:szCs w:val="28"/>
                <w:highlight w:val="none"/>
                <w:lang w:val="en-US" w:eastAsia="zh-CN"/>
              </w:rPr>
              <w:t>17</w:t>
            </w:r>
          </w:p>
        </w:tc>
        <w:tc>
          <w:tcPr>
            <w:tcW w:w="2351" w:type="dxa"/>
            <w:vAlign w:val="center"/>
          </w:tcPr>
          <w:p w14:paraId="2A01545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hAnsi="仿宋" w:eastAsia="仿宋" w:cs="宋体"/>
                <w:bCs/>
                <w:spacing w:val="6"/>
                <w:sz w:val="28"/>
                <w:szCs w:val="28"/>
                <w:highlight w:val="none"/>
                <w:lang w:val="en-US" w:eastAsia="zh-CN"/>
              </w:rPr>
            </w:pPr>
            <w:r>
              <w:rPr>
                <w:rFonts w:hint="eastAsia" w:hAnsi="仿宋" w:cs="仿宋"/>
                <w:i w:val="0"/>
                <w:iCs w:val="0"/>
                <w:color w:val="000000"/>
                <w:kern w:val="0"/>
                <w:sz w:val="28"/>
                <w:szCs w:val="28"/>
                <w:u w:val="none"/>
                <w:lang w:val="en-US" w:eastAsia="zh-CN" w:bidi="ar"/>
              </w:rPr>
              <w:t>11</w:t>
            </w:r>
          </w:p>
        </w:tc>
        <w:tc>
          <w:tcPr>
            <w:tcW w:w="1903" w:type="dxa"/>
            <w:vAlign w:val="center"/>
          </w:tcPr>
          <w:p w14:paraId="65E7341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Ansi="仿宋" w:cs="宋体"/>
                <w:bCs/>
                <w:spacing w:val="6"/>
                <w:sz w:val="28"/>
                <w:szCs w:val="28"/>
                <w:highlight w:val="none"/>
              </w:rPr>
            </w:pPr>
            <w:r>
              <w:rPr>
                <w:rFonts w:hint="eastAsia" w:hAnsi="仿宋" w:cs="仿宋"/>
                <w:i w:val="0"/>
                <w:iCs w:val="0"/>
                <w:color w:val="000000"/>
                <w:kern w:val="0"/>
                <w:sz w:val="28"/>
                <w:szCs w:val="28"/>
                <w:u w:val="none"/>
                <w:lang w:val="en-US" w:eastAsia="zh-CN" w:bidi="ar"/>
              </w:rPr>
              <w:t>64.71</w:t>
            </w:r>
            <w:r>
              <w:rPr>
                <w:rFonts w:hint="eastAsia" w:ascii="仿宋" w:hAnsi="仿宋" w:eastAsia="仿宋" w:cs="仿宋"/>
                <w:i w:val="0"/>
                <w:iCs w:val="0"/>
                <w:color w:val="000000"/>
                <w:kern w:val="0"/>
                <w:sz w:val="28"/>
                <w:szCs w:val="28"/>
                <w:u w:val="none"/>
                <w:lang w:val="en-US" w:eastAsia="zh-CN" w:bidi="ar"/>
              </w:rPr>
              <w:t>%</w:t>
            </w:r>
          </w:p>
        </w:tc>
      </w:tr>
      <w:tr w14:paraId="1132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2350" w:type="dxa"/>
            <w:vAlign w:val="center"/>
          </w:tcPr>
          <w:p w14:paraId="6FC5373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Ansi="仿宋" w:cs="宋体"/>
                <w:b/>
                <w:bCs/>
                <w:spacing w:val="6"/>
                <w:sz w:val="28"/>
                <w:szCs w:val="28"/>
                <w:highlight w:val="none"/>
              </w:rPr>
            </w:pPr>
            <w:r>
              <w:rPr>
                <w:rFonts w:hint="eastAsia" w:ascii="仿宋" w:hAnsi="仿宋" w:eastAsia="仿宋" w:cs="仿宋"/>
                <w:b/>
                <w:bCs/>
                <w:i w:val="0"/>
                <w:iCs w:val="0"/>
                <w:color w:val="000000"/>
                <w:kern w:val="0"/>
                <w:sz w:val="28"/>
                <w:szCs w:val="28"/>
                <w:u w:val="none"/>
                <w:lang w:val="en-US" w:eastAsia="zh-CN" w:bidi="ar"/>
              </w:rPr>
              <w:t>合</w:t>
            </w:r>
            <w:r>
              <w:rPr>
                <w:rStyle w:val="49"/>
                <w:b/>
                <w:sz w:val="28"/>
                <w:szCs w:val="28"/>
                <w:lang w:val="en-US" w:eastAsia="zh-CN" w:bidi="ar"/>
              </w:rPr>
              <w:t xml:space="preserve"> 计</w:t>
            </w:r>
          </w:p>
        </w:tc>
        <w:tc>
          <w:tcPr>
            <w:tcW w:w="2350" w:type="dxa"/>
            <w:vAlign w:val="center"/>
          </w:tcPr>
          <w:p w14:paraId="4596999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Ansi="仿宋" w:cs="宋体"/>
                <w:b/>
                <w:bCs/>
                <w:spacing w:val="6"/>
                <w:sz w:val="28"/>
                <w:szCs w:val="28"/>
                <w:highlight w:val="none"/>
              </w:rPr>
            </w:pPr>
            <w:r>
              <w:rPr>
                <w:rFonts w:hint="eastAsia" w:ascii="仿宋" w:hAnsi="仿宋" w:eastAsia="仿宋" w:cs="仿宋"/>
                <w:b/>
                <w:bCs/>
                <w:i w:val="0"/>
                <w:iCs w:val="0"/>
                <w:color w:val="000000"/>
                <w:kern w:val="0"/>
                <w:sz w:val="28"/>
                <w:szCs w:val="28"/>
                <w:u w:val="none"/>
                <w:lang w:val="en-US" w:eastAsia="zh-CN" w:bidi="ar"/>
              </w:rPr>
              <w:t>100</w:t>
            </w:r>
          </w:p>
        </w:tc>
        <w:tc>
          <w:tcPr>
            <w:tcW w:w="2351" w:type="dxa"/>
            <w:vAlign w:val="center"/>
          </w:tcPr>
          <w:p w14:paraId="2E3330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hAnsi="仿宋" w:eastAsia="仿宋" w:cs="宋体"/>
                <w:b/>
                <w:bCs/>
                <w:spacing w:val="6"/>
                <w:sz w:val="28"/>
                <w:szCs w:val="28"/>
                <w:highlight w:val="none"/>
                <w:lang w:val="en-US" w:eastAsia="zh-CN"/>
              </w:rPr>
            </w:pPr>
            <w:r>
              <w:rPr>
                <w:rFonts w:hint="eastAsia" w:hAnsi="仿宋" w:cs="宋体"/>
                <w:b/>
                <w:bCs/>
                <w:spacing w:val="6"/>
                <w:sz w:val="28"/>
                <w:szCs w:val="28"/>
                <w:highlight w:val="none"/>
                <w:lang w:val="en-US" w:eastAsia="zh-CN"/>
              </w:rPr>
              <w:t>90</w:t>
            </w:r>
          </w:p>
        </w:tc>
        <w:tc>
          <w:tcPr>
            <w:tcW w:w="1903" w:type="dxa"/>
            <w:vAlign w:val="center"/>
          </w:tcPr>
          <w:p w14:paraId="6C13089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Ansi="仿宋" w:cs="宋体"/>
                <w:b/>
                <w:bCs/>
                <w:spacing w:val="6"/>
                <w:sz w:val="28"/>
                <w:szCs w:val="28"/>
                <w:highlight w:val="none"/>
              </w:rPr>
            </w:pPr>
            <w:r>
              <w:rPr>
                <w:rFonts w:hint="eastAsia" w:hAnsi="仿宋" w:cs="宋体"/>
                <w:b/>
                <w:bCs/>
                <w:spacing w:val="6"/>
                <w:sz w:val="28"/>
                <w:szCs w:val="28"/>
                <w:highlight w:val="none"/>
                <w:lang w:val="en-US" w:eastAsia="zh-CN"/>
              </w:rPr>
              <w:t>90</w:t>
            </w:r>
            <w:r>
              <w:rPr>
                <w:rFonts w:hint="eastAsia" w:ascii="仿宋" w:hAnsi="仿宋" w:eastAsia="仿宋" w:cs="仿宋"/>
                <w:b/>
                <w:bCs/>
                <w:i w:val="0"/>
                <w:iCs w:val="0"/>
                <w:color w:val="000000"/>
                <w:kern w:val="0"/>
                <w:sz w:val="28"/>
                <w:szCs w:val="28"/>
                <w:u w:val="none"/>
                <w:lang w:val="en-US" w:eastAsia="zh-CN" w:bidi="ar"/>
              </w:rPr>
              <w:t>%</w:t>
            </w:r>
          </w:p>
        </w:tc>
      </w:tr>
    </w:tbl>
    <w:p w14:paraId="5FFE5433">
      <w:pPr>
        <w:ind w:firstLine="630"/>
        <w:rPr>
          <w:rFonts w:hint="eastAsia" w:hAnsi="仿宋" w:cs="Times New Roman"/>
          <w:sz w:val="32"/>
          <w:szCs w:val="32"/>
          <w:highlight w:val="none"/>
        </w:rPr>
      </w:pPr>
      <w:r>
        <w:rPr>
          <w:rFonts w:hint="eastAsia" w:hAnsi="仿宋" w:cs="Times New Roman"/>
          <w:sz w:val="32"/>
          <w:szCs w:val="32"/>
          <w:highlight w:val="none"/>
        </w:rPr>
        <w:t>整体来看，项目立项依据充分、程序规范，管理过程严格，资金使用合规，产出数量和质量均达到合同要求，有效补充了执法力量，改善了辖区市容环境。但在绩效目标设定的科学性和明确性、服务效果的长期可持续性以及效益目标的充分实现方面仍需加强。</w:t>
      </w:r>
    </w:p>
    <w:p w14:paraId="42E21B9E">
      <w:pPr>
        <w:ind w:firstLine="630"/>
        <w:rPr>
          <w:rFonts w:hint="eastAsia" w:hAnsi="仿宋" w:cs="Times New Roman"/>
          <w:sz w:val="32"/>
          <w:szCs w:val="32"/>
          <w:highlight w:val="none"/>
        </w:rPr>
      </w:pPr>
      <w:r>
        <w:rPr>
          <w:rFonts w:hint="eastAsia" w:hAnsi="仿宋" w:cs="Times New Roman"/>
          <w:sz w:val="32"/>
          <w:szCs w:val="32"/>
          <w:highlight w:val="none"/>
        </w:rPr>
        <w:t>通过这个项目的实施，快速响应执法队员发现的乱停乱放问题，协调三家主要共享非机动车企业，引导市民在指定区域内规范停放，同时</w:t>
      </w:r>
      <w:r>
        <w:rPr>
          <w:rFonts w:hint="eastAsia" w:hAnsi="仿宋" w:cs="Times New Roman"/>
          <w:sz w:val="32"/>
          <w:szCs w:val="32"/>
          <w:highlight w:val="none"/>
          <w:lang w:eastAsia="zh-CN"/>
        </w:rPr>
        <w:t>加大</w:t>
      </w:r>
      <w:r>
        <w:rPr>
          <w:rFonts w:hint="eastAsia" w:hAnsi="仿宋" w:cs="Times New Roman"/>
          <w:sz w:val="32"/>
          <w:szCs w:val="32"/>
          <w:highlight w:val="none"/>
        </w:rPr>
        <w:t>辅助人员的现场劝导力度，提升市民文明骑行意识。通过宣传引导，精细化、常态化监督指导，统一规划设置非机动车停放点位，目前该区域周边环境秩序得到有效缓解。鼓励社区居民、商家及患者参与市容环境监督，建立举报奖励机制，形成共治共享的良好氛围。</w:t>
      </w:r>
    </w:p>
    <w:p w14:paraId="3A61D141">
      <w:pPr>
        <w:ind w:firstLine="630"/>
        <w:rPr>
          <w:rFonts w:hint="eastAsia" w:hAnsi="仿宋" w:cs="Times New Roman"/>
          <w:sz w:val="32"/>
          <w:szCs w:val="32"/>
          <w:highlight w:val="none"/>
        </w:rPr>
      </w:pPr>
      <w:r>
        <w:rPr>
          <w:rFonts w:hint="eastAsia" w:hAnsi="仿宋" w:cs="Times New Roman"/>
          <w:sz w:val="32"/>
          <w:szCs w:val="32"/>
          <w:highlight w:val="none"/>
        </w:rPr>
        <w:t>金碧广场办综合整治管理经费使用具备完整的审批程序和手续，未发现挤占、挪用专项资金的情况。为保障项目顺利实施，金碧街道办事处与云南昆仑保安服务有限公司双方拟定了《城市市容管理服务合同书》。金碧街道办事处制定了《关于安排部署金碧辖区重点区域市容环境综合治理工作方案</w:t>
      </w:r>
      <w:r>
        <w:rPr>
          <w:rFonts w:hint="eastAsia" w:hAnsi="仿宋" w:cs="Times New Roman"/>
          <w:sz w:val="32"/>
          <w:szCs w:val="32"/>
          <w:highlight w:val="none"/>
          <w:lang w:eastAsia="zh-CN"/>
        </w:rPr>
        <w:t>》《</w:t>
      </w:r>
      <w:r>
        <w:rPr>
          <w:rFonts w:hint="eastAsia" w:hAnsi="仿宋" w:cs="Times New Roman"/>
          <w:sz w:val="32"/>
          <w:szCs w:val="32"/>
          <w:highlight w:val="none"/>
        </w:rPr>
        <w:t>金碧综合行政执法队协勤人员考核办法》和金碧街道综合执法队制定《金碧街道办事处城市管理辅助性服务考评办法》，对重点任务及时序计划、保障措施、组织领导、资金保障、管理制度等内容进行了明确，并对年度工作任务进行细化分解。</w:t>
      </w:r>
    </w:p>
    <w:p w14:paraId="670E2471">
      <w:pPr>
        <w:spacing w:line="579" w:lineRule="exact"/>
        <w:ind w:firstLine="670" w:firstLineChars="200"/>
        <w:outlineLvl w:val="1"/>
        <w:rPr>
          <w:rFonts w:ascii="楷体" w:hAnsi="楷体" w:eastAsia="楷体"/>
          <w:sz w:val="32"/>
          <w:szCs w:val="32"/>
        </w:rPr>
      </w:pPr>
      <w:bookmarkStart w:id="46" w:name="_Toc29022"/>
      <w:r>
        <w:rPr>
          <w:rFonts w:hint="eastAsia" w:ascii="楷体" w:hAnsi="楷体" w:eastAsia="楷体"/>
          <w:sz w:val="32"/>
          <w:szCs w:val="32"/>
        </w:rPr>
        <w:t>（二）绩效目标实现情况</w:t>
      </w:r>
      <w:bookmarkEnd w:id="45"/>
      <w:bookmarkEnd w:id="46"/>
    </w:p>
    <w:p w14:paraId="381710A2">
      <w:pPr>
        <w:ind w:firstLine="630"/>
        <w:rPr>
          <w:rFonts w:hint="eastAsia" w:hAnsi="仿宋"/>
          <w:color w:val="auto"/>
          <w:sz w:val="32"/>
          <w:szCs w:val="32"/>
          <w:highlight w:val="none"/>
        </w:rPr>
      </w:pPr>
      <w:bookmarkStart w:id="47" w:name="_Hlk26007902"/>
      <w:bookmarkStart w:id="48" w:name="_Hlk525314457"/>
      <w:r>
        <w:rPr>
          <w:rFonts w:hint="eastAsia" w:hAnsi="仿宋"/>
          <w:sz w:val="32"/>
          <w:szCs w:val="32"/>
          <w:highlight w:val="none"/>
        </w:rPr>
        <w:t>根据评价情况</w:t>
      </w:r>
      <w:r>
        <w:rPr>
          <w:rFonts w:hint="eastAsia" w:hAnsi="仿宋"/>
          <w:color w:val="auto"/>
          <w:sz w:val="32"/>
          <w:szCs w:val="32"/>
          <w:highlight w:val="none"/>
        </w:rPr>
        <w:t>，2024年金碧广场办综合整治管理经费项目6项具体绩效指标均已完成。</w:t>
      </w:r>
      <w:bookmarkEnd w:id="47"/>
      <w:r>
        <w:rPr>
          <w:rFonts w:hint="eastAsia" w:hAnsi="仿宋"/>
          <w:color w:val="auto"/>
          <w:sz w:val="32"/>
          <w:szCs w:val="32"/>
          <w:highlight w:val="none"/>
        </w:rPr>
        <w:t>各指标完成情况详见下表：</w:t>
      </w:r>
    </w:p>
    <w:p w14:paraId="2E3C7E1C">
      <w:pPr>
        <w:keepLines/>
        <w:pageBreakBefore w:val="0"/>
        <w:kinsoku/>
        <w:wordWrap/>
        <w:overflowPunct/>
        <w:topLinePunct w:val="0"/>
        <w:autoSpaceDE/>
        <w:autoSpaceDN/>
        <w:bidi w:val="0"/>
        <w:adjustRightInd/>
        <w:ind w:firstLine="630"/>
        <w:jc w:val="center"/>
        <w:textAlignment w:val="auto"/>
        <w:rPr>
          <w:rFonts w:hint="eastAsia" w:ascii="黑体" w:hAnsi="黑体" w:eastAsia="黑体" w:cs="宋体"/>
          <w:bCs/>
          <w:color w:val="auto"/>
          <w:sz w:val="28"/>
          <w:szCs w:val="28"/>
        </w:rPr>
      </w:pPr>
      <w:r>
        <w:rPr>
          <w:rFonts w:hint="eastAsia" w:ascii="黑体" w:hAnsi="黑体" w:eastAsia="黑体" w:cs="宋体"/>
          <w:bCs/>
          <w:color w:val="auto"/>
          <w:sz w:val="28"/>
          <w:szCs w:val="28"/>
        </w:rPr>
        <w:t>表</w:t>
      </w:r>
      <w:r>
        <w:rPr>
          <w:rFonts w:hint="eastAsia" w:ascii="黑体" w:hAnsi="黑体" w:eastAsia="黑体" w:cs="宋体"/>
          <w:bCs/>
          <w:color w:val="auto"/>
          <w:sz w:val="28"/>
          <w:szCs w:val="28"/>
          <w:lang w:val="en-US" w:eastAsia="zh-CN"/>
        </w:rPr>
        <w:t xml:space="preserve">3 </w:t>
      </w:r>
      <w:r>
        <w:rPr>
          <w:rFonts w:hint="eastAsia" w:ascii="黑体" w:hAnsi="黑体" w:eastAsia="黑体" w:cs="宋体"/>
          <w:bCs/>
          <w:color w:val="auto"/>
          <w:sz w:val="28"/>
          <w:szCs w:val="28"/>
        </w:rPr>
        <w:t>绩效指标完成情况表</w:t>
      </w:r>
    </w:p>
    <w:tbl>
      <w:tblPr>
        <w:tblStyle w:val="19"/>
        <w:tblpPr w:leftFromText="180" w:rightFromText="180" w:vertAnchor="text" w:horzAnchor="page" w:tblpX="1331" w:tblpY="423"/>
        <w:tblOverlap w:val="never"/>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011"/>
        <w:gridCol w:w="588"/>
        <w:gridCol w:w="1565"/>
        <w:gridCol w:w="2155"/>
        <w:gridCol w:w="975"/>
        <w:gridCol w:w="3030"/>
      </w:tblGrid>
      <w:tr w14:paraId="541F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cantSplit/>
          <w:trHeight w:val="0" w:hRule="atLeast"/>
        </w:trPr>
        <w:tc>
          <w:tcPr>
            <w:tcW w:w="1011" w:type="dxa"/>
            <w:shd w:val="clear" w:color="auto" w:fill="FFFFFF"/>
            <w:tcMar>
              <w:top w:w="150" w:type="dxa"/>
              <w:left w:w="0" w:type="dxa"/>
              <w:bottom w:w="150" w:type="dxa"/>
              <w:right w:w="240" w:type="dxa"/>
            </w:tcMar>
            <w:vAlign w:val="center"/>
          </w:tcPr>
          <w:p w14:paraId="46DB0F45">
            <w:pPr>
              <w:keepNext/>
              <w:keepLines/>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i w:val="0"/>
                <w:iCs w:val="0"/>
                <w:caps w:val="0"/>
                <w:color w:val="0F1115"/>
                <w:spacing w:val="0"/>
                <w:sz w:val="22"/>
                <w:szCs w:val="22"/>
                <w:highlight w:val="none"/>
              </w:rPr>
            </w:pPr>
            <w:r>
              <w:rPr>
                <w:rStyle w:val="22"/>
                <w:rFonts w:hint="eastAsia" w:asciiTheme="minorEastAsia" w:hAnsiTheme="minorEastAsia" w:eastAsiaTheme="minorEastAsia" w:cstheme="minorEastAsia"/>
                <w:b/>
                <w:bCs/>
                <w:i w:val="0"/>
                <w:iCs w:val="0"/>
                <w:caps w:val="0"/>
                <w:color w:val="0F1115"/>
                <w:spacing w:val="0"/>
                <w:kern w:val="0"/>
                <w:sz w:val="22"/>
                <w:szCs w:val="22"/>
                <w:highlight w:val="none"/>
                <w:lang w:val="en-US" w:eastAsia="zh-CN" w:bidi="ar"/>
              </w:rPr>
              <w:t>一级指标</w:t>
            </w:r>
          </w:p>
        </w:tc>
        <w:tc>
          <w:tcPr>
            <w:tcW w:w="588" w:type="dxa"/>
            <w:shd w:val="clear" w:color="auto" w:fill="FFFFFF"/>
            <w:tcMar>
              <w:top w:w="150" w:type="dxa"/>
              <w:left w:w="240" w:type="dxa"/>
              <w:bottom w:w="150" w:type="dxa"/>
              <w:right w:w="240" w:type="dxa"/>
            </w:tcMar>
            <w:vAlign w:val="center"/>
          </w:tcPr>
          <w:p w14:paraId="6D132A98">
            <w:pPr>
              <w:keepNext/>
              <w:keepLines/>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i w:val="0"/>
                <w:iCs w:val="0"/>
                <w:caps w:val="0"/>
                <w:color w:val="0F1115"/>
                <w:spacing w:val="0"/>
                <w:sz w:val="22"/>
                <w:szCs w:val="22"/>
                <w:highlight w:val="none"/>
              </w:rPr>
            </w:pPr>
            <w:r>
              <w:rPr>
                <w:rStyle w:val="22"/>
                <w:rFonts w:hint="eastAsia" w:asciiTheme="minorEastAsia" w:hAnsiTheme="minorEastAsia" w:eastAsiaTheme="minorEastAsia" w:cstheme="minorEastAsia"/>
                <w:b/>
                <w:bCs/>
                <w:i w:val="0"/>
                <w:iCs w:val="0"/>
                <w:caps w:val="0"/>
                <w:color w:val="0F1115"/>
                <w:spacing w:val="0"/>
                <w:kern w:val="0"/>
                <w:sz w:val="22"/>
                <w:szCs w:val="22"/>
                <w:highlight w:val="none"/>
                <w:lang w:val="en-US" w:eastAsia="zh-CN" w:bidi="ar"/>
              </w:rPr>
              <w:t>二级指标</w:t>
            </w:r>
          </w:p>
        </w:tc>
        <w:tc>
          <w:tcPr>
            <w:tcW w:w="1565" w:type="dxa"/>
            <w:shd w:val="clear" w:color="auto" w:fill="FFFFFF"/>
            <w:tcMar>
              <w:top w:w="150" w:type="dxa"/>
              <w:left w:w="240" w:type="dxa"/>
              <w:bottom w:w="150" w:type="dxa"/>
              <w:right w:w="240" w:type="dxa"/>
            </w:tcMar>
            <w:vAlign w:val="center"/>
          </w:tcPr>
          <w:p w14:paraId="5D288647">
            <w:pPr>
              <w:keepNext/>
              <w:keepLines/>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i w:val="0"/>
                <w:iCs w:val="0"/>
                <w:caps w:val="0"/>
                <w:color w:val="0F1115"/>
                <w:spacing w:val="0"/>
                <w:sz w:val="22"/>
                <w:szCs w:val="22"/>
                <w:highlight w:val="none"/>
              </w:rPr>
            </w:pPr>
            <w:r>
              <w:rPr>
                <w:rStyle w:val="22"/>
                <w:rFonts w:hint="eastAsia" w:asciiTheme="minorEastAsia" w:hAnsiTheme="minorEastAsia" w:eastAsiaTheme="minorEastAsia" w:cstheme="minorEastAsia"/>
                <w:b/>
                <w:bCs/>
                <w:i w:val="0"/>
                <w:iCs w:val="0"/>
                <w:caps w:val="0"/>
                <w:color w:val="0F1115"/>
                <w:spacing w:val="0"/>
                <w:kern w:val="0"/>
                <w:sz w:val="22"/>
                <w:szCs w:val="22"/>
                <w:highlight w:val="none"/>
                <w:lang w:val="en-US" w:eastAsia="zh-CN" w:bidi="ar"/>
              </w:rPr>
              <w:t>三级指标</w:t>
            </w:r>
          </w:p>
        </w:tc>
        <w:tc>
          <w:tcPr>
            <w:tcW w:w="2155" w:type="dxa"/>
            <w:shd w:val="clear" w:color="auto" w:fill="FFFFFF"/>
            <w:tcMar>
              <w:top w:w="150" w:type="dxa"/>
              <w:left w:w="240" w:type="dxa"/>
              <w:bottom w:w="150" w:type="dxa"/>
              <w:right w:w="240" w:type="dxa"/>
            </w:tcMar>
            <w:vAlign w:val="center"/>
          </w:tcPr>
          <w:p w14:paraId="5E052A76">
            <w:pPr>
              <w:keepNext/>
              <w:keepLines/>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i w:val="0"/>
                <w:iCs w:val="0"/>
                <w:caps w:val="0"/>
                <w:color w:val="0F1115"/>
                <w:spacing w:val="0"/>
                <w:sz w:val="22"/>
                <w:szCs w:val="22"/>
                <w:highlight w:val="none"/>
              </w:rPr>
            </w:pPr>
            <w:r>
              <w:rPr>
                <w:rStyle w:val="22"/>
                <w:rFonts w:hint="eastAsia" w:asciiTheme="minorEastAsia" w:hAnsiTheme="minorEastAsia" w:eastAsiaTheme="minorEastAsia" w:cstheme="minorEastAsia"/>
                <w:b/>
                <w:bCs/>
                <w:i w:val="0"/>
                <w:iCs w:val="0"/>
                <w:caps w:val="0"/>
                <w:color w:val="0F1115"/>
                <w:spacing w:val="0"/>
                <w:kern w:val="0"/>
                <w:sz w:val="22"/>
                <w:szCs w:val="22"/>
                <w:highlight w:val="none"/>
                <w:lang w:val="en-US" w:eastAsia="zh-CN" w:bidi="ar"/>
              </w:rPr>
              <w:t>指标说明</w:t>
            </w:r>
          </w:p>
        </w:tc>
        <w:tc>
          <w:tcPr>
            <w:tcW w:w="975" w:type="dxa"/>
            <w:shd w:val="clear" w:color="auto" w:fill="FFFFFF"/>
            <w:tcMar>
              <w:top w:w="150" w:type="dxa"/>
              <w:left w:w="240" w:type="dxa"/>
              <w:bottom w:w="150" w:type="dxa"/>
              <w:right w:w="240" w:type="dxa"/>
            </w:tcMar>
            <w:vAlign w:val="center"/>
          </w:tcPr>
          <w:p w14:paraId="3C6164DD">
            <w:pPr>
              <w:keepNext/>
              <w:keepLines/>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i w:val="0"/>
                <w:iCs w:val="0"/>
                <w:caps w:val="0"/>
                <w:color w:val="0F1115"/>
                <w:spacing w:val="0"/>
                <w:sz w:val="22"/>
                <w:szCs w:val="22"/>
                <w:highlight w:val="none"/>
              </w:rPr>
            </w:pPr>
            <w:r>
              <w:rPr>
                <w:rStyle w:val="22"/>
                <w:rFonts w:hint="eastAsia" w:asciiTheme="minorEastAsia" w:hAnsiTheme="minorEastAsia" w:eastAsiaTheme="minorEastAsia" w:cstheme="minorEastAsia"/>
                <w:b/>
                <w:bCs/>
                <w:i w:val="0"/>
                <w:iCs w:val="0"/>
                <w:caps w:val="0"/>
                <w:color w:val="0F1115"/>
                <w:spacing w:val="0"/>
                <w:kern w:val="0"/>
                <w:sz w:val="22"/>
                <w:szCs w:val="22"/>
                <w:highlight w:val="none"/>
                <w:lang w:val="en-US" w:eastAsia="zh-CN" w:bidi="ar"/>
              </w:rPr>
              <w:t>指标实现情况</w:t>
            </w:r>
          </w:p>
        </w:tc>
        <w:tc>
          <w:tcPr>
            <w:tcW w:w="3030" w:type="dxa"/>
            <w:shd w:val="clear" w:color="auto" w:fill="FFFFFF"/>
            <w:tcMar>
              <w:top w:w="150" w:type="dxa"/>
              <w:left w:w="240" w:type="dxa"/>
              <w:bottom w:w="150" w:type="dxa"/>
              <w:right w:w="240" w:type="dxa"/>
            </w:tcMar>
            <w:vAlign w:val="center"/>
          </w:tcPr>
          <w:p w14:paraId="55CDD80B">
            <w:pPr>
              <w:keepNext/>
              <w:keepLines/>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i w:val="0"/>
                <w:iCs w:val="0"/>
                <w:caps w:val="0"/>
                <w:color w:val="0F1115"/>
                <w:spacing w:val="0"/>
                <w:sz w:val="22"/>
                <w:szCs w:val="22"/>
                <w:highlight w:val="none"/>
              </w:rPr>
            </w:pPr>
            <w:r>
              <w:rPr>
                <w:rStyle w:val="22"/>
                <w:rFonts w:hint="eastAsia" w:asciiTheme="minorEastAsia" w:hAnsiTheme="minorEastAsia" w:eastAsiaTheme="minorEastAsia" w:cstheme="minorEastAsia"/>
                <w:b/>
                <w:bCs/>
                <w:i w:val="0"/>
                <w:iCs w:val="0"/>
                <w:caps w:val="0"/>
                <w:color w:val="0F1115"/>
                <w:spacing w:val="0"/>
                <w:kern w:val="0"/>
                <w:sz w:val="22"/>
                <w:szCs w:val="22"/>
                <w:highlight w:val="none"/>
                <w:lang w:val="en-US" w:eastAsia="zh-CN" w:bidi="ar"/>
              </w:rPr>
              <w:t>完成情况说明</w:t>
            </w:r>
          </w:p>
        </w:tc>
      </w:tr>
      <w:tr w14:paraId="5083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0" w:hRule="atLeast"/>
        </w:trPr>
        <w:tc>
          <w:tcPr>
            <w:tcW w:w="1011" w:type="dxa"/>
            <w:shd w:val="clear" w:color="auto" w:fill="FFFFFF"/>
            <w:tcMar>
              <w:top w:w="150" w:type="dxa"/>
              <w:left w:w="0" w:type="dxa"/>
              <w:bottom w:w="150" w:type="dxa"/>
              <w:right w:w="240" w:type="dxa"/>
            </w:tcMar>
            <w:vAlign w:val="center"/>
          </w:tcPr>
          <w:p w14:paraId="437722EC">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Style w:val="22"/>
                <w:rFonts w:hint="eastAsia" w:asciiTheme="minorEastAsia" w:hAnsiTheme="minorEastAsia" w:eastAsiaTheme="minorEastAsia" w:cstheme="minorEastAsia"/>
                <w:b/>
                <w:bCs/>
                <w:i w:val="0"/>
                <w:iCs w:val="0"/>
                <w:caps w:val="0"/>
                <w:color w:val="0F1115"/>
                <w:spacing w:val="0"/>
                <w:kern w:val="0"/>
                <w:sz w:val="22"/>
                <w:szCs w:val="22"/>
                <w:highlight w:val="none"/>
                <w:lang w:val="en-US" w:eastAsia="zh-CN" w:bidi="ar"/>
              </w:rPr>
              <w:t>产出</w:t>
            </w:r>
          </w:p>
        </w:tc>
        <w:tc>
          <w:tcPr>
            <w:tcW w:w="588" w:type="dxa"/>
            <w:shd w:val="clear" w:color="auto" w:fill="FFFFFF"/>
            <w:tcMar>
              <w:top w:w="150" w:type="dxa"/>
              <w:left w:w="240" w:type="dxa"/>
              <w:bottom w:w="150" w:type="dxa"/>
              <w:right w:w="240" w:type="dxa"/>
            </w:tcMar>
            <w:vAlign w:val="center"/>
          </w:tcPr>
          <w:p w14:paraId="1C767C99">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产出数量</w:t>
            </w:r>
          </w:p>
        </w:tc>
        <w:tc>
          <w:tcPr>
            <w:tcW w:w="1565" w:type="dxa"/>
            <w:shd w:val="clear" w:color="auto" w:fill="FFFFFF"/>
            <w:tcMar>
              <w:top w:w="150" w:type="dxa"/>
              <w:left w:w="240" w:type="dxa"/>
              <w:bottom w:w="150" w:type="dxa"/>
              <w:right w:w="240" w:type="dxa"/>
            </w:tcMar>
            <w:vAlign w:val="center"/>
          </w:tcPr>
          <w:p w14:paraId="3FA7A4ED">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购买金碧广场协管员</w:t>
            </w:r>
          </w:p>
        </w:tc>
        <w:tc>
          <w:tcPr>
            <w:tcW w:w="2155" w:type="dxa"/>
            <w:shd w:val="clear" w:color="auto" w:fill="FFFFFF"/>
            <w:tcMar>
              <w:top w:w="150" w:type="dxa"/>
              <w:left w:w="240" w:type="dxa"/>
              <w:bottom w:w="150" w:type="dxa"/>
              <w:right w:w="240" w:type="dxa"/>
            </w:tcMar>
            <w:vAlign w:val="center"/>
          </w:tcPr>
          <w:p w14:paraId="4BAFCCD1">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考核是否按合同约定数量（30人）配备协勤人员。</w:t>
            </w:r>
          </w:p>
        </w:tc>
        <w:tc>
          <w:tcPr>
            <w:tcW w:w="975" w:type="dxa"/>
            <w:shd w:val="clear" w:color="auto" w:fill="FFFFFF"/>
            <w:tcMar>
              <w:top w:w="150" w:type="dxa"/>
              <w:left w:w="240" w:type="dxa"/>
              <w:bottom w:w="150" w:type="dxa"/>
              <w:right w:w="240" w:type="dxa"/>
            </w:tcMar>
            <w:vAlign w:val="center"/>
          </w:tcPr>
          <w:p w14:paraId="006BE60D">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已完成</w:t>
            </w:r>
          </w:p>
        </w:tc>
        <w:tc>
          <w:tcPr>
            <w:tcW w:w="3030" w:type="dxa"/>
            <w:shd w:val="clear" w:color="auto" w:fill="FFFFFF"/>
            <w:tcMar>
              <w:top w:w="150" w:type="dxa"/>
              <w:left w:w="240" w:type="dxa"/>
              <w:bottom w:w="150" w:type="dxa"/>
              <w:right w:w="0" w:type="dxa"/>
            </w:tcMar>
            <w:vAlign w:val="center"/>
          </w:tcPr>
          <w:p w14:paraId="00493DDF">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sz w:val="22"/>
                <w:szCs w:val="24"/>
                <w:highlight w:val="none"/>
                <w:shd w:val="clear" w:fill="FFFFFF"/>
              </w:rPr>
              <w:t>根据合同及服务确认材料，项目实际配备协勤人员31名（其中东片区13人、中片区6人、西片区12人），超出合同约定的30人，人员保障充分</w:t>
            </w:r>
            <w:r>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
              </w:rPr>
              <w:t>。</w:t>
            </w:r>
          </w:p>
        </w:tc>
      </w:tr>
      <w:tr w14:paraId="50F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0" w:hRule="atLeast"/>
        </w:trPr>
        <w:tc>
          <w:tcPr>
            <w:tcW w:w="1011" w:type="dxa"/>
            <w:shd w:val="clear" w:color="auto" w:fill="FFFFFF"/>
            <w:tcMar>
              <w:top w:w="150" w:type="dxa"/>
              <w:left w:w="0" w:type="dxa"/>
              <w:bottom w:w="150" w:type="dxa"/>
              <w:right w:w="240" w:type="dxa"/>
            </w:tcMar>
            <w:vAlign w:val="center"/>
          </w:tcPr>
          <w:p w14:paraId="6B701780">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Style w:val="22"/>
                <w:rFonts w:hint="eastAsia" w:asciiTheme="minorEastAsia" w:hAnsiTheme="minorEastAsia" w:eastAsiaTheme="minorEastAsia" w:cstheme="minorEastAsia"/>
                <w:b/>
                <w:bCs/>
                <w:i w:val="0"/>
                <w:iCs w:val="0"/>
                <w:caps w:val="0"/>
                <w:color w:val="0F1115"/>
                <w:spacing w:val="0"/>
                <w:kern w:val="0"/>
                <w:sz w:val="22"/>
                <w:szCs w:val="22"/>
                <w:highlight w:val="none"/>
                <w:lang w:val="en-US" w:eastAsia="zh-CN" w:bidi="ar"/>
              </w:rPr>
              <w:t>产出</w:t>
            </w:r>
          </w:p>
        </w:tc>
        <w:tc>
          <w:tcPr>
            <w:tcW w:w="588" w:type="dxa"/>
            <w:shd w:val="clear" w:color="auto" w:fill="FFFFFF"/>
            <w:tcMar>
              <w:top w:w="150" w:type="dxa"/>
              <w:left w:w="240" w:type="dxa"/>
              <w:bottom w:w="150" w:type="dxa"/>
              <w:right w:w="240" w:type="dxa"/>
            </w:tcMar>
            <w:vAlign w:val="center"/>
          </w:tcPr>
          <w:p w14:paraId="68C078B0">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产出质量</w:t>
            </w:r>
          </w:p>
        </w:tc>
        <w:tc>
          <w:tcPr>
            <w:tcW w:w="1565" w:type="dxa"/>
            <w:shd w:val="clear" w:color="auto" w:fill="FFFFFF"/>
            <w:tcMar>
              <w:top w:w="150" w:type="dxa"/>
              <w:left w:w="240" w:type="dxa"/>
              <w:bottom w:w="150" w:type="dxa"/>
              <w:right w:w="240" w:type="dxa"/>
            </w:tcMar>
            <w:vAlign w:val="center"/>
          </w:tcPr>
          <w:p w14:paraId="6EEFE829">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金碧广场城市综合治理完成率</w:t>
            </w:r>
          </w:p>
        </w:tc>
        <w:tc>
          <w:tcPr>
            <w:tcW w:w="2155" w:type="dxa"/>
            <w:shd w:val="clear" w:color="auto" w:fill="FFFFFF"/>
            <w:tcMar>
              <w:top w:w="150" w:type="dxa"/>
              <w:left w:w="240" w:type="dxa"/>
              <w:bottom w:w="150" w:type="dxa"/>
              <w:right w:w="240" w:type="dxa"/>
            </w:tcMar>
            <w:vAlign w:val="center"/>
          </w:tcPr>
          <w:p w14:paraId="29F72B3D">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考核市容环境综合整治工作是否按合同及考核标准有效完成。</w:t>
            </w:r>
          </w:p>
        </w:tc>
        <w:tc>
          <w:tcPr>
            <w:tcW w:w="975" w:type="dxa"/>
            <w:shd w:val="clear" w:color="auto" w:fill="FFFFFF"/>
            <w:tcMar>
              <w:top w:w="150" w:type="dxa"/>
              <w:left w:w="240" w:type="dxa"/>
              <w:bottom w:w="150" w:type="dxa"/>
              <w:right w:w="240" w:type="dxa"/>
            </w:tcMar>
            <w:vAlign w:val="center"/>
          </w:tcPr>
          <w:p w14:paraId="2B63A46E">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已完成</w:t>
            </w:r>
          </w:p>
        </w:tc>
        <w:tc>
          <w:tcPr>
            <w:tcW w:w="3030" w:type="dxa"/>
            <w:shd w:val="clear" w:color="auto" w:fill="FFFFFF"/>
            <w:tcMar>
              <w:top w:w="150" w:type="dxa"/>
              <w:left w:w="240" w:type="dxa"/>
              <w:bottom w:w="150" w:type="dxa"/>
              <w:right w:w="0" w:type="dxa"/>
            </w:tcMar>
            <w:vAlign w:val="center"/>
          </w:tcPr>
          <w:p w14:paraId="2EF8634E">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根据《季度考评结果汇总表》及日常巡查记录，服务质量符合《考评办法》要求，考核达标率为100%。</w:t>
            </w:r>
          </w:p>
        </w:tc>
      </w:tr>
      <w:tr w14:paraId="3FDE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0" w:hRule="atLeast"/>
        </w:trPr>
        <w:tc>
          <w:tcPr>
            <w:tcW w:w="1011" w:type="dxa"/>
            <w:shd w:val="clear" w:color="auto" w:fill="FFFFFF"/>
            <w:tcMar>
              <w:top w:w="150" w:type="dxa"/>
              <w:left w:w="0" w:type="dxa"/>
              <w:bottom w:w="150" w:type="dxa"/>
              <w:right w:w="240" w:type="dxa"/>
            </w:tcMar>
            <w:vAlign w:val="center"/>
          </w:tcPr>
          <w:p w14:paraId="7E78B4CB">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Style w:val="22"/>
                <w:rFonts w:hint="eastAsia" w:asciiTheme="minorEastAsia" w:hAnsiTheme="minorEastAsia" w:eastAsiaTheme="minorEastAsia" w:cstheme="minorEastAsia"/>
                <w:b/>
                <w:bCs/>
                <w:i w:val="0"/>
                <w:iCs w:val="0"/>
                <w:caps w:val="0"/>
                <w:color w:val="0F1115"/>
                <w:spacing w:val="0"/>
                <w:kern w:val="0"/>
                <w:sz w:val="22"/>
                <w:szCs w:val="22"/>
                <w:highlight w:val="none"/>
                <w:lang w:val="en-US" w:eastAsia="zh-CN" w:bidi="ar"/>
              </w:rPr>
              <w:t>产出</w:t>
            </w:r>
          </w:p>
        </w:tc>
        <w:tc>
          <w:tcPr>
            <w:tcW w:w="588" w:type="dxa"/>
            <w:shd w:val="clear" w:color="auto" w:fill="FFFFFF"/>
            <w:tcMar>
              <w:top w:w="150" w:type="dxa"/>
              <w:left w:w="240" w:type="dxa"/>
              <w:bottom w:w="150" w:type="dxa"/>
              <w:right w:w="240" w:type="dxa"/>
            </w:tcMar>
            <w:vAlign w:val="center"/>
          </w:tcPr>
          <w:p w14:paraId="7A867E5A">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产出时效</w:t>
            </w:r>
          </w:p>
        </w:tc>
        <w:tc>
          <w:tcPr>
            <w:tcW w:w="1565" w:type="dxa"/>
            <w:shd w:val="clear" w:color="auto" w:fill="FFFFFF"/>
            <w:tcMar>
              <w:top w:w="150" w:type="dxa"/>
              <w:left w:w="240" w:type="dxa"/>
              <w:bottom w:w="150" w:type="dxa"/>
              <w:right w:w="240" w:type="dxa"/>
            </w:tcMar>
            <w:vAlign w:val="center"/>
          </w:tcPr>
          <w:p w14:paraId="248033CD">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任务完成时限</w:t>
            </w:r>
          </w:p>
        </w:tc>
        <w:tc>
          <w:tcPr>
            <w:tcW w:w="2155" w:type="dxa"/>
            <w:shd w:val="clear" w:color="auto" w:fill="FFFFFF"/>
            <w:tcMar>
              <w:top w:w="150" w:type="dxa"/>
              <w:left w:w="240" w:type="dxa"/>
              <w:bottom w:w="150" w:type="dxa"/>
              <w:right w:w="240" w:type="dxa"/>
            </w:tcMar>
            <w:vAlign w:val="center"/>
          </w:tcPr>
          <w:p w14:paraId="4ADCF572">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考核服务是否在合同约定的期限内持续提供。</w:t>
            </w:r>
          </w:p>
        </w:tc>
        <w:tc>
          <w:tcPr>
            <w:tcW w:w="975" w:type="dxa"/>
            <w:shd w:val="clear" w:color="auto" w:fill="FFFFFF"/>
            <w:tcMar>
              <w:top w:w="150" w:type="dxa"/>
              <w:left w:w="240" w:type="dxa"/>
              <w:bottom w:w="150" w:type="dxa"/>
              <w:right w:w="240" w:type="dxa"/>
            </w:tcMar>
            <w:vAlign w:val="center"/>
          </w:tcPr>
          <w:p w14:paraId="6B615FAB">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已完成</w:t>
            </w:r>
          </w:p>
        </w:tc>
        <w:tc>
          <w:tcPr>
            <w:tcW w:w="3030" w:type="dxa"/>
            <w:shd w:val="clear" w:color="auto" w:fill="FFFFFF"/>
            <w:tcMar>
              <w:top w:w="150" w:type="dxa"/>
              <w:left w:w="240" w:type="dxa"/>
              <w:bottom w:w="150" w:type="dxa"/>
              <w:right w:w="0" w:type="dxa"/>
            </w:tcMar>
            <w:vAlign w:val="center"/>
          </w:tcPr>
          <w:p w14:paraId="4A1FE326">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服务自2024年5月1日起按时启动，并在合同期内持续提供。</w:t>
            </w:r>
          </w:p>
        </w:tc>
      </w:tr>
      <w:tr w14:paraId="072F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0" w:hRule="atLeast"/>
        </w:trPr>
        <w:tc>
          <w:tcPr>
            <w:tcW w:w="1011" w:type="dxa"/>
            <w:shd w:val="clear" w:color="auto" w:fill="FFFFFF"/>
            <w:tcMar>
              <w:top w:w="150" w:type="dxa"/>
              <w:left w:w="0" w:type="dxa"/>
              <w:bottom w:w="150" w:type="dxa"/>
              <w:right w:w="240" w:type="dxa"/>
            </w:tcMar>
            <w:vAlign w:val="center"/>
          </w:tcPr>
          <w:p w14:paraId="2DCAF982">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Style w:val="22"/>
                <w:rFonts w:hint="eastAsia" w:asciiTheme="minorEastAsia" w:hAnsiTheme="minorEastAsia" w:eastAsiaTheme="minorEastAsia" w:cstheme="minorEastAsia"/>
                <w:b/>
                <w:bCs/>
                <w:i w:val="0"/>
                <w:iCs w:val="0"/>
                <w:caps w:val="0"/>
                <w:color w:val="0F1115"/>
                <w:spacing w:val="0"/>
                <w:kern w:val="0"/>
                <w:sz w:val="22"/>
                <w:szCs w:val="22"/>
                <w:highlight w:val="none"/>
                <w:lang w:val="en-US" w:eastAsia="zh-CN" w:bidi="ar"/>
              </w:rPr>
              <w:t>产出</w:t>
            </w:r>
          </w:p>
        </w:tc>
        <w:tc>
          <w:tcPr>
            <w:tcW w:w="588" w:type="dxa"/>
            <w:shd w:val="clear" w:color="auto" w:fill="FFFFFF"/>
            <w:tcMar>
              <w:top w:w="150" w:type="dxa"/>
              <w:left w:w="240" w:type="dxa"/>
              <w:bottom w:w="150" w:type="dxa"/>
              <w:right w:w="240" w:type="dxa"/>
            </w:tcMar>
            <w:vAlign w:val="center"/>
          </w:tcPr>
          <w:p w14:paraId="11682558">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产出成本</w:t>
            </w:r>
          </w:p>
        </w:tc>
        <w:tc>
          <w:tcPr>
            <w:tcW w:w="1565" w:type="dxa"/>
            <w:shd w:val="clear" w:color="auto" w:fill="FFFFFF"/>
            <w:tcMar>
              <w:top w:w="150" w:type="dxa"/>
              <w:left w:w="240" w:type="dxa"/>
              <w:bottom w:w="150" w:type="dxa"/>
              <w:right w:w="240" w:type="dxa"/>
            </w:tcMar>
            <w:vAlign w:val="center"/>
          </w:tcPr>
          <w:p w14:paraId="20EA728E">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经济成本指标</w:t>
            </w:r>
          </w:p>
        </w:tc>
        <w:tc>
          <w:tcPr>
            <w:tcW w:w="2155" w:type="dxa"/>
            <w:shd w:val="clear" w:color="auto" w:fill="FFFFFF"/>
            <w:tcMar>
              <w:top w:w="150" w:type="dxa"/>
              <w:left w:w="240" w:type="dxa"/>
              <w:bottom w:w="150" w:type="dxa"/>
              <w:right w:w="240" w:type="dxa"/>
            </w:tcMar>
            <w:vAlign w:val="center"/>
          </w:tcPr>
          <w:p w14:paraId="0BE3C8F7">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考核项目实际成本是否控制在预算范围内。</w:t>
            </w:r>
          </w:p>
        </w:tc>
        <w:tc>
          <w:tcPr>
            <w:tcW w:w="975" w:type="dxa"/>
            <w:shd w:val="clear" w:color="auto" w:fill="FFFFFF"/>
            <w:tcMar>
              <w:top w:w="150" w:type="dxa"/>
              <w:left w:w="240" w:type="dxa"/>
              <w:bottom w:w="150" w:type="dxa"/>
              <w:right w:w="240" w:type="dxa"/>
            </w:tcMar>
            <w:vAlign w:val="center"/>
          </w:tcPr>
          <w:p w14:paraId="29214F9A">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已完成</w:t>
            </w:r>
          </w:p>
        </w:tc>
        <w:tc>
          <w:tcPr>
            <w:tcW w:w="3030" w:type="dxa"/>
            <w:shd w:val="clear" w:color="auto" w:fill="FFFFFF"/>
            <w:tcMar>
              <w:top w:w="150" w:type="dxa"/>
              <w:left w:w="240" w:type="dxa"/>
              <w:bottom w:w="150" w:type="dxa"/>
              <w:right w:w="0" w:type="dxa"/>
            </w:tcMar>
            <w:vAlign w:val="center"/>
          </w:tcPr>
          <w:p w14:paraId="29526AEA">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项目实际支出为94.53万元，与全年预算金额一致。</w:t>
            </w:r>
          </w:p>
        </w:tc>
      </w:tr>
      <w:tr w14:paraId="5DAD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0" w:hRule="atLeast"/>
        </w:trPr>
        <w:tc>
          <w:tcPr>
            <w:tcW w:w="1011" w:type="dxa"/>
            <w:shd w:val="clear" w:color="auto" w:fill="FFFFFF"/>
            <w:tcMar>
              <w:top w:w="150" w:type="dxa"/>
              <w:left w:w="0" w:type="dxa"/>
              <w:bottom w:w="150" w:type="dxa"/>
              <w:right w:w="240" w:type="dxa"/>
            </w:tcMar>
            <w:vAlign w:val="center"/>
          </w:tcPr>
          <w:p w14:paraId="4C9ED7E2">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Style w:val="22"/>
                <w:rFonts w:hint="eastAsia" w:asciiTheme="minorEastAsia" w:hAnsiTheme="minorEastAsia" w:eastAsiaTheme="minorEastAsia" w:cstheme="minorEastAsia"/>
                <w:b/>
                <w:bCs/>
                <w:i w:val="0"/>
                <w:iCs w:val="0"/>
                <w:caps w:val="0"/>
                <w:color w:val="0F1115"/>
                <w:spacing w:val="0"/>
                <w:kern w:val="0"/>
                <w:sz w:val="22"/>
                <w:szCs w:val="22"/>
                <w:highlight w:val="none"/>
                <w:lang w:val="en-US" w:eastAsia="zh-CN" w:bidi="ar"/>
              </w:rPr>
              <w:t>效益</w:t>
            </w:r>
          </w:p>
        </w:tc>
        <w:tc>
          <w:tcPr>
            <w:tcW w:w="588" w:type="dxa"/>
            <w:shd w:val="clear" w:color="auto" w:fill="FFFFFF"/>
            <w:tcMar>
              <w:top w:w="150" w:type="dxa"/>
              <w:left w:w="240" w:type="dxa"/>
              <w:bottom w:w="150" w:type="dxa"/>
              <w:right w:w="240" w:type="dxa"/>
            </w:tcMar>
            <w:vAlign w:val="center"/>
          </w:tcPr>
          <w:p w14:paraId="0A2F1D81">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社会效益</w:t>
            </w:r>
          </w:p>
        </w:tc>
        <w:tc>
          <w:tcPr>
            <w:tcW w:w="1565" w:type="dxa"/>
            <w:shd w:val="clear" w:color="auto" w:fill="FFFFFF"/>
            <w:tcMar>
              <w:top w:w="150" w:type="dxa"/>
              <w:left w:w="240" w:type="dxa"/>
              <w:bottom w:w="150" w:type="dxa"/>
              <w:right w:w="240" w:type="dxa"/>
            </w:tcMar>
            <w:vAlign w:val="center"/>
          </w:tcPr>
          <w:p w14:paraId="420D7BEF">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增强了执法力量，提高执法水平</w:t>
            </w:r>
          </w:p>
        </w:tc>
        <w:tc>
          <w:tcPr>
            <w:tcW w:w="2155" w:type="dxa"/>
            <w:shd w:val="clear" w:color="auto" w:fill="FFFFFF"/>
            <w:tcMar>
              <w:top w:w="150" w:type="dxa"/>
              <w:left w:w="240" w:type="dxa"/>
              <w:bottom w:w="150" w:type="dxa"/>
              <w:right w:w="240" w:type="dxa"/>
            </w:tcMar>
            <w:vAlign w:val="center"/>
          </w:tcPr>
          <w:p w14:paraId="243050E5">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考核项目实施后补充执法力量的实际效果。</w:t>
            </w:r>
          </w:p>
        </w:tc>
        <w:tc>
          <w:tcPr>
            <w:tcW w:w="975" w:type="dxa"/>
            <w:shd w:val="clear" w:color="auto" w:fill="FFFFFF"/>
            <w:tcMar>
              <w:top w:w="150" w:type="dxa"/>
              <w:left w:w="240" w:type="dxa"/>
              <w:bottom w:w="150" w:type="dxa"/>
              <w:right w:w="240" w:type="dxa"/>
            </w:tcMar>
            <w:vAlign w:val="center"/>
          </w:tcPr>
          <w:p w14:paraId="3280A9C2">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已实现</w:t>
            </w:r>
          </w:p>
        </w:tc>
        <w:tc>
          <w:tcPr>
            <w:tcW w:w="3030" w:type="dxa"/>
            <w:shd w:val="clear" w:color="auto" w:fill="FFFFFF"/>
            <w:tcMar>
              <w:top w:w="150" w:type="dxa"/>
              <w:left w:w="240" w:type="dxa"/>
              <w:bottom w:w="150" w:type="dxa"/>
              <w:right w:w="0" w:type="dxa"/>
            </w:tcMar>
            <w:vAlign w:val="center"/>
          </w:tcPr>
          <w:p w14:paraId="79F3CE7E">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项目引入协勤力量后，有效补充了执法队伍，提升了城市管理覆盖面与效率。</w:t>
            </w:r>
          </w:p>
        </w:tc>
      </w:tr>
      <w:tr w14:paraId="41BF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0" w:hRule="atLeast"/>
        </w:trPr>
        <w:tc>
          <w:tcPr>
            <w:tcW w:w="1011" w:type="dxa"/>
            <w:shd w:val="clear" w:color="auto" w:fill="FFFFFF"/>
            <w:tcMar>
              <w:top w:w="150" w:type="dxa"/>
              <w:left w:w="0" w:type="dxa"/>
              <w:bottom w:w="150" w:type="dxa"/>
              <w:right w:w="240" w:type="dxa"/>
            </w:tcMar>
            <w:vAlign w:val="center"/>
          </w:tcPr>
          <w:p w14:paraId="53453C79">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Style w:val="22"/>
                <w:rFonts w:hint="eastAsia" w:asciiTheme="minorEastAsia" w:hAnsiTheme="minorEastAsia" w:eastAsiaTheme="minorEastAsia" w:cstheme="minorEastAsia"/>
                <w:b/>
                <w:bCs/>
                <w:i w:val="0"/>
                <w:iCs w:val="0"/>
                <w:caps w:val="0"/>
                <w:color w:val="0F1115"/>
                <w:spacing w:val="0"/>
                <w:kern w:val="0"/>
                <w:sz w:val="22"/>
                <w:szCs w:val="22"/>
                <w:highlight w:val="none"/>
                <w:lang w:val="en-US" w:eastAsia="zh-CN" w:bidi="ar"/>
              </w:rPr>
              <w:t>效益</w:t>
            </w:r>
          </w:p>
        </w:tc>
        <w:tc>
          <w:tcPr>
            <w:tcW w:w="588" w:type="dxa"/>
            <w:shd w:val="clear" w:color="auto" w:fill="FFFFFF"/>
            <w:tcMar>
              <w:top w:w="150" w:type="dxa"/>
              <w:left w:w="240" w:type="dxa"/>
              <w:bottom w:w="150" w:type="dxa"/>
              <w:right w:w="240" w:type="dxa"/>
            </w:tcMar>
            <w:vAlign w:val="center"/>
          </w:tcPr>
          <w:p w14:paraId="6921FE05">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满意度</w:t>
            </w:r>
          </w:p>
        </w:tc>
        <w:tc>
          <w:tcPr>
            <w:tcW w:w="1565" w:type="dxa"/>
            <w:shd w:val="clear" w:color="auto" w:fill="FFFFFF"/>
            <w:tcMar>
              <w:top w:w="150" w:type="dxa"/>
              <w:left w:w="240" w:type="dxa"/>
              <w:bottom w:w="150" w:type="dxa"/>
              <w:right w:w="240" w:type="dxa"/>
            </w:tcMar>
            <w:vAlign w:val="center"/>
          </w:tcPr>
          <w:p w14:paraId="7357EE3B">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社会公众及单位工作人员满意度</w:t>
            </w:r>
          </w:p>
        </w:tc>
        <w:tc>
          <w:tcPr>
            <w:tcW w:w="2155" w:type="dxa"/>
            <w:shd w:val="clear" w:color="auto" w:fill="FFFFFF"/>
            <w:tcMar>
              <w:top w:w="150" w:type="dxa"/>
              <w:left w:w="240" w:type="dxa"/>
              <w:bottom w:w="150" w:type="dxa"/>
              <w:right w:w="240" w:type="dxa"/>
            </w:tcMar>
            <w:vAlign w:val="center"/>
          </w:tcPr>
          <w:p w14:paraId="5F7744A7">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考核社会公众和单位内部工作人员对项目实施的满意程度。</w:t>
            </w:r>
          </w:p>
        </w:tc>
        <w:tc>
          <w:tcPr>
            <w:tcW w:w="975" w:type="dxa"/>
            <w:shd w:val="clear" w:color="auto" w:fill="FFFFFF"/>
            <w:tcMar>
              <w:top w:w="150" w:type="dxa"/>
              <w:left w:w="240" w:type="dxa"/>
              <w:bottom w:w="150" w:type="dxa"/>
              <w:right w:w="240" w:type="dxa"/>
            </w:tcMar>
            <w:vAlign w:val="center"/>
          </w:tcPr>
          <w:p w14:paraId="28E3878A">
            <w:pPr>
              <w:keepNext/>
              <w:keepLines w:val="0"/>
              <w:widowControl/>
              <w:suppressLineNumbers w:val="0"/>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已实现</w:t>
            </w:r>
          </w:p>
        </w:tc>
        <w:tc>
          <w:tcPr>
            <w:tcW w:w="3030" w:type="dxa"/>
            <w:shd w:val="clear" w:color="auto" w:fill="FFFFFF"/>
            <w:tcMar>
              <w:top w:w="150" w:type="dxa"/>
              <w:left w:w="240" w:type="dxa"/>
              <w:bottom w:w="150" w:type="dxa"/>
              <w:right w:w="0" w:type="dxa"/>
            </w:tcMar>
            <w:vAlign w:val="center"/>
          </w:tcPr>
          <w:p w14:paraId="21A06ACD">
            <w:pPr>
              <w:keepNext/>
              <w:keepLines w:val="0"/>
              <w:widowControl/>
              <w:suppressLineNumbers w:val="0"/>
              <w:snapToGrid w:val="0"/>
              <w:spacing w:line="240" w:lineRule="auto"/>
              <w:ind w:left="0" w:leftChars="0" w:right="0" w:rightChars="0" w:firstLine="0" w:firstLineChars="0"/>
              <w:jc w:val="left"/>
              <w:rPr>
                <w:rFonts w:hint="eastAsia" w:asciiTheme="minorEastAsia" w:hAnsiTheme="minorEastAsia" w:eastAsiaTheme="minorEastAsia" w:cstheme="minorEastAsia"/>
                <w:i w:val="0"/>
                <w:iCs w:val="0"/>
                <w:caps w:val="0"/>
                <w:color w:val="0F1115"/>
                <w:spacing w:val="0"/>
                <w:sz w:val="22"/>
                <w:szCs w:val="22"/>
                <w:highlight w:val="none"/>
              </w:rPr>
            </w:pPr>
            <w:r>
              <w:rPr>
                <w:rFonts w:hint="eastAsia" w:asciiTheme="minorEastAsia" w:hAnsiTheme="minorEastAsia" w:eastAsiaTheme="minorEastAsia" w:cstheme="minorEastAsia"/>
                <w:i w:val="0"/>
                <w:iCs w:val="0"/>
                <w:caps w:val="0"/>
                <w:color w:val="0F1115"/>
                <w:spacing w:val="0"/>
                <w:kern w:val="0"/>
                <w:sz w:val="22"/>
                <w:szCs w:val="22"/>
                <w:highlight w:val="none"/>
                <w:lang w:val="en-US" w:eastAsia="zh-CN" w:bidi="ar"/>
              </w:rPr>
              <w:t>本次评价问卷调查结果显示，社会公众满意度为95%，单位工作人员满意度为75%。</w:t>
            </w:r>
          </w:p>
        </w:tc>
      </w:tr>
      <w:bookmarkEnd w:id="48"/>
    </w:tbl>
    <w:p w14:paraId="4DA3FB56">
      <w:pPr>
        <w:spacing w:line="579" w:lineRule="exact"/>
        <w:ind w:firstLine="630" w:firstLineChars="200"/>
        <w:outlineLvl w:val="0"/>
        <w:rPr>
          <w:rFonts w:ascii="黑体" w:hAnsi="宋体" w:eastAsia="黑体" w:cs="宋体"/>
          <w:szCs w:val="30"/>
        </w:rPr>
      </w:pPr>
      <w:bookmarkStart w:id="49" w:name="_Toc1968"/>
      <w:bookmarkStart w:id="50" w:name="_Toc4937"/>
      <w:r>
        <w:rPr>
          <w:rFonts w:hint="eastAsia" w:ascii="黑体" w:hAnsi="宋体" w:eastAsia="黑体" w:cs="宋体"/>
          <w:szCs w:val="30"/>
          <w:lang w:val="en-US" w:eastAsia="zh-CN"/>
        </w:rPr>
        <w:t>四</w:t>
      </w:r>
      <w:r>
        <w:rPr>
          <w:rFonts w:hint="eastAsia" w:ascii="黑体" w:hAnsi="宋体" w:eastAsia="黑体" w:cs="宋体"/>
          <w:szCs w:val="30"/>
        </w:rPr>
        <w:t>、绩效评价情况分析</w:t>
      </w:r>
      <w:bookmarkEnd w:id="49"/>
      <w:bookmarkEnd w:id="50"/>
    </w:p>
    <w:p w14:paraId="1F1266FA">
      <w:pPr>
        <w:spacing w:line="579" w:lineRule="exact"/>
        <w:ind w:firstLine="670" w:firstLineChars="200"/>
        <w:outlineLvl w:val="1"/>
        <w:rPr>
          <w:rFonts w:hint="eastAsia" w:ascii="仿宋" w:hAnsi="仿宋" w:eastAsia="仿宋" w:cs="仿宋"/>
          <w:sz w:val="32"/>
          <w:szCs w:val="32"/>
        </w:rPr>
      </w:pPr>
      <w:bookmarkStart w:id="51" w:name="_Toc26709"/>
      <w:bookmarkStart w:id="52" w:name="_Toc12798"/>
      <w:r>
        <w:rPr>
          <w:rFonts w:hint="eastAsia" w:ascii="仿宋" w:hAnsi="仿宋" w:eastAsia="仿宋" w:cs="仿宋"/>
          <w:sz w:val="32"/>
          <w:szCs w:val="32"/>
        </w:rPr>
        <w:t>（一）</w:t>
      </w:r>
      <w:r>
        <w:rPr>
          <w:rFonts w:hint="eastAsia" w:ascii="仿宋" w:hAnsi="仿宋" w:eastAsia="仿宋" w:cs="仿宋"/>
          <w:sz w:val="32"/>
          <w:szCs w:val="32"/>
          <w:lang w:val="en-US" w:eastAsia="zh-CN"/>
        </w:rPr>
        <w:t>项目决策</w:t>
      </w:r>
      <w:r>
        <w:rPr>
          <w:rFonts w:hint="eastAsia" w:ascii="仿宋" w:hAnsi="仿宋" w:eastAsia="仿宋" w:cs="仿宋"/>
          <w:sz w:val="32"/>
          <w:szCs w:val="32"/>
        </w:rPr>
        <w:t>情况</w:t>
      </w:r>
      <w:bookmarkEnd w:id="51"/>
      <w:bookmarkEnd w:id="52"/>
    </w:p>
    <w:p w14:paraId="5D7270F4">
      <w:pPr>
        <w:spacing w:line="579" w:lineRule="exact"/>
        <w:ind w:firstLine="670" w:firstLineChars="200"/>
        <w:rPr>
          <w:rFonts w:hint="eastAsia" w:ascii="仿宋" w:hAnsi="仿宋" w:eastAsia="仿宋" w:cs="仿宋"/>
          <w:sz w:val="32"/>
          <w:szCs w:val="32"/>
          <w:lang w:val="en-US" w:eastAsia="zh-CN"/>
        </w:rPr>
      </w:pPr>
      <w:bookmarkStart w:id="53" w:name="_Toc21971"/>
      <w:r>
        <w:rPr>
          <w:rFonts w:hint="eastAsia" w:ascii="仿宋" w:hAnsi="仿宋" w:eastAsia="仿宋" w:cs="仿宋"/>
          <w:sz w:val="32"/>
          <w:szCs w:val="32"/>
          <w:lang w:val="en-US" w:eastAsia="zh-CN"/>
        </w:rPr>
        <w:t>项目决策情况包括项目立项、资金落实两方面。该项满分为15分，评价得分12分，得分率80%。</w:t>
      </w:r>
    </w:p>
    <w:p w14:paraId="470F5C73">
      <w:pPr>
        <w:spacing w:line="579" w:lineRule="exact"/>
        <w:ind w:firstLine="67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1.项目立项</w:t>
      </w:r>
    </w:p>
    <w:p w14:paraId="101A61B8">
      <w:pPr>
        <w:spacing w:line="579" w:lineRule="exact"/>
        <w:ind w:firstLine="67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项目立项指标满分为9分，评价得分为6分。立项依据充分、程序规范。但绩效指标明确性方面存在不足，部分指标未完全细化量化，扣3分。</w:t>
      </w:r>
    </w:p>
    <w:p w14:paraId="01B9E251">
      <w:pPr>
        <w:spacing w:line="579" w:lineRule="exact"/>
        <w:ind w:firstLine="67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立项规范性满分2分，得分2分，得分率100%。金碧广场办综合整治管理经费符合《关于同意拨付金马碧鸡广场城市管理市容环境综合整治经费的批复》西政复</w:t>
      </w:r>
      <w:r>
        <w:rPr>
          <w:rFonts w:hint="eastAsia" w:hAnsi="仿宋" w:cs="仿宋"/>
          <w:sz w:val="32"/>
          <w:szCs w:val="32"/>
          <w:lang w:val="en-US" w:eastAsia="zh-CN"/>
        </w:rPr>
        <w:t>〔2019〕130号</w:t>
      </w:r>
      <w:r>
        <w:rPr>
          <w:rFonts w:hint="eastAsia" w:ascii="仿宋" w:hAnsi="仿宋" w:eastAsia="仿宋" w:cs="仿宋"/>
          <w:sz w:val="32"/>
          <w:szCs w:val="32"/>
          <w:lang w:val="en-US" w:eastAsia="zh-CN"/>
        </w:rPr>
        <w:t>。采购程序规范性方面，项目采用公开招标方式选取服务单位，符合相关法律法规，立项依据充分、程序规范。</w:t>
      </w:r>
    </w:p>
    <w:p w14:paraId="7CC0A9EB">
      <w:pPr>
        <w:spacing w:line="579" w:lineRule="exact"/>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绩效目标合理性满分2分，得分2分，得分率100%。绩效目标符合项目预期产出效益和效果，符合年度工作计划目标。</w:t>
      </w:r>
    </w:p>
    <w:p w14:paraId="13E8CE31">
      <w:pPr>
        <w:spacing w:line="579" w:lineRule="exact"/>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绩效指标明确性满分5分，得分3分，得分率60%。绩效指标值部分是整体工作目标，时效指标设置为指标值100%，设置不科学。</w:t>
      </w:r>
    </w:p>
    <w:p w14:paraId="248C1316">
      <w:pPr>
        <w:spacing w:line="579" w:lineRule="exact"/>
        <w:ind w:firstLine="67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2.资金落实</w:t>
      </w:r>
    </w:p>
    <w:p w14:paraId="07A4F189">
      <w:pPr>
        <w:spacing w:line="579" w:lineRule="exact"/>
        <w:ind w:firstLine="67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资金落实指标满分6分，评价得分6分。资金到位率及到位及时率100%。</w:t>
      </w:r>
    </w:p>
    <w:p w14:paraId="1760A171">
      <w:pPr>
        <w:spacing w:line="579" w:lineRule="exact"/>
        <w:ind w:firstLine="67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项目资金测算根据预算编制经过科学论证、有明确标准，资金额度与年度目标相适应。资金到位和及时率，金碧广场办综合整治管理经费94.53万元，实际到位资金94.53万元，资金到位率100%。</w:t>
      </w:r>
    </w:p>
    <w:p w14:paraId="0C9F01C9">
      <w:pPr>
        <w:spacing w:line="579" w:lineRule="exact"/>
        <w:ind w:firstLine="67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资金使用率方面，实际支出资金94.53万元，资金使用率为100%。资金使用合规性方面，资金使用符合国家财经法规和财务管理制度规定以及有关专项资金管理办法的规定，资金的拨付有完整的审批程序和手续。</w:t>
      </w:r>
    </w:p>
    <w:p w14:paraId="2130AD45">
      <w:pPr>
        <w:spacing w:line="579" w:lineRule="exact"/>
        <w:ind w:firstLine="670" w:firstLineChars="200"/>
        <w:outlineLvl w:val="1"/>
        <w:rPr>
          <w:rFonts w:hint="eastAsia" w:ascii="仿宋" w:hAnsi="仿宋" w:eastAsia="仿宋" w:cs="仿宋"/>
          <w:sz w:val="32"/>
          <w:szCs w:val="32"/>
          <w:lang w:val="en-US" w:eastAsia="zh-CN"/>
        </w:rPr>
      </w:pPr>
      <w:bookmarkStart w:id="54" w:name="_Toc32188"/>
      <w:r>
        <w:rPr>
          <w:rFonts w:hint="eastAsia" w:ascii="仿宋" w:hAnsi="仿宋" w:eastAsia="仿宋" w:cs="仿宋"/>
          <w:sz w:val="32"/>
          <w:szCs w:val="32"/>
          <w:lang w:val="en-US" w:eastAsia="zh-CN"/>
        </w:rPr>
        <w:t>（二）项目管理情况</w:t>
      </w:r>
      <w:bookmarkEnd w:id="53"/>
      <w:bookmarkEnd w:id="54"/>
    </w:p>
    <w:p w14:paraId="601B3A83">
      <w:pPr>
        <w:spacing w:line="579" w:lineRule="exact"/>
        <w:ind w:firstLine="670" w:firstLineChars="200"/>
        <w:rPr>
          <w:rFonts w:hint="eastAsia" w:ascii="仿宋" w:hAnsi="仿宋" w:eastAsia="仿宋" w:cs="仿宋"/>
          <w:sz w:val="32"/>
          <w:szCs w:val="32"/>
          <w:highlight w:val="none"/>
          <w:lang w:val="en-US" w:eastAsia="zh-CN"/>
        </w:rPr>
      </w:pPr>
      <w:bookmarkStart w:id="55" w:name="_Toc3207"/>
      <w:r>
        <w:rPr>
          <w:rFonts w:hint="eastAsia" w:ascii="仿宋" w:hAnsi="仿宋" w:eastAsia="仿宋" w:cs="仿宋"/>
          <w:sz w:val="32"/>
          <w:szCs w:val="32"/>
          <w:highlight w:val="none"/>
          <w:lang w:val="en-US" w:eastAsia="zh-CN"/>
        </w:rPr>
        <w:t>过程情况包括业务管理和财务管理两方面。该项满分为34分，评价得分3</w:t>
      </w:r>
      <w:r>
        <w:rPr>
          <w:rFonts w:hint="eastAsia" w:hAnsi="仿宋" w:cs="仿宋"/>
          <w:sz w:val="32"/>
          <w:szCs w:val="32"/>
          <w:highlight w:val="none"/>
          <w:lang w:val="en-US" w:eastAsia="zh-CN"/>
        </w:rPr>
        <w:t>3</w:t>
      </w:r>
      <w:r>
        <w:rPr>
          <w:rFonts w:hint="eastAsia" w:ascii="仿宋" w:hAnsi="仿宋" w:eastAsia="仿宋" w:cs="仿宋"/>
          <w:sz w:val="32"/>
          <w:szCs w:val="32"/>
          <w:highlight w:val="none"/>
          <w:lang w:val="en-US" w:eastAsia="zh-CN"/>
        </w:rPr>
        <w:t>分，得分率</w:t>
      </w:r>
      <w:r>
        <w:rPr>
          <w:rFonts w:hint="eastAsia" w:hAnsi="仿宋" w:cs="仿宋"/>
          <w:sz w:val="32"/>
          <w:szCs w:val="32"/>
          <w:highlight w:val="none"/>
          <w:lang w:val="en-US" w:eastAsia="zh-CN"/>
        </w:rPr>
        <w:t>97.06</w:t>
      </w:r>
      <w:r>
        <w:rPr>
          <w:rFonts w:hint="eastAsia" w:ascii="仿宋" w:hAnsi="仿宋" w:eastAsia="仿宋" w:cs="仿宋"/>
          <w:sz w:val="32"/>
          <w:szCs w:val="32"/>
          <w:highlight w:val="none"/>
          <w:lang w:val="en-US" w:eastAsia="zh-CN"/>
        </w:rPr>
        <w:t>%。</w:t>
      </w:r>
    </w:p>
    <w:p w14:paraId="1BAF0ED5">
      <w:pPr>
        <w:spacing w:line="579" w:lineRule="exact"/>
        <w:ind w:firstLine="670" w:firstLineChars="200"/>
        <w:outlineLvl w:val="2"/>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1.业务管理</w:t>
      </w:r>
    </w:p>
    <w:p w14:paraId="357A899B">
      <w:pPr>
        <w:spacing w:line="579" w:lineRule="exact"/>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业务管理指标满分为16分，针对管理制度健全性、制度执行有效性、项目质量可控性进行评价。此项综合评价得分为16分，得分率100%。</w:t>
      </w:r>
    </w:p>
    <w:p w14:paraId="6BDD296D">
      <w:pPr>
        <w:spacing w:line="579" w:lineRule="exact"/>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管理制度健全性满分5分，得分5分，得分率100%，项目具备《关于安排部署金碧辖区重点区域市容环境综合治理工作方案》和《金碧街道办事处城市管理辅助性服务考评办法</w:t>
      </w:r>
      <w:r>
        <w:rPr>
          <w:rFonts w:hint="eastAsia" w:hAnsi="仿宋" w:cs="仿宋"/>
          <w:sz w:val="32"/>
          <w:szCs w:val="32"/>
          <w:highlight w:val="none"/>
          <w:lang w:val="en-US" w:eastAsia="zh-CN"/>
        </w:rPr>
        <w:t>》《</w:t>
      </w:r>
      <w:r>
        <w:rPr>
          <w:rFonts w:hint="eastAsia" w:ascii="仿宋" w:hAnsi="仿宋" w:eastAsia="仿宋" w:cs="仿宋"/>
          <w:sz w:val="32"/>
          <w:szCs w:val="32"/>
          <w:highlight w:val="none"/>
          <w:lang w:val="en-US" w:eastAsia="zh-CN"/>
        </w:rPr>
        <w:t>金碧综合行政执法队协勤人员考核办法》，对项目实施计划、资金筹措及使用计划等进行了明确。</w:t>
      </w:r>
    </w:p>
    <w:p w14:paraId="3AEA1713">
      <w:pPr>
        <w:spacing w:line="579" w:lineRule="exact"/>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制度执行有效性满分6分，得分</w:t>
      </w:r>
      <w:r>
        <w:rPr>
          <w:rFonts w:hint="eastAsia" w:hAnsi="仿宋" w:cs="仿宋"/>
          <w:sz w:val="32"/>
          <w:szCs w:val="32"/>
          <w:highlight w:val="none"/>
          <w:lang w:val="en-US" w:eastAsia="zh-CN"/>
        </w:rPr>
        <w:t>5</w:t>
      </w:r>
      <w:r>
        <w:rPr>
          <w:rFonts w:hint="eastAsia" w:ascii="仿宋" w:hAnsi="仿宋" w:eastAsia="仿宋" w:cs="仿宋"/>
          <w:sz w:val="32"/>
          <w:szCs w:val="32"/>
          <w:highlight w:val="none"/>
          <w:lang w:val="en-US" w:eastAsia="zh-CN"/>
        </w:rPr>
        <w:t>分，得分率</w:t>
      </w:r>
      <w:r>
        <w:rPr>
          <w:rFonts w:hint="eastAsia" w:hAnsi="仿宋" w:cs="仿宋"/>
          <w:sz w:val="32"/>
          <w:szCs w:val="32"/>
          <w:highlight w:val="none"/>
          <w:lang w:val="en-US" w:eastAsia="zh-CN"/>
        </w:rPr>
        <w:t>83.33</w:t>
      </w:r>
      <w:r>
        <w:rPr>
          <w:rFonts w:hint="eastAsia" w:ascii="仿宋" w:hAnsi="仿宋" w:eastAsia="仿宋" w:cs="仿宋"/>
          <w:sz w:val="32"/>
          <w:szCs w:val="32"/>
          <w:highlight w:val="none"/>
          <w:lang w:val="en-US" w:eastAsia="zh-CN"/>
        </w:rPr>
        <w:t>%，项目能够按照《关于安排部署金碧辖区重点区域市容环境综合治理工作方案》和《金碧街道办事处城市管理辅助性服务考评办法</w:t>
      </w:r>
      <w:r>
        <w:rPr>
          <w:rFonts w:hint="eastAsia" w:hAnsi="仿宋" w:cs="仿宋"/>
          <w:sz w:val="32"/>
          <w:szCs w:val="32"/>
          <w:highlight w:val="none"/>
          <w:lang w:val="en-US" w:eastAsia="zh-CN"/>
        </w:rPr>
        <w:t>》《</w:t>
      </w:r>
      <w:r>
        <w:rPr>
          <w:rFonts w:hint="eastAsia" w:ascii="仿宋" w:hAnsi="仿宋" w:eastAsia="仿宋" w:cs="仿宋"/>
          <w:sz w:val="32"/>
          <w:szCs w:val="32"/>
          <w:highlight w:val="none"/>
          <w:lang w:val="en-US" w:eastAsia="zh-CN"/>
        </w:rPr>
        <w:t>金碧综合行政执法队协勤人员考核办法</w:t>
      </w:r>
      <w:r>
        <w:rPr>
          <w:rFonts w:hint="eastAsia" w:hAnsi="仿宋" w:cs="仿宋"/>
          <w:sz w:val="32"/>
          <w:szCs w:val="32"/>
          <w:highlight w:val="none"/>
          <w:lang w:val="en-US" w:eastAsia="zh-CN"/>
        </w:rPr>
        <w:t>》等</w:t>
      </w:r>
      <w:r>
        <w:rPr>
          <w:rFonts w:hint="eastAsia" w:ascii="仿宋" w:hAnsi="仿宋" w:eastAsia="仿宋" w:cs="仿宋"/>
          <w:sz w:val="32"/>
          <w:szCs w:val="32"/>
          <w:highlight w:val="none"/>
          <w:lang w:val="en-US" w:eastAsia="zh-CN"/>
        </w:rPr>
        <w:t>要求</w:t>
      </w:r>
      <w:r>
        <w:rPr>
          <w:rFonts w:hint="eastAsia" w:hAnsi="仿宋" w:cs="仿宋"/>
          <w:sz w:val="32"/>
          <w:szCs w:val="32"/>
          <w:highlight w:val="none"/>
          <w:lang w:val="en-US" w:eastAsia="zh-CN"/>
        </w:rPr>
        <w:t>实施</w:t>
      </w:r>
      <w:r>
        <w:rPr>
          <w:rFonts w:hint="eastAsia" w:ascii="仿宋" w:hAnsi="仿宋" w:eastAsia="仿宋" w:cs="仿宋"/>
          <w:sz w:val="32"/>
          <w:szCs w:val="32"/>
          <w:highlight w:val="none"/>
          <w:lang w:val="en-US" w:eastAsia="zh-CN"/>
        </w:rPr>
        <w:t>。</w:t>
      </w:r>
    </w:p>
    <w:p w14:paraId="3ED9F37F">
      <w:pPr>
        <w:spacing w:line="579" w:lineRule="exact"/>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项目质量可控性满分5分，得分5分，得分率100%，项目按照《金碧街道办事处城市管理辅助性服务考评办法》第二、三条、《金碧综合行政执法队协勤人员考核办法》第四、五条、《服务质量检查记录表</w:t>
      </w:r>
      <w:r>
        <w:rPr>
          <w:rFonts w:hint="eastAsia" w:hAnsi="仿宋" w:cs="仿宋"/>
          <w:sz w:val="32"/>
          <w:szCs w:val="32"/>
          <w:highlight w:val="none"/>
          <w:lang w:val="en-US" w:eastAsia="zh-CN"/>
        </w:rPr>
        <w:t>》《</w:t>
      </w:r>
      <w:r>
        <w:rPr>
          <w:rFonts w:hint="eastAsia" w:ascii="仿宋" w:hAnsi="仿宋" w:eastAsia="仿宋" w:cs="仿宋"/>
          <w:sz w:val="32"/>
          <w:szCs w:val="32"/>
          <w:highlight w:val="none"/>
          <w:lang w:val="en-US" w:eastAsia="zh-CN"/>
        </w:rPr>
        <w:t>月度考核评分表》进行合理监督。</w:t>
      </w:r>
    </w:p>
    <w:p w14:paraId="2F5440C4">
      <w:pPr>
        <w:spacing w:line="579" w:lineRule="exact"/>
        <w:ind w:firstLine="670" w:firstLineChars="200"/>
        <w:outlineLvl w:val="2"/>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2.财务管理</w:t>
      </w:r>
    </w:p>
    <w:p w14:paraId="6302763C">
      <w:pPr>
        <w:spacing w:line="579" w:lineRule="exact"/>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财务管理指标满分为18分，针对财务管理制度健全性、资金使用合规性和财务监控有效性进行评价。此项综合评价得分为18分，得分率100%。</w:t>
      </w:r>
    </w:p>
    <w:p w14:paraId="21780BAA">
      <w:pPr>
        <w:spacing w:line="579" w:lineRule="exact"/>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为了建立科学合理的资金管理程序，确保项目专项资金的安全、有效使用，金碧街道制定了《金碧街道办事处财务管理办法（2022年修订版）》（金处发〔2022〕3号）、《金碧街道办事处贯彻落实</w:t>
      </w:r>
      <w:r>
        <w:rPr>
          <w:rFonts w:hint="eastAsia" w:hAnsi="仿宋" w:cs="仿宋"/>
          <w:sz w:val="32"/>
          <w:szCs w:val="32"/>
          <w:highlight w:val="none"/>
          <w:lang w:val="en-US" w:eastAsia="zh-CN"/>
        </w:rPr>
        <w:t>“三重一大”</w:t>
      </w:r>
      <w:r>
        <w:rPr>
          <w:rFonts w:hint="eastAsia" w:ascii="仿宋" w:hAnsi="仿宋" w:eastAsia="仿宋" w:cs="仿宋"/>
          <w:sz w:val="32"/>
          <w:szCs w:val="32"/>
          <w:highlight w:val="none"/>
          <w:lang w:val="en-US" w:eastAsia="zh-CN"/>
        </w:rPr>
        <w:t>集体决策制度实施办法》第七条等。按管理办法及《</w:t>
      </w:r>
      <w:r>
        <w:rPr>
          <w:rFonts w:hint="eastAsia" w:hAnsi="仿宋" w:cs="仿宋"/>
          <w:sz w:val="32"/>
          <w:szCs w:val="32"/>
          <w:highlight w:val="none"/>
          <w:lang w:val="en-US" w:eastAsia="zh-CN"/>
        </w:rPr>
        <w:t>中华人民共和国会计法</w:t>
      </w:r>
      <w:r>
        <w:rPr>
          <w:rFonts w:hint="eastAsia" w:ascii="仿宋" w:hAnsi="仿宋" w:eastAsia="仿宋" w:cs="仿宋"/>
          <w:sz w:val="32"/>
          <w:szCs w:val="32"/>
          <w:highlight w:val="none"/>
          <w:lang w:val="en-US" w:eastAsia="zh-CN"/>
        </w:rPr>
        <w:t>》的有关规定，依法设置了会计账簿、会计凭证，确保账表相符、</w:t>
      </w:r>
      <w:r>
        <w:rPr>
          <w:rFonts w:hint="eastAsia" w:hAnsi="仿宋" w:cs="仿宋"/>
          <w:sz w:val="32"/>
          <w:szCs w:val="32"/>
          <w:highlight w:val="none"/>
          <w:lang w:val="en-US" w:eastAsia="zh-CN"/>
        </w:rPr>
        <w:t>账账</w:t>
      </w:r>
      <w:r>
        <w:rPr>
          <w:rFonts w:hint="eastAsia" w:ascii="仿宋" w:hAnsi="仿宋" w:eastAsia="仿宋" w:cs="仿宋"/>
          <w:sz w:val="32"/>
          <w:szCs w:val="32"/>
          <w:highlight w:val="none"/>
          <w:lang w:val="en-US" w:eastAsia="zh-CN"/>
        </w:rPr>
        <w:t>相符，保证账证的真实性、合法性、完整性。</w:t>
      </w:r>
    </w:p>
    <w:p w14:paraId="4EFA5781">
      <w:pPr>
        <w:spacing w:line="579" w:lineRule="exact"/>
        <w:ind w:firstLine="670" w:firstLineChars="200"/>
        <w:outlineLvl w:val="1"/>
        <w:rPr>
          <w:rFonts w:hint="eastAsia" w:ascii="仿宋" w:hAnsi="仿宋" w:eastAsia="仿宋" w:cs="仿宋"/>
          <w:sz w:val="32"/>
          <w:szCs w:val="32"/>
        </w:rPr>
      </w:pPr>
      <w:bookmarkStart w:id="56" w:name="_Toc28950"/>
      <w:r>
        <w:rPr>
          <w:rFonts w:hint="eastAsia" w:ascii="仿宋" w:hAnsi="仿宋" w:eastAsia="仿宋" w:cs="仿宋"/>
          <w:sz w:val="32"/>
          <w:szCs w:val="32"/>
        </w:rPr>
        <w:t>（三）</w:t>
      </w:r>
      <w:r>
        <w:rPr>
          <w:rFonts w:hint="eastAsia" w:ascii="仿宋" w:hAnsi="仿宋" w:eastAsia="仿宋" w:cs="仿宋"/>
          <w:sz w:val="32"/>
          <w:szCs w:val="32"/>
          <w:lang w:val="en-US" w:eastAsia="zh-CN"/>
        </w:rPr>
        <w:t>项目</w:t>
      </w:r>
      <w:r>
        <w:rPr>
          <w:rFonts w:hint="eastAsia" w:ascii="仿宋" w:hAnsi="仿宋" w:eastAsia="仿宋" w:cs="仿宋"/>
          <w:sz w:val="32"/>
          <w:szCs w:val="32"/>
        </w:rPr>
        <w:t>产出情况</w:t>
      </w:r>
      <w:bookmarkEnd w:id="55"/>
      <w:bookmarkEnd w:id="56"/>
    </w:p>
    <w:p w14:paraId="55C17C91">
      <w:pPr>
        <w:spacing w:line="579" w:lineRule="exact"/>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项目产出情况包括产出时效、产出质量、成本节约率三个方面。该项满分为34分，得分34分，得分率100%。</w:t>
      </w:r>
    </w:p>
    <w:p w14:paraId="4F1E7D6C">
      <w:pPr>
        <w:spacing w:line="579" w:lineRule="exact"/>
        <w:ind w:firstLine="670" w:firstLineChars="200"/>
        <w:outlineLvl w:val="2"/>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1.产出时效</w:t>
      </w:r>
    </w:p>
    <w:p w14:paraId="1DB0C7BB">
      <w:pPr>
        <w:spacing w:line="579" w:lineRule="exact"/>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产出数量指标满分为18分，针对项目实际完成率、完成及时率进行评价。此项综合评价得分为18分，得分率100%。</w:t>
      </w:r>
    </w:p>
    <w:p w14:paraId="6604F9A8">
      <w:pPr>
        <w:spacing w:line="579" w:lineRule="exact"/>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实际完成率满分9分，得分9分，得分率100%，有《协勤人员花名册》（东片区13人、中片区6人、西片区12人）、《月度考勤汇总表</w:t>
      </w:r>
      <w:r>
        <w:rPr>
          <w:rFonts w:hint="eastAsia" w:hAnsi="仿宋" w:cs="仿宋"/>
          <w:sz w:val="32"/>
          <w:szCs w:val="32"/>
          <w:highlight w:val="none"/>
          <w:lang w:val="en-US" w:eastAsia="zh-CN"/>
        </w:rPr>
        <w:t>》《</w:t>
      </w:r>
      <w:r>
        <w:rPr>
          <w:rFonts w:hint="eastAsia" w:ascii="仿宋" w:hAnsi="仿宋" w:eastAsia="仿宋" w:cs="仿宋"/>
          <w:sz w:val="32"/>
          <w:szCs w:val="32"/>
          <w:highlight w:val="none"/>
          <w:lang w:val="en-US" w:eastAsia="zh-CN"/>
        </w:rPr>
        <w:t>服务区域覆盖情况报告》，服务人员按合同要求全部到位，服务范围覆盖辖区重点区域。</w:t>
      </w:r>
    </w:p>
    <w:p w14:paraId="55202956">
      <w:pPr>
        <w:spacing w:line="579" w:lineRule="exact"/>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完成及时率满分9分，得分9分，得分率100%，有对应的《日常巡查记录表</w:t>
      </w:r>
      <w:r>
        <w:rPr>
          <w:rFonts w:hint="eastAsia" w:hAnsi="仿宋" w:cs="仿宋"/>
          <w:sz w:val="32"/>
          <w:szCs w:val="32"/>
          <w:highlight w:val="none"/>
          <w:lang w:val="en-US" w:eastAsia="zh-CN"/>
        </w:rPr>
        <w:t>》《</w:t>
      </w:r>
      <w:r>
        <w:rPr>
          <w:rFonts w:hint="eastAsia" w:ascii="仿宋" w:hAnsi="仿宋" w:eastAsia="仿宋" w:cs="仿宋"/>
          <w:sz w:val="32"/>
          <w:szCs w:val="32"/>
          <w:highlight w:val="none"/>
          <w:lang w:val="en-US" w:eastAsia="zh-CN"/>
        </w:rPr>
        <w:t>数字城管案件处置时效统计表</w:t>
      </w:r>
      <w:r>
        <w:rPr>
          <w:rFonts w:hint="eastAsia" w:hAnsi="仿宋" w:cs="仿宋"/>
          <w:sz w:val="32"/>
          <w:szCs w:val="32"/>
          <w:highlight w:val="none"/>
          <w:lang w:val="en-US" w:eastAsia="zh-CN"/>
        </w:rPr>
        <w:t>》《</w:t>
      </w:r>
      <w:r>
        <w:rPr>
          <w:rFonts w:hint="eastAsia" w:ascii="仿宋" w:hAnsi="仿宋" w:eastAsia="仿宋" w:cs="仿宋"/>
          <w:sz w:val="32"/>
          <w:szCs w:val="32"/>
          <w:highlight w:val="none"/>
          <w:lang w:val="en-US" w:eastAsia="zh-CN"/>
        </w:rPr>
        <w:t>重大活动保障工作记录》，服务按时提供，无重大延误情况。</w:t>
      </w:r>
    </w:p>
    <w:p w14:paraId="6D6B5C3A">
      <w:pPr>
        <w:spacing w:line="579" w:lineRule="exact"/>
        <w:ind w:firstLine="670" w:firstLineChars="200"/>
        <w:outlineLvl w:val="2"/>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2.产出质量、成本</w:t>
      </w:r>
    </w:p>
    <w:p w14:paraId="3D4D7D45">
      <w:pPr>
        <w:spacing w:line="579" w:lineRule="exact"/>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产出质量指标满分为16分，针对质量达标率、成本节约率进行评价。此项综合评价得分为16分，得分率100%。</w:t>
      </w:r>
    </w:p>
    <w:p w14:paraId="773926B9">
      <w:pPr>
        <w:spacing w:line="579" w:lineRule="exact"/>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质量达标率满分8分，得分8分，得分率100%，有《季度考评结果汇总表</w:t>
      </w:r>
      <w:r>
        <w:rPr>
          <w:rFonts w:hint="eastAsia" w:hAnsi="仿宋" w:cs="仿宋"/>
          <w:sz w:val="32"/>
          <w:szCs w:val="32"/>
          <w:highlight w:val="none"/>
          <w:lang w:val="en-US" w:eastAsia="zh-CN"/>
        </w:rPr>
        <w:t>》《</w:t>
      </w:r>
      <w:r>
        <w:rPr>
          <w:rFonts w:hint="eastAsia" w:ascii="仿宋" w:hAnsi="仿宋" w:eastAsia="仿宋" w:cs="仿宋"/>
          <w:sz w:val="32"/>
          <w:szCs w:val="32"/>
          <w:highlight w:val="none"/>
          <w:lang w:val="en-US" w:eastAsia="zh-CN"/>
        </w:rPr>
        <w:t>服务质量达标统计表</w:t>
      </w:r>
      <w:r>
        <w:rPr>
          <w:rFonts w:hint="eastAsia" w:hAnsi="仿宋" w:cs="仿宋"/>
          <w:sz w:val="32"/>
          <w:szCs w:val="32"/>
          <w:highlight w:val="none"/>
          <w:lang w:val="en-US" w:eastAsia="zh-CN"/>
        </w:rPr>
        <w:t>》《</w:t>
      </w:r>
      <w:r>
        <w:rPr>
          <w:rFonts w:hint="eastAsia" w:ascii="仿宋" w:hAnsi="仿宋" w:eastAsia="仿宋" w:cs="仿宋"/>
          <w:sz w:val="32"/>
          <w:szCs w:val="32"/>
          <w:highlight w:val="none"/>
          <w:lang w:val="en-US" w:eastAsia="zh-CN"/>
        </w:rPr>
        <w:t>协勤人员考核等次评定结果》，服务质量符合合同约定标准，考核达标。</w:t>
      </w:r>
    </w:p>
    <w:p w14:paraId="4402D24A">
      <w:pPr>
        <w:spacing w:line="579" w:lineRule="exact"/>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成本节约率满分8分，得分8分，得分率100%，有《项目支出决算表</w:t>
      </w:r>
      <w:r>
        <w:rPr>
          <w:rFonts w:hint="eastAsia" w:hAnsi="仿宋" w:cs="仿宋"/>
          <w:sz w:val="32"/>
          <w:szCs w:val="32"/>
          <w:highlight w:val="none"/>
          <w:lang w:val="en-US" w:eastAsia="zh-CN"/>
        </w:rPr>
        <w:t>》《</w:t>
      </w:r>
      <w:r>
        <w:rPr>
          <w:rFonts w:hint="eastAsia" w:ascii="仿宋" w:hAnsi="仿宋" w:eastAsia="仿宋" w:cs="仿宋"/>
          <w:sz w:val="32"/>
          <w:szCs w:val="32"/>
          <w:highlight w:val="none"/>
          <w:lang w:val="en-US" w:eastAsia="zh-CN"/>
        </w:rPr>
        <w:t>预算执行情况对比分析表》，实际支出与预算一致</w:t>
      </w:r>
      <w:r>
        <w:rPr>
          <w:rFonts w:hint="eastAsia" w:ascii="仿宋" w:hAnsi="仿宋" w:eastAsia="仿宋" w:cs="仿宋"/>
          <w:sz w:val="32"/>
          <w:szCs w:val="32"/>
          <w:lang w:val="en-US" w:eastAsia="zh-CN"/>
        </w:rPr>
        <w:t>。</w:t>
      </w:r>
    </w:p>
    <w:p w14:paraId="1A129439">
      <w:pPr>
        <w:spacing w:line="579" w:lineRule="exact"/>
        <w:ind w:firstLine="670" w:firstLineChars="200"/>
        <w:outlineLvl w:val="1"/>
        <w:rPr>
          <w:rFonts w:hint="eastAsia" w:ascii="仿宋" w:hAnsi="仿宋" w:eastAsia="仿宋" w:cs="仿宋"/>
          <w:sz w:val="32"/>
          <w:szCs w:val="32"/>
        </w:rPr>
      </w:pPr>
      <w:bookmarkStart w:id="57" w:name="_Toc1829"/>
      <w:bookmarkStart w:id="58" w:name="_Toc8841"/>
      <w:r>
        <w:rPr>
          <w:rFonts w:hint="eastAsia" w:ascii="仿宋" w:hAnsi="仿宋" w:eastAsia="仿宋" w:cs="仿宋"/>
          <w:sz w:val="32"/>
          <w:szCs w:val="32"/>
        </w:rPr>
        <w:t>（四）</w:t>
      </w:r>
      <w:r>
        <w:rPr>
          <w:rFonts w:hint="eastAsia" w:ascii="仿宋" w:hAnsi="仿宋" w:eastAsia="仿宋" w:cs="仿宋"/>
          <w:sz w:val="32"/>
          <w:szCs w:val="32"/>
          <w:lang w:val="en-US" w:eastAsia="zh-CN"/>
        </w:rPr>
        <w:t>项目效益</w:t>
      </w:r>
      <w:r>
        <w:rPr>
          <w:rFonts w:hint="eastAsia" w:ascii="仿宋" w:hAnsi="仿宋" w:eastAsia="仿宋" w:cs="仿宋"/>
          <w:sz w:val="32"/>
          <w:szCs w:val="32"/>
        </w:rPr>
        <w:t>情况</w:t>
      </w:r>
      <w:bookmarkEnd w:id="57"/>
      <w:bookmarkEnd w:id="58"/>
    </w:p>
    <w:p w14:paraId="3C776740">
      <w:pPr>
        <w:spacing w:line="579" w:lineRule="exact"/>
        <w:ind w:firstLine="67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项目效益情况包括项目效益和满意度两个方面。该项满分为17分，评价得分1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分，得分率</w:t>
      </w:r>
      <w:r>
        <w:rPr>
          <w:rFonts w:hint="eastAsia" w:ascii="仿宋" w:hAnsi="仿宋" w:eastAsia="仿宋" w:cs="仿宋"/>
          <w:sz w:val="32"/>
          <w:szCs w:val="32"/>
          <w:highlight w:val="none"/>
          <w:lang w:val="en-US" w:eastAsia="zh-CN"/>
        </w:rPr>
        <w:t>64.71</w:t>
      </w:r>
      <w:r>
        <w:rPr>
          <w:rFonts w:hint="eastAsia" w:ascii="仿宋" w:hAnsi="仿宋" w:eastAsia="仿宋" w:cs="仿宋"/>
          <w:sz w:val="32"/>
          <w:szCs w:val="32"/>
          <w:highlight w:val="none"/>
        </w:rPr>
        <w:t>%。</w:t>
      </w:r>
    </w:p>
    <w:p w14:paraId="0EADE396">
      <w:pPr>
        <w:spacing w:line="579" w:lineRule="exact"/>
        <w:ind w:firstLine="670" w:firstLineChars="200"/>
        <w:outlineLvl w:val="2"/>
        <w:rPr>
          <w:rFonts w:hint="eastAsia" w:ascii="仿宋" w:hAnsi="仿宋" w:eastAsia="仿宋" w:cs="仿宋"/>
          <w:sz w:val="32"/>
          <w:szCs w:val="32"/>
          <w:highlight w:val="none"/>
        </w:rPr>
      </w:pPr>
      <w:r>
        <w:rPr>
          <w:rFonts w:hint="eastAsia" w:ascii="仿宋" w:hAnsi="仿宋" w:eastAsia="仿宋" w:cs="仿宋"/>
          <w:sz w:val="32"/>
          <w:szCs w:val="32"/>
          <w:highlight w:val="none"/>
        </w:rPr>
        <w:t>1.项目效益</w:t>
      </w:r>
    </w:p>
    <w:p w14:paraId="71DE6B03">
      <w:pPr>
        <w:spacing w:line="579" w:lineRule="exact"/>
        <w:ind w:firstLine="67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项目效益指标满分为12分，针对社会效益、履职效益进行评价。此项综合评价得分为</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分，得分率58.33%。</w:t>
      </w:r>
    </w:p>
    <w:p w14:paraId="379C0CF5">
      <w:pPr>
        <w:spacing w:line="579" w:lineRule="exact"/>
        <w:ind w:firstLine="670" w:firstLineChars="200"/>
        <w:outlineLvl w:val="2"/>
        <w:rPr>
          <w:rFonts w:hint="eastAsia" w:ascii="仿宋" w:hAnsi="仿宋" w:eastAsia="仿宋" w:cs="仿宋"/>
          <w:sz w:val="32"/>
          <w:szCs w:val="32"/>
          <w:highlight w:val="none"/>
        </w:rPr>
      </w:pPr>
      <w:r>
        <w:rPr>
          <w:rFonts w:hint="eastAsia" w:ascii="仿宋" w:hAnsi="仿宋" w:eastAsia="仿宋" w:cs="仿宋"/>
          <w:sz w:val="32"/>
          <w:szCs w:val="32"/>
          <w:highlight w:val="none"/>
        </w:rPr>
        <w:t>2.满意度指标</w:t>
      </w:r>
    </w:p>
    <w:p w14:paraId="1C4CE221">
      <w:pPr>
        <w:spacing w:line="579" w:lineRule="exact"/>
        <w:ind w:firstLine="67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满意度分值5分，得分4分，得分率80%。</w:t>
      </w:r>
      <w:r>
        <w:rPr>
          <w:rFonts w:hint="eastAsia" w:ascii="仿宋" w:hAnsi="仿宋" w:eastAsia="仿宋" w:cs="仿宋"/>
          <w:sz w:val="32"/>
          <w:szCs w:val="32"/>
          <w:highlight w:val="none"/>
        </w:rPr>
        <w:t>社会公众满意度为</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5%，未完全达到≥95%的目标，反映出内部管理和沟通机制有待加强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但单位工作人员满意度为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达到目标值。</w:t>
      </w:r>
    </w:p>
    <w:p w14:paraId="22040942">
      <w:pPr>
        <w:spacing w:line="579" w:lineRule="exact"/>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通过对单位工作人员及群众发放调查问卷，了解社会群众的满意程度，本次绩效评价共发放问卷60份，收回有效问卷60份，满意问卷50份，满意度为83.33%</w:t>
      </w:r>
      <w:r>
        <w:rPr>
          <w:rFonts w:hint="eastAsia" w:ascii="仿宋" w:hAnsi="仿宋" w:eastAsia="仿宋" w:cs="仿宋"/>
          <w:sz w:val="32"/>
          <w:szCs w:val="32"/>
          <w:lang w:val="en-US" w:eastAsia="zh-CN"/>
        </w:rPr>
        <w:t>。</w:t>
      </w:r>
    </w:p>
    <w:p w14:paraId="1CFB1429">
      <w:pPr>
        <w:spacing w:line="579" w:lineRule="exact"/>
        <w:ind w:firstLine="630" w:firstLineChars="200"/>
        <w:outlineLvl w:val="0"/>
        <w:rPr>
          <w:rFonts w:ascii="黑体" w:hAnsi="宋体" w:eastAsia="黑体" w:cs="宋体"/>
          <w:szCs w:val="30"/>
          <w:highlight w:val="none"/>
        </w:rPr>
      </w:pPr>
      <w:bookmarkStart w:id="59" w:name="_Toc27555"/>
      <w:bookmarkStart w:id="60" w:name="_Toc4118"/>
      <w:r>
        <w:rPr>
          <w:rFonts w:hint="eastAsia" w:ascii="黑体" w:hAnsi="宋体" w:eastAsia="黑体" w:cs="宋体"/>
          <w:szCs w:val="30"/>
          <w:highlight w:val="none"/>
          <w:lang w:val="en-US" w:eastAsia="zh-CN"/>
        </w:rPr>
        <w:t>五</w:t>
      </w:r>
      <w:r>
        <w:rPr>
          <w:rFonts w:hint="eastAsia" w:ascii="黑体" w:hAnsi="宋体" w:eastAsia="黑体" w:cs="宋体"/>
          <w:szCs w:val="30"/>
          <w:highlight w:val="none"/>
        </w:rPr>
        <w:t>、主要经验及做法</w:t>
      </w:r>
      <w:bookmarkEnd w:id="59"/>
      <w:bookmarkEnd w:id="60"/>
    </w:p>
    <w:p w14:paraId="4253C59E">
      <w:pPr>
        <w:spacing w:line="579" w:lineRule="exact"/>
        <w:ind w:firstLine="630" w:firstLineChars="200"/>
        <w:rPr>
          <w:rFonts w:hint="eastAsia" w:hAnsi="仿宋"/>
          <w:szCs w:val="30"/>
          <w:lang w:val="en-US" w:eastAsia="zh-CN"/>
        </w:rPr>
      </w:pPr>
      <w:r>
        <w:rPr>
          <w:rFonts w:hint="eastAsia" w:hAnsi="仿宋"/>
          <w:szCs w:val="30"/>
          <w:lang w:val="en-US" w:eastAsia="zh-CN"/>
        </w:rPr>
        <w:t>无。</w:t>
      </w:r>
    </w:p>
    <w:p w14:paraId="6BA8A608">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0"/>
        <w:rPr>
          <w:rFonts w:hint="eastAsia" w:ascii="楷体" w:hAnsi="楷体" w:eastAsia="楷体"/>
          <w:szCs w:val="30"/>
          <w:highlight w:val="none"/>
        </w:rPr>
      </w:pPr>
      <w:bookmarkStart w:id="61" w:name="_Toc20375"/>
      <w:bookmarkStart w:id="62" w:name="_Toc24292"/>
      <w:r>
        <w:rPr>
          <w:rFonts w:hint="eastAsia" w:ascii="黑体" w:hAnsi="宋体" w:eastAsia="黑体" w:cs="宋体"/>
          <w:szCs w:val="30"/>
          <w:highlight w:val="none"/>
          <w:lang w:val="en-US" w:eastAsia="zh-CN"/>
        </w:rPr>
        <w:t>六</w:t>
      </w:r>
      <w:r>
        <w:rPr>
          <w:rFonts w:hint="eastAsia" w:ascii="黑体" w:hAnsi="宋体" w:eastAsia="黑体" w:cs="宋体"/>
          <w:szCs w:val="30"/>
          <w:highlight w:val="none"/>
        </w:rPr>
        <w:t>、存在问题及原因分析</w:t>
      </w:r>
      <w:bookmarkEnd w:id="61"/>
      <w:bookmarkEnd w:id="62"/>
      <w:bookmarkStart w:id="63" w:name="_Toc6890"/>
      <w:bookmarkStart w:id="64" w:name="_Toc19045"/>
      <w:bookmarkStart w:id="65" w:name="_Toc30571"/>
      <w:bookmarkStart w:id="66" w:name="_Toc25742923"/>
    </w:p>
    <w:bookmarkEnd w:id="63"/>
    <w:bookmarkEnd w:id="64"/>
    <w:bookmarkEnd w:id="65"/>
    <w:bookmarkEnd w:id="66"/>
    <w:p w14:paraId="113B521F">
      <w:pPr>
        <w:spacing w:line="579" w:lineRule="exact"/>
        <w:ind w:firstLine="670" w:firstLineChars="200"/>
        <w:rPr>
          <w:rFonts w:hint="eastAsia" w:ascii="仿宋" w:hAnsi="仿宋" w:eastAsia="仿宋" w:cs="Times New Roman"/>
          <w:kern w:val="30"/>
          <w:sz w:val="32"/>
          <w:szCs w:val="32"/>
          <w:highlight w:val="none"/>
          <w:lang w:val="en-US" w:eastAsia="zh-CN" w:bidi="ar-SA"/>
        </w:rPr>
      </w:pPr>
      <w:r>
        <w:rPr>
          <w:rFonts w:hint="eastAsia" w:ascii="仿宋" w:hAnsi="仿宋" w:eastAsia="仿宋" w:cs="Times New Roman"/>
          <w:kern w:val="30"/>
          <w:sz w:val="32"/>
          <w:szCs w:val="32"/>
          <w:highlight w:val="none"/>
          <w:lang w:val="en-US" w:eastAsia="zh-CN" w:bidi="ar-SA"/>
        </w:rPr>
        <w:t>（一）绩效目标设定不够科学，可衡量性不足</w:t>
      </w:r>
    </w:p>
    <w:p w14:paraId="161C235B">
      <w:pPr>
        <w:spacing w:line="579" w:lineRule="exact"/>
        <w:ind w:firstLine="670" w:firstLineChars="200"/>
        <w:rPr>
          <w:rFonts w:hint="eastAsia" w:ascii="仿宋" w:hAnsi="仿宋" w:eastAsia="仿宋" w:cs="Times New Roman"/>
          <w:kern w:val="30"/>
          <w:sz w:val="32"/>
          <w:szCs w:val="32"/>
          <w:highlight w:val="none"/>
          <w:lang w:val="en-US" w:eastAsia="zh-CN" w:bidi="ar-SA"/>
        </w:rPr>
      </w:pPr>
      <w:r>
        <w:rPr>
          <w:rFonts w:hint="eastAsia" w:ascii="仿宋" w:hAnsi="仿宋" w:eastAsia="仿宋" w:cs="Times New Roman"/>
          <w:kern w:val="30"/>
          <w:sz w:val="32"/>
          <w:szCs w:val="32"/>
          <w:highlight w:val="none"/>
          <w:lang w:val="en-US" w:eastAsia="zh-CN" w:bidi="ar-SA"/>
        </w:rPr>
        <w:t>指标值设定过于宽泛，如“综合治理完成率”未分解为“占道经营整治率”“非机动车规范停放率”等具体可量化指标。缺乏过程与结果相结合的分级指标，未区分日常巡查覆盖率、问题处置率、复发控制率等，难以全面反映治理成效。</w:t>
      </w:r>
    </w:p>
    <w:p w14:paraId="45B11323">
      <w:pPr>
        <w:spacing w:line="579" w:lineRule="exact"/>
        <w:ind w:firstLine="670" w:firstLineChars="200"/>
        <w:rPr>
          <w:rFonts w:hint="eastAsia" w:ascii="仿宋" w:hAnsi="仿宋" w:eastAsia="仿宋" w:cs="Times New Roman"/>
          <w:kern w:val="30"/>
          <w:sz w:val="32"/>
          <w:szCs w:val="32"/>
          <w:highlight w:val="none"/>
          <w:lang w:val="en-US" w:eastAsia="zh-CN" w:bidi="ar-SA"/>
        </w:rPr>
      </w:pPr>
      <w:r>
        <w:rPr>
          <w:rFonts w:hint="eastAsia" w:hAnsi="仿宋" w:cs="Times New Roman"/>
          <w:kern w:val="30"/>
          <w:sz w:val="32"/>
          <w:szCs w:val="32"/>
          <w:highlight w:val="none"/>
          <w:lang w:val="en-US" w:eastAsia="zh-CN" w:bidi="ar-SA"/>
        </w:rPr>
        <w:t>（二）</w:t>
      </w:r>
      <w:r>
        <w:rPr>
          <w:rFonts w:hint="eastAsia" w:ascii="仿宋" w:hAnsi="仿宋" w:eastAsia="仿宋" w:cs="Times New Roman"/>
          <w:kern w:val="30"/>
          <w:sz w:val="32"/>
          <w:szCs w:val="32"/>
          <w:highlight w:val="none"/>
          <w:lang w:val="en-US" w:eastAsia="zh-CN" w:bidi="ar-SA"/>
        </w:rPr>
        <w:t>管理重心偏重于短期秩序维护</w:t>
      </w:r>
    </w:p>
    <w:p w14:paraId="7E32EC5F">
      <w:pPr>
        <w:numPr>
          <w:ilvl w:val="0"/>
          <w:numId w:val="0"/>
        </w:numPr>
        <w:spacing w:line="579" w:lineRule="exact"/>
        <w:ind w:firstLine="670" w:firstLineChars="200"/>
        <w:rPr>
          <w:rFonts w:hint="default"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2"/>
          <w:szCs w:val="32"/>
          <w:highlight w:val="none"/>
          <w:lang w:val="en-US" w:eastAsia="zh-CN" w:bidi="ar-SA"/>
        </w:rPr>
        <w:t>管理多集中于日常事务监督，缺乏针对复杂问题的协同处置预案、人员长效培训及基于绩效的激励机制，服务效果存在反弹风险。项目管理重心偏向短期秩序维护，对培育专业化、稳定化的管理力量及形成可持续管理模式缺乏长远规划与制度安排。</w:t>
      </w:r>
    </w:p>
    <w:p w14:paraId="7837F951">
      <w:pPr>
        <w:spacing w:line="579" w:lineRule="exact"/>
        <w:ind w:firstLine="630" w:firstLineChars="200"/>
        <w:outlineLvl w:val="0"/>
        <w:rPr>
          <w:rFonts w:ascii="黑体" w:hAnsi="宋体" w:eastAsia="黑体" w:cs="宋体"/>
          <w:szCs w:val="30"/>
          <w:highlight w:val="none"/>
        </w:rPr>
      </w:pPr>
      <w:bookmarkStart w:id="67" w:name="_Toc27664"/>
      <w:bookmarkStart w:id="68" w:name="_Toc16101"/>
      <w:r>
        <w:rPr>
          <w:rFonts w:hint="eastAsia" w:ascii="黑体" w:hAnsi="宋体" w:eastAsia="黑体" w:cs="宋体"/>
          <w:szCs w:val="30"/>
          <w:highlight w:val="none"/>
          <w:lang w:val="en-US" w:eastAsia="zh-CN"/>
        </w:rPr>
        <w:t>七</w:t>
      </w:r>
      <w:r>
        <w:rPr>
          <w:rFonts w:hint="eastAsia" w:ascii="黑体" w:hAnsi="宋体" w:eastAsia="黑体" w:cs="宋体"/>
          <w:szCs w:val="30"/>
          <w:highlight w:val="none"/>
        </w:rPr>
        <w:t>、建议</w:t>
      </w:r>
      <w:bookmarkEnd w:id="67"/>
      <w:bookmarkEnd w:id="68"/>
    </w:p>
    <w:p w14:paraId="187BD12C">
      <w:pPr>
        <w:pStyle w:val="2"/>
        <w:keepNext w:val="0"/>
        <w:keepLines w:val="0"/>
        <w:pageBreakBefore w:val="0"/>
        <w:widowControl w:val="0"/>
        <w:kinsoku/>
        <w:wordWrap/>
        <w:overflowPunct/>
        <w:topLinePunct w:val="0"/>
        <w:autoSpaceDE/>
        <w:autoSpaceDN/>
        <w:bidi w:val="0"/>
        <w:adjustRightInd/>
        <w:snapToGrid/>
        <w:spacing w:line="579" w:lineRule="exact"/>
        <w:ind w:left="0" w:firstLine="670" w:firstLineChars="200"/>
        <w:jc w:val="both"/>
        <w:textAlignment w:val="auto"/>
        <w:rPr>
          <w:rFonts w:hint="eastAsia" w:ascii="仿宋" w:hAnsi="仿宋" w:eastAsia="仿宋" w:cs="Times New Roman"/>
          <w:kern w:val="30"/>
          <w:sz w:val="32"/>
          <w:szCs w:val="32"/>
          <w:highlight w:val="none"/>
          <w:lang w:val="en-US" w:eastAsia="zh-CN" w:bidi="ar-SA"/>
        </w:rPr>
      </w:pPr>
      <w:bookmarkStart w:id="69" w:name="_Toc30921"/>
      <w:bookmarkStart w:id="70" w:name="_Hlk525314575"/>
      <w:r>
        <w:rPr>
          <w:rFonts w:hint="eastAsia" w:ascii="仿宋" w:hAnsi="仿宋" w:eastAsia="仿宋" w:cs="Times New Roman"/>
          <w:kern w:val="30"/>
          <w:sz w:val="32"/>
          <w:szCs w:val="32"/>
          <w:highlight w:val="none"/>
          <w:lang w:val="en-US" w:eastAsia="zh-CN" w:bidi="ar-SA"/>
        </w:rPr>
        <w:t>（一）强化全过程绩效管理</w:t>
      </w:r>
    </w:p>
    <w:p w14:paraId="663D690D">
      <w:pPr>
        <w:pStyle w:val="2"/>
        <w:keepNext w:val="0"/>
        <w:keepLines w:val="0"/>
        <w:pageBreakBefore w:val="0"/>
        <w:widowControl w:val="0"/>
        <w:kinsoku/>
        <w:wordWrap/>
        <w:overflowPunct/>
        <w:topLinePunct w:val="0"/>
        <w:autoSpaceDE/>
        <w:autoSpaceDN/>
        <w:bidi w:val="0"/>
        <w:adjustRightInd/>
        <w:snapToGrid/>
        <w:spacing w:line="579" w:lineRule="exact"/>
        <w:ind w:left="0" w:firstLine="670" w:firstLineChars="200"/>
        <w:jc w:val="both"/>
        <w:textAlignment w:val="auto"/>
        <w:rPr>
          <w:rFonts w:hint="eastAsia" w:ascii="仿宋" w:hAnsi="仿宋" w:eastAsia="仿宋" w:cs="Times New Roman"/>
          <w:kern w:val="30"/>
          <w:sz w:val="32"/>
          <w:szCs w:val="32"/>
          <w:highlight w:val="none"/>
          <w:lang w:val="en-US" w:eastAsia="zh-CN" w:bidi="ar-SA"/>
        </w:rPr>
      </w:pPr>
      <w:r>
        <w:rPr>
          <w:rFonts w:hint="eastAsia" w:ascii="仿宋" w:hAnsi="仿宋" w:eastAsia="仿宋" w:cs="Times New Roman"/>
          <w:kern w:val="30"/>
          <w:sz w:val="32"/>
          <w:szCs w:val="32"/>
          <w:highlight w:val="none"/>
          <w:lang w:val="en-US" w:eastAsia="zh-CN" w:bidi="ar-SA"/>
        </w:rPr>
        <w:t>推行精准化目标设定，在项目策划阶段，将总体目标科学分解为如“占道经营减少率”“案件处置及时率”等清晰、可衡量的具体指标。建立“片区差异化”考核机制：针对东、中、西片区不同治理难点，设置差异化目标值。</w:t>
      </w:r>
    </w:p>
    <w:p w14:paraId="4694078D">
      <w:pPr>
        <w:pStyle w:val="2"/>
        <w:keepNext w:val="0"/>
        <w:keepLines w:val="0"/>
        <w:pageBreakBefore w:val="0"/>
        <w:widowControl w:val="0"/>
        <w:kinsoku/>
        <w:wordWrap/>
        <w:overflowPunct/>
        <w:topLinePunct w:val="0"/>
        <w:autoSpaceDE/>
        <w:autoSpaceDN/>
        <w:bidi w:val="0"/>
        <w:adjustRightInd/>
        <w:snapToGrid/>
        <w:spacing w:line="579" w:lineRule="exact"/>
        <w:ind w:firstLine="670" w:firstLineChars="200"/>
        <w:jc w:val="both"/>
        <w:textAlignment w:val="auto"/>
        <w:rPr>
          <w:rFonts w:hint="eastAsia" w:ascii="仿宋" w:hAnsi="仿宋" w:eastAsia="仿宋" w:cs="Times New Roman"/>
          <w:kern w:val="30"/>
          <w:sz w:val="32"/>
          <w:szCs w:val="32"/>
          <w:highlight w:val="none"/>
          <w:lang w:val="en-US" w:eastAsia="zh-CN" w:bidi="ar-SA"/>
        </w:rPr>
      </w:pPr>
      <w:r>
        <w:rPr>
          <w:rFonts w:hint="eastAsia" w:ascii="仿宋" w:hAnsi="仿宋" w:eastAsia="仿宋" w:cs="Times New Roman"/>
          <w:kern w:val="30"/>
          <w:sz w:val="32"/>
          <w:szCs w:val="32"/>
          <w:highlight w:val="none"/>
          <w:lang w:val="en-US" w:eastAsia="zh-CN" w:bidi="ar-SA"/>
        </w:rPr>
        <w:t>（二）深化公众参与，提升治理共识与满意度</w:t>
      </w:r>
    </w:p>
    <w:p w14:paraId="2615077C">
      <w:pPr>
        <w:pStyle w:val="2"/>
        <w:keepNext w:val="0"/>
        <w:keepLines w:val="0"/>
        <w:pageBreakBefore w:val="0"/>
        <w:widowControl w:val="0"/>
        <w:kinsoku/>
        <w:wordWrap/>
        <w:overflowPunct/>
        <w:topLinePunct w:val="0"/>
        <w:autoSpaceDE/>
        <w:autoSpaceDN/>
        <w:bidi w:val="0"/>
        <w:adjustRightInd/>
        <w:snapToGrid/>
        <w:spacing w:line="579" w:lineRule="exact"/>
        <w:ind w:firstLine="670" w:firstLineChars="200"/>
        <w:jc w:val="both"/>
        <w:textAlignment w:val="auto"/>
        <w:rPr>
          <w:rFonts w:hint="eastAsia" w:ascii="仿宋" w:hAnsi="仿宋" w:eastAsia="仿宋" w:cs="Times New Roman"/>
          <w:kern w:val="30"/>
          <w:sz w:val="32"/>
          <w:szCs w:val="32"/>
          <w:highlight w:val="none"/>
          <w:lang w:val="en-US" w:eastAsia="zh-CN" w:bidi="ar-SA"/>
        </w:rPr>
      </w:pPr>
      <w:r>
        <w:rPr>
          <w:rFonts w:hint="eastAsia" w:ascii="仿宋" w:hAnsi="仿宋" w:eastAsia="仿宋" w:cs="Times New Roman"/>
          <w:kern w:val="30"/>
          <w:sz w:val="32"/>
          <w:szCs w:val="32"/>
          <w:highlight w:val="none"/>
          <w:lang w:val="en-US" w:eastAsia="zh-CN" w:bidi="ar-SA"/>
        </w:rPr>
        <w:t>建议推动跨部门协同治理，加强内部培训与沟通，面向工作人员开展绩效目标解读、沟通技巧培训，提升组织协同效率，提升项目可持续性，鼓励商户和居民共同参与，邀请大家当监督员、提意见。</w:t>
      </w:r>
    </w:p>
    <w:p w14:paraId="0EA7320C">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30" w:firstLineChars="200"/>
        <w:jc w:val="both"/>
        <w:textAlignment w:val="auto"/>
        <w:outlineLvl w:val="0"/>
        <w:rPr>
          <w:rFonts w:hint="default" w:ascii="黑体" w:hAnsi="宋体" w:eastAsia="黑体" w:cs="宋体"/>
          <w:szCs w:val="30"/>
          <w:highlight w:val="none"/>
          <w:lang w:val="en-US" w:eastAsia="zh-CN"/>
        </w:rPr>
      </w:pPr>
      <w:bookmarkStart w:id="71" w:name="_Toc28976"/>
      <w:r>
        <w:rPr>
          <w:rFonts w:hint="eastAsia" w:ascii="黑体" w:hAnsi="宋体" w:eastAsia="黑体" w:cs="宋体"/>
          <w:szCs w:val="30"/>
          <w:highlight w:val="none"/>
          <w:lang w:val="en-US" w:eastAsia="zh-CN"/>
        </w:rPr>
        <w:t>八、其他需说明的情况</w:t>
      </w:r>
      <w:bookmarkEnd w:id="69"/>
      <w:bookmarkEnd w:id="71"/>
    </w:p>
    <w:p w14:paraId="6D629C2F">
      <w:pPr>
        <w:spacing w:line="579" w:lineRule="exact"/>
        <w:ind w:firstLine="670" w:firstLineChars="200"/>
        <w:rPr>
          <w:rFonts w:hint="eastAsia"/>
          <w:sz w:val="32"/>
          <w:szCs w:val="32"/>
        </w:rPr>
      </w:pPr>
      <w:r>
        <w:rPr>
          <w:rFonts w:hint="eastAsia" w:ascii="仿宋" w:hAnsi="仿宋" w:eastAsia="仿宋" w:cs="Times New Roman"/>
          <w:sz w:val="32"/>
          <w:szCs w:val="32"/>
          <w:highlight w:val="none"/>
          <w:lang w:val="en-US" w:eastAsia="zh-CN"/>
        </w:rPr>
        <w:t>无。</w:t>
      </w:r>
    </w:p>
    <w:p w14:paraId="77A0D5F8">
      <w:pPr>
        <w:spacing w:line="579" w:lineRule="exact"/>
        <w:ind w:firstLine="630" w:firstLineChars="200"/>
        <w:rPr>
          <w:rFonts w:hint="eastAsia" w:hAnsi="仿宋"/>
          <w:szCs w:val="30"/>
        </w:rPr>
      </w:pPr>
    </w:p>
    <w:p w14:paraId="3D2DC7F4">
      <w:pPr>
        <w:spacing w:line="579" w:lineRule="exact"/>
        <w:ind w:firstLine="630" w:firstLineChars="200"/>
        <w:rPr>
          <w:rFonts w:hint="eastAsia" w:hAnsi="仿宋"/>
          <w:szCs w:val="30"/>
        </w:rPr>
      </w:pPr>
    </w:p>
    <w:p w14:paraId="2F0E7F6C">
      <w:pPr>
        <w:spacing w:line="579" w:lineRule="exact"/>
        <w:ind w:firstLine="670" w:firstLineChars="200"/>
        <w:rPr>
          <w:rFonts w:hint="eastAsia" w:ascii="仿宋" w:hAnsi="仿宋" w:eastAsia="仿宋" w:cs="仿宋"/>
          <w:sz w:val="32"/>
          <w:szCs w:val="32"/>
        </w:rPr>
      </w:pPr>
      <w:r>
        <w:rPr>
          <w:rFonts w:hint="eastAsia" w:ascii="仿宋" w:hAnsi="仿宋" w:eastAsia="仿宋" w:cs="仿宋"/>
          <w:sz w:val="32"/>
          <w:szCs w:val="32"/>
        </w:rPr>
        <w:t>附件：1.绩效目标</w:t>
      </w:r>
      <w:r>
        <w:rPr>
          <w:rFonts w:hint="eastAsia" w:ascii="仿宋" w:hAnsi="仿宋" w:eastAsia="仿宋" w:cs="仿宋"/>
          <w:sz w:val="32"/>
          <w:szCs w:val="32"/>
          <w:lang w:val="en-US" w:eastAsia="zh-CN"/>
        </w:rPr>
        <w:t>申报</w:t>
      </w:r>
      <w:r>
        <w:rPr>
          <w:rFonts w:hint="eastAsia" w:ascii="仿宋" w:hAnsi="仿宋" w:eastAsia="仿宋" w:cs="仿宋"/>
          <w:sz w:val="32"/>
          <w:szCs w:val="32"/>
        </w:rPr>
        <w:t>表</w:t>
      </w:r>
    </w:p>
    <w:p w14:paraId="3B285238">
      <w:pPr>
        <w:spacing w:line="579" w:lineRule="exact"/>
        <w:ind w:firstLine="1675" w:firstLineChars="500"/>
        <w:rPr>
          <w:rFonts w:hint="eastAsia" w:ascii="仿宋" w:hAnsi="仿宋" w:eastAsia="仿宋" w:cs="仿宋"/>
          <w:sz w:val="32"/>
          <w:szCs w:val="32"/>
        </w:rPr>
      </w:pPr>
      <w:r>
        <w:rPr>
          <w:rFonts w:hint="eastAsia" w:ascii="仿宋" w:hAnsi="仿宋" w:eastAsia="仿宋" w:cs="仿宋"/>
          <w:sz w:val="32"/>
          <w:szCs w:val="32"/>
        </w:rPr>
        <w:t>2.</w:t>
      </w:r>
      <w:bookmarkStart w:id="72" w:name="_Hlk527019547"/>
      <w:r>
        <w:rPr>
          <w:rFonts w:hint="eastAsia" w:ascii="仿宋" w:hAnsi="仿宋" w:eastAsia="仿宋" w:cs="仿宋"/>
          <w:sz w:val="32"/>
          <w:szCs w:val="32"/>
        </w:rPr>
        <w:t>绩效评价指标体系及评分表</w:t>
      </w:r>
      <w:bookmarkEnd w:id="72"/>
    </w:p>
    <w:p w14:paraId="798DFB7F">
      <w:pPr>
        <w:spacing w:line="579" w:lineRule="exact"/>
        <w:ind w:firstLine="1675" w:firstLineChars="500"/>
        <w:rPr>
          <w:rFonts w:hint="eastAsia" w:ascii="仿宋" w:hAnsi="仿宋" w:eastAsia="仿宋" w:cs="仿宋"/>
          <w:sz w:val="32"/>
          <w:szCs w:val="32"/>
        </w:rPr>
      </w:pPr>
      <w:r>
        <w:rPr>
          <w:rFonts w:hint="eastAsia" w:ascii="仿宋" w:hAnsi="仿宋" w:eastAsia="仿宋" w:cs="仿宋"/>
          <w:sz w:val="32"/>
          <w:szCs w:val="32"/>
        </w:rPr>
        <w:t>3.资金</w:t>
      </w:r>
      <w:r>
        <w:rPr>
          <w:rFonts w:hint="eastAsia" w:ascii="仿宋" w:hAnsi="仿宋" w:eastAsia="仿宋" w:cs="仿宋"/>
          <w:sz w:val="32"/>
          <w:szCs w:val="32"/>
          <w:lang w:val="en-US" w:eastAsia="zh-CN"/>
        </w:rPr>
        <w:t>到位及</w:t>
      </w:r>
      <w:r>
        <w:rPr>
          <w:rFonts w:hint="eastAsia" w:ascii="仿宋" w:hAnsi="仿宋" w:eastAsia="仿宋" w:cs="仿宋"/>
          <w:sz w:val="32"/>
          <w:szCs w:val="32"/>
        </w:rPr>
        <w:t>使用情况表</w:t>
      </w:r>
    </w:p>
    <w:p w14:paraId="43E3D089">
      <w:pPr>
        <w:spacing w:line="579" w:lineRule="exact"/>
        <w:ind w:firstLine="1675" w:firstLineChars="500"/>
        <w:rPr>
          <w:rFonts w:hint="default" w:ascii="仿宋" w:hAnsi="仿宋" w:eastAsia="仿宋" w:cs="仿宋"/>
          <w:sz w:val="32"/>
          <w:szCs w:val="32"/>
          <w:lang w:val="en-US" w:eastAsia="zh-CN"/>
        </w:rPr>
      </w:pPr>
      <w:r>
        <w:rPr>
          <w:rFonts w:hint="eastAsia" w:ascii="仿宋" w:hAnsi="仿宋" w:eastAsia="仿宋" w:cs="仿宋"/>
          <w:sz w:val="32"/>
          <w:szCs w:val="32"/>
        </w:rPr>
        <w:t>4.</w:t>
      </w:r>
      <w:bookmarkStart w:id="73" w:name="_Hlk527019673"/>
      <w:r>
        <w:rPr>
          <w:rFonts w:hint="eastAsia" w:ascii="仿宋" w:hAnsi="仿宋" w:eastAsia="仿宋" w:cs="仿宋"/>
          <w:sz w:val="32"/>
          <w:szCs w:val="32"/>
        </w:rPr>
        <w:t>调查问卷结果汇</w:t>
      </w:r>
      <w:bookmarkEnd w:id="70"/>
      <w:bookmarkEnd w:id="73"/>
      <w:r>
        <w:rPr>
          <w:rFonts w:hint="eastAsia" w:hAnsi="仿宋" w:cs="仿宋"/>
          <w:sz w:val="32"/>
          <w:szCs w:val="32"/>
          <w:lang w:val="en-US" w:eastAsia="zh-CN"/>
        </w:rPr>
        <w:t>总表</w:t>
      </w:r>
    </w:p>
    <w:p w14:paraId="4B42BAEE">
      <w:pPr>
        <w:pStyle w:val="2"/>
        <w:ind w:firstLine="1575" w:firstLineChars="500"/>
        <w:rPr>
          <w:rFonts w:hint="eastAsia" w:ascii="仿宋" w:hAnsi="仿宋" w:eastAsia="仿宋" w:cs="仿宋"/>
          <w:lang w:val="en-US" w:eastAsia="zh-CN"/>
        </w:rPr>
      </w:pPr>
      <w:r>
        <w:rPr>
          <w:rFonts w:hint="eastAsia" w:ascii="仿宋" w:hAnsi="仿宋" w:eastAsia="仿宋" w:cs="仿宋"/>
          <w:lang w:val="en-US" w:eastAsia="zh-CN"/>
        </w:rPr>
        <w:t>5.绩效评价报告意见反馈表（财政局）</w:t>
      </w:r>
    </w:p>
    <w:p w14:paraId="11CEAFAF">
      <w:pPr>
        <w:pStyle w:val="2"/>
        <w:ind w:firstLine="1575" w:firstLineChars="500"/>
        <w:rPr>
          <w:rFonts w:hint="eastAsia" w:ascii="仿宋" w:hAnsi="仿宋" w:eastAsia="仿宋" w:cs="仿宋"/>
          <w:lang w:val="en-US" w:eastAsia="zh-CN"/>
        </w:rPr>
      </w:pPr>
      <w:r>
        <w:rPr>
          <w:rFonts w:hint="eastAsia" w:ascii="仿宋" w:hAnsi="仿宋" w:eastAsia="仿宋" w:cs="仿宋"/>
          <w:lang w:val="en-US" w:eastAsia="zh-CN"/>
        </w:rPr>
        <w:t>6.绩效评价报告意见反馈表（项目实施单位）</w:t>
      </w:r>
    </w:p>
    <w:sectPr>
      <w:footerReference r:id="rId6" w:type="default"/>
      <w:footerReference r:id="rId7" w:type="even"/>
      <w:pgSz w:w="11906" w:h="16838"/>
      <w:pgMar w:top="2098" w:right="1474" w:bottom="1985" w:left="1588" w:header="851" w:footer="1474" w:gutter="0"/>
      <w:pgNumType w:fmt="decimal"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F552F">
    <w:pPr>
      <w:pStyle w:val="12"/>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83C6B">
    <w:pPr>
      <w:pStyle w:val="12"/>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F0B0A5">
                          <w:pPr>
                            <w:pStyle w:val="12"/>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2F0B0A5">
                    <w:pPr>
                      <w:pStyle w:val="1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364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5FA48A">
                          <w:pPr>
                            <w:pStyle w:val="12"/>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775FA48A">
                    <w:pPr>
                      <w:pStyle w:val="1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01A1E">
    <w:pPr>
      <w:pStyle w:val="12"/>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8F241">
                          <w:pPr>
                            <w:pStyle w:val="12"/>
                          </w:pPr>
                          <w:r>
                            <w:fldChar w:fldCharType="begin"/>
                          </w:r>
                          <w:r>
                            <w:instrText xml:space="preserve"> PAGE  \* MERGEFORMAT </w:instrText>
                          </w:r>
                          <w:r>
                            <w:fldChar w:fldCharType="separate"/>
                          </w:r>
                          <w:r>
                            <w:t>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C8F241">
                    <w:pPr>
                      <w:pStyle w:val="12"/>
                    </w:pPr>
                    <w:r>
                      <w:fldChar w:fldCharType="begin"/>
                    </w:r>
                    <w:r>
                      <w:instrText xml:space="preserve"> PAGE  \* MERGEFORMAT </w:instrText>
                    </w:r>
                    <w:r>
                      <w:fldChar w:fldCharType="separate"/>
                    </w:r>
                    <w:r>
                      <w:t>v</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7388A">
    <w:pPr>
      <w:pStyle w:val="12"/>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50BFC">
                          <w:pPr>
                            <w:pStyle w:val="1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F50BFC">
                    <w:pPr>
                      <w:pStyle w:val="1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ED19B"/>
    <w:multiLevelType w:val="singleLevel"/>
    <w:tmpl w:val="DBFED19B"/>
    <w:lvl w:ilvl="0" w:tentative="0">
      <w:start w:val="3"/>
      <w:numFmt w:val="chineseCounting"/>
      <w:suff w:val="nothing"/>
      <w:lvlText w:val="（%1）"/>
      <w:lvlJc w:val="left"/>
      <w:rPr>
        <w:rFonts w:hint="eastAsia"/>
      </w:rPr>
    </w:lvl>
  </w:abstractNum>
  <w:abstractNum w:abstractNumId="1">
    <w:nsid w:val="F47F4EA9"/>
    <w:multiLevelType w:val="singleLevel"/>
    <w:tmpl w:val="F47F4EA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embedSystem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jk5ZGE0ZmY2ODE0NGE0ZTE4NzVkYTVjYTE3YWEifQ=="/>
  </w:docVars>
  <w:rsids>
    <w:rsidRoot w:val="00763D8D"/>
    <w:rsid w:val="000027B8"/>
    <w:rsid w:val="00003457"/>
    <w:rsid w:val="000053D4"/>
    <w:rsid w:val="00007F56"/>
    <w:rsid w:val="000101DC"/>
    <w:rsid w:val="000109E6"/>
    <w:rsid w:val="00011162"/>
    <w:rsid w:val="000163D2"/>
    <w:rsid w:val="00017395"/>
    <w:rsid w:val="00020A87"/>
    <w:rsid w:val="00021B6D"/>
    <w:rsid w:val="00022FFA"/>
    <w:rsid w:val="00023438"/>
    <w:rsid w:val="00023D70"/>
    <w:rsid w:val="00023FF0"/>
    <w:rsid w:val="000267F0"/>
    <w:rsid w:val="000302F4"/>
    <w:rsid w:val="00030BA6"/>
    <w:rsid w:val="00032A27"/>
    <w:rsid w:val="00032BAE"/>
    <w:rsid w:val="000377E6"/>
    <w:rsid w:val="00037F46"/>
    <w:rsid w:val="0004014B"/>
    <w:rsid w:val="00043A7F"/>
    <w:rsid w:val="00044EEC"/>
    <w:rsid w:val="00046291"/>
    <w:rsid w:val="00046463"/>
    <w:rsid w:val="00050813"/>
    <w:rsid w:val="000563A3"/>
    <w:rsid w:val="00062BA9"/>
    <w:rsid w:val="00067604"/>
    <w:rsid w:val="00073C73"/>
    <w:rsid w:val="00075831"/>
    <w:rsid w:val="000761D2"/>
    <w:rsid w:val="00077515"/>
    <w:rsid w:val="0008006D"/>
    <w:rsid w:val="0008270C"/>
    <w:rsid w:val="00082DC6"/>
    <w:rsid w:val="000910C9"/>
    <w:rsid w:val="0009125B"/>
    <w:rsid w:val="000913F5"/>
    <w:rsid w:val="000926D7"/>
    <w:rsid w:val="00093656"/>
    <w:rsid w:val="00094C11"/>
    <w:rsid w:val="00095539"/>
    <w:rsid w:val="000A2576"/>
    <w:rsid w:val="000A3ED9"/>
    <w:rsid w:val="000A4562"/>
    <w:rsid w:val="000A60AC"/>
    <w:rsid w:val="000C04DE"/>
    <w:rsid w:val="000C0984"/>
    <w:rsid w:val="000C1909"/>
    <w:rsid w:val="000C29DC"/>
    <w:rsid w:val="000C3CE0"/>
    <w:rsid w:val="000C5033"/>
    <w:rsid w:val="000D71DD"/>
    <w:rsid w:val="000E21D8"/>
    <w:rsid w:val="000E6F75"/>
    <w:rsid w:val="000F1534"/>
    <w:rsid w:val="000F3E60"/>
    <w:rsid w:val="000F46ED"/>
    <w:rsid w:val="000F5FA5"/>
    <w:rsid w:val="000F6595"/>
    <w:rsid w:val="00106A8B"/>
    <w:rsid w:val="001075E2"/>
    <w:rsid w:val="001114F0"/>
    <w:rsid w:val="00114580"/>
    <w:rsid w:val="001146BA"/>
    <w:rsid w:val="00116445"/>
    <w:rsid w:val="00122361"/>
    <w:rsid w:val="0012393D"/>
    <w:rsid w:val="00124FFE"/>
    <w:rsid w:val="00125D9C"/>
    <w:rsid w:val="001308E4"/>
    <w:rsid w:val="00134DC9"/>
    <w:rsid w:val="00142242"/>
    <w:rsid w:val="001439E1"/>
    <w:rsid w:val="001473A6"/>
    <w:rsid w:val="00147856"/>
    <w:rsid w:val="00147F84"/>
    <w:rsid w:val="00150F3E"/>
    <w:rsid w:val="001513E5"/>
    <w:rsid w:val="00152B2B"/>
    <w:rsid w:val="001537D8"/>
    <w:rsid w:val="00153BC6"/>
    <w:rsid w:val="001556BF"/>
    <w:rsid w:val="00155A7C"/>
    <w:rsid w:val="00157E96"/>
    <w:rsid w:val="0016290B"/>
    <w:rsid w:val="00162B90"/>
    <w:rsid w:val="00167E57"/>
    <w:rsid w:val="001702EB"/>
    <w:rsid w:val="001722F7"/>
    <w:rsid w:val="00173C14"/>
    <w:rsid w:val="00175976"/>
    <w:rsid w:val="00177059"/>
    <w:rsid w:val="00180B66"/>
    <w:rsid w:val="00182613"/>
    <w:rsid w:val="001836BB"/>
    <w:rsid w:val="00183D89"/>
    <w:rsid w:val="001844AE"/>
    <w:rsid w:val="00184577"/>
    <w:rsid w:val="00184C8F"/>
    <w:rsid w:val="0018788E"/>
    <w:rsid w:val="001905A5"/>
    <w:rsid w:val="001A2410"/>
    <w:rsid w:val="001A2D6F"/>
    <w:rsid w:val="001A644B"/>
    <w:rsid w:val="001A77EE"/>
    <w:rsid w:val="001A7B0F"/>
    <w:rsid w:val="001B1BDE"/>
    <w:rsid w:val="001B4784"/>
    <w:rsid w:val="001B5EDA"/>
    <w:rsid w:val="001D4E03"/>
    <w:rsid w:val="001D58D7"/>
    <w:rsid w:val="001E07CC"/>
    <w:rsid w:val="001E3BF6"/>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0DFC"/>
    <w:rsid w:val="002229E2"/>
    <w:rsid w:val="0022365E"/>
    <w:rsid w:val="002260C9"/>
    <w:rsid w:val="00226E95"/>
    <w:rsid w:val="00227678"/>
    <w:rsid w:val="00227A48"/>
    <w:rsid w:val="00227EAF"/>
    <w:rsid w:val="00230719"/>
    <w:rsid w:val="00230C67"/>
    <w:rsid w:val="002335C1"/>
    <w:rsid w:val="00235C5D"/>
    <w:rsid w:val="002422DC"/>
    <w:rsid w:val="00243F53"/>
    <w:rsid w:val="00246276"/>
    <w:rsid w:val="00251346"/>
    <w:rsid w:val="00252898"/>
    <w:rsid w:val="002532A4"/>
    <w:rsid w:val="0025396D"/>
    <w:rsid w:val="00254804"/>
    <w:rsid w:val="00254B91"/>
    <w:rsid w:val="002554E5"/>
    <w:rsid w:val="002567E0"/>
    <w:rsid w:val="00256D4E"/>
    <w:rsid w:val="002606F4"/>
    <w:rsid w:val="0026498A"/>
    <w:rsid w:val="00265F34"/>
    <w:rsid w:val="00274648"/>
    <w:rsid w:val="00277ACC"/>
    <w:rsid w:val="00282CC8"/>
    <w:rsid w:val="0028388B"/>
    <w:rsid w:val="00283F38"/>
    <w:rsid w:val="00285265"/>
    <w:rsid w:val="00290595"/>
    <w:rsid w:val="002917E5"/>
    <w:rsid w:val="002920DF"/>
    <w:rsid w:val="0029356B"/>
    <w:rsid w:val="002957FB"/>
    <w:rsid w:val="002A020A"/>
    <w:rsid w:val="002A1DF7"/>
    <w:rsid w:val="002A5AD2"/>
    <w:rsid w:val="002A6EAA"/>
    <w:rsid w:val="002B2CEA"/>
    <w:rsid w:val="002B3F00"/>
    <w:rsid w:val="002B7B5E"/>
    <w:rsid w:val="002C46F4"/>
    <w:rsid w:val="002C555C"/>
    <w:rsid w:val="002D1D67"/>
    <w:rsid w:val="002D3C45"/>
    <w:rsid w:val="002D498A"/>
    <w:rsid w:val="002D55A2"/>
    <w:rsid w:val="002E06C9"/>
    <w:rsid w:val="002E1041"/>
    <w:rsid w:val="002E1500"/>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21CF"/>
    <w:rsid w:val="003270CD"/>
    <w:rsid w:val="003305B8"/>
    <w:rsid w:val="0033130B"/>
    <w:rsid w:val="0033489A"/>
    <w:rsid w:val="0033762E"/>
    <w:rsid w:val="00337718"/>
    <w:rsid w:val="003427D3"/>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77A2E"/>
    <w:rsid w:val="00380118"/>
    <w:rsid w:val="003807BD"/>
    <w:rsid w:val="00381F0D"/>
    <w:rsid w:val="0038336A"/>
    <w:rsid w:val="00384495"/>
    <w:rsid w:val="0038465D"/>
    <w:rsid w:val="003875C8"/>
    <w:rsid w:val="00392745"/>
    <w:rsid w:val="00393295"/>
    <w:rsid w:val="003948E5"/>
    <w:rsid w:val="003A3987"/>
    <w:rsid w:val="003A5711"/>
    <w:rsid w:val="003A6AB4"/>
    <w:rsid w:val="003B2170"/>
    <w:rsid w:val="003B2603"/>
    <w:rsid w:val="003B355C"/>
    <w:rsid w:val="003B5FE1"/>
    <w:rsid w:val="003B643A"/>
    <w:rsid w:val="003B74B5"/>
    <w:rsid w:val="003D112A"/>
    <w:rsid w:val="003D12B5"/>
    <w:rsid w:val="003D2104"/>
    <w:rsid w:val="003D35C0"/>
    <w:rsid w:val="003D6830"/>
    <w:rsid w:val="003E0E49"/>
    <w:rsid w:val="003E28AB"/>
    <w:rsid w:val="003E37CD"/>
    <w:rsid w:val="003F11BD"/>
    <w:rsid w:val="003F1515"/>
    <w:rsid w:val="003F16E7"/>
    <w:rsid w:val="003F1FDD"/>
    <w:rsid w:val="003F402E"/>
    <w:rsid w:val="003F6354"/>
    <w:rsid w:val="00400D06"/>
    <w:rsid w:val="0040199E"/>
    <w:rsid w:val="0040239B"/>
    <w:rsid w:val="00402CE7"/>
    <w:rsid w:val="00405226"/>
    <w:rsid w:val="00405C75"/>
    <w:rsid w:val="00406D6A"/>
    <w:rsid w:val="00407218"/>
    <w:rsid w:val="004107CB"/>
    <w:rsid w:val="00420BEC"/>
    <w:rsid w:val="0042251D"/>
    <w:rsid w:val="00426FE5"/>
    <w:rsid w:val="004272A6"/>
    <w:rsid w:val="0043119F"/>
    <w:rsid w:val="00433CAA"/>
    <w:rsid w:val="00436B3B"/>
    <w:rsid w:val="00437980"/>
    <w:rsid w:val="004401ED"/>
    <w:rsid w:val="00440843"/>
    <w:rsid w:val="00440F20"/>
    <w:rsid w:val="0044349C"/>
    <w:rsid w:val="00452585"/>
    <w:rsid w:val="00452895"/>
    <w:rsid w:val="00453319"/>
    <w:rsid w:val="004542C8"/>
    <w:rsid w:val="004549D1"/>
    <w:rsid w:val="00457099"/>
    <w:rsid w:val="00460E4C"/>
    <w:rsid w:val="00462343"/>
    <w:rsid w:val="00464A91"/>
    <w:rsid w:val="00465B8C"/>
    <w:rsid w:val="00466165"/>
    <w:rsid w:val="004671F2"/>
    <w:rsid w:val="00472258"/>
    <w:rsid w:val="00474787"/>
    <w:rsid w:val="00474A62"/>
    <w:rsid w:val="0048081D"/>
    <w:rsid w:val="0048089A"/>
    <w:rsid w:val="004811D4"/>
    <w:rsid w:val="004839EA"/>
    <w:rsid w:val="00484612"/>
    <w:rsid w:val="004860CD"/>
    <w:rsid w:val="004866EA"/>
    <w:rsid w:val="00490547"/>
    <w:rsid w:val="00493698"/>
    <w:rsid w:val="004949AC"/>
    <w:rsid w:val="00495FB3"/>
    <w:rsid w:val="004A0A75"/>
    <w:rsid w:val="004A3AAE"/>
    <w:rsid w:val="004A3DDB"/>
    <w:rsid w:val="004A4700"/>
    <w:rsid w:val="004A52B5"/>
    <w:rsid w:val="004A711A"/>
    <w:rsid w:val="004B34FB"/>
    <w:rsid w:val="004B448D"/>
    <w:rsid w:val="004C0BC9"/>
    <w:rsid w:val="004C1CCF"/>
    <w:rsid w:val="004C51F5"/>
    <w:rsid w:val="004C5D7B"/>
    <w:rsid w:val="004C5F17"/>
    <w:rsid w:val="004C6BF0"/>
    <w:rsid w:val="004D0D4D"/>
    <w:rsid w:val="004D2649"/>
    <w:rsid w:val="004D31B0"/>
    <w:rsid w:val="004D34AD"/>
    <w:rsid w:val="004D5F2D"/>
    <w:rsid w:val="004D678B"/>
    <w:rsid w:val="004E013B"/>
    <w:rsid w:val="004E0646"/>
    <w:rsid w:val="004E0906"/>
    <w:rsid w:val="004E5E85"/>
    <w:rsid w:val="004F0288"/>
    <w:rsid w:val="004F0B47"/>
    <w:rsid w:val="004F43AA"/>
    <w:rsid w:val="004F47FC"/>
    <w:rsid w:val="004F5DE3"/>
    <w:rsid w:val="004F6CCC"/>
    <w:rsid w:val="00501100"/>
    <w:rsid w:val="005102A2"/>
    <w:rsid w:val="00510BAB"/>
    <w:rsid w:val="00513B3D"/>
    <w:rsid w:val="00514671"/>
    <w:rsid w:val="00515734"/>
    <w:rsid w:val="00522A6C"/>
    <w:rsid w:val="00526431"/>
    <w:rsid w:val="0053063F"/>
    <w:rsid w:val="00532714"/>
    <w:rsid w:val="005344A8"/>
    <w:rsid w:val="00536F5B"/>
    <w:rsid w:val="00542670"/>
    <w:rsid w:val="00545001"/>
    <w:rsid w:val="00550937"/>
    <w:rsid w:val="0055330D"/>
    <w:rsid w:val="005578D6"/>
    <w:rsid w:val="00561795"/>
    <w:rsid w:val="0056186F"/>
    <w:rsid w:val="00562BA8"/>
    <w:rsid w:val="0056376A"/>
    <w:rsid w:val="00564552"/>
    <w:rsid w:val="00566921"/>
    <w:rsid w:val="005671E8"/>
    <w:rsid w:val="00570BF9"/>
    <w:rsid w:val="005750C4"/>
    <w:rsid w:val="00576CB6"/>
    <w:rsid w:val="00576FBF"/>
    <w:rsid w:val="00577548"/>
    <w:rsid w:val="00577FAD"/>
    <w:rsid w:val="00585784"/>
    <w:rsid w:val="00587462"/>
    <w:rsid w:val="00587C8D"/>
    <w:rsid w:val="00591EF2"/>
    <w:rsid w:val="00592198"/>
    <w:rsid w:val="0059320E"/>
    <w:rsid w:val="005953FB"/>
    <w:rsid w:val="00597B52"/>
    <w:rsid w:val="005A2E6F"/>
    <w:rsid w:val="005A3998"/>
    <w:rsid w:val="005A50E5"/>
    <w:rsid w:val="005A7959"/>
    <w:rsid w:val="005B0482"/>
    <w:rsid w:val="005B6066"/>
    <w:rsid w:val="005B70F0"/>
    <w:rsid w:val="005B74AE"/>
    <w:rsid w:val="005C19D7"/>
    <w:rsid w:val="005C2473"/>
    <w:rsid w:val="005C40D3"/>
    <w:rsid w:val="005D06E4"/>
    <w:rsid w:val="005E0F3C"/>
    <w:rsid w:val="005E4ABD"/>
    <w:rsid w:val="005E6172"/>
    <w:rsid w:val="005E718D"/>
    <w:rsid w:val="005F1102"/>
    <w:rsid w:val="006026DD"/>
    <w:rsid w:val="00613763"/>
    <w:rsid w:val="00620526"/>
    <w:rsid w:val="00621602"/>
    <w:rsid w:val="00623AF9"/>
    <w:rsid w:val="006251E6"/>
    <w:rsid w:val="00626208"/>
    <w:rsid w:val="00627439"/>
    <w:rsid w:val="006323C6"/>
    <w:rsid w:val="00634466"/>
    <w:rsid w:val="00636016"/>
    <w:rsid w:val="00643CC5"/>
    <w:rsid w:val="0064402F"/>
    <w:rsid w:val="0064527F"/>
    <w:rsid w:val="0065445B"/>
    <w:rsid w:val="00655674"/>
    <w:rsid w:val="00656020"/>
    <w:rsid w:val="00656A9A"/>
    <w:rsid w:val="00656F7D"/>
    <w:rsid w:val="006571CA"/>
    <w:rsid w:val="00657FEB"/>
    <w:rsid w:val="0066192E"/>
    <w:rsid w:val="006633E2"/>
    <w:rsid w:val="00663BBB"/>
    <w:rsid w:val="00664AE8"/>
    <w:rsid w:val="0066531C"/>
    <w:rsid w:val="00667C12"/>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10D"/>
    <w:rsid w:val="006B5BCF"/>
    <w:rsid w:val="006B610A"/>
    <w:rsid w:val="006B70DE"/>
    <w:rsid w:val="006C0244"/>
    <w:rsid w:val="006C0E35"/>
    <w:rsid w:val="006D012E"/>
    <w:rsid w:val="006D2836"/>
    <w:rsid w:val="006E342B"/>
    <w:rsid w:val="006E36CF"/>
    <w:rsid w:val="006E3A23"/>
    <w:rsid w:val="006E4449"/>
    <w:rsid w:val="006E76CA"/>
    <w:rsid w:val="006E79B8"/>
    <w:rsid w:val="006E7FBA"/>
    <w:rsid w:val="006F09DA"/>
    <w:rsid w:val="006F38A5"/>
    <w:rsid w:val="00701599"/>
    <w:rsid w:val="00703419"/>
    <w:rsid w:val="00704906"/>
    <w:rsid w:val="00704B20"/>
    <w:rsid w:val="0070532D"/>
    <w:rsid w:val="007061AB"/>
    <w:rsid w:val="00706C0E"/>
    <w:rsid w:val="00707272"/>
    <w:rsid w:val="0070727C"/>
    <w:rsid w:val="00711BD6"/>
    <w:rsid w:val="0071646D"/>
    <w:rsid w:val="00723885"/>
    <w:rsid w:val="007258CC"/>
    <w:rsid w:val="0072647A"/>
    <w:rsid w:val="00727017"/>
    <w:rsid w:val="007319A2"/>
    <w:rsid w:val="00733D12"/>
    <w:rsid w:val="00733E02"/>
    <w:rsid w:val="0073677A"/>
    <w:rsid w:val="007412B5"/>
    <w:rsid w:val="00741C0D"/>
    <w:rsid w:val="007431B7"/>
    <w:rsid w:val="00744DB6"/>
    <w:rsid w:val="00746DEF"/>
    <w:rsid w:val="007474F3"/>
    <w:rsid w:val="0075085D"/>
    <w:rsid w:val="00751985"/>
    <w:rsid w:val="00752CA1"/>
    <w:rsid w:val="00753514"/>
    <w:rsid w:val="00754346"/>
    <w:rsid w:val="007622C7"/>
    <w:rsid w:val="00763D8D"/>
    <w:rsid w:val="00763F0B"/>
    <w:rsid w:val="00766A2A"/>
    <w:rsid w:val="00771DBA"/>
    <w:rsid w:val="00774178"/>
    <w:rsid w:val="00774689"/>
    <w:rsid w:val="00775421"/>
    <w:rsid w:val="00780354"/>
    <w:rsid w:val="00780EAF"/>
    <w:rsid w:val="00780F68"/>
    <w:rsid w:val="00783983"/>
    <w:rsid w:val="007854FB"/>
    <w:rsid w:val="00786B54"/>
    <w:rsid w:val="00795893"/>
    <w:rsid w:val="00796558"/>
    <w:rsid w:val="007A0D31"/>
    <w:rsid w:val="007A157F"/>
    <w:rsid w:val="007A1C7C"/>
    <w:rsid w:val="007A2BCD"/>
    <w:rsid w:val="007A58C0"/>
    <w:rsid w:val="007A6474"/>
    <w:rsid w:val="007A7277"/>
    <w:rsid w:val="007B064B"/>
    <w:rsid w:val="007B2D33"/>
    <w:rsid w:val="007B72C4"/>
    <w:rsid w:val="007C023F"/>
    <w:rsid w:val="007C1423"/>
    <w:rsid w:val="007C18CF"/>
    <w:rsid w:val="007C2CA2"/>
    <w:rsid w:val="007C38FA"/>
    <w:rsid w:val="007C3BD4"/>
    <w:rsid w:val="007C3CB2"/>
    <w:rsid w:val="007C7E73"/>
    <w:rsid w:val="007D051F"/>
    <w:rsid w:val="007D0BBA"/>
    <w:rsid w:val="007D2550"/>
    <w:rsid w:val="007D3332"/>
    <w:rsid w:val="007D333C"/>
    <w:rsid w:val="007D360D"/>
    <w:rsid w:val="007D5E47"/>
    <w:rsid w:val="007D6583"/>
    <w:rsid w:val="007D778F"/>
    <w:rsid w:val="007E0FFD"/>
    <w:rsid w:val="007E18FC"/>
    <w:rsid w:val="007E494F"/>
    <w:rsid w:val="007E5BBF"/>
    <w:rsid w:val="007E68BF"/>
    <w:rsid w:val="007F0B94"/>
    <w:rsid w:val="007F26DD"/>
    <w:rsid w:val="007F2884"/>
    <w:rsid w:val="007F2CFD"/>
    <w:rsid w:val="007F3CED"/>
    <w:rsid w:val="008012F3"/>
    <w:rsid w:val="00801696"/>
    <w:rsid w:val="008035C2"/>
    <w:rsid w:val="00803F6D"/>
    <w:rsid w:val="00803FFB"/>
    <w:rsid w:val="00805C6A"/>
    <w:rsid w:val="00807246"/>
    <w:rsid w:val="00812AFF"/>
    <w:rsid w:val="00814803"/>
    <w:rsid w:val="00814C48"/>
    <w:rsid w:val="008162D6"/>
    <w:rsid w:val="008207F7"/>
    <w:rsid w:val="00821495"/>
    <w:rsid w:val="00822129"/>
    <w:rsid w:val="00827365"/>
    <w:rsid w:val="0083033C"/>
    <w:rsid w:val="00832C5F"/>
    <w:rsid w:val="00833991"/>
    <w:rsid w:val="00834B6A"/>
    <w:rsid w:val="008369B8"/>
    <w:rsid w:val="00837E6A"/>
    <w:rsid w:val="0084288D"/>
    <w:rsid w:val="008429AF"/>
    <w:rsid w:val="008444BD"/>
    <w:rsid w:val="00846B79"/>
    <w:rsid w:val="00847259"/>
    <w:rsid w:val="008476D2"/>
    <w:rsid w:val="00851B24"/>
    <w:rsid w:val="00851F54"/>
    <w:rsid w:val="00854621"/>
    <w:rsid w:val="0086105D"/>
    <w:rsid w:val="008625ED"/>
    <w:rsid w:val="00864A1B"/>
    <w:rsid w:val="00866AB0"/>
    <w:rsid w:val="00867F1E"/>
    <w:rsid w:val="008704E6"/>
    <w:rsid w:val="00870D8D"/>
    <w:rsid w:val="008735D5"/>
    <w:rsid w:val="00873D83"/>
    <w:rsid w:val="00873EA1"/>
    <w:rsid w:val="0087571E"/>
    <w:rsid w:val="00877854"/>
    <w:rsid w:val="00882E11"/>
    <w:rsid w:val="00884635"/>
    <w:rsid w:val="00885EF1"/>
    <w:rsid w:val="00886215"/>
    <w:rsid w:val="00890F31"/>
    <w:rsid w:val="008929D8"/>
    <w:rsid w:val="00894CB7"/>
    <w:rsid w:val="00896267"/>
    <w:rsid w:val="00896DBE"/>
    <w:rsid w:val="008A096F"/>
    <w:rsid w:val="008A2CA9"/>
    <w:rsid w:val="008A3471"/>
    <w:rsid w:val="008A5EF0"/>
    <w:rsid w:val="008A658D"/>
    <w:rsid w:val="008B035B"/>
    <w:rsid w:val="008B4790"/>
    <w:rsid w:val="008C134F"/>
    <w:rsid w:val="008C1413"/>
    <w:rsid w:val="008C33C4"/>
    <w:rsid w:val="008C3699"/>
    <w:rsid w:val="008D007F"/>
    <w:rsid w:val="008D4DB3"/>
    <w:rsid w:val="008D5ECA"/>
    <w:rsid w:val="008D6C00"/>
    <w:rsid w:val="008D7D2E"/>
    <w:rsid w:val="008E077D"/>
    <w:rsid w:val="008E0FBB"/>
    <w:rsid w:val="008E30EF"/>
    <w:rsid w:val="008E70EF"/>
    <w:rsid w:val="008F0F5E"/>
    <w:rsid w:val="008F2D6C"/>
    <w:rsid w:val="008F2F92"/>
    <w:rsid w:val="008F689B"/>
    <w:rsid w:val="00901D0E"/>
    <w:rsid w:val="009034E6"/>
    <w:rsid w:val="00903C2E"/>
    <w:rsid w:val="009041C2"/>
    <w:rsid w:val="0090678C"/>
    <w:rsid w:val="00910CE3"/>
    <w:rsid w:val="00914E87"/>
    <w:rsid w:val="00915956"/>
    <w:rsid w:val="00920E07"/>
    <w:rsid w:val="0092374D"/>
    <w:rsid w:val="00923BAA"/>
    <w:rsid w:val="00924970"/>
    <w:rsid w:val="009267F6"/>
    <w:rsid w:val="009317C0"/>
    <w:rsid w:val="009326BF"/>
    <w:rsid w:val="00936024"/>
    <w:rsid w:val="0093787B"/>
    <w:rsid w:val="00937BC1"/>
    <w:rsid w:val="00942C8E"/>
    <w:rsid w:val="0095111A"/>
    <w:rsid w:val="009546AB"/>
    <w:rsid w:val="00954A89"/>
    <w:rsid w:val="00954F31"/>
    <w:rsid w:val="009607A3"/>
    <w:rsid w:val="00961330"/>
    <w:rsid w:val="00961BEE"/>
    <w:rsid w:val="00963095"/>
    <w:rsid w:val="00964F1C"/>
    <w:rsid w:val="00965869"/>
    <w:rsid w:val="0096633E"/>
    <w:rsid w:val="009669C6"/>
    <w:rsid w:val="009672A4"/>
    <w:rsid w:val="00973859"/>
    <w:rsid w:val="00974A70"/>
    <w:rsid w:val="00976E34"/>
    <w:rsid w:val="00982ABB"/>
    <w:rsid w:val="00983C33"/>
    <w:rsid w:val="00983EB5"/>
    <w:rsid w:val="009900E6"/>
    <w:rsid w:val="00990F17"/>
    <w:rsid w:val="009912B5"/>
    <w:rsid w:val="00991437"/>
    <w:rsid w:val="009914DC"/>
    <w:rsid w:val="00993E30"/>
    <w:rsid w:val="009A3DA3"/>
    <w:rsid w:val="009A3DE0"/>
    <w:rsid w:val="009B0758"/>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9F6719"/>
    <w:rsid w:val="00A000D9"/>
    <w:rsid w:val="00A00612"/>
    <w:rsid w:val="00A01AD8"/>
    <w:rsid w:val="00A02D03"/>
    <w:rsid w:val="00A02E94"/>
    <w:rsid w:val="00A057DC"/>
    <w:rsid w:val="00A0725B"/>
    <w:rsid w:val="00A10153"/>
    <w:rsid w:val="00A11EC9"/>
    <w:rsid w:val="00A121FB"/>
    <w:rsid w:val="00A12F69"/>
    <w:rsid w:val="00A17A74"/>
    <w:rsid w:val="00A22A04"/>
    <w:rsid w:val="00A23FCD"/>
    <w:rsid w:val="00A24BDC"/>
    <w:rsid w:val="00A24E49"/>
    <w:rsid w:val="00A25F38"/>
    <w:rsid w:val="00A27411"/>
    <w:rsid w:val="00A27C51"/>
    <w:rsid w:val="00A31048"/>
    <w:rsid w:val="00A33005"/>
    <w:rsid w:val="00A34C99"/>
    <w:rsid w:val="00A36910"/>
    <w:rsid w:val="00A370A6"/>
    <w:rsid w:val="00A375F1"/>
    <w:rsid w:val="00A41B24"/>
    <w:rsid w:val="00A43DC7"/>
    <w:rsid w:val="00A444BF"/>
    <w:rsid w:val="00A47A9A"/>
    <w:rsid w:val="00A5152D"/>
    <w:rsid w:val="00A5630B"/>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4FF4"/>
    <w:rsid w:val="00A8504E"/>
    <w:rsid w:val="00A86EA4"/>
    <w:rsid w:val="00A91A3E"/>
    <w:rsid w:val="00A92139"/>
    <w:rsid w:val="00A92FCE"/>
    <w:rsid w:val="00A95E98"/>
    <w:rsid w:val="00AA01D4"/>
    <w:rsid w:val="00AA2D96"/>
    <w:rsid w:val="00AB0EEC"/>
    <w:rsid w:val="00AB312A"/>
    <w:rsid w:val="00AB5B2F"/>
    <w:rsid w:val="00AB738C"/>
    <w:rsid w:val="00AC1118"/>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16986"/>
    <w:rsid w:val="00B20A9D"/>
    <w:rsid w:val="00B21437"/>
    <w:rsid w:val="00B2516C"/>
    <w:rsid w:val="00B2587E"/>
    <w:rsid w:val="00B300AD"/>
    <w:rsid w:val="00B3120A"/>
    <w:rsid w:val="00B327D2"/>
    <w:rsid w:val="00B35B22"/>
    <w:rsid w:val="00B36265"/>
    <w:rsid w:val="00B45B74"/>
    <w:rsid w:val="00B53412"/>
    <w:rsid w:val="00B54DC6"/>
    <w:rsid w:val="00B55B57"/>
    <w:rsid w:val="00B567D7"/>
    <w:rsid w:val="00B57693"/>
    <w:rsid w:val="00B61B4E"/>
    <w:rsid w:val="00B63EAD"/>
    <w:rsid w:val="00B70DE9"/>
    <w:rsid w:val="00B74E74"/>
    <w:rsid w:val="00B87192"/>
    <w:rsid w:val="00B873B5"/>
    <w:rsid w:val="00B93260"/>
    <w:rsid w:val="00B93F28"/>
    <w:rsid w:val="00B972CB"/>
    <w:rsid w:val="00BA0FD9"/>
    <w:rsid w:val="00BA40D9"/>
    <w:rsid w:val="00BA75F2"/>
    <w:rsid w:val="00BB0BA8"/>
    <w:rsid w:val="00BB2CA7"/>
    <w:rsid w:val="00BB37A8"/>
    <w:rsid w:val="00BB6206"/>
    <w:rsid w:val="00BC66F9"/>
    <w:rsid w:val="00BC6820"/>
    <w:rsid w:val="00BC6C03"/>
    <w:rsid w:val="00BC6F02"/>
    <w:rsid w:val="00BC6F77"/>
    <w:rsid w:val="00BD1031"/>
    <w:rsid w:val="00BD455D"/>
    <w:rsid w:val="00BE1D81"/>
    <w:rsid w:val="00BE2CD8"/>
    <w:rsid w:val="00BE2E79"/>
    <w:rsid w:val="00BE36D4"/>
    <w:rsid w:val="00BF212F"/>
    <w:rsid w:val="00BF373E"/>
    <w:rsid w:val="00BF43FA"/>
    <w:rsid w:val="00BF62F2"/>
    <w:rsid w:val="00BF652B"/>
    <w:rsid w:val="00C02FA4"/>
    <w:rsid w:val="00C045BB"/>
    <w:rsid w:val="00C06CB9"/>
    <w:rsid w:val="00C12325"/>
    <w:rsid w:val="00C12472"/>
    <w:rsid w:val="00C127E3"/>
    <w:rsid w:val="00C12993"/>
    <w:rsid w:val="00C14194"/>
    <w:rsid w:val="00C1562E"/>
    <w:rsid w:val="00C15C47"/>
    <w:rsid w:val="00C1769E"/>
    <w:rsid w:val="00C20FD7"/>
    <w:rsid w:val="00C21C6A"/>
    <w:rsid w:val="00C226BA"/>
    <w:rsid w:val="00C25D38"/>
    <w:rsid w:val="00C30655"/>
    <w:rsid w:val="00C3203F"/>
    <w:rsid w:val="00C322A8"/>
    <w:rsid w:val="00C342E1"/>
    <w:rsid w:val="00C349B8"/>
    <w:rsid w:val="00C377A0"/>
    <w:rsid w:val="00C40B0E"/>
    <w:rsid w:val="00C40B4E"/>
    <w:rsid w:val="00C40CCE"/>
    <w:rsid w:val="00C41346"/>
    <w:rsid w:val="00C4210A"/>
    <w:rsid w:val="00C43BD6"/>
    <w:rsid w:val="00C45B16"/>
    <w:rsid w:val="00C45EBD"/>
    <w:rsid w:val="00C466DC"/>
    <w:rsid w:val="00C468DC"/>
    <w:rsid w:val="00C47B12"/>
    <w:rsid w:val="00C534CE"/>
    <w:rsid w:val="00C5415C"/>
    <w:rsid w:val="00C541D9"/>
    <w:rsid w:val="00C60313"/>
    <w:rsid w:val="00C62615"/>
    <w:rsid w:val="00C6335B"/>
    <w:rsid w:val="00C63F3D"/>
    <w:rsid w:val="00C645D0"/>
    <w:rsid w:val="00C65119"/>
    <w:rsid w:val="00C67B4F"/>
    <w:rsid w:val="00C71AC0"/>
    <w:rsid w:val="00C72787"/>
    <w:rsid w:val="00C74EDF"/>
    <w:rsid w:val="00C80468"/>
    <w:rsid w:val="00C82335"/>
    <w:rsid w:val="00C82510"/>
    <w:rsid w:val="00C83288"/>
    <w:rsid w:val="00C83A49"/>
    <w:rsid w:val="00C846E1"/>
    <w:rsid w:val="00C85B33"/>
    <w:rsid w:val="00C87F34"/>
    <w:rsid w:val="00C90211"/>
    <w:rsid w:val="00C90783"/>
    <w:rsid w:val="00C95C0B"/>
    <w:rsid w:val="00CA0927"/>
    <w:rsid w:val="00CA0E05"/>
    <w:rsid w:val="00CA4623"/>
    <w:rsid w:val="00CA4B6A"/>
    <w:rsid w:val="00CA54F1"/>
    <w:rsid w:val="00CA7A9C"/>
    <w:rsid w:val="00CB007D"/>
    <w:rsid w:val="00CB0544"/>
    <w:rsid w:val="00CB140F"/>
    <w:rsid w:val="00CB545A"/>
    <w:rsid w:val="00CB7BE6"/>
    <w:rsid w:val="00CC1977"/>
    <w:rsid w:val="00CC1F56"/>
    <w:rsid w:val="00CC2185"/>
    <w:rsid w:val="00CC28DD"/>
    <w:rsid w:val="00CC32D9"/>
    <w:rsid w:val="00CC390A"/>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1782"/>
    <w:rsid w:val="00D226A0"/>
    <w:rsid w:val="00D27175"/>
    <w:rsid w:val="00D304CE"/>
    <w:rsid w:val="00D3157C"/>
    <w:rsid w:val="00D32626"/>
    <w:rsid w:val="00D33323"/>
    <w:rsid w:val="00D33D96"/>
    <w:rsid w:val="00D35671"/>
    <w:rsid w:val="00D364E5"/>
    <w:rsid w:val="00D37658"/>
    <w:rsid w:val="00D41184"/>
    <w:rsid w:val="00D42666"/>
    <w:rsid w:val="00D428E9"/>
    <w:rsid w:val="00D429FE"/>
    <w:rsid w:val="00D434B3"/>
    <w:rsid w:val="00D47CF4"/>
    <w:rsid w:val="00D517DB"/>
    <w:rsid w:val="00D520F7"/>
    <w:rsid w:val="00D5212F"/>
    <w:rsid w:val="00D52D57"/>
    <w:rsid w:val="00D52EB8"/>
    <w:rsid w:val="00D53012"/>
    <w:rsid w:val="00D543E3"/>
    <w:rsid w:val="00D557FA"/>
    <w:rsid w:val="00D56D8A"/>
    <w:rsid w:val="00D60D81"/>
    <w:rsid w:val="00D6208B"/>
    <w:rsid w:val="00D6323D"/>
    <w:rsid w:val="00D65736"/>
    <w:rsid w:val="00D67916"/>
    <w:rsid w:val="00D70277"/>
    <w:rsid w:val="00D7082A"/>
    <w:rsid w:val="00D76498"/>
    <w:rsid w:val="00D84828"/>
    <w:rsid w:val="00D86780"/>
    <w:rsid w:val="00D86E4E"/>
    <w:rsid w:val="00D878B0"/>
    <w:rsid w:val="00D94156"/>
    <w:rsid w:val="00D94439"/>
    <w:rsid w:val="00DA105E"/>
    <w:rsid w:val="00DA15E3"/>
    <w:rsid w:val="00DB2AE7"/>
    <w:rsid w:val="00DB4813"/>
    <w:rsid w:val="00DB6228"/>
    <w:rsid w:val="00DB6967"/>
    <w:rsid w:val="00DB7A9F"/>
    <w:rsid w:val="00DC5F49"/>
    <w:rsid w:val="00DC77D8"/>
    <w:rsid w:val="00DC7BEC"/>
    <w:rsid w:val="00DE073C"/>
    <w:rsid w:val="00DE16E9"/>
    <w:rsid w:val="00DE4365"/>
    <w:rsid w:val="00DE4C6F"/>
    <w:rsid w:val="00E01B46"/>
    <w:rsid w:val="00E05F95"/>
    <w:rsid w:val="00E06324"/>
    <w:rsid w:val="00E109B2"/>
    <w:rsid w:val="00E11C47"/>
    <w:rsid w:val="00E125EB"/>
    <w:rsid w:val="00E1400B"/>
    <w:rsid w:val="00E15547"/>
    <w:rsid w:val="00E17B51"/>
    <w:rsid w:val="00E2082F"/>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1774"/>
    <w:rsid w:val="00E57717"/>
    <w:rsid w:val="00E6040B"/>
    <w:rsid w:val="00E610C7"/>
    <w:rsid w:val="00E63F8C"/>
    <w:rsid w:val="00E664E3"/>
    <w:rsid w:val="00E66C39"/>
    <w:rsid w:val="00E67AC7"/>
    <w:rsid w:val="00E70CC7"/>
    <w:rsid w:val="00E727B4"/>
    <w:rsid w:val="00E733CB"/>
    <w:rsid w:val="00E758B8"/>
    <w:rsid w:val="00E75A4F"/>
    <w:rsid w:val="00E75D25"/>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C62D7"/>
    <w:rsid w:val="00ED063F"/>
    <w:rsid w:val="00ED7CDD"/>
    <w:rsid w:val="00ED7FF2"/>
    <w:rsid w:val="00EE72CF"/>
    <w:rsid w:val="00EE7F07"/>
    <w:rsid w:val="00EF18F6"/>
    <w:rsid w:val="00EF51B8"/>
    <w:rsid w:val="00EF6E58"/>
    <w:rsid w:val="00F00DC9"/>
    <w:rsid w:val="00F03A6F"/>
    <w:rsid w:val="00F078B5"/>
    <w:rsid w:val="00F12E05"/>
    <w:rsid w:val="00F1540B"/>
    <w:rsid w:val="00F15CE1"/>
    <w:rsid w:val="00F15F42"/>
    <w:rsid w:val="00F1642E"/>
    <w:rsid w:val="00F1677C"/>
    <w:rsid w:val="00F22E84"/>
    <w:rsid w:val="00F24F9C"/>
    <w:rsid w:val="00F30AB9"/>
    <w:rsid w:val="00F30ADA"/>
    <w:rsid w:val="00F361CB"/>
    <w:rsid w:val="00F36F88"/>
    <w:rsid w:val="00F3751F"/>
    <w:rsid w:val="00F448F4"/>
    <w:rsid w:val="00F50CF8"/>
    <w:rsid w:val="00F50FEA"/>
    <w:rsid w:val="00F51A53"/>
    <w:rsid w:val="00F52C04"/>
    <w:rsid w:val="00F53597"/>
    <w:rsid w:val="00F56C74"/>
    <w:rsid w:val="00F57207"/>
    <w:rsid w:val="00F5747F"/>
    <w:rsid w:val="00F606DB"/>
    <w:rsid w:val="00F63A66"/>
    <w:rsid w:val="00F644D9"/>
    <w:rsid w:val="00F64B31"/>
    <w:rsid w:val="00F656A9"/>
    <w:rsid w:val="00F65A75"/>
    <w:rsid w:val="00F66DF8"/>
    <w:rsid w:val="00F67ECF"/>
    <w:rsid w:val="00F70081"/>
    <w:rsid w:val="00F70120"/>
    <w:rsid w:val="00F72138"/>
    <w:rsid w:val="00F72321"/>
    <w:rsid w:val="00F73E58"/>
    <w:rsid w:val="00F74539"/>
    <w:rsid w:val="00F75E34"/>
    <w:rsid w:val="00F80DE2"/>
    <w:rsid w:val="00F8246D"/>
    <w:rsid w:val="00F842CC"/>
    <w:rsid w:val="00F8543D"/>
    <w:rsid w:val="00F86C2F"/>
    <w:rsid w:val="00F9086D"/>
    <w:rsid w:val="00F908C4"/>
    <w:rsid w:val="00F90B56"/>
    <w:rsid w:val="00F9496E"/>
    <w:rsid w:val="00F96741"/>
    <w:rsid w:val="00FA0419"/>
    <w:rsid w:val="00FA211A"/>
    <w:rsid w:val="00FA215F"/>
    <w:rsid w:val="00FA390E"/>
    <w:rsid w:val="00FA3A5D"/>
    <w:rsid w:val="00FA4A3D"/>
    <w:rsid w:val="00FA5054"/>
    <w:rsid w:val="00FA6159"/>
    <w:rsid w:val="00FA6FA2"/>
    <w:rsid w:val="00FB1764"/>
    <w:rsid w:val="00FB2D5E"/>
    <w:rsid w:val="00FB5172"/>
    <w:rsid w:val="00FB664F"/>
    <w:rsid w:val="00FB698D"/>
    <w:rsid w:val="00FC0283"/>
    <w:rsid w:val="00FC076E"/>
    <w:rsid w:val="00FC11EF"/>
    <w:rsid w:val="00FC24B4"/>
    <w:rsid w:val="00FC27A0"/>
    <w:rsid w:val="00FC2B68"/>
    <w:rsid w:val="00FC49E1"/>
    <w:rsid w:val="00FD1537"/>
    <w:rsid w:val="00FD4B91"/>
    <w:rsid w:val="00FD65F4"/>
    <w:rsid w:val="00FD7AFE"/>
    <w:rsid w:val="00FE0ABD"/>
    <w:rsid w:val="00FE0BF8"/>
    <w:rsid w:val="00FE12EB"/>
    <w:rsid w:val="00FE1A58"/>
    <w:rsid w:val="00FE2D4E"/>
    <w:rsid w:val="00FE3AFA"/>
    <w:rsid w:val="00FE6D8D"/>
    <w:rsid w:val="00FE7045"/>
    <w:rsid w:val="00FF362B"/>
    <w:rsid w:val="00FF5F8D"/>
    <w:rsid w:val="01295B51"/>
    <w:rsid w:val="019F7472"/>
    <w:rsid w:val="01F37685"/>
    <w:rsid w:val="021D0A31"/>
    <w:rsid w:val="02512666"/>
    <w:rsid w:val="026076C2"/>
    <w:rsid w:val="02ED03C9"/>
    <w:rsid w:val="03544F93"/>
    <w:rsid w:val="03F607AD"/>
    <w:rsid w:val="05097E4F"/>
    <w:rsid w:val="05D75216"/>
    <w:rsid w:val="08057A5A"/>
    <w:rsid w:val="081D2FF5"/>
    <w:rsid w:val="082603F6"/>
    <w:rsid w:val="08D60932"/>
    <w:rsid w:val="095F690B"/>
    <w:rsid w:val="09F36369"/>
    <w:rsid w:val="0A422001"/>
    <w:rsid w:val="0AF97041"/>
    <w:rsid w:val="0B5120F4"/>
    <w:rsid w:val="0B5C5332"/>
    <w:rsid w:val="0B670C36"/>
    <w:rsid w:val="0BBD34B5"/>
    <w:rsid w:val="0BC76E15"/>
    <w:rsid w:val="0BF86921"/>
    <w:rsid w:val="0C192996"/>
    <w:rsid w:val="0C726DE1"/>
    <w:rsid w:val="0CE85C83"/>
    <w:rsid w:val="0D4D675A"/>
    <w:rsid w:val="0D6A51E7"/>
    <w:rsid w:val="0D706A8C"/>
    <w:rsid w:val="0DA158CF"/>
    <w:rsid w:val="0DA6583B"/>
    <w:rsid w:val="0DC02ACC"/>
    <w:rsid w:val="0DE52F3D"/>
    <w:rsid w:val="0DF40736"/>
    <w:rsid w:val="0E087302"/>
    <w:rsid w:val="0E467005"/>
    <w:rsid w:val="0E5935E8"/>
    <w:rsid w:val="0E5C065A"/>
    <w:rsid w:val="0E814B48"/>
    <w:rsid w:val="0E95550D"/>
    <w:rsid w:val="0EAF74F2"/>
    <w:rsid w:val="0EB712F3"/>
    <w:rsid w:val="0EC10829"/>
    <w:rsid w:val="0EC66D9E"/>
    <w:rsid w:val="0FB51E18"/>
    <w:rsid w:val="0FBD1D31"/>
    <w:rsid w:val="1025415A"/>
    <w:rsid w:val="103E459E"/>
    <w:rsid w:val="106E7982"/>
    <w:rsid w:val="10F90CDB"/>
    <w:rsid w:val="11560662"/>
    <w:rsid w:val="119005E6"/>
    <w:rsid w:val="11BC0F69"/>
    <w:rsid w:val="122818C5"/>
    <w:rsid w:val="12990E61"/>
    <w:rsid w:val="134F75DC"/>
    <w:rsid w:val="13A31C6C"/>
    <w:rsid w:val="14057954"/>
    <w:rsid w:val="141F2BB8"/>
    <w:rsid w:val="14445DAD"/>
    <w:rsid w:val="14B13E06"/>
    <w:rsid w:val="14C8300A"/>
    <w:rsid w:val="14D02784"/>
    <w:rsid w:val="15126879"/>
    <w:rsid w:val="151429BA"/>
    <w:rsid w:val="15351FDD"/>
    <w:rsid w:val="156B12DC"/>
    <w:rsid w:val="167101BC"/>
    <w:rsid w:val="16C52E71"/>
    <w:rsid w:val="16E52514"/>
    <w:rsid w:val="16F5263F"/>
    <w:rsid w:val="16FA7CA6"/>
    <w:rsid w:val="182716B9"/>
    <w:rsid w:val="18E84DF2"/>
    <w:rsid w:val="1A821473"/>
    <w:rsid w:val="1B7C140E"/>
    <w:rsid w:val="1C9D2CBC"/>
    <w:rsid w:val="1CB33AD0"/>
    <w:rsid w:val="1CF2284B"/>
    <w:rsid w:val="1DB23C8B"/>
    <w:rsid w:val="1DF54FD5"/>
    <w:rsid w:val="1E51534F"/>
    <w:rsid w:val="1E6848B0"/>
    <w:rsid w:val="1E780F3D"/>
    <w:rsid w:val="1ED22FA6"/>
    <w:rsid w:val="1F28636F"/>
    <w:rsid w:val="1F3C07EF"/>
    <w:rsid w:val="1FEF4FE6"/>
    <w:rsid w:val="1FF51002"/>
    <w:rsid w:val="200B35B9"/>
    <w:rsid w:val="208F7BB0"/>
    <w:rsid w:val="20932357"/>
    <w:rsid w:val="20AA5A04"/>
    <w:rsid w:val="20D43CCC"/>
    <w:rsid w:val="20D86C9F"/>
    <w:rsid w:val="21505591"/>
    <w:rsid w:val="21693ADA"/>
    <w:rsid w:val="21912EA5"/>
    <w:rsid w:val="21923936"/>
    <w:rsid w:val="21AF4B46"/>
    <w:rsid w:val="225F5AA9"/>
    <w:rsid w:val="22786B5D"/>
    <w:rsid w:val="245103DE"/>
    <w:rsid w:val="25A36113"/>
    <w:rsid w:val="25DC10B1"/>
    <w:rsid w:val="26DFD2B7"/>
    <w:rsid w:val="27027879"/>
    <w:rsid w:val="278074CE"/>
    <w:rsid w:val="27E83341"/>
    <w:rsid w:val="28324905"/>
    <w:rsid w:val="289406E2"/>
    <w:rsid w:val="28A56626"/>
    <w:rsid w:val="28C707A9"/>
    <w:rsid w:val="28E55678"/>
    <w:rsid w:val="297162B9"/>
    <w:rsid w:val="29B16CB0"/>
    <w:rsid w:val="29F30A01"/>
    <w:rsid w:val="29FB2613"/>
    <w:rsid w:val="2A215643"/>
    <w:rsid w:val="2A282887"/>
    <w:rsid w:val="2A983DED"/>
    <w:rsid w:val="2AB816D3"/>
    <w:rsid w:val="2AD530BE"/>
    <w:rsid w:val="2AE12FF4"/>
    <w:rsid w:val="2B0379D1"/>
    <w:rsid w:val="2B1C189B"/>
    <w:rsid w:val="2B331A1C"/>
    <w:rsid w:val="2BCC30F7"/>
    <w:rsid w:val="2C286EC2"/>
    <w:rsid w:val="2C4A2BDB"/>
    <w:rsid w:val="2CCB4AF9"/>
    <w:rsid w:val="2CD81EA7"/>
    <w:rsid w:val="2D0363AE"/>
    <w:rsid w:val="2D087B88"/>
    <w:rsid w:val="2D0C07DF"/>
    <w:rsid w:val="2D516D18"/>
    <w:rsid w:val="2D575D26"/>
    <w:rsid w:val="2E4B35A2"/>
    <w:rsid w:val="2E550FF1"/>
    <w:rsid w:val="2EA1576A"/>
    <w:rsid w:val="2F1E2FC7"/>
    <w:rsid w:val="2F5D86C9"/>
    <w:rsid w:val="2FFA4D14"/>
    <w:rsid w:val="306847AE"/>
    <w:rsid w:val="31036A33"/>
    <w:rsid w:val="310476ED"/>
    <w:rsid w:val="315356A2"/>
    <w:rsid w:val="31882664"/>
    <w:rsid w:val="31F6719B"/>
    <w:rsid w:val="322002DD"/>
    <w:rsid w:val="32A10AE5"/>
    <w:rsid w:val="32CE0A27"/>
    <w:rsid w:val="344B0FEE"/>
    <w:rsid w:val="345B3EFC"/>
    <w:rsid w:val="34AE2066"/>
    <w:rsid w:val="34D87802"/>
    <w:rsid w:val="350D0C42"/>
    <w:rsid w:val="350D3B23"/>
    <w:rsid w:val="358E73B8"/>
    <w:rsid w:val="35942EE4"/>
    <w:rsid w:val="35AA4ACD"/>
    <w:rsid w:val="363675DE"/>
    <w:rsid w:val="364F109D"/>
    <w:rsid w:val="36E309B3"/>
    <w:rsid w:val="36EB57D1"/>
    <w:rsid w:val="37405446"/>
    <w:rsid w:val="374E43A0"/>
    <w:rsid w:val="377FD751"/>
    <w:rsid w:val="37BD0431"/>
    <w:rsid w:val="37CC6E4F"/>
    <w:rsid w:val="37D4784E"/>
    <w:rsid w:val="37ED5336"/>
    <w:rsid w:val="38011941"/>
    <w:rsid w:val="380A11C8"/>
    <w:rsid w:val="3818153F"/>
    <w:rsid w:val="38485A4B"/>
    <w:rsid w:val="385E0B43"/>
    <w:rsid w:val="38A8411D"/>
    <w:rsid w:val="390A4563"/>
    <w:rsid w:val="39CD505D"/>
    <w:rsid w:val="39FB592A"/>
    <w:rsid w:val="3A305B92"/>
    <w:rsid w:val="3A9026A1"/>
    <w:rsid w:val="3AD05FD6"/>
    <w:rsid w:val="3B89766A"/>
    <w:rsid w:val="3BB3118E"/>
    <w:rsid w:val="3BF30A69"/>
    <w:rsid w:val="3BF43404"/>
    <w:rsid w:val="3C281CA2"/>
    <w:rsid w:val="3C312507"/>
    <w:rsid w:val="3C5B2BF6"/>
    <w:rsid w:val="3C821C6F"/>
    <w:rsid w:val="3CA80C67"/>
    <w:rsid w:val="3D5A2E74"/>
    <w:rsid w:val="3E2B6D82"/>
    <w:rsid w:val="3E8A40C6"/>
    <w:rsid w:val="3F177A97"/>
    <w:rsid w:val="3F8D6A60"/>
    <w:rsid w:val="3FF64E7A"/>
    <w:rsid w:val="41535978"/>
    <w:rsid w:val="421F75A4"/>
    <w:rsid w:val="425125A4"/>
    <w:rsid w:val="425B2DC4"/>
    <w:rsid w:val="425E348A"/>
    <w:rsid w:val="43116A85"/>
    <w:rsid w:val="43D84F35"/>
    <w:rsid w:val="440E56A0"/>
    <w:rsid w:val="44A02C93"/>
    <w:rsid w:val="44AB6CB7"/>
    <w:rsid w:val="45BD2587"/>
    <w:rsid w:val="45E91D27"/>
    <w:rsid w:val="46742761"/>
    <w:rsid w:val="47045BFA"/>
    <w:rsid w:val="485B7D62"/>
    <w:rsid w:val="48B672F5"/>
    <w:rsid w:val="48D161BE"/>
    <w:rsid w:val="490714E3"/>
    <w:rsid w:val="49E94869"/>
    <w:rsid w:val="4A211A6D"/>
    <w:rsid w:val="4A7049DC"/>
    <w:rsid w:val="4AD2369D"/>
    <w:rsid w:val="4AF864E8"/>
    <w:rsid w:val="4B277059"/>
    <w:rsid w:val="4B485858"/>
    <w:rsid w:val="4B614187"/>
    <w:rsid w:val="4C000B94"/>
    <w:rsid w:val="4C2C6EC5"/>
    <w:rsid w:val="4C54501E"/>
    <w:rsid w:val="4C8670D9"/>
    <w:rsid w:val="4C981FB8"/>
    <w:rsid w:val="4D2C63CD"/>
    <w:rsid w:val="4D441DC8"/>
    <w:rsid w:val="4DB34E33"/>
    <w:rsid w:val="4E8A612C"/>
    <w:rsid w:val="4F172905"/>
    <w:rsid w:val="4F557A83"/>
    <w:rsid w:val="4F7E46E0"/>
    <w:rsid w:val="4F885CEB"/>
    <w:rsid w:val="502A2F08"/>
    <w:rsid w:val="50406E4E"/>
    <w:rsid w:val="50EA4047"/>
    <w:rsid w:val="51465B86"/>
    <w:rsid w:val="516960CC"/>
    <w:rsid w:val="517F1F96"/>
    <w:rsid w:val="5235570C"/>
    <w:rsid w:val="53304295"/>
    <w:rsid w:val="535A6478"/>
    <w:rsid w:val="5377138E"/>
    <w:rsid w:val="53F73779"/>
    <w:rsid w:val="541A61D1"/>
    <w:rsid w:val="5449480B"/>
    <w:rsid w:val="54B57697"/>
    <w:rsid w:val="54C47110"/>
    <w:rsid w:val="569A78CF"/>
    <w:rsid w:val="571C082D"/>
    <w:rsid w:val="578775D4"/>
    <w:rsid w:val="57B34775"/>
    <w:rsid w:val="57C431D6"/>
    <w:rsid w:val="57CB09C0"/>
    <w:rsid w:val="57F07E88"/>
    <w:rsid w:val="57F34266"/>
    <w:rsid w:val="58BB684A"/>
    <w:rsid w:val="58FE3181"/>
    <w:rsid w:val="590B7C5F"/>
    <w:rsid w:val="5A32415D"/>
    <w:rsid w:val="5AB441AC"/>
    <w:rsid w:val="5AC17932"/>
    <w:rsid w:val="5AE66FE3"/>
    <w:rsid w:val="5BCA39C3"/>
    <w:rsid w:val="5BD43965"/>
    <w:rsid w:val="5BDC31D7"/>
    <w:rsid w:val="5BF9320A"/>
    <w:rsid w:val="5C083EDF"/>
    <w:rsid w:val="5C2A604B"/>
    <w:rsid w:val="5C2F7D76"/>
    <w:rsid w:val="5C857487"/>
    <w:rsid w:val="5D1B68A2"/>
    <w:rsid w:val="5DA03825"/>
    <w:rsid w:val="5E193160"/>
    <w:rsid w:val="5E2C27BF"/>
    <w:rsid w:val="5E88747F"/>
    <w:rsid w:val="5E94525B"/>
    <w:rsid w:val="5EF003DA"/>
    <w:rsid w:val="5F88573C"/>
    <w:rsid w:val="60574CEF"/>
    <w:rsid w:val="60D37950"/>
    <w:rsid w:val="613A7416"/>
    <w:rsid w:val="61987E77"/>
    <w:rsid w:val="61C579C1"/>
    <w:rsid w:val="61FC70B7"/>
    <w:rsid w:val="62353290"/>
    <w:rsid w:val="625F5CF9"/>
    <w:rsid w:val="62EE2739"/>
    <w:rsid w:val="639E52DB"/>
    <w:rsid w:val="63E543CF"/>
    <w:rsid w:val="63EC08F9"/>
    <w:rsid w:val="63F2580D"/>
    <w:rsid w:val="642C250E"/>
    <w:rsid w:val="643839B5"/>
    <w:rsid w:val="647E1E99"/>
    <w:rsid w:val="649607F0"/>
    <w:rsid w:val="64B22597"/>
    <w:rsid w:val="64BF6DED"/>
    <w:rsid w:val="6502797D"/>
    <w:rsid w:val="659F203C"/>
    <w:rsid w:val="65BD4324"/>
    <w:rsid w:val="65EF12F6"/>
    <w:rsid w:val="664C1D77"/>
    <w:rsid w:val="667B3089"/>
    <w:rsid w:val="67125407"/>
    <w:rsid w:val="6780039A"/>
    <w:rsid w:val="67824A12"/>
    <w:rsid w:val="67832EF6"/>
    <w:rsid w:val="678A5FCA"/>
    <w:rsid w:val="67FA3486"/>
    <w:rsid w:val="68146A3F"/>
    <w:rsid w:val="68C01144"/>
    <w:rsid w:val="691A5502"/>
    <w:rsid w:val="6A100FD1"/>
    <w:rsid w:val="6A3F52CF"/>
    <w:rsid w:val="6AEE5966"/>
    <w:rsid w:val="6B2E1807"/>
    <w:rsid w:val="6B361DA3"/>
    <w:rsid w:val="6B505657"/>
    <w:rsid w:val="6B851FF7"/>
    <w:rsid w:val="6BCB0847"/>
    <w:rsid w:val="6BE141F3"/>
    <w:rsid w:val="6CEC000A"/>
    <w:rsid w:val="6D516D25"/>
    <w:rsid w:val="6D716B35"/>
    <w:rsid w:val="6D8F4CC3"/>
    <w:rsid w:val="6DFE24BB"/>
    <w:rsid w:val="6E9311AE"/>
    <w:rsid w:val="6E933C40"/>
    <w:rsid w:val="6EAE1559"/>
    <w:rsid w:val="6EE104BA"/>
    <w:rsid w:val="6EFC5484"/>
    <w:rsid w:val="6F061516"/>
    <w:rsid w:val="6F513E19"/>
    <w:rsid w:val="6F7ED4B6"/>
    <w:rsid w:val="6FC02188"/>
    <w:rsid w:val="6FE1724C"/>
    <w:rsid w:val="6FE46603"/>
    <w:rsid w:val="6FFB12AF"/>
    <w:rsid w:val="703C4491"/>
    <w:rsid w:val="708D7E89"/>
    <w:rsid w:val="709637C1"/>
    <w:rsid w:val="71074D00"/>
    <w:rsid w:val="716D761B"/>
    <w:rsid w:val="71A76928"/>
    <w:rsid w:val="72D3722F"/>
    <w:rsid w:val="731F1983"/>
    <w:rsid w:val="733EA6F1"/>
    <w:rsid w:val="739E7073"/>
    <w:rsid w:val="74373814"/>
    <w:rsid w:val="744D64A9"/>
    <w:rsid w:val="74A206D3"/>
    <w:rsid w:val="74A54C22"/>
    <w:rsid w:val="756A0A3D"/>
    <w:rsid w:val="75922929"/>
    <w:rsid w:val="763444AF"/>
    <w:rsid w:val="76361BC4"/>
    <w:rsid w:val="76AF1AA2"/>
    <w:rsid w:val="7709607D"/>
    <w:rsid w:val="77445D2C"/>
    <w:rsid w:val="778C1C2B"/>
    <w:rsid w:val="78877820"/>
    <w:rsid w:val="78E70A2D"/>
    <w:rsid w:val="79331D62"/>
    <w:rsid w:val="796061A5"/>
    <w:rsid w:val="79CD0279"/>
    <w:rsid w:val="7A1C09ED"/>
    <w:rsid w:val="7A635A80"/>
    <w:rsid w:val="7AFD91F8"/>
    <w:rsid w:val="7B0A1790"/>
    <w:rsid w:val="7BB8788F"/>
    <w:rsid w:val="7C093CE8"/>
    <w:rsid w:val="7C2132DA"/>
    <w:rsid w:val="7C3005DF"/>
    <w:rsid w:val="7C71247C"/>
    <w:rsid w:val="7C945D05"/>
    <w:rsid w:val="7CE22776"/>
    <w:rsid w:val="7D04082D"/>
    <w:rsid w:val="7D471B43"/>
    <w:rsid w:val="7D7FDCB6"/>
    <w:rsid w:val="7E104A08"/>
    <w:rsid w:val="7EB3493A"/>
    <w:rsid w:val="7EDF4DC2"/>
    <w:rsid w:val="7EE4243A"/>
    <w:rsid w:val="7EFA151F"/>
    <w:rsid w:val="7F7D2854"/>
    <w:rsid w:val="7FC35F96"/>
    <w:rsid w:val="BEFF496D"/>
    <w:rsid w:val="EFFFB267"/>
    <w:rsid w:val="FBE6BB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qFormat/>
    <w:uiPriority w:val="99"/>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30"/>
    <w:qFormat/>
    <w:uiPriority w:val="99"/>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1"/>
    <w:qFormat/>
    <w:uiPriority w:val="1"/>
    <w:pPr>
      <w:ind w:left="119"/>
      <w:jc w:val="left"/>
    </w:pPr>
    <w:rPr>
      <w:rFonts w:ascii="仿宋_GB2312" w:hAnsi="仿宋_GB2312" w:eastAsia="仿宋_GB2312" w:cstheme="minorBidi"/>
      <w:kern w:val="0"/>
      <w:szCs w:val="30"/>
      <w:lang w:eastAsia="en-US"/>
    </w:rPr>
  </w:style>
  <w:style w:type="paragraph" w:styleId="3">
    <w:name w:val="toc 5"/>
    <w:basedOn w:val="1"/>
    <w:next w:val="1"/>
    <w:qFormat/>
    <w:uiPriority w:val="0"/>
    <w:pPr>
      <w:ind w:left="1680" w:leftChars="800"/>
    </w:p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Document Map"/>
    <w:basedOn w:val="1"/>
    <w:link w:val="36"/>
    <w:unhideWhenUsed/>
    <w:qFormat/>
    <w:uiPriority w:val="99"/>
    <w:rPr>
      <w:rFonts w:ascii="宋体"/>
      <w:sz w:val="18"/>
      <w:szCs w:val="18"/>
    </w:rPr>
  </w:style>
  <w:style w:type="paragraph" w:styleId="9">
    <w:name w:val="annotation text"/>
    <w:basedOn w:val="1"/>
    <w:link w:val="34"/>
    <w:unhideWhenUsed/>
    <w:qFormat/>
    <w:uiPriority w:val="99"/>
    <w:pPr>
      <w:jc w:val="left"/>
    </w:p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Balloon Text"/>
    <w:basedOn w:val="1"/>
    <w:link w:val="33"/>
    <w:unhideWhenUsed/>
    <w:qFormat/>
    <w:uiPriority w:val="99"/>
    <w:rPr>
      <w:sz w:val="18"/>
      <w:szCs w:val="18"/>
    </w:rPr>
  </w:style>
  <w:style w:type="paragraph" w:styleId="12">
    <w:name w:val="footer"/>
    <w:basedOn w:val="1"/>
    <w:link w:val="3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5">
    <w:name w:val="toc 4"/>
    <w:basedOn w:val="1"/>
    <w:next w:val="1"/>
    <w:semiHidden/>
    <w:unhideWhenUsed/>
    <w:qFormat/>
    <w:uiPriority w:val="39"/>
    <w:pPr>
      <w:ind w:left="1260" w:leftChars="600"/>
    </w:pPr>
  </w:style>
  <w:style w:type="paragraph" w:styleId="16">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annotation subject"/>
    <w:basedOn w:val="9"/>
    <w:next w:val="9"/>
    <w:link w:val="35"/>
    <w:unhideWhenUsed/>
    <w:qFormat/>
    <w:uiPriority w:val="99"/>
    <w:rPr>
      <w:b/>
      <w:bCs/>
    </w:rPr>
  </w:style>
  <w:style w:type="table" w:styleId="20">
    <w:name w:val="Table Grid"/>
    <w:basedOn w:val="1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uiPriority w:val="22"/>
    <w:rPr>
      <w:b/>
    </w:rPr>
  </w:style>
  <w:style w:type="character" w:styleId="23">
    <w:name w:val="page number"/>
    <w:basedOn w:val="21"/>
    <w:qFormat/>
    <w:uiPriority w:val="0"/>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basedOn w:val="21"/>
    <w:unhideWhenUsed/>
    <w:qFormat/>
    <w:uiPriority w:val="99"/>
    <w:rPr>
      <w:sz w:val="21"/>
      <w:szCs w:val="21"/>
    </w:rPr>
  </w:style>
  <w:style w:type="paragraph" w:customStyle="1" w:styleId="26">
    <w:name w:val="Default"/>
    <w:basedOn w:val="27"/>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正文1"/>
    <w:qFormat/>
    <w:uiPriority w:val="0"/>
    <w:pPr>
      <w:jc w:val="both"/>
    </w:pPr>
    <w:rPr>
      <w:rFonts w:ascii="Calibri" w:hAnsi="Calibri" w:eastAsia="宋体" w:cs="Times New Roman"/>
      <w:sz w:val="32"/>
      <w:szCs w:val="32"/>
      <w:lang w:val="en-US" w:eastAsia="zh-CN" w:bidi="ar-SA"/>
    </w:rPr>
  </w:style>
  <w:style w:type="character" w:customStyle="1" w:styleId="28">
    <w:name w:val="标题 1 字符"/>
    <w:basedOn w:val="21"/>
    <w:link w:val="4"/>
    <w:qFormat/>
    <w:uiPriority w:val="9"/>
    <w:rPr>
      <w:rFonts w:ascii="Times New Roman" w:hAnsi="Times New Roman" w:eastAsia="宋体" w:cs="Times New Roman"/>
      <w:b/>
      <w:bCs/>
      <w:kern w:val="44"/>
      <w:sz w:val="44"/>
      <w:szCs w:val="44"/>
    </w:rPr>
  </w:style>
  <w:style w:type="character" w:customStyle="1" w:styleId="29">
    <w:name w:val="标题 2 字符"/>
    <w:basedOn w:val="21"/>
    <w:link w:val="5"/>
    <w:qFormat/>
    <w:uiPriority w:val="99"/>
    <w:rPr>
      <w:rFonts w:ascii="Cambria" w:hAnsi="Cambria" w:eastAsia="宋体" w:cs="Times New Roman"/>
      <w:b/>
      <w:bCs/>
      <w:kern w:val="0"/>
      <w:sz w:val="32"/>
      <w:szCs w:val="32"/>
    </w:rPr>
  </w:style>
  <w:style w:type="character" w:customStyle="1" w:styleId="30">
    <w:name w:val="标题 3 字符"/>
    <w:basedOn w:val="21"/>
    <w:link w:val="6"/>
    <w:qFormat/>
    <w:uiPriority w:val="99"/>
    <w:rPr>
      <w:rFonts w:ascii="Times New Roman" w:hAnsi="Times New Roman" w:eastAsia="宋体" w:cs="Times New Roman"/>
      <w:b/>
      <w:bCs/>
      <w:kern w:val="0"/>
      <w:sz w:val="32"/>
      <w:szCs w:val="32"/>
    </w:rPr>
  </w:style>
  <w:style w:type="character" w:customStyle="1" w:styleId="31">
    <w:name w:val="页眉 字符"/>
    <w:basedOn w:val="21"/>
    <w:link w:val="13"/>
    <w:qFormat/>
    <w:uiPriority w:val="99"/>
    <w:rPr>
      <w:sz w:val="18"/>
      <w:szCs w:val="18"/>
    </w:rPr>
  </w:style>
  <w:style w:type="character" w:customStyle="1" w:styleId="32">
    <w:name w:val="页脚 字符"/>
    <w:basedOn w:val="21"/>
    <w:link w:val="12"/>
    <w:qFormat/>
    <w:uiPriority w:val="0"/>
    <w:rPr>
      <w:sz w:val="18"/>
      <w:szCs w:val="18"/>
    </w:rPr>
  </w:style>
  <w:style w:type="character" w:customStyle="1" w:styleId="33">
    <w:name w:val="批注框文本 字符"/>
    <w:basedOn w:val="21"/>
    <w:link w:val="11"/>
    <w:semiHidden/>
    <w:qFormat/>
    <w:uiPriority w:val="99"/>
    <w:rPr>
      <w:rFonts w:ascii="Times New Roman" w:hAnsi="Times New Roman" w:eastAsia="宋体" w:cs="Times New Roman"/>
      <w:sz w:val="18"/>
      <w:szCs w:val="18"/>
    </w:rPr>
  </w:style>
  <w:style w:type="character" w:customStyle="1" w:styleId="34">
    <w:name w:val="批注文字 字符"/>
    <w:basedOn w:val="21"/>
    <w:link w:val="9"/>
    <w:qFormat/>
    <w:uiPriority w:val="99"/>
    <w:rPr>
      <w:rFonts w:ascii="Times New Roman" w:hAnsi="Times New Roman" w:eastAsia="宋体" w:cs="Times New Roman"/>
      <w:szCs w:val="21"/>
    </w:rPr>
  </w:style>
  <w:style w:type="character" w:customStyle="1" w:styleId="35">
    <w:name w:val="批注主题 字符"/>
    <w:basedOn w:val="34"/>
    <w:link w:val="18"/>
    <w:semiHidden/>
    <w:qFormat/>
    <w:uiPriority w:val="99"/>
    <w:rPr>
      <w:rFonts w:ascii="Times New Roman" w:hAnsi="Times New Roman" w:eastAsia="宋体" w:cs="Times New Roman"/>
      <w:b/>
      <w:bCs/>
      <w:szCs w:val="21"/>
    </w:rPr>
  </w:style>
  <w:style w:type="character" w:customStyle="1" w:styleId="36">
    <w:name w:val="文档结构图 字符"/>
    <w:basedOn w:val="21"/>
    <w:link w:val="8"/>
    <w:semiHidden/>
    <w:qFormat/>
    <w:uiPriority w:val="99"/>
    <w:rPr>
      <w:rFonts w:ascii="宋体" w:hAnsi="Times New Roman" w:eastAsia="宋体" w:cs="Times New Roman"/>
      <w:sz w:val="18"/>
      <w:szCs w:val="18"/>
    </w:rPr>
  </w:style>
  <w:style w:type="paragraph" w:customStyle="1" w:styleId="37">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8">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9">
    <w:name w:val="页码 New New"/>
    <w:basedOn w:val="21"/>
    <w:qFormat/>
    <w:uiPriority w:val="0"/>
  </w:style>
  <w:style w:type="paragraph" w:customStyle="1" w:styleId="40">
    <w:name w:val="列表段落1"/>
    <w:basedOn w:val="1"/>
    <w:qFormat/>
    <w:uiPriority w:val="34"/>
    <w:pPr>
      <w:ind w:firstLine="420" w:firstLineChars="200"/>
    </w:pPr>
  </w:style>
  <w:style w:type="character" w:customStyle="1" w:styleId="41">
    <w:name w:val="正文文本 字符"/>
    <w:basedOn w:val="21"/>
    <w:link w:val="2"/>
    <w:qFormat/>
    <w:uiPriority w:val="1"/>
    <w:rPr>
      <w:rFonts w:ascii="仿宋_GB2312" w:hAnsi="仿宋_GB2312" w:eastAsia="仿宋_GB2312"/>
      <w:kern w:val="0"/>
      <w:sz w:val="30"/>
      <w:szCs w:val="30"/>
      <w:lang w:eastAsia="en-US"/>
    </w:rPr>
  </w:style>
  <w:style w:type="character" w:customStyle="1" w:styleId="42">
    <w:name w:val="未处理的提及1"/>
    <w:basedOn w:val="21"/>
    <w:unhideWhenUsed/>
    <w:qFormat/>
    <w:uiPriority w:val="99"/>
    <w:rPr>
      <w:color w:val="605E5C"/>
      <w:shd w:val="clear" w:color="auto" w:fill="E1DFDD"/>
    </w:rPr>
  </w:style>
  <w:style w:type="character" w:customStyle="1" w:styleId="43">
    <w:name w:val="占位符文本1"/>
    <w:basedOn w:val="21"/>
    <w:semiHidden/>
    <w:qFormat/>
    <w:uiPriority w:val="99"/>
    <w:rPr>
      <w:color w:val="808080"/>
    </w:rPr>
  </w:style>
  <w:style w:type="character" w:customStyle="1" w:styleId="44">
    <w:name w:val="font21"/>
    <w:basedOn w:val="21"/>
    <w:qFormat/>
    <w:uiPriority w:val="0"/>
    <w:rPr>
      <w:rFonts w:hint="default" w:ascii="Times New Roman" w:hAnsi="Times New Roman" w:cs="Times New Roman"/>
      <w:color w:val="000000"/>
      <w:sz w:val="20"/>
      <w:szCs w:val="20"/>
      <w:u w:val="none"/>
    </w:rPr>
  </w:style>
  <w:style w:type="character" w:customStyle="1" w:styleId="45">
    <w:name w:val="font41"/>
    <w:basedOn w:val="21"/>
    <w:qFormat/>
    <w:uiPriority w:val="0"/>
    <w:rPr>
      <w:rFonts w:hint="eastAsia" w:ascii="宋体" w:hAnsi="宋体" w:eastAsia="宋体" w:cs="宋体"/>
      <w:color w:val="000000"/>
      <w:sz w:val="20"/>
      <w:szCs w:val="20"/>
      <w:u w:val="none"/>
    </w:rPr>
  </w:style>
  <w:style w:type="character" w:customStyle="1" w:styleId="46">
    <w:name w:val="font31"/>
    <w:basedOn w:val="21"/>
    <w:qFormat/>
    <w:uiPriority w:val="0"/>
    <w:rPr>
      <w:rFonts w:hint="eastAsia" w:ascii="宋体" w:hAnsi="宋体" w:eastAsia="宋体" w:cs="宋体"/>
      <w:color w:val="000000"/>
      <w:sz w:val="20"/>
      <w:szCs w:val="20"/>
      <w:u w:val="none"/>
    </w:rPr>
  </w:style>
  <w:style w:type="character" w:customStyle="1" w:styleId="47">
    <w:name w:val="font11"/>
    <w:basedOn w:val="21"/>
    <w:qFormat/>
    <w:uiPriority w:val="0"/>
    <w:rPr>
      <w:rFonts w:hint="eastAsia" w:ascii="宋体" w:hAnsi="宋体" w:eastAsia="宋体" w:cs="宋体"/>
      <w:color w:val="000000"/>
      <w:sz w:val="20"/>
      <w:szCs w:val="20"/>
      <w:u w:val="none"/>
    </w:rPr>
  </w:style>
  <w:style w:type="paragraph" w:customStyle="1" w:styleId="48">
    <w:name w:val="实施方案正文"/>
    <w:basedOn w:val="1"/>
    <w:qFormat/>
    <w:uiPriority w:val="0"/>
    <w:pPr>
      <w:ind w:firstLine="566" w:firstLineChars="202"/>
    </w:pPr>
    <w:rPr>
      <w:rFonts w:ascii="Calibri" w:hAnsi="Calibri" w:eastAsia="宋体" w:cs="Times New Roman"/>
      <w:sz w:val="21"/>
    </w:rPr>
  </w:style>
  <w:style w:type="character" w:customStyle="1" w:styleId="49">
    <w:name w:val="font01"/>
    <w:basedOn w:val="21"/>
    <w:qFormat/>
    <w:uiPriority w:val="0"/>
    <w:rPr>
      <w:rFonts w:hint="eastAsia" w:ascii="仿宋" w:hAnsi="仿宋" w:eastAsia="仿宋" w:cs="仿宋"/>
      <w:b/>
      <w:bCs/>
      <w:color w:val="000000"/>
      <w:sz w:val="21"/>
      <w:szCs w:val="21"/>
      <w:u w:val="none"/>
    </w:rPr>
  </w:style>
  <w:style w:type="character" w:customStyle="1" w:styleId="50">
    <w:name w:val="公文正文"/>
    <w:basedOn w:val="51"/>
    <w:qFormat/>
    <w:uiPriority w:val="0"/>
    <w:rPr>
      <w:rFonts w:eastAsia="仿宋_GB2312"/>
      <w:sz w:val="32"/>
    </w:rPr>
  </w:style>
  <w:style w:type="character" w:customStyle="1" w:styleId="51">
    <w:name w:val="默认段落字体1"/>
    <w:qFormat/>
    <w:uiPriority w:val="0"/>
  </w:style>
  <w:style w:type="paragraph" w:customStyle="1" w:styleId="5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d173d1ad-61f7-4817-b723-59da03a43b7f</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402111DE</paraID>
      <start>161</start>
      <end>163</end>
      <status>ignored</status>
      <modifiedWord/>
      <trackRevisions>false</trackRevisions>
    </reviewItem>
    <reviewItem>
      <errorID>d22dfd5d-9a31-441a-91f0-f256cc8d07fc</errorID>
      <errorWord>判</errorWord>
      <group>L1_Word</group>
      <groupName>字词问题</groupName>
      <ability>L2_Typo</ability>
      <abilityName>字词错误</abilityName>
      <candidateList>
        <item>判方</item>
      </candidateList>
      <explain/>
      <paraID>1D3E3214</paraID>
      <start>121</start>
      <end>123</end>
      <status>modified</status>
      <modifiedWord>判方</modifiedWord>
      <trackRevisions>false</trackRevisions>
    </reviewItem>
    <reviewItem>
      <errorID>91a0e195-1243-4320-b63a-49a0d6daa548</errorID>
      <errorWord>》</errorWord>
      <group>L1_Word</group>
      <groupName>字词问题</groupName>
      <ability>L2_Typo</ability>
      <abilityName>字词错误</abilityName>
      <candidateList>
        <item>》等</item>
      </candidateList>
      <explain/>
      <paraID>3AEA1713</paraID>
      <start>102</start>
      <end>104</end>
      <status>modified</status>
      <modifiedWord>》等</modifiedWord>
      <trackRevisions>false</trackRevisions>
    </reviewItem>
    <reviewItem>
      <errorID>8b916a22-e237-40ac-bbdf-a0dc2ee5f689</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21780BAA</paraID>
      <start>159</start>
      <end>161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20231a-0766-432b-82e8-72779146b21b}">
  <ds:schemaRefs/>
</ds:datastoreItem>
</file>

<file path=docProps/app.xml><?xml version="1.0" encoding="utf-8"?>
<Properties xmlns="http://schemas.openxmlformats.org/officeDocument/2006/extended-properties" xmlns:vt="http://schemas.openxmlformats.org/officeDocument/2006/docPropsVTypes">
  <Template>Normal</Template>
  <Pages>30</Pages>
  <Words>3540</Words>
  <Characters>3791</Characters>
  <Lines>167</Lines>
  <Paragraphs>47</Paragraphs>
  <TotalTime>235</TotalTime>
  <ScaleCrop>false</ScaleCrop>
  <LinksUpToDate>false</LinksUpToDate>
  <CharactersWithSpaces>3837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2017-11-01T07:15:00Z</dcterms:created>
  <cp:lastPrinted>2024-05-09T08:20:00Z</cp:lastPrinted>
  <dcterms:modified xsi:type="dcterms:W3CDTF">2025-12-08T07:28:46Z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AAEC5A3D7289A51E6263006917424B32_43</vt:lpwstr>
  </property>
  <property fmtid="{D5CDD505-2E9C-101B-9397-08002B2CF9AE}" pid="4" name="KSOTemplateDocerSaveRecord">
    <vt:lpwstr>eyJoZGlkIjoiYTVkMzE2ZDdlYWE2MDE2YmQ4YWZhZGFkZDFkYjk4MDEiLCJ1c2VySWQiOiIzNjg0MjQyNTYifQ==</vt:lpwstr>
  </property>
</Properties>
</file>