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hint="eastAsia" w:asciiTheme="majorEastAsia" w:hAnsiTheme="majorEastAsia" w:eastAsiaTheme="majorEastAsia" w:cstheme="majorEastAsia"/>
          <w:b/>
          <w:bCs/>
          <w:sz w:val="36"/>
          <w:szCs w:val="36"/>
          <w:lang w:val="zh-CN"/>
        </w:rPr>
        <w:id w:val="-1"/>
      </w:sdtPr>
      <w:sdtEndPr>
        <w:rPr>
          <w:rFonts w:hint="eastAsia" w:ascii="仿宋" w:hAnsi="Times New Roman" w:eastAsia="仿宋" w:cstheme="majorEastAsia"/>
          <w:b w:val="0"/>
          <w:bCs w:val="0"/>
          <w:sz w:val="30"/>
          <w:szCs w:val="21"/>
          <w:lang w:val="en-US"/>
        </w:rPr>
      </w:sdtEndPr>
      <w:sdtContent>
        <w:p w14:paraId="76D39A7F">
          <w:pPr>
            <w:spacing w:line="590" w:lineRule="exact"/>
            <w:jc w:val="center"/>
            <w:rPr>
              <w:rFonts w:ascii="方正小标宋简体" w:hAnsi="黑体" w:eastAsia="方正小标宋简体" w:cs="宋体+FPEF"/>
              <w:color w:val="0000FF"/>
              <w:spacing w:val="6"/>
              <w:kern w:val="0"/>
              <w:sz w:val="40"/>
              <w:szCs w:val="40"/>
            </w:rPr>
          </w:pPr>
          <w:r>
            <w:rPr>
              <w:rFonts w:asciiTheme="majorEastAsia" w:hAnsiTheme="majorEastAsia" w:eastAsiaTheme="majorEastAsia" w:cstheme="majorEastAsia"/>
              <w:b/>
              <w:bCs/>
              <w:sz w:val="36"/>
              <w:szCs w:val="36"/>
              <w:lang w:val="zh-CN"/>
            </w:rPr>
            <w:tab/>
          </w:r>
        </w:p>
        <w:p w14:paraId="477098A6">
          <w:pPr>
            <w:spacing w:line="590" w:lineRule="exact"/>
            <w:jc w:val="center"/>
            <w:rPr>
              <w:rFonts w:ascii="方正小标宋简体" w:hAnsi="方正小标宋简体" w:eastAsia="方正小标宋简体" w:cs="方正小标宋简体"/>
              <w:spacing w:val="6"/>
              <w:kern w:val="0"/>
              <w:sz w:val="40"/>
              <w:szCs w:val="40"/>
            </w:rPr>
          </w:pPr>
        </w:p>
        <w:p w14:paraId="75B27A56">
          <w:pPr>
            <w:spacing w:line="590" w:lineRule="exact"/>
            <w:jc w:val="center"/>
            <w:rPr>
              <w:rFonts w:ascii="方正小标宋简体" w:hAnsi="方正小标宋简体" w:eastAsia="方正小标宋简体" w:cs="方正小标宋简体"/>
              <w:spacing w:val="6"/>
              <w:kern w:val="0"/>
              <w:sz w:val="40"/>
              <w:szCs w:val="40"/>
            </w:rPr>
          </w:pPr>
        </w:p>
        <w:p w14:paraId="1AED5639">
          <w:pPr>
            <w:spacing w:line="590" w:lineRule="exact"/>
            <w:jc w:val="center"/>
            <w:rPr>
              <w:rFonts w:hint="eastAsia" w:ascii="方正小标宋简体" w:hAnsi="方正小标宋简体" w:eastAsia="方正小标宋简体" w:cs="方正小标宋简体"/>
              <w:spacing w:val="6"/>
              <w:kern w:val="0"/>
              <w:sz w:val="40"/>
              <w:szCs w:val="40"/>
              <w:lang w:val="en-US" w:eastAsia="zh-CN"/>
            </w:rPr>
          </w:pPr>
          <w:r>
            <w:rPr>
              <w:rFonts w:hint="eastAsia" w:ascii="方正小标宋简体" w:hAnsi="方正小标宋简体" w:eastAsia="方正小标宋简体" w:cs="方正小标宋简体"/>
              <w:spacing w:val="6"/>
              <w:kern w:val="0"/>
              <w:sz w:val="40"/>
              <w:szCs w:val="40"/>
              <w:lang w:val="en-US" w:eastAsia="zh-CN"/>
            </w:rPr>
            <w:t>昆明市西山区海口街道办事处</w:t>
          </w:r>
        </w:p>
        <w:p w14:paraId="5202C451">
          <w:pPr>
            <w:spacing w:line="590" w:lineRule="exact"/>
            <w:jc w:val="center"/>
            <w:rPr>
              <w:rFonts w:hint="default" w:ascii="方正小标宋简体" w:hAnsi="方正小标宋简体" w:eastAsia="方正小标宋简体" w:cs="方正小标宋简体"/>
              <w:spacing w:val="6"/>
              <w:kern w:val="0"/>
              <w:sz w:val="40"/>
              <w:szCs w:val="40"/>
              <w:lang w:val="en-US" w:eastAsia="zh-CN"/>
            </w:rPr>
          </w:pPr>
          <w:r>
            <w:rPr>
              <w:rFonts w:hint="eastAsia" w:ascii="方正小标宋简体" w:hAnsi="方正小标宋简体" w:eastAsia="方正小标宋简体" w:cs="方正小标宋简体"/>
              <w:spacing w:val="6"/>
              <w:kern w:val="0"/>
              <w:sz w:val="40"/>
              <w:szCs w:val="40"/>
              <w:lang w:val="en-US" w:eastAsia="zh-CN"/>
            </w:rPr>
            <w:t>产业发展专项资金支出项目</w:t>
          </w:r>
        </w:p>
        <w:p w14:paraId="31E573FC">
          <w:pPr>
            <w:spacing w:line="590" w:lineRule="exact"/>
            <w:jc w:val="center"/>
            <w:rPr>
              <w:rFonts w:ascii="方正小标宋简体" w:hAnsi="方正小标宋简体" w:eastAsia="方正小标宋简体" w:cs="方正小标宋简体"/>
              <w:spacing w:val="6"/>
              <w:kern w:val="0"/>
              <w:sz w:val="40"/>
              <w:szCs w:val="40"/>
            </w:rPr>
          </w:pPr>
        </w:p>
        <w:p w14:paraId="7AA62116">
          <w:pPr>
            <w:jc w:val="center"/>
            <w:rPr>
              <w:rFonts w:hint="eastAsia" w:ascii="方正小标宋简体" w:hAnsi="宋体" w:eastAsia="方正小标宋简体"/>
              <w:color w:val="000000"/>
              <w:spacing w:val="6"/>
              <w:sz w:val="72"/>
              <w:szCs w:val="72"/>
            </w:rPr>
          </w:pPr>
          <w:r>
            <w:rPr>
              <w:rFonts w:hint="eastAsia" w:ascii="方正小标宋简体" w:hAnsi="宋体" w:eastAsia="方正小标宋简体"/>
              <w:color w:val="000000"/>
              <w:spacing w:val="6"/>
              <w:sz w:val="72"/>
              <w:szCs w:val="72"/>
            </w:rPr>
            <w:t>绩效评价报告</w:t>
          </w:r>
        </w:p>
        <w:p w14:paraId="722971EF">
          <w:pPr>
            <w:spacing w:line="590" w:lineRule="exact"/>
            <w:jc w:val="center"/>
            <w:rPr>
              <w:rFonts w:ascii="方正小标宋简体" w:hAnsi="Arial Narrow" w:eastAsia="方正小标宋简体"/>
              <w:spacing w:val="6"/>
              <w:kern w:val="0"/>
              <w:sz w:val="40"/>
              <w:szCs w:val="40"/>
            </w:rPr>
          </w:pPr>
        </w:p>
        <w:p w14:paraId="56AC331C">
          <w:pPr>
            <w:spacing w:line="590" w:lineRule="exact"/>
            <w:jc w:val="center"/>
            <w:rPr>
              <w:rFonts w:ascii="方正小标宋简体" w:hAnsi="Arial Narrow" w:eastAsia="方正小标宋简体"/>
              <w:spacing w:val="6"/>
              <w:kern w:val="0"/>
              <w:sz w:val="40"/>
              <w:szCs w:val="40"/>
            </w:rPr>
          </w:pPr>
        </w:p>
        <w:p w14:paraId="4E74F8C1">
          <w:pPr>
            <w:spacing w:line="590" w:lineRule="exact"/>
            <w:jc w:val="center"/>
            <w:rPr>
              <w:rFonts w:ascii="方正小标宋简体" w:hAnsi="Arial Narrow" w:eastAsia="方正小标宋简体"/>
              <w:spacing w:val="6"/>
              <w:kern w:val="0"/>
              <w:sz w:val="40"/>
              <w:szCs w:val="40"/>
            </w:rPr>
          </w:pPr>
        </w:p>
        <w:p w14:paraId="6CA2DBC4">
          <w:pPr>
            <w:spacing w:line="590" w:lineRule="exact"/>
            <w:jc w:val="center"/>
            <w:rPr>
              <w:rFonts w:ascii="方正小标宋简体" w:hAnsi="Arial Narrow" w:eastAsia="方正小标宋简体"/>
              <w:spacing w:val="6"/>
              <w:kern w:val="0"/>
              <w:sz w:val="40"/>
              <w:szCs w:val="40"/>
            </w:rPr>
          </w:pPr>
        </w:p>
        <w:p w14:paraId="381E5CEE">
          <w:pPr>
            <w:spacing w:line="590" w:lineRule="exact"/>
            <w:jc w:val="center"/>
            <w:rPr>
              <w:rFonts w:ascii="方正小标宋简体" w:hAnsi="Arial Narrow" w:eastAsia="方正小标宋简体"/>
              <w:spacing w:val="6"/>
              <w:kern w:val="0"/>
              <w:sz w:val="40"/>
              <w:szCs w:val="40"/>
            </w:rPr>
          </w:pPr>
        </w:p>
        <w:p w14:paraId="2B69D394">
          <w:pPr>
            <w:spacing w:line="590" w:lineRule="exact"/>
            <w:jc w:val="center"/>
            <w:rPr>
              <w:rFonts w:ascii="方正小标宋简体" w:hAnsi="方正小标宋简体" w:eastAsia="方正小标宋简体" w:cs="方正小标宋简体"/>
              <w:spacing w:val="6"/>
              <w:kern w:val="0"/>
              <w:sz w:val="36"/>
              <w:szCs w:val="36"/>
            </w:rPr>
          </w:pPr>
        </w:p>
        <w:tbl>
          <w:tblPr>
            <w:tblStyle w:val="19"/>
            <w:tblW w:w="888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228"/>
            <w:gridCol w:w="5660"/>
          </w:tblGrid>
          <w:tr w14:paraId="74891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228" w:type="dxa"/>
                <w:noWrap w:val="0"/>
                <w:vAlign w:val="center"/>
              </w:tcPr>
              <w:p w14:paraId="24B053D9">
                <w:pPr>
                  <w:keepNext w:val="0"/>
                  <w:keepLines w:val="0"/>
                  <w:pageBreakBefore w:val="0"/>
                  <w:widowControl w:val="0"/>
                  <w:suppressLineNumbers w:val="0"/>
                  <w:kinsoku/>
                  <w:wordWrap/>
                  <w:overflowPunct w:val="0"/>
                  <w:topLinePunct w:val="0"/>
                  <w:autoSpaceDE w:val="0"/>
                  <w:autoSpaceDN/>
                  <w:bidi w:val="0"/>
                  <w:adjustRightInd w:val="0"/>
                  <w:snapToGrid w:val="0"/>
                  <w:spacing w:before="0" w:beforeAutospacing="0" w:after="0" w:afterAutospacing="0" w:line="500" w:lineRule="exact"/>
                  <w:ind w:left="0" w:leftChars="0" w:right="0" w:rightChars="0"/>
                  <w:jc w:val="distribute"/>
                  <w:textAlignment w:val="auto"/>
                  <w:rPr>
                    <w:rFonts w:hint="eastAsia" w:ascii="方正小标宋简体" w:hAnsi="方正小标宋简体" w:eastAsia="方正小标宋简体" w:cs="方正小标宋简体"/>
                    <w:spacing w:val="40"/>
                    <w:kern w:val="0"/>
                    <w:sz w:val="24"/>
                    <w:szCs w:val="24"/>
                    <w:u w:val="none"/>
                  </w:rPr>
                </w:pPr>
                <w:r>
                  <w:rPr>
                    <w:rFonts w:hint="eastAsia" w:ascii="方正小标宋简体" w:hAnsi="方正小标宋简体" w:eastAsia="方正小标宋简体" w:cs="方正小标宋简体"/>
                    <w:spacing w:val="40"/>
                    <w:kern w:val="0"/>
                    <w:sz w:val="24"/>
                    <w:szCs w:val="24"/>
                    <w:vertAlign w:val="baseline"/>
                    <w:lang w:val="en-US" w:eastAsia="zh-CN" w:bidi="ar"/>
                  </w:rPr>
                  <w:t>委托单位名称：</w:t>
                </w:r>
              </w:p>
            </w:tc>
            <w:tc>
              <w:tcPr>
                <w:tcW w:w="5660" w:type="dxa"/>
                <w:tcBorders>
                  <w:bottom w:val="single" w:color="auto" w:sz="4" w:space="0"/>
                </w:tcBorders>
                <w:noWrap w:val="0"/>
                <w:vAlign w:val="center"/>
              </w:tcPr>
              <w:p w14:paraId="1637A9FE">
                <w:pPr>
                  <w:keepNext w:val="0"/>
                  <w:keepLines w:val="0"/>
                  <w:widowControl w:val="0"/>
                  <w:suppressLineNumbers w:val="0"/>
                  <w:overflowPunct w:val="0"/>
                  <w:autoSpaceDE w:val="0"/>
                  <w:autoSpaceDN/>
                  <w:adjustRightInd w:val="0"/>
                  <w:snapToGrid w:val="0"/>
                  <w:spacing w:before="0" w:beforeAutospacing="0" w:after="0" w:afterAutospacing="0" w:line="500" w:lineRule="exact"/>
                  <w:ind w:left="0" w:leftChars="0" w:right="0" w:rightChars="0"/>
                  <w:jc w:val="left"/>
                  <w:rPr>
                    <w:rFonts w:hint="eastAsia" w:ascii="方正小标宋简体" w:hAnsi="方正小标宋简体" w:eastAsia="方正小标宋简体" w:cs="方正小标宋简体"/>
                    <w:spacing w:val="40"/>
                    <w:kern w:val="0"/>
                    <w:sz w:val="24"/>
                    <w:szCs w:val="24"/>
                    <w:u w:val="none"/>
                  </w:rPr>
                </w:pPr>
                <w:r>
                  <w:rPr>
                    <w:rFonts w:hint="eastAsia" w:ascii="方正小标宋简体" w:hAnsi="方正小标宋简体" w:eastAsia="方正小标宋简体" w:cs="方正小标宋简体"/>
                    <w:spacing w:val="40"/>
                    <w:kern w:val="0"/>
                    <w:sz w:val="24"/>
                    <w:szCs w:val="24"/>
                    <w:vertAlign w:val="baseline"/>
                    <w:lang w:val="en-US" w:eastAsia="zh-CN" w:bidi="ar"/>
                  </w:rPr>
                  <w:t>昆明市西山区财政局</w:t>
                </w:r>
              </w:p>
            </w:tc>
          </w:tr>
          <w:tr w14:paraId="04007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228" w:type="dxa"/>
                <w:noWrap w:val="0"/>
                <w:vAlign w:val="center"/>
              </w:tcPr>
              <w:p w14:paraId="6FCB519D">
                <w:pPr>
                  <w:keepNext w:val="0"/>
                  <w:keepLines w:val="0"/>
                  <w:pageBreakBefore w:val="0"/>
                  <w:widowControl w:val="0"/>
                  <w:suppressLineNumbers w:val="0"/>
                  <w:kinsoku/>
                  <w:wordWrap/>
                  <w:overflowPunct w:val="0"/>
                  <w:topLinePunct w:val="0"/>
                  <w:autoSpaceDE w:val="0"/>
                  <w:autoSpaceDN/>
                  <w:bidi w:val="0"/>
                  <w:adjustRightInd w:val="0"/>
                  <w:snapToGrid w:val="0"/>
                  <w:spacing w:before="0" w:beforeAutospacing="0" w:after="0" w:afterAutospacing="0" w:line="500" w:lineRule="exact"/>
                  <w:ind w:left="0" w:leftChars="0" w:right="0" w:rightChars="0"/>
                  <w:jc w:val="distribute"/>
                  <w:textAlignment w:val="auto"/>
                  <w:rPr>
                    <w:rFonts w:hint="eastAsia" w:ascii="方正小标宋简体" w:hAnsi="方正小标宋简体" w:eastAsia="方正小标宋简体" w:cs="方正小标宋简体"/>
                    <w:spacing w:val="40"/>
                    <w:kern w:val="0"/>
                    <w:sz w:val="24"/>
                    <w:szCs w:val="24"/>
                    <w:vertAlign w:val="baseline"/>
                    <w:lang w:val="en-US" w:eastAsia="zh-CN" w:bidi="ar"/>
                  </w:rPr>
                </w:pPr>
                <w:r>
                  <w:rPr>
                    <w:rFonts w:hint="eastAsia" w:ascii="方正小标宋简体" w:hAnsi="方正小标宋简体" w:eastAsia="方正小标宋简体" w:cs="方正小标宋简体"/>
                    <w:spacing w:val="40"/>
                    <w:kern w:val="0"/>
                    <w:sz w:val="24"/>
                    <w:szCs w:val="24"/>
                    <w:vertAlign w:val="baseline"/>
                    <w:lang w:val="en-US" w:eastAsia="zh-CN" w:bidi="ar"/>
                  </w:rPr>
                  <w:t>评审机构名称：</w:t>
                </w:r>
              </w:p>
            </w:tc>
            <w:tc>
              <w:tcPr>
                <w:tcW w:w="5660" w:type="dxa"/>
                <w:tcBorders>
                  <w:bottom w:val="single" w:color="auto" w:sz="4" w:space="0"/>
                </w:tcBorders>
                <w:noWrap w:val="0"/>
                <w:vAlign w:val="center"/>
              </w:tcPr>
              <w:p w14:paraId="67D0DE26">
                <w:pPr>
                  <w:keepNext w:val="0"/>
                  <w:keepLines w:val="0"/>
                  <w:widowControl w:val="0"/>
                  <w:suppressLineNumbers w:val="0"/>
                  <w:overflowPunct w:val="0"/>
                  <w:autoSpaceDE w:val="0"/>
                  <w:autoSpaceDN/>
                  <w:adjustRightInd w:val="0"/>
                  <w:snapToGrid w:val="0"/>
                  <w:spacing w:before="0" w:beforeAutospacing="0" w:after="0" w:afterAutospacing="0" w:line="500" w:lineRule="exact"/>
                  <w:ind w:left="0" w:leftChars="0" w:right="0" w:rightChars="0"/>
                  <w:jc w:val="left"/>
                  <w:rPr>
                    <w:rFonts w:hint="default" w:ascii="方正小标宋简体" w:hAnsi="方正小标宋简体" w:eastAsia="方正小标宋简体" w:cs="方正小标宋简体"/>
                    <w:spacing w:val="40"/>
                    <w:kern w:val="0"/>
                    <w:sz w:val="24"/>
                    <w:szCs w:val="24"/>
                    <w:vertAlign w:val="baseline"/>
                    <w:lang w:val="en-US" w:eastAsia="zh-CN" w:bidi="ar"/>
                  </w:rPr>
                </w:pPr>
                <w:r>
                  <w:rPr>
                    <w:rFonts w:hint="eastAsia" w:ascii="方正小标宋简体" w:hAnsi="方正小标宋简体" w:eastAsia="方正小标宋简体" w:cs="方正小标宋简体"/>
                    <w:spacing w:val="40"/>
                    <w:kern w:val="0"/>
                    <w:sz w:val="24"/>
                    <w:szCs w:val="24"/>
                    <w:vertAlign w:val="baseline"/>
                    <w:lang w:val="en-US" w:eastAsia="zh-CN" w:bidi="ar"/>
                  </w:rPr>
                  <w:t>云南谛祥会计师事务所（普通合伙）</w:t>
                </w:r>
              </w:p>
            </w:tc>
          </w:tr>
          <w:tr w14:paraId="54E32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228" w:type="dxa"/>
                <w:noWrap w:val="0"/>
                <w:vAlign w:val="center"/>
              </w:tcPr>
              <w:p w14:paraId="2444C74E">
                <w:pPr>
                  <w:keepNext w:val="0"/>
                  <w:keepLines w:val="0"/>
                  <w:pageBreakBefore w:val="0"/>
                  <w:widowControl w:val="0"/>
                  <w:suppressLineNumbers w:val="0"/>
                  <w:tabs>
                    <w:tab w:val="right" w:pos="8306"/>
                  </w:tabs>
                  <w:kinsoku/>
                  <w:wordWrap/>
                  <w:overflowPunct/>
                  <w:topLinePunct w:val="0"/>
                  <w:autoSpaceDE/>
                  <w:autoSpaceDN/>
                  <w:bidi w:val="0"/>
                  <w:adjustRightInd w:val="0"/>
                  <w:snapToGrid w:val="0"/>
                  <w:spacing w:before="0" w:beforeAutospacing="0" w:after="0" w:afterAutospacing="0" w:line="500" w:lineRule="exact"/>
                  <w:ind w:left="0" w:right="0"/>
                  <w:jc w:val="distribute"/>
                  <w:textAlignment w:val="auto"/>
                  <w:rPr>
                    <w:rFonts w:hint="eastAsia" w:ascii="方正小标宋简体" w:hAnsi="方正小标宋简体" w:eastAsia="方正小标宋简体" w:cs="方正小标宋简体"/>
                    <w:spacing w:val="40"/>
                    <w:kern w:val="0"/>
                    <w:sz w:val="24"/>
                    <w:szCs w:val="24"/>
                    <w:u w:val="none"/>
                    <w:vertAlign w:val="baseline"/>
                  </w:rPr>
                </w:pPr>
                <w:r>
                  <w:rPr>
                    <w:rFonts w:hint="eastAsia" w:ascii="方正小标宋简体" w:hAnsi="方正小标宋简体" w:eastAsia="方正小标宋简体" w:cs="方正小标宋简体"/>
                    <w:spacing w:val="40"/>
                    <w:kern w:val="0"/>
                    <w:sz w:val="24"/>
                    <w:szCs w:val="24"/>
                    <w:u w:val="none"/>
                    <w:lang w:val="en-US" w:eastAsia="zh-CN"/>
                  </w:rPr>
                  <w:t>项目单位名称</w:t>
                </w:r>
                <w:r>
                  <w:rPr>
                    <w:rFonts w:hint="eastAsia" w:ascii="方正小标宋简体" w:hAnsi="方正小标宋简体" w:eastAsia="方正小标宋简体" w:cs="方正小标宋简体"/>
                    <w:spacing w:val="40"/>
                    <w:kern w:val="0"/>
                    <w:sz w:val="24"/>
                    <w:szCs w:val="24"/>
                    <w:u w:val="none"/>
                  </w:rPr>
                  <w:t>：</w:t>
                </w:r>
              </w:p>
            </w:tc>
            <w:tc>
              <w:tcPr>
                <w:tcW w:w="5660" w:type="dxa"/>
                <w:tcBorders>
                  <w:top w:val="single" w:color="auto" w:sz="4" w:space="0"/>
                  <w:bottom w:val="single" w:color="auto" w:sz="4" w:space="0"/>
                </w:tcBorders>
                <w:noWrap w:val="0"/>
                <w:vAlign w:val="center"/>
              </w:tcPr>
              <w:p w14:paraId="37C3D370">
                <w:pPr>
                  <w:keepNext w:val="0"/>
                  <w:keepLines w:val="0"/>
                  <w:pageBreakBefore w:val="0"/>
                  <w:widowControl w:val="0"/>
                  <w:suppressLineNumbers w:val="0"/>
                  <w:tabs>
                    <w:tab w:val="right" w:pos="8306"/>
                  </w:tabs>
                  <w:kinsoku/>
                  <w:wordWrap/>
                  <w:overflowPunct/>
                  <w:topLinePunct w:val="0"/>
                  <w:autoSpaceDE/>
                  <w:autoSpaceDN/>
                  <w:bidi w:val="0"/>
                  <w:adjustRightInd w:val="0"/>
                  <w:snapToGrid w:val="0"/>
                  <w:spacing w:before="0" w:beforeAutospacing="0" w:after="0" w:afterAutospacing="0" w:line="500" w:lineRule="exact"/>
                  <w:ind w:left="0" w:right="0"/>
                  <w:jc w:val="left"/>
                  <w:textAlignment w:val="auto"/>
                  <w:rPr>
                    <w:rFonts w:hint="default" w:ascii="方正小标宋简体" w:hAnsi="方正小标宋简体" w:eastAsia="方正小标宋简体" w:cs="方正小标宋简体"/>
                    <w:spacing w:val="40"/>
                    <w:kern w:val="0"/>
                    <w:sz w:val="24"/>
                    <w:szCs w:val="24"/>
                    <w:u w:val="none"/>
                    <w:vertAlign w:val="baseline"/>
                    <w:lang w:val="en-US" w:eastAsia="zh-CN"/>
                  </w:rPr>
                </w:pPr>
                <w:r>
                  <w:rPr>
                    <w:rFonts w:hint="eastAsia" w:ascii="方正小标宋简体" w:hAnsi="方正小标宋简体" w:eastAsia="方正小标宋简体" w:cs="方正小标宋简体"/>
                    <w:spacing w:val="40"/>
                    <w:kern w:val="0"/>
                    <w:sz w:val="24"/>
                    <w:szCs w:val="24"/>
                    <w:u w:val="none"/>
                    <w:vertAlign w:val="baseline"/>
                    <w:lang w:val="en-US" w:eastAsia="zh-CN"/>
                  </w:rPr>
                  <w:t>昆明市</w:t>
                </w:r>
                <w:r>
                  <w:rPr>
                    <w:rFonts w:hint="default" w:ascii="方正小标宋简体" w:hAnsi="方正小标宋简体" w:eastAsia="方正小标宋简体" w:cs="方正小标宋简体"/>
                    <w:spacing w:val="40"/>
                    <w:kern w:val="0"/>
                    <w:sz w:val="24"/>
                    <w:szCs w:val="24"/>
                    <w:u w:val="none"/>
                    <w:vertAlign w:val="baseline"/>
                    <w:lang w:val="en-US" w:eastAsia="zh-CN"/>
                  </w:rPr>
                  <w:t>西山</w:t>
                </w:r>
                <w:r>
                  <w:rPr>
                    <w:rFonts w:hint="eastAsia" w:ascii="方正小标宋简体" w:hAnsi="方正小标宋简体" w:eastAsia="方正小标宋简体" w:cs="方正小标宋简体"/>
                    <w:spacing w:val="40"/>
                    <w:kern w:val="0"/>
                    <w:sz w:val="24"/>
                    <w:szCs w:val="24"/>
                    <w:u w:val="none"/>
                    <w:vertAlign w:val="baseline"/>
                    <w:lang w:val="en-US" w:eastAsia="zh-CN"/>
                  </w:rPr>
                  <w:t>区海口街道办事处</w:t>
                </w:r>
              </w:p>
            </w:tc>
          </w:tr>
          <w:tr w14:paraId="44860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228" w:type="dxa"/>
                <w:noWrap w:val="0"/>
                <w:vAlign w:val="center"/>
              </w:tcPr>
              <w:p w14:paraId="20B77E59">
                <w:pPr>
                  <w:keepNext w:val="0"/>
                  <w:keepLines w:val="0"/>
                  <w:pageBreakBefore w:val="0"/>
                  <w:widowControl w:val="0"/>
                  <w:suppressLineNumbers w:val="0"/>
                  <w:kinsoku/>
                  <w:wordWrap/>
                  <w:overflowPunct w:val="0"/>
                  <w:topLinePunct w:val="0"/>
                  <w:autoSpaceDE w:val="0"/>
                  <w:autoSpaceDN/>
                  <w:bidi w:val="0"/>
                  <w:adjustRightInd w:val="0"/>
                  <w:snapToGrid w:val="0"/>
                  <w:spacing w:before="0" w:beforeAutospacing="0" w:after="0" w:afterAutospacing="0" w:line="500" w:lineRule="exact"/>
                  <w:ind w:left="0" w:leftChars="0" w:right="0" w:rightChars="0"/>
                  <w:jc w:val="distribute"/>
                  <w:textAlignment w:val="auto"/>
                  <w:rPr>
                    <w:rFonts w:hint="eastAsia" w:ascii="方正小标宋简体" w:hAnsi="方正小标宋简体" w:eastAsia="方正小标宋简体" w:cs="方正小标宋简体"/>
                    <w:spacing w:val="40"/>
                    <w:kern w:val="0"/>
                    <w:sz w:val="24"/>
                    <w:szCs w:val="24"/>
                    <w:u w:val="none"/>
                  </w:rPr>
                </w:pPr>
                <w:r>
                  <w:rPr>
                    <w:rFonts w:hint="eastAsia" w:ascii="方正小标宋简体" w:hAnsi="方正小标宋简体" w:eastAsia="方正小标宋简体" w:cs="方正小标宋简体"/>
                    <w:spacing w:val="40"/>
                    <w:kern w:val="0"/>
                    <w:sz w:val="24"/>
                    <w:szCs w:val="24"/>
                    <w:vertAlign w:val="baseline"/>
                    <w:lang w:val="en-US" w:eastAsia="zh-CN" w:bidi="ar"/>
                  </w:rPr>
                  <w:t>项目评审起止时间：</w:t>
                </w:r>
              </w:p>
            </w:tc>
            <w:tc>
              <w:tcPr>
                <w:tcW w:w="5660" w:type="dxa"/>
                <w:tcBorders>
                  <w:top w:val="single" w:color="auto" w:sz="4" w:space="0"/>
                  <w:bottom w:val="single" w:color="auto" w:sz="4" w:space="0"/>
                </w:tcBorders>
                <w:noWrap w:val="0"/>
                <w:vAlign w:val="center"/>
              </w:tcPr>
              <w:p w14:paraId="67642501">
                <w:pPr>
                  <w:keepNext w:val="0"/>
                  <w:keepLines w:val="0"/>
                  <w:widowControl w:val="0"/>
                  <w:suppressLineNumbers w:val="0"/>
                  <w:overflowPunct w:val="0"/>
                  <w:autoSpaceDE w:val="0"/>
                  <w:autoSpaceDN/>
                  <w:adjustRightInd w:val="0"/>
                  <w:snapToGrid w:val="0"/>
                  <w:spacing w:before="0" w:beforeAutospacing="0" w:after="0" w:afterAutospacing="0" w:line="500" w:lineRule="exact"/>
                  <w:ind w:left="0" w:leftChars="0" w:right="0" w:rightChars="0"/>
                  <w:jc w:val="left"/>
                  <w:rPr>
                    <w:rFonts w:hint="default" w:ascii="方正小标宋简体" w:hAnsi="方正小标宋简体" w:eastAsia="方正小标宋简体" w:cs="方正小标宋简体"/>
                    <w:spacing w:val="40"/>
                    <w:kern w:val="0"/>
                    <w:sz w:val="24"/>
                    <w:szCs w:val="24"/>
                    <w:u w:val="none"/>
                    <w:vertAlign w:val="baseline"/>
                    <w:lang w:val="en-US" w:eastAsia="zh-CN"/>
                  </w:rPr>
                </w:pPr>
                <w:r>
                  <w:rPr>
                    <w:rFonts w:hint="eastAsia" w:ascii="方正小标宋简体" w:hAnsi="方正小标宋简体" w:eastAsia="方正小标宋简体" w:cs="方正小标宋简体"/>
                    <w:spacing w:val="40"/>
                    <w:kern w:val="0"/>
                    <w:sz w:val="24"/>
                    <w:szCs w:val="24"/>
                    <w:u w:val="none"/>
                    <w:vertAlign w:val="baseline"/>
                    <w:lang w:val="en-US" w:eastAsia="zh-CN"/>
                  </w:rPr>
                  <w:t>2025年8月—10月</w:t>
                </w:r>
              </w:p>
            </w:tc>
          </w:tr>
          <w:tr w14:paraId="0BC3A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228" w:type="dxa"/>
                <w:noWrap w:val="0"/>
                <w:vAlign w:val="center"/>
              </w:tcPr>
              <w:p w14:paraId="0E15118C">
                <w:pPr>
                  <w:keepNext w:val="0"/>
                  <w:keepLines w:val="0"/>
                  <w:pageBreakBefore w:val="0"/>
                  <w:widowControl w:val="0"/>
                  <w:suppressLineNumbers w:val="0"/>
                  <w:kinsoku/>
                  <w:wordWrap/>
                  <w:overflowPunct w:val="0"/>
                  <w:topLinePunct w:val="0"/>
                  <w:autoSpaceDE w:val="0"/>
                  <w:autoSpaceDN/>
                  <w:bidi w:val="0"/>
                  <w:adjustRightInd w:val="0"/>
                  <w:snapToGrid w:val="0"/>
                  <w:spacing w:before="0" w:beforeAutospacing="0" w:after="0" w:afterAutospacing="0" w:line="500" w:lineRule="exact"/>
                  <w:ind w:left="0" w:leftChars="0" w:right="0" w:rightChars="0"/>
                  <w:jc w:val="distribute"/>
                  <w:textAlignment w:val="auto"/>
                  <w:rPr>
                    <w:rFonts w:hint="eastAsia" w:ascii="方正小标宋简体" w:hAnsi="方正小标宋简体" w:eastAsia="方正小标宋简体" w:cs="方正小标宋简体"/>
                    <w:spacing w:val="40"/>
                    <w:kern w:val="0"/>
                    <w:sz w:val="24"/>
                    <w:szCs w:val="24"/>
                    <w:vertAlign w:val="baseline"/>
                    <w:lang w:val="en-US" w:eastAsia="zh-CN" w:bidi="ar"/>
                  </w:rPr>
                </w:pPr>
                <w:r>
                  <w:rPr>
                    <w:rFonts w:hint="eastAsia" w:ascii="方正小标宋简体" w:hAnsi="方正小标宋简体" w:eastAsia="方正小标宋简体" w:cs="方正小标宋简体"/>
                    <w:spacing w:val="40"/>
                    <w:kern w:val="0"/>
                    <w:sz w:val="24"/>
                    <w:szCs w:val="24"/>
                    <w:vertAlign w:val="baseline"/>
                    <w:lang w:val="en-US" w:eastAsia="zh-CN" w:bidi="ar"/>
                  </w:rPr>
                  <w:t>评审报告出具时间：</w:t>
                </w:r>
              </w:p>
            </w:tc>
            <w:tc>
              <w:tcPr>
                <w:tcW w:w="5660" w:type="dxa"/>
                <w:tcBorders>
                  <w:top w:val="single" w:color="auto" w:sz="4" w:space="0"/>
                  <w:bottom w:val="single" w:color="auto" w:sz="4" w:space="0"/>
                </w:tcBorders>
                <w:noWrap w:val="0"/>
                <w:vAlign w:val="center"/>
              </w:tcPr>
              <w:p w14:paraId="539B2368">
                <w:pPr>
                  <w:keepNext w:val="0"/>
                  <w:keepLines w:val="0"/>
                  <w:widowControl w:val="0"/>
                  <w:suppressLineNumbers w:val="0"/>
                  <w:overflowPunct w:val="0"/>
                  <w:autoSpaceDE w:val="0"/>
                  <w:autoSpaceDN/>
                  <w:adjustRightInd w:val="0"/>
                  <w:snapToGrid w:val="0"/>
                  <w:spacing w:before="0" w:beforeAutospacing="0" w:after="0" w:afterAutospacing="0" w:line="500" w:lineRule="exact"/>
                  <w:ind w:left="0" w:leftChars="0" w:right="0" w:rightChars="0"/>
                  <w:jc w:val="left"/>
                  <w:rPr>
                    <w:rFonts w:hint="default" w:ascii="方正小标宋简体" w:hAnsi="方正小标宋简体" w:eastAsia="方正小标宋简体" w:cs="方正小标宋简体"/>
                    <w:spacing w:val="40"/>
                    <w:kern w:val="0"/>
                    <w:sz w:val="24"/>
                    <w:szCs w:val="24"/>
                    <w:vertAlign w:val="baseline"/>
                    <w:lang w:val="en-US" w:eastAsia="zh-CN" w:bidi="ar"/>
                  </w:rPr>
                </w:pPr>
                <w:r>
                  <w:rPr>
                    <w:rFonts w:hint="eastAsia" w:ascii="方正小标宋简体" w:hAnsi="方正小标宋简体" w:eastAsia="方正小标宋简体" w:cs="方正小标宋简体"/>
                    <w:spacing w:val="40"/>
                    <w:kern w:val="0"/>
                    <w:sz w:val="24"/>
                    <w:szCs w:val="24"/>
                    <w:vertAlign w:val="baseline"/>
                    <w:lang w:val="en-US" w:eastAsia="zh-CN" w:bidi="ar"/>
                  </w:rPr>
                  <w:t>2025年10月</w:t>
                </w:r>
              </w:p>
            </w:tc>
          </w:tr>
        </w:tbl>
        <w:p w14:paraId="6EF40397">
          <w:pPr>
            <w:tabs>
              <w:tab w:val="center" w:pos="4422"/>
            </w:tabs>
            <w:rPr>
              <w:rFonts w:ascii="宋体" w:hAnsi="宋体" w:eastAsia="宋体"/>
              <w:sz w:val="36"/>
              <w:szCs w:val="36"/>
            </w:rPr>
            <w:sectPr>
              <w:footerReference r:id="rId4" w:type="default"/>
              <w:pgSz w:w="11906" w:h="16838"/>
              <w:pgMar w:top="2098" w:right="1474" w:bottom="1985" w:left="1588" w:header="851" w:footer="1474" w:gutter="0"/>
              <w:pgBorders>
                <w:top w:val="none" w:sz="0" w:space="0"/>
                <w:left w:val="none" w:sz="0" w:space="0"/>
                <w:bottom w:val="none" w:sz="0" w:space="0"/>
                <w:right w:val="none" w:sz="0" w:space="0"/>
              </w:pgBorders>
              <w:pgNumType w:fmt="lowerRoman" w:start="1"/>
              <w:cols w:space="425" w:num="1"/>
              <w:docGrid w:type="linesAndChars" w:linePitch="579" w:charSpace="3247"/>
            </w:sectPr>
          </w:pPr>
        </w:p>
        <w:p w14:paraId="58AB6990">
          <w:pPr>
            <w:tabs>
              <w:tab w:val="center" w:pos="4422"/>
            </w:tabs>
            <w:rPr>
              <w:rFonts w:ascii="宋体" w:hAnsi="宋体" w:eastAsia="宋体"/>
              <w:sz w:val="36"/>
              <w:szCs w:val="36"/>
            </w:rPr>
            <w:sectPr>
              <w:pgSz w:w="11906" w:h="16838"/>
              <w:pgMar w:top="2098" w:right="1474" w:bottom="1985" w:left="1588" w:header="851" w:footer="1474" w:gutter="0"/>
              <w:pgBorders>
                <w:top w:val="none" w:sz="0" w:space="0"/>
                <w:left w:val="none" w:sz="0" w:space="0"/>
                <w:bottom w:val="none" w:sz="0" w:space="0"/>
                <w:right w:val="none" w:sz="0" w:space="0"/>
              </w:pgBorders>
              <w:pgNumType w:fmt="lowerRoman" w:start="1"/>
              <w:cols w:space="425" w:num="1"/>
              <w:docGrid w:type="linesAndChars" w:linePitch="579" w:charSpace="3247"/>
            </w:sectPr>
          </w:pPr>
        </w:p>
        <w:p w14:paraId="5BF7B534">
          <w:pPr>
            <w:tabs>
              <w:tab w:val="center" w:pos="4422"/>
            </w:tabs>
            <w:jc w:val="center"/>
            <w:rPr>
              <w:rFonts w:hint="eastAsia" w:ascii="宋体" w:hAnsi="宋体" w:eastAsia="宋体" w:cs="宋体"/>
              <w:b w:val="0"/>
              <w:bCs w:val="0"/>
              <w:sz w:val="28"/>
              <w:szCs w:val="28"/>
            </w:rPr>
          </w:pPr>
          <w:r>
            <w:rPr>
              <w:rFonts w:hint="eastAsia" w:ascii="宋体" w:hAnsi="宋体" w:eastAsia="宋体" w:cs="宋体"/>
              <w:b w:val="0"/>
              <w:bCs w:val="0"/>
              <w:sz w:val="28"/>
              <w:szCs w:val="28"/>
            </w:rPr>
            <w:t>目  录</w:t>
          </w:r>
        </w:p>
        <w:p w14:paraId="41094CEF">
          <w:pPr>
            <w:pStyle w:val="13"/>
            <w:tabs>
              <w:tab w:val="right" w:leader="dot" w:pos="8844"/>
              <w:tab w:val="clear" w:pos="8931"/>
            </w:tabs>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TOC \o "1-3" \h \z \u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_Toc7714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highlight w:val="none"/>
            </w:rPr>
            <w:t>摘  要</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_Toc7714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I</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5739064A">
          <w:pPr>
            <w:pStyle w:val="13"/>
            <w:tabs>
              <w:tab w:val="right" w:leader="dot" w:pos="8844"/>
              <w:tab w:val="clear" w:pos="8931"/>
            </w:tabs>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_Toc18223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一、基本情况</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_Toc18223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4</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7DD21907">
          <w:pPr>
            <w:pStyle w:val="15"/>
            <w:tabs>
              <w:tab w:val="right" w:leader="dot" w:pos="8844"/>
              <w:tab w:val="clear" w:pos="8789"/>
            </w:tabs>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_Toc11393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（一）项目概况</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_Toc11393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4</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212A18A1">
          <w:pPr>
            <w:pStyle w:val="15"/>
            <w:tabs>
              <w:tab w:val="right" w:leader="dot" w:pos="8844"/>
              <w:tab w:val="clear" w:pos="8789"/>
            </w:tabs>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_Toc9806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lang w:val="en-US" w:eastAsia="zh-CN"/>
            </w:rPr>
            <w:t>二</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lang w:val="en-US" w:eastAsia="zh-CN"/>
            </w:rPr>
            <w:t>资金到位</w:t>
          </w:r>
          <w:r>
            <w:rPr>
              <w:rFonts w:hint="eastAsia" w:ascii="宋体" w:hAnsi="宋体" w:eastAsia="宋体" w:cs="宋体"/>
              <w:b w:val="0"/>
              <w:bCs w:val="0"/>
              <w:sz w:val="28"/>
              <w:szCs w:val="28"/>
            </w:rPr>
            <w:t>及使用情况</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_Toc9806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6</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73F986F8">
          <w:pPr>
            <w:pStyle w:val="15"/>
            <w:tabs>
              <w:tab w:val="right" w:leader="dot" w:pos="8844"/>
              <w:tab w:val="clear" w:pos="8789"/>
            </w:tabs>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_Toc6664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lang w:val="en-US" w:eastAsia="zh-CN"/>
            </w:rPr>
            <w:t>（三）实施内容</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_Toc6664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6</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523A9D5D">
          <w:pPr>
            <w:pStyle w:val="15"/>
            <w:tabs>
              <w:tab w:val="right" w:leader="dot" w:pos="8844"/>
              <w:tab w:val="clear" w:pos="8789"/>
            </w:tabs>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_Toc16422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highlight w:val="none"/>
            </w:rPr>
            <w:t>（</w:t>
          </w:r>
          <w:r>
            <w:rPr>
              <w:rFonts w:hint="eastAsia" w:ascii="宋体" w:hAnsi="宋体" w:eastAsia="宋体" w:cs="宋体"/>
              <w:b w:val="0"/>
              <w:bCs w:val="0"/>
              <w:sz w:val="28"/>
              <w:szCs w:val="28"/>
              <w:highlight w:val="none"/>
              <w:lang w:val="en-US" w:eastAsia="zh-CN"/>
            </w:rPr>
            <w:t>四</w:t>
          </w:r>
          <w:r>
            <w:rPr>
              <w:rFonts w:hint="eastAsia" w:ascii="宋体" w:hAnsi="宋体" w:eastAsia="宋体" w:cs="宋体"/>
              <w:b w:val="0"/>
              <w:bCs w:val="0"/>
              <w:sz w:val="28"/>
              <w:szCs w:val="28"/>
              <w:highlight w:val="none"/>
            </w:rPr>
            <w:t>）绩效目标</w:t>
          </w:r>
          <w:r>
            <w:rPr>
              <w:rFonts w:hint="eastAsia" w:ascii="宋体" w:hAnsi="宋体" w:eastAsia="宋体" w:cs="宋体"/>
              <w:b w:val="0"/>
              <w:bCs w:val="0"/>
              <w:sz w:val="28"/>
              <w:szCs w:val="28"/>
              <w:highlight w:val="none"/>
              <w:lang w:val="en-US" w:eastAsia="zh-CN"/>
            </w:rPr>
            <w:t>设立情况</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_Toc16422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12</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35F16E75">
          <w:pPr>
            <w:pStyle w:val="15"/>
            <w:tabs>
              <w:tab w:val="right" w:leader="dot" w:pos="8844"/>
              <w:tab w:val="clear" w:pos="8789"/>
            </w:tabs>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_Toc7130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highlight w:val="none"/>
            </w:rPr>
            <w:t>（五）组织管理情况</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_Toc7130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16</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2357B55D">
          <w:pPr>
            <w:pStyle w:val="13"/>
            <w:tabs>
              <w:tab w:val="right" w:leader="dot" w:pos="8844"/>
              <w:tab w:val="clear" w:pos="8931"/>
            </w:tabs>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_Toc26824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lang w:val="en-US" w:eastAsia="zh-CN"/>
            </w:rPr>
            <w:t>二</w:t>
          </w:r>
          <w:r>
            <w:rPr>
              <w:rFonts w:hint="eastAsia" w:ascii="宋体" w:hAnsi="宋体" w:eastAsia="宋体" w:cs="宋体"/>
              <w:b w:val="0"/>
              <w:bCs w:val="0"/>
              <w:sz w:val="28"/>
              <w:szCs w:val="28"/>
            </w:rPr>
            <w:t>、绩效评价工作开展情况</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_Toc26824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18</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17EA066E">
          <w:pPr>
            <w:pStyle w:val="15"/>
            <w:tabs>
              <w:tab w:val="right" w:leader="dot" w:pos="8844"/>
              <w:tab w:val="clear" w:pos="8789"/>
            </w:tabs>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_Toc17233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highlight w:val="none"/>
            </w:rPr>
            <w:t>（一）绩效评价</w:t>
          </w:r>
          <w:r>
            <w:rPr>
              <w:rFonts w:hint="eastAsia" w:ascii="宋体" w:hAnsi="宋体" w:eastAsia="宋体" w:cs="宋体"/>
              <w:b w:val="0"/>
              <w:bCs w:val="0"/>
              <w:sz w:val="28"/>
              <w:szCs w:val="28"/>
              <w:highlight w:val="none"/>
              <w:lang w:val="en-US" w:eastAsia="zh-CN"/>
            </w:rPr>
            <w:t>目的、对象和范围</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_Toc17233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19</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28D70D1D">
          <w:pPr>
            <w:pStyle w:val="15"/>
            <w:tabs>
              <w:tab w:val="right" w:leader="dot" w:pos="8844"/>
              <w:tab w:val="clear" w:pos="8789"/>
            </w:tabs>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_Toc2924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lang w:val="en-US" w:eastAsia="zh-CN"/>
            </w:rPr>
            <w:t>二</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rPr>
            <w:t>绩效评价原则</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_Toc2924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21</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648E6142">
          <w:pPr>
            <w:pStyle w:val="15"/>
            <w:tabs>
              <w:tab w:val="right" w:leader="dot" w:pos="8844"/>
              <w:tab w:val="clear" w:pos="8789"/>
            </w:tabs>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_Toc6375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（三）绩效评价依据</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_Toc6375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21</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1D119B18">
          <w:pPr>
            <w:pStyle w:val="15"/>
            <w:tabs>
              <w:tab w:val="right" w:leader="dot" w:pos="8844"/>
              <w:tab w:val="clear" w:pos="8789"/>
            </w:tabs>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_Toc14400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w:t>
          </w:r>
          <w:r>
            <w:rPr>
              <w:rFonts w:hint="eastAsia" w:ascii="宋体" w:hAnsi="宋体" w:eastAsia="宋体" w:cs="宋体"/>
              <w:b w:val="0"/>
              <w:bCs w:val="0"/>
              <w:sz w:val="28"/>
              <w:szCs w:val="28"/>
              <w:lang w:val="en-US" w:eastAsia="zh-CN"/>
            </w:rPr>
            <w:t>四</w:t>
          </w:r>
          <w:r>
            <w:rPr>
              <w:rFonts w:hint="eastAsia" w:ascii="宋体" w:hAnsi="宋体" w:eastAsia="宋体" w:cs="宋体"/>
              <w:b w:val="0"/>
              <w:bCs w:val="0"/>
              <w:sz w:val="28"/>
              <w:szCs w:val="28"/>
            </w:rPr>
            <w:t>）</w:t>
          </w:r>
          <w:r>
            <w:rPr>
              <w:rFonts w:hint="eastAsia" w:ascii="宋体" w:hAnsi="宋体" w:eastAsia="宋体" w:cs="宋体"/>
              <w:b w:val="0"/>
              <w:bCs w:val="0"/>
              <w:sz w:val="28"/>
              <w:szCs w:val="28"/>
              <w:lang w:val="en-US" w:eastAsia="zh-CN"/>
            </w:rPr>
            <w:t>绩效</w:t>
          </w:r>
          <w:r>
            <w:rPr>
              <w:rFonts w:hint="eastAsia" w:ascii="宋体" w:hAnsi="宋体" w:eastAsia="宋体" w:cs="宋体"/>
              <w:b w:val="0"/>
              <w:bCs w:val="0"/>
              <w:sz w:val="28"/>
              <w:szCs w:val="28"/>
            </w:rPr>
            <w:t>评价方法</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_Toc14400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23</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7D164ACD">
          <w:pPr>
            <w:pStyle w:val="15"/>
            <w:tabs>
              <w:tab w:val="right" w:leader="dot" w:pos="8844"/>
              <w:tab w:val="clear" w:pos="8789"/>
            </w:tabs>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_Toc22344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w:t>
          </w:r>
          <w:r>
            <w:rPr>
              <w:rFonts w:hint="eastAsia" w:ascii="宋体" w:hAnsi="宋体" w:eastAsia="宋体" w:cs="宋体"/>
              <w:b w:val="0"/>
              <w:bCs w:val="0"/>
              <w:sz w:val="28"/>
              <w:szCs w:val="28"/>
              <w:lang w:val="en-US" w:eastAsia="zh-CN"/>
            </w:rPr>
            <w:t>五</w:t>
          </w:r>
          <w:r>
            <w:rPr>
              <w:rFonts w:hint="eastAsia" w:ascii="宋体" w:hAnsi="宋体" w:eastAsia="宋体" w:cs="宋体"/>
              <w:b w:val="0"/>
              <w:bCs w:val="0"/>
              <w:sz w:val="28"/>
              <w:szCs w:val="28"/>
            </w:rPr>
            <w:t>）评价指标体系</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_Toc22344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24</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5C1402FF">
          <w:pPr>
            <w:pStyle w:val="15"/>
            <w:tabs>
              <w:tab w:val="right" w:leader="dot" w:pos="8844"/>
              <w:tab w:val="clear" w:pos="8789"/>
            </w:tabs>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_Toc17837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w:t>
          </w:r>
          <w:r>
            <w:rPr>
              <w:rFonts w:hint="eastAsia" w:ascii="宋体" w:hAnsi="宋体" w:eastAsia="宋体" w:cs="宋体"/>
              <w:b w:val="0"/>
              <w:bCs w:val="0"/>
              <w:sz w:val="28"/>
              <w:szCs w:val="28"/>
              <w:lang w:val="en-US" w:eastAsia="zh-CN"/>
            </w:rPr>
            <w:t>六</w:t>
          </w:r>
          <w:r>
            <w:rPr>
              <w:rFonts w:hint="eastAsia" w:ascii="宋体" w:hAnsi="宋体" w:eastAsia="宋体" w:cs="宋体"/>
              <w:b w:val="0"/>
              <w:bCs w:val="0"/>
              <w:sz w:val="28"/>
              <w:szCs w:val="28"/>
            </w:rPr>
            <w:t>）</w:t>
          </w:r>
          <w:r>
            <w:rPr>
              <w:rFonts w:hint="eastAsia" w:ascii="宋体" w:hAnsi="宋体" w:eastAsia="宋体" w:cs="宋体"/>
              <w:b w:val="0"/>
              <w:bCs w:val="0"/>
              <w:sz w:val="28"/>
              <w:szCs w:val="28"/>
              <w:lang w:val="en-US" w:eastAsia="zh-CN"/>
            </w:rPr>
            <w:t>绩效</w:t>
          </w:r>
          <w:r>
            <w:rPr>
              <w:rFonts w:hint="eastAsia" w:ascii="宋体" w:hAnsi="宋体" w:eastAsia="宋体" w:cs="宋体"/>
              <w:b w:val="0"/>
              <w:bCs w:val="0"/>
              <w:sz w:val="28"/>
              <w:szCs w:val="28"/>
            </w:rPr>
            <w:t>评价</w:t>
          </w:r>
          <w:r>
            <w:rPr>
              <w:rFonts w:hint="eastAsia" w:ascii="宋体" w:hAnsi="宋体" w:eastAsia="宋体" w:cs="宋体"/>
              <w:b w:val="0"/>
              <w:bCs w:val="0"/>
              <w:sz w:val="28"/>
              <w:szCs w:val="28"/>
              <w:lang w:val="en-US" w:eastAsia="zh-CN"/>
            </w:rPr>
            <w:t>抽样</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_Toc17837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25</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5683EE4E">
          <w:pPr>
            <w:pStyle w:val="13"/>
            <w:tabs>
              <w:tab w:val="right" w:leader="dot" w:pos="8844"/>
              <w:tab w:val="clear" w:pos="8931"/>
            </w:tabs>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_Toc4085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lang w:val="en-US" w:eastAsia="zh-CN"/>
            </w:rPr>
            <w:t>三</w:t>
          </w:r>
          <w:r>
            <w:rPr>
              <w:rFonts w:hint="eastAsia" w:ascii="宋体" w:hAnsi="宋体" w:eastAsia="宋体" w:cs="宋体"/>
              <w:b w:val="0"/>
              <w:bCs w:val="0"/>
              <w:sz w:val="28"/>
              <w:szCs w:val="28"/>
            </w:rPr>
            <w:t>、</w:t>
          </w:r>
          <w:r>
            <w:rPr>
              <w:rFonts w:hint="eastAsia" w:ascii="宋体" w:hAnsi="宋体" w:eastAsia="宋体" w:cs="宋体"/>
              <w:b w:val="0"/>
              <w:bCs w:val="0"/>
              <w:sz w:val="28"/>
              <w:szCs w:val="28"/>
              <w:lang w:val="en-US" w:eastAsia="zh-CN"/>
            </w:rPr>
            <w:t>绩效评价</w:t>
          </w:r>
          <w:r>
            <w:rPr>
              <w:rFonts w:hint="eastAsia" w:ascii="宋体" w:hAnsi="宋体" w:eastAsia="宋体" w:cs="宋体"/>
              <w:b w:val="0"/>
              <w:bCs w:val="0"/>
              <w:sz w:val="28"/>
              <w:szCs w:val="28"/>
            </w:rPr>
            <w:t>结论</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_Toc4085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26</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73CECA98">
          <w:pPr>
            <w:pStyle w:val="15"/>
            <w:tabs>
              <w:tab w:val="right" w:leader="dot" w:pos="8844"/>
              <w:tab w:val="clear" w:pos="8789"/>
            </w:tabs>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_Toc18661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（一）绩效评价综合结论</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_Toc18661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26</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3A11ADD1">
          <w:pPr>
            <w:pStyle w:val="15"/>
            <w:tabs>
              <w:tab w:val="right" w:leader="dot" w:pos="8844"/>
              <w:tab w:val="clear" w:pos="8789"/>
            </w:tabs>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_Toc3631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（二）绩效目标实现情况</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_Toc3631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27</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33BF7068">
          <w:pPr>
            <w:pStyle w:val="13"/>
            <w:tabs>
              <w:tab w:val="right" w:leader="dot" w:pos="8844"/>
              <w:tab w:val="clear" w:pos="8931"/>
            </w:tabs>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_Toc1968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lang w:val="en-US" w:eastAsia="zh-CN"/>
            </w:rPr>
            <w:t>四</w:t>
          </w:r>
          <w:r>
            <w:rPr>
              <w:rFonts w:hint="eastAsia" w:ascii="宋体" w:hAnsi="宋体" w:eastAsia="宋体" w:cs="宋体"/>
              <w:b w:val="0"/>
              <w:bCs w:val="0"/>
              <w:sz w:val="28"/>
              <w:szCs w:val="28"/>
            </w:rPr>
            <w:t>、绩效评价情况分析</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_Toc1968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33</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0EC97D9B">
          <w:pPr>
            <w:pStyle w:val="15"/>
            <w:tabs>
              <w:tab w:val="right" w:leader="dot" w:pos="8844"/>
              <w:tab w:val="clear" w:pos="8789"/>
            </w:tabs>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_Toc12798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（一）</w:t>
          </w:r>
          <w:r>
            <w:rPr>
              <w:rFonts w:hint="eastAsia" w:ascii="宋体" w:hAnsi="宋体" w:eastAsia="宋体" w:cs="宋体"/>
              <w:b w:val="0"/>
              <w:bCs w:val="0"/>
              <w:sz w:val="28"/>
              <w:szCs w:val="28"/>
              <w:lang w:val="en-US" w:eastAsia="zh-CN"/>
            </w:rPr>
            <w:t>项目决策</w:t>
          </w:r>
          <w:r>
            <w:rPr>
              <w:rFonts w:hint="eastAsia" w:ascii="宋体" w:hAnsi="宋体" w:eastAsia="宋体" w:cs="宋体"/>
              <w:b w:val="0"/>
              <w:bCs w:val="0"/>
              <w:sz w:val="28"/>
              <w:szCs w:val="28"/>
            </w:rPr>
            <w:t>情况</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_Toc12798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33</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3FA0A43E">
          <w:pPr>
            <w:pStyle w:val="15"/>
            <w:tabs>
              <w:tab w:val="right" w:leader="dot" w:pos="8844"/>
              <w:tab w:val="clear" w:pos="8789"/>
            </w:tabs>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_Toc21971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（二）</w:t>
          </w:r>
          <w:r>
            <w:rPr>
              <w:rFonts w:hint="eastAsia" w:ascii="宋体" w:hAnsi="宋体" w:eastAsia="宋体" w:cs="宋体"/>
              <w:b w:val="0"/>
              <w:bCs w:val="0"/>
              <w:sz w:val="28"/>
              <w:szCs w:val="28"/>
              <w:lang w:val="en-US" w:eastAsia="zh-CN"/>
            </w:rPr>
            <w:t>项目</w:t>
          </w:r>
          <w:r>
            <w:rPr>
              <w:rFonts w:hint="eastAsia" w:ascii="宋体" w:hAnsi="宋体" w:eastAsia="宋体" w:cs="宋体"/>
              <w:b w:val="0"/>
              <w:bCs w:val="0"/>
              <w:sz w:val="28"/>
              <w:szCs w:val="28"/>
            </w:rPr>
            <w:t>过程情况</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_Toc21971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35</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278B7EE4">
          <w:pPr>
            <w:pStyle w:val="15"/>
            <w:tabs>
              <w:tab w:val="right" w:leader="dot" w:pos="8844"/>
              <w:tab w:val="clear" w:pos="8789"/>
            </w:tabs>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_Toc3207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（三）</w:t>
          </w:r>
          <w:r>
            <w:rPr>
              <w:rFonts w:hint="eastAsia" w:ascii="宋体" w:hAnsi="宋体" w:eastAsia="宋体" w:cs="宋体"/>
              <w:b w:val="0"/>
              <w:bCs w:val="0"/>
              <w:sz w:val="28"/>
              <w:szCs w:val="28"/>
              <w:lang w:val="en-US" w:eastAsia="zh-CN"/>
            </w:rPr>
            <w:t>项目</w:t>
          </w:r>
          <w:r>
            <w:rPr>
              <w:rFonts w:hint="eastAsia" w:ascii="宋体" w:hAnsi="宋体" w:eastAsia="宋体" w:cs="宋体"/>
              <w:b w:val="0"/>
              <w:bCs w:val="0"/>
              <w:sz w:val="28"/>
              <w:szCs w:val="28"/>
            </w:rPr>
            <w:t>产出情况</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_Toc3207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37</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0FFA1806">
          <w:pPr>
            <w:pStyle w:val="15"/>
            <w:tabs>
              <w:tab w:val="right" w:leader="dot" w:pos="8844"/>
              <w:tab w:val="clear" w:pos="8789"/>
            </w:tabs>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_Toc8841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（四）</w:t>
          </w:r>
          <w:r>
            <w:rPr>
              <w:rFonts w:hint="eastAsia" w:ascii="宋体" w:hAnsi="宋体" w:eastAsia="宋体" w:cs="宋体"/>
              <w:b w:val="0"/>
              <w:bCs w:val="0"/>
              <w:sz w:val="28"/>
              <w:szCs w:val="28"/>
              <w:lang w:val="en-US" w:eastAsia="zh-CN"/>
            </w:rPr>
            <w:t>项目效益</w:t>
          </w:r>
          <w:r>
            <w:rPr>
              <w:rFonts w:hint="eastAsia" w:ascii="宋体" w:hAnsi="宋体" w:eastAsia="宋体" w:cs="宋体"/>
              <w:b w:val="0"/>
              <w:bCs w:val="0"/>
              <w:sz w:val="28"/>
              <w:szCs w:val="28"/>
            </w:rPr>
            <w:t>情况</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_Toc8841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41</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7633CADD">
          <w:pPr>
            <w:pStyle w:val="13"/>
            <w:tabs>
              <w:tab w:val="right" w:leader="dot" w:pos="8844"/>
              <w:tab w:val="clear" w:pos="8931"/>
            </w:tabs>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_Toc4118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highlight w:val="none"/>
              <w:lang w:val="en-US" w:eastAsia="zh-CN"/>
            </w:rPr>
            <w:t>五</w:t>
          </w:r>
          <w:r>
            <w:rPr>
              <w:rFonts w:hint="eastAsia" w:ascii="宋体" w:hAnsi="宋体" w:eastAsia="宋体" w:cs="宋体"/>
              <w:b w:val="0"/>
              <w:bCs w:val="0"/>
              <w:sz w:val="28"/>
              <w:szCs w:val="28"/>
              <w:highlight w:val="none"/>
            </w:rPr>
            <w:t>、主要经验及做法</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_Toc4118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44</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5837C12A">
          <w:pPr>
            <w:pStyle w:val="13"/>
            <w:tabs>
              <w:tab w:val="right" w:leader="dot" w:pos="8844"/>
              <w:tab w:val="clear" w:pos="8931"/>
            </w:tabs>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_Toc24292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highlight w:val="none"/>
              <w:lang w:val="en-US" w:eastAsia="zh-CN"/>
            </w:rPr>
            <w:t>六</w:t>
          </w:r>
          <w:r>
            <w:rPr>
              <w:rFonts w:hint="eastAsia" w:ascii="宋体" w:hAnsi="宋体" w:eastAsia="宋体" w:cs="宋体"/>
              <w:b w:val="0"/>
              <w:bCs w:val="0"/>
              <w:sz w:val="28"/>
              <w:szCs w:val="28"/>
              <w:highlight w:val="none"/>
            </w:rPr>
            <w:t>、存在问题及原因分析</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_Toc24292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44</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11D719EF">
          <w:pPr>
            <w:pStyle w:val="13"/>
            <w:tabs>
              <w:tab w:val="right" w:leader="dot" w:pos="8844"/>
              <w:tab w:val="clear" w:pos="8931"/>
            </w:tabs>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_Toc27664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highlight w:val="none"/>
              <w:lang w:val="en-US" w:eastAsia="zh-CN"/>
            </w:rPr>
            <w:t>七</w:t>
          </w:r>
          <w:r>
            <w:rPr>
              <w:rFonts w:hint="eastAsia" w:ascii="宋体" w:hAnsi="宋体" w:eastAsia="宋体" w:cs="宋体"/>
              <w:b w:val="0"/>
              <w:bCs w:val="0"/>
              <w:sz w:val="28"/>
              <w:szCs w:val="28"/>
              <w:highlight w:val="none"/>
            </w:rPr>
            <w:t>、建议</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_Toc27664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47</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32ADA1FD">
          <w:pPr>
            <w:pStyle w:val="13"/>
            <w:tabs>
              <w:tab w:val="right" w:leader="dot" w:pos="8844"/>
              <w:tab w:val="clear" w:pos="8931"/>
            </w:tabs>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_Toc30921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highlight w:val="none"/>
              <w:lang w:val="en-US" w:eastAsia="zh-CN"/>
            </w:rPr>
            <w:t>八、其它需说明的情况</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_Toc30921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49</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24208E4A">
          <w:r>
            <w:rPr>
              <w:rFonts w:hint="eastAsia" w:ascii="宋体" w:hAnsi="宋体" w:eastAsia="宋体" w:cs="宋体"/>
              <w:bCs w:val="0"/>
              <w:szCs w:val="28"/>
            </w:rPr>
            <w:fldChar w:fldCharType="end"/>
          </w:r>
        </w:p>
      </w:sdtContent>
    </w:sdt>
    <w:p w14:paraId="497ADC4E">
      <w:pPr>
        <w:overflowPunct w:val="0"/>
        <w:spacing w:line="579" w:lineRule="exact"/>
        <w:outlineLvl w:val="0"/>
        <w:rPr>
          <w:rFonts w:ascii="方正小标宋简体" w:eastAsia="方正小标宋简体"/>
          <w:sz w:val="44"/>
          <w:szCs w:val="44"/>
        </w:rPr>
        <w:sectPr>
          <w:pgSz w:w="11906" w:h="16838"/>
          <w:pgMar w:top="2098" w:right="1474" w:bottom="1985" w:left="1588" w:header="851" w:footer="1474" w:gutter="0"/>
          <w:pgBorders>
            <w:top w:val="none" w:sz="0" w:space="0"/>
            <w:left w:val="none" w:sz="0" w:space="0"/>
            <w:bottom w:val="none" w:sz="0" w:space="0"/>
            <w:right w:val="none" w:sz="0" w:space="0"/>
          </w:pgBorders>
          <w:pgNumType w:fmt="lowerRoman" w:start="1"/>
          <w:cols w:space="425" w:num="1"/>
          <w:docGrid w:type="linesAndChars" w:linePitch="579" w:charSpace="3247"/>
        </w:sectPr>
      </w:pPr>
    </w:p>
    <w:p w14:paraId="1CABC0FD">
      <w:pPr>
        <w:overflowPunct w:val="0"/>
        <w:spacing w:line="579" w:lineRule="exact"/>
        <w:outlineLvl w:val="0"/>
        <w:rPr>
          <w:rFonts w:ascii="方正小标宋简体" w:eastAsia="方正小标宋简体"/>
          <w:sz w:val="44"/>
          <w:szCs w:val="44"/>
        </w:rPr>
        <w:sectPr>
          <w:pgSz w:w="11906" w:h="16838"/>
          <w:pgMar w:top="2098" w:right="1474" w:bottom="1985" w:left="1588" w:header="851" w:footer="1474" w:gutter="0"/>
          <w:pgBorders>
            <w:top w:val="none" w:sz="0" w:space="0"/>
            <w:left w:val="none" w:sz="0" w:space="0"/>
            <w:bottom w:val="none" w:sz="0" w:space="0"/>
            <w:right w:val="none" w:sz="0" w:space="0"/>
          </w:pgBorders>
          <w:pgNumType w:fmt="lowerRoman" w:start="1"/>
          <w:cols w:space="425" w:num="1"/>
          <w:docGrid w:type="linesAndChars" w:linePitch="579" w:charSpace="3247"/>
        </w:sectPr>
      </w:pPr>
    </w:p>
    <w:p w14:paraId="5BB37F2E">
      <w:pPr>
        <w:overflowPunct w:val="0"/>
        <w:spacing w:line="579" w:lineRule="exact"/>
        <w:jc w:val="center"/>
        <w:outlineLvl w:val="0"/>
        <w:rPr>
          <w:rFonts w:ascii="方正小标宋简体" w:eastAsia="方正小标宋简体"/>
          <w:sz w:val="44"/>
          <w:szCs w:val="44"/>
          <w:highlight w:val="none"/>
        </w:rPr>
      </w:pPr>
      <w:bookmarkStart w:id="0" w:name="_Toc20378"/>
      <w:bookmarkStart w:id="1" w:name="_Toc7714"/>
      <w:r>
        <w:rPr>
          <w:rFonts w:hint="eastAsia" w:ascii="方正小标宋简体" w:eastAsia="方正小标宋简体"/>
          <w:sz w:val="44"/>
          <w:szCs w:val="44"/>
          <w:highlight w:val="none"/>
        </w:rPr>
        <w:t>摘  要</w:t>
      </w:r>
      <w:bookmarkEnd w:id="0"/>
      <w:bookmarkEnd w:id="1"/>
    </w:p>
    <w:p w14:paraId="1031C9A8">
      <w:pPr>
        <w:spacing w:line="579" w:lineRule="exact"/>
        <w:rPr>
          <w:rFonts w:ascii="方正小标宋简体" w:eastAsia="方正小标宋简体"/>
          <w:sz w:val="44"/>
          <w:szCs w:val="44"/>
          <w:highlight w:val="none"/>
        </w:rPr>
      </w:pPr>
    </w:p>
    <w:p w14:paraId="62850D38">
      <w:pPr>
        <w:overflowPunct w:val="0"/>
        <w:spacing w:line="579" w:lineRule="exact"/>
        <w:ind w:firstLine="629"/>
        <w:rPr>
          <w:rFonts w:hint="eastAsia" w:ascii="方正小标宋简体" w:eastAsia="方正小标宋简体"/>
          <w:sz w:val="44"/>
          <w:szCs w:val="44"/>
          <w:highlight w:val="none"/>
          <w:lang w:val="en-US" w:eastAsia="zh-CN"/>
        </w:rPr>
      </w:pPr>
      <w:r>
        <w:rPr>
          <w:rFonts w:hint="eastAsia" w:ascii="黑体" w:hAnsi="黑体" w:eastAsia="黑体"/>
          <w:szCs w:val="30"/>
          <w:highlight w:val="none"/>
        </w:rPr>
        <w:t>一、基本情况</w:t>
      </w:r>
    </w:p>
    <w:p w14:paraId="0BE7F926">
      <w:pPr>
        <w:spacing w:line="579" w:lineRule="exact"/>
        <w:ind w:firstLine="630" w:firstLineChars="200"/>
        <w:rPr>
          <w:rFonts w:hint="eastAsia" w:hAnsi="仿宋" w:cs="Times New Roman"/>
          <w:kern w:val="30"/>
          <w:sz w:val="30"/>
          <w:szCs w:val="30"/>
          <w:lang w:val="en-US" w:eastAsia="zh-CN" w:bidi="ar-SA"/>
        </w:rPr>
      </w:pPr>
      <w:r>
        <w:rPr>
          <w:rFonts w:hint="eastAsia" w:hAnsi="仿宋" w:cs="Times New Roman"/>
          <w:kern w:val="30"/>
          <w:sz w:val="30"/>
          <w:szCs w:val="30"/>
          <w:lang w:val="en-US" w:eastAsia="zh-CN" w:bidi="ar-SA"/>
        </w:rPr>
        <w:t xml:space="preserve">为加强财政资金绩效管理，提升专项资金使用效益，根据《中共中央 </w:t>
      </w:r>
      <w:bookmarkStart w:id="42" w:name="_GoBack"/>
      <w:bookmarkEnd w:id="42"/>
      <w:r>
        <w:rPr>
          <w:rFonts w:hint="eastAsia" w:hAnsi="仿宋" w:cs="Times New Roman"/>
          <w:kern w:val="30"/>
          <w:sz w:val="30"/>
          <w:szCs w:val="30"/>
          <w:lang w:val="en-US" w:eastAsia="zh-CN" w:bidi="ar-SA"/>
        </w:rPr>
        <w:t>国务院关于全面实施预算绩效管理的意见》《财政支出绩效评价管理办法》等相关要求，对昆明市西山区海口街道产业发展专项资金项目实施绩效评价。</w:t>
      </w:r>
    </w:p>
    <w:p w14:paraId="034614EF">
      <w:pPr>
        <w:spacing w:line="579" w:lineRule="exact"/>
        <w:ind w:firstLine="630" w:firstLineChars="200"/>
        <w:rPr>
          <w:rFonts w:hint="default" w:hAnsi="仿宋"/>
          <w:szCs w:val="30"/>
          <w:highlight w:val="none"/>
          <w:lang w:val="en-US" w:eastAsia="zh-CN"/>
        </w:rPr>
      </w:pPr>
      <w:r>
        <w:rPr>
          <w:rFonts w:hint="eastAsia" w:hAnsi="仿宋" w:cs="Times New Roman"/>
          <w:kern w:val="30"/>
          <w:sz w:val="30"/>
          <w:szCs w:val="30"/>
          <w:lang w:val="en-US" w:eastAsia="zh-CN" w:bidi="ar-SA"/>
        </w:rPr>
        <w:t>专项资金主要用于支持海口污水处理厂运营、园区劳务派遣服务及光学片区土地征转报批费用三类项目，资金来源为区级财</w:t>
      </w:r>
      <w:r>
        <w:rPr>
          <w:rFonts w:hint="eastAsia" w:hAnsi="仿宋" w:cs="Times New Roman"/>
          <w:kern w:val="30"/>
          <w:sz w:val="30"/>
          <w:szCs w:val="30"/>
          <w:highlight w:val="none"/>
          <w:lang w:val="en-US" w:eastAsia="zh-CN" w:bidi="ar-SA"/>
        </w:rPr>
        <w:t>政预算安排的产业发展专项资金。本次绩效评价的到位产业专项资金总额为607.87万元，截至2024年12月31日实际支出资金607.87万元，预算执行率100%。</w:t>
      </w:r>
    </w:p>
    <w:p w14:paraId="0280A2CC">
      <w:pPr>
        <w:overflowPunct w:val="0"/>
        <w:spacing w:line="579" w:lineRule="exact"/>
        <w:ind w:firstLine="629"/>
        <w:rPr>
          <w:rFonts w:hint="eastAsia" w:hAnsi="仿宋"/>
          <w:szCs w:val="30"/>
          <w:highlight w:val="none"/>
          <w:lang w:val="en-US" w:eastAsia="zh-CN"/>
        </w:rPr>
      </w:pPr>
      <w:r>
        <w:rPr>
          <w:rFonts w:hint="eastAsia" w:ascii="黑体" w:hAnsi="黑体" w:eastAsia="黑体"/>
          <w:szCs w:val="30"/>
          <w:highlight w:val="none"/>
        </w:rPr>
        <w:t>二、绩效评价结论</w:t>
      </w:r>
    </w:p>
    <w:p w14:paraId="1EA937BC">
      <w:pPr>
        <w:spacing w:line="579" w:lineRule="exact"/>
        <w:ind w:firstLine="630" w:firstLineChars="200"/>
        <w:rPr>
          <w:rFonts w:hint="eastAsia" w:hAnsi="仿宋"/>
          <w:szCs w:val="30"/>
          <w:highlight w:val="none"/>
          <w:lang w:val="en-US" w:eastAsia="zh-CN"/>
        </w:rPr>
      </w:pPr>
      <w:r>
        <w:rPr>
          <w:rFonts w:hint="eastAsia" w:hAnsi="仿宋"/>
          <w:szCs w:val="30"/>
          <w:highlight w:val="none"/>
          <w:lang w:val="en-US" w:eastAsia="zh-CN"/>
        </w:rPr>
        <w:t>经评价，海口街道产业发展专项资金绩效得分为80.21</w:t>
      </w:r>
      <w:r>
        <w:rPr>
          <w:rStyle w:val="24"/>
          <w:rFonts w:hint="eastAsia" w:hAnsi="仿宋"/>
          <w:szCs w:val="30"/>
          <w:highlight w:val="none"/>
          <w:lang w:val="en-US" w:eastAsia="zh-CN"/>
        </w:rPr>
        <w:footnoteReference w:id="0"/>
      </w:r>
      <w:r>
        <w:rPr>
          <w:rFonts w:hint="eastAsia" w:hAnsi="仿宋"/>
          <w:szCs w:val="30"/>
          <w:highlight w:val="none"/>
          <w:lang w:val="en-US" w:eastAsia="zh-CN"/>
        </w:rPr>
        <w:t>分，综合等级为“良”。项目立项依据充分，资金使用总体符合政策规定和合同约定，拨付程序较为规范，资金账实相符，未发现挤占、挪用、虚列支出等违规行为。各项目实施进度总体正常，产出质量达标，其中污水处理厂出水水质检测报告显示水质稳定达标，劳务派遣人员按合同提供服务，土地征转报批项目按程序推进。专项资金总体运行平稳，对园区经济运行和公共服务能力提升发挥了积极作用。</w:t>
      </w:r>
    </w:p>
    <w:p w14:paraId="74B9197B">
      <w:pPr>
        <w:pStyle w:val="2"/>
        <w:rPr>
          <w:rFonts w:hint="default"/>
          <w:lang w:val="en-US" w:eastAsia="zh-CN"/>
        </w:rPr>
      </w:pPr>
    </w:p>
    <w:p w14:paraId="74EB7EA7">
      <w:pPr>
        <w:numPr>
          <w:ilvl w:val="0"/>
          <w:numId w:val="0"/>
        </w:numPr>
        <w:spacing w:line="579" w:lineRule="exact"/>
        <w:ind w:firstLine="630" w:firstLineChars="200"/>
        <w:outlineLvl w:val="9"/>
        <w:rPr>
          <w:rFonts w:hint="eastAsia" w:ascii="楷体" w:hAnsi="楷体" w:eastAsia="楷体"/>
          <w:szCs w:val="30"/>
          <w:highlight w:val="none"/>
        </w:rPr>
      </w:pPr>
      <w:r>
        <w:rPr>
          <w:rFonts w:hint="eastAsia" w:ascii="黑体" w:hAnsi="宋体" w:eastAsia="黑体" w:cs="宋体"/>
          <w:szCs w:val="30"/>
          <w:highlight w:val="none"/>
          <w:lang w:val="en-US" w:eastAsia="zh-CN"/>
        </w:rPr>
        <w:t>三</w:t>
      </w:r>
      <w:r>
        <w:rPr>
          <w:rFonts w:hint="eastAsia" w:ascii="黑体" w:hAnsi="宋体" w:eastAsia="黑体" w:cs="宋体"/>
          <w:szCs w:val="30"/>
          <w:highlight w:val="none"/>
        </w:rPr>
        <w:t>、存在问题及原因分析</w:t>
      </w:r>
    </w:p>
    <w:p w14:paraId="5A626665">
      <w:pPr>
        <w:pStyle w:val="8"/>
        <w:keepNext w:val="0"/>
        <w:keepLines w:val="0"/>
        <w:pageBreakBefore w:val="0"/>
        <w:widowControl w:val="0"/>
        <w:kinsoku/>
        <w:wordWrap/>
        <w:overflowPunct/>
        <w:topLinePunct w:val="0"/>
        <w:autoSpaceDE/>
        <w:autoSpaceDN/>
        <w:bidi w:val="0"/>
        <w:adjustRightInd/>
        <w:snapToGrid/>
        <w:spacing w:line="579" w:lineRule="exact"/>
        <w:ind w:left="0" w:leftChars="0" w:firstLine="756" w:firstLineChars="240"/>
        <w:jc w:val="both"/>
        <w:textAlignment w:val="auto"/>
        <w:rPr>
          <w:rFonts w:hint="eastAsia" w:ascii="仿宋" w:hAnsi="仿宋" w:eastAsia="仿宋" w:cs="Times New Roman"/>
          <w:kern w:val="30"/>
          <w:sz w:val="30"/>
          <w:szCs w:val="30"/>
          <w:highlight w:val="none"/>
          <w:lang w:val="en-US" w:eastAsia="zh-CN" w:bidi="ar-SA"/>
        </w:rPr>
      </w:pPr>
      <w:r>
        <w:rPr>
          <w:rFonts w:hint="eastAsia" w:ascii="仿宋" w:hAnsi="仿宋" w:eastAsia="仿宋" w:cs="Times New Roman"/>
          <w:kern w:val="30"/>
          <w:sz w:val="30"/>
          <w:szCs w:val="30"/>
          <w:highlight w:val="none"/>
          <w:lang w:val="en-US" w:eastAsia="zh-CN" w:bidi="ar-SA"/>
        </w:rPr>
        <w:t>根据绩效评价情况，昆明市西山区海口街道产业发展专项资金项目在整体执行规范、资金安全和使用合规性方面表现良好，绩效目标基本实现，但在制度建设、绩效设计和效益实现等方面仍存在提升空间。</w:t>
      </w:r>
    </w:p>
    <w:p w14:paraId="33C5DA8D">
      <w:pPr>
        <w:pStyle w:val="8"/>
        <w:keepNext w:val="0"/>
        <w:keepLines w:val="0"/>
        <w:pageBreakBefore w:val="0"/>
        <w:widowControl w:val="0"/>
        <w:kinsoku/>
        <w:wordWrap/>
        <w:overflowPunct/>
        <w:topLinePunct w:val="0"/>
        <w:autoSpaceDE/>
        <w:autoSpaceDN/>
        <w:bidi w:val="0"/>
        <w:adjustRightInd/>
        <w:snapToGrid/>
        <w:spacing w:line="579" w:lineRule="exact"/>
        <w:ind w:left="0" w:leftChars="0" w:firstLine="756" w:firstLineChars="240"/>
        <w:jc w:val="both"/>
        <w:textAlignment w:val="auto"/>
        <w:rPr>
          <w:rFonts w:hint="eastAsia" w:ascii="仿宋" w:hAnsi="仿宋" w:eastAsia="仿宋" w:cs="Times New Roman"/>
          <w:kern w:val="30"/>
          <w:sz w:val="30"/>
          <w:szCs w:val="30"/>
          <w:highlight w:val="none"/>
          <w:lang w:val="en-US" w:eastAsia="zh-CN" w:bidi="ar-SA"/>
        </w:rPr>
      </w:pPr>
      <w:r>
        <w:rPr>
          <w:rFonts w:hint="eastAsia" w:ascii="仿宋" w:hAnsi="仿宋" w:eastAsia="仿宋" w:cs="Times New Roman"/>
          <w:kern w:val="30"/>
          <w:sz w:val="30"/>
          <w:szCs w:val="30"/>
          <w:highlight w:val="none"/>
          <w:lang w:val="en-US" w:eastAsia="zh-CN" w:bidi="ar-SA"/>
        </w:rPr>
        <w:t>一是绩效目标设置偏于宏观化，未能根据不同项目类型分解细化，指标可衡量性不强，与资金投入和项目任务之间的对应关系不足，绩效设计的针对性和可操作性有待提升；二是具体项目管理制度尚不健全，运营类项目缺乏配套管理办法和执行流程，污水处理收费机制、人力资源配置与劳务派遣等领域制度建设相对滞后；三是资金支付与绩效监控衔接不够紧密，项目产出数据获取渠道分散、结算周期较长，部分项目投入与产出关联度无法通过绩效指标呈现；四是绩效管理工作仍处于探索阶段，对绩效管理的目的、作用和使用路径认识不够充分，在实践中尚未形成系统化的工作思路和方法。绩效评价结果主要停留在资料汇总和年度报送层面，尚未有效运用于预算安排、项目执行调整或管理优化等环节，绩效管理的引导和促进功能尚未发挥出来。</w:t>
      </w:r>
    </w:p>
    <w:p w14:paraId="2B68E1B7">
      <w:pPr>
        <w:spacing w:line="579" w:lineRule="exact"/>
        <w:ind w:firstLine="630" w:firstLineChars="200"/>
        <w:outlineLvl w:val="9"/>
        <w:rPr>
          <w:rFonts w:ascii="黑体" w:hAnsi="宋体" w:eastAsia="黑体" w:cs="宋体"/>
          <w:szCs w:val="30"/>
          <w:highlight w:val="none"/>
        </w:rPr>
      </w:pPr>
      <w:r>
        <w:rPr>
          <w:rFonts w:hint="eastAsia" w:ascii="黑体" w:hAnsi="宋体" w:eastAsia="黑体" w:cs="宋体"/>
          <w:szCs w:val="30"/>
          <w:highlight w:val="none"/>
          <w:lang w:val="en-US" w:eastAsia="zh-CN"/>
        </w:rPr>
        <w:t>四</w:t>
      </w:r>
      <w:r>
        <w:rPr>
          <w:rFonts w:hint="eastAsia" w:ascii="黑体" w:hAnsi="宋体" w:eastAsia="黑体" w:cs="宋体"/>
          <w:szCs w:val="30"/>
          <w:highlight w:val="none"/>
        </w:rPr>
        <w:t>、建议</w:t>
      </w:r>
    </w:p>
    <w:p w14:paraId="5E0AA2F9">
      <w:pPr>
        <w:spacing w:line="579" w:lineRule="exact"/>
        <w:ind w:firstLine="630" w:firstLineChars="200"/>
        <w:rPr>
          <w:rFonts w:hint="eastAsia" w:ascii="仿宋" w:hAnsi="仿宋" w:eastAsia="仿宋" w:cs="Times New Roman"/>
          <w:sz w:val="30"/>
          <w:szCs w:val="30"/>
          <w:highlight w:val="none"/>
          <w:lang w:val="en-US" w:eastAsia="zh-CN"/>
        </w:rPr>
      </w:pPr>
      <w:r>
        <w:rPr>
          <w:rFonts w:hint="eastAsia" w:ascii="仿宋" w:hAnsi="仿宋" w:eastAsia="仿宋" w:cs="Times New Roman"/>
          <w:sz w:val="30"/>
          <w:szCs w:val="30"/>
          <w:highlight w:val="none"/>
          <w:lang w:val="en-US" w:eastAsia="zh-CN"/>
        </w:rPr>
        <w:t>为提升海口街道产业发展专项资金使用效能，建议从绩效管理体系、制度建设与执行机制三个方向推进优化。</w:t>
      </w:r>
    </w:p>
    <w:p w14:paraId="25054291">
      <w:pPr>
        <w:spacing w:line="579" w:lineRule="exact"/>
        <w:ind w:firstLine="630" w:firstLineChars="200"/>
        <w:rPr>
          <w:rFonts w:hint="eastAsia" w:ascii="仿宋" w:hAnsi="仿宋" w:eastAsia="仿宋" w:cs="Times New Roman"/>
          <w:sz w:val="30"/>
          <w:szCs w:val="30"/>
          <w:highlight w:val="none"/>
          <w:lang w:val="en-US" w:eastAsia="zh-CN"/>
        </w:rPr>
      </w:pPr>
      <w:r>
        <w:rPr>
          <w:rFonts w:hint="eastAsia" w:ascii="仿宋" w:hAnsi="仿宋" w:eastAsia="仿宋" w:cs="Times New Roman"/>
          <w:sz w:val="30"/>
          <w:szCs w:val="30"/>
          <w:highlight w:val="none"/>
          <w:lang w:val="en-US" w:eastAsia="zh-CN"/>
        </w:rPr>
        <w:t>一是完善绩效目标体系，按照项目类型和实施阶段实行分类分级管理，细化产出和结果指标，推动绩效目标与预算编制、年度计划同步衔接，形成“以项目定预算、以绩效促执行”的管理格局。</w:t>
      </w:r>
    </w:p>
    <w:p w14:paraId="201CBB05">
      <w:pPr>
        <w:spacing w:line="579" w:lineRule="exact"/>
        <w:ind w:firstLine="630" w:firstLineChars="200"/>
        <w:rPr>
          <w:rFonts w:hint="eastAsia" w:ascii="仿宋" w:hAnsi="仿宋" w:eastAsia="仿宋" w:cs="Times New Roman"/>
          <w:sz w:val="30"/>
          <w:szCs w:val="30"/>
          <w:highlight w:val="none"/>
          <w:lang w:val="en-US" w:eastAsia="zh-CN"/>
        </w:rPr>
      </w:pPr>
      <w:r>
        <w:rPr>
          <w:rFonts w:hint="eastAsia" w:ascii="仿宋" w:hAnsi="仿宋" w:eastAsia="仿宋" w:cs="Times New Roman"/>
          <w:sz w:val="30"/>
          <w:szCs w:val="30"/>
          <w:highlight w:val="none"/>
          <w:lang w:val="en-US" w:eastAsia="zh-CN"/>
        </w:rPr>
        <w:t>二是健全项目管理制度，针对运营类和劳务派遣类项目补齐制度规则和流程规范，完善收费机制、人员管理和资金使用控制要求，推动制度从原则性规定向可操作性标准转化。</w:t>
      </w:r>
    </w:p>
    <w:p w14:paraId="3F0B9404">
      <w:pPr>
        <w:spacing w:line="579" w:lineRule="exact"/>
        <w:ind w:firstLine="630" w:firstLineChars="200"/>
        <w:rPr>
          <w:rFonts w:hint="eastAsia" w:ascii="仿宋" w:hAnsi="仿宋" w:eastAsia="仿宋" w:cs="Times New Roman"/>
          <w:sz w:val="30"/>
          <w:szCs w:val="30"/>
          <w:highlight w:val="none"/>
          <w:lang w:val="en-US" w:eastAsia="zh-CN"/>
        </w:rPr>
      </w:pPr>
      <w:r>
        <w:rPr>
          <w:rFonts w:hint="eastAsia" w:ascii="仿宋" w:hAnsi="仿宋" w:eastAsia="仿宋" w:cs="Times New Roman"/>
          <w:sz w:val="30"/>
          <w:szCs w:val="30"/>
          <w:highlight w:val="none"/>
          <w:lang w:val="en-US" w:eastAsia="zh-CN"/>
        </w:rPr>
        <w:t>三是建立全过程绩效监控机制，将绩效评价贯穿立项、执行、支付和结果运用各环节，强化绩效与资金拨付进度的管理衔接，逐步形成可跟踪、可验证的监控体系。</w:t>
      </w:r>
    </w:p>
    <w:p w14:paraId="136931D1">
      <w:pPr>
        <w:spacing w:line="579" w:lineRule="exact"/>
        <w:ind w:firstLine="630" w:firstLineChars="200"/>
        <w:rPr>
          <w:rFonts w:hint="default"/>
          <w:lang w:val="en-US" w:eastAsia="zh-CN"/>
        </w:rPr>
      </w:pPr>
      <w:r>
        <w:rPr>
          <w:rFonts w:hint="eastAsia" w:ascii="仿宋" w:hAnsi="仿宋" w:eastAsia="仿宋" w:cs="Times New Roman"/>
          <w:sz w:val="30"/>
          <w:szCs w:val="30"/>
          <w:highlight w:val="none"/>
          <w:lang w:val="en-US" w:eastAsia="zh-CN"/>
        </w:rPr>
        <w:t>四是优化绩效指标结构，明确不同层次的绩效边界与考核重点，提升绩效指标的可衡量性与解释力，使绩效管理真正发挥促进资源配置优化和管理改进的作用。</w:t>
      </w:r>
    </w:p>
    <w:p w14:paraId="4AA214BF">
      <w:pPr>
        <w:spacing w:line="579" w:lineRule="exact"/>
        <w:ind w:firstLine="630" w:firstLineChars="200"/>
        <w:outlineLvl w:val="9"/>
        <w:rPr>
          <w:rFonts w:hint="default" w:ascii="黑体" w:hAnsi="宋体" w:eastAsia="黑体" w:cs="宋体"/>
          <w:szCs w:val="30"/>
          <w:highlight w:val="none"/>
          <w:lang w:val="en-US" w:eastAsia="zh-CN"/>
        </w:rPr>
      </w:pPr>
      <w:r>
        <w:rPr>
          <w:rFonts w:hint="eastAsia" w:ascii="黑体" w:hAnsi="宋体" w:eastAsia="黑体" w:cs="宋体"/>
          <w:szCs w:val="30"/>
          <w:highlight w:val="none"/>
          <w:lang w:val="en-US" w:eastAsia="zh-CN"/>
        </w:rPr>
        <w:t>五、其他需说明的情况</w:t>
      </w:r>
    </w:p>
    <w:p w14:paraId="229E83CC">
      <w:pPr>
        <w:keepNext w:val="0"/>
        <w:keepLines w:val="0"/>
        <w:widowControl w:val="0"/>
        <w:suppressLineNumbers w:val="0"/>
        <w:spacing w:before="0" w:beforeAutospacing="0" w:after="0" w:afterAutospacing="0" w:line="579" w:lineRule="exact"/>
        <w:ind w:left="0" w:right="0" w:firstLine="630" w:firstLineChars="200"/>
        <w:jc w:val="both"/>
        <w:rPr>
          <w:rFonts w:hint="default" w:hAnsi="仿宋"/>
          <w:szCs w:val="30"/>
          <w:lang w:val="en-US" w:eastAsia="zh-CN"/>
        </w:rPr>
        <w:sectPr>
          <w:footerReference r:id="rId5" w:type="default"/>
          <w:footerReference r:id="rId6" w:type="even"/>
          <w:pgSz w:w="11906" w:h="16838"/>
          <w:pgMar w:top="2098" w:right="1474" w:bottom="1985" w:left="1588" w:header="851" w:footer="1474" w:gutter="0"/>
          <w:pgBorders>
            <w:top w:val="none" w:sz="0" w:space="0"/>
            <w:left w:val="none" w:sz="0" w:space="0"/>
            <w:bottom w:val="none" w:sz="0" w:space="0"/>
            <w:right w:val="none" w:sz="0" w:space="0"/>
          </w:pgBorders>
          <w:pgNumType w:fmt="upperRoman" w:start="1"/>
          <w:cols w:space="425" w:num="1"/>
          <w:docGrid w:type="linesAndChars" w:linePitch="579" w:charSpace="3247"/>
        </w:sectPr>
      </w:pPr>
      <w:r>
        <w:rPr>
          <w:rFonts w:hint="eastAsia" w:ascii="仿宋" w:hAnsi="仿宋" w:eastAsia="仿宋" w:cs="Times New Roman"/>
          <w:kern w:val="30"/>
          <w:sz w:val="30"/>
          <w:szCs w:val="30"/>
          <w:lang w:val="en-US" w:eastAsia="zh-CN" w:bidi="ar"/>
        </w:rPr>
        <w:t>绩效目标主要援引上级文件或上一年度指标，部分指标缺乏统计口径和数据来源支撑。在目标申报和结果填报过程中，多由财务人员独立完成，业务部门参与不足，导致绩效目标与实际工作脱节。部分指标因数据难以统计而在后期被调整或删除，绩效管理</w:t>
      </w:r>
      <w:r>
        <w:rPr>
          <w:rFonts w:hint="eastAsia" w:hAnsi="仿宋" w:cs="Times New Roman"/>
          <w:kern w:val="30"/>
          <w:sz w:val="30"/>
          <w:szCs w:val="30"/>
          <w:lang w:val="en-US" w:eastAsia="zh-CN" w:bidi="ar"/>
        </w:rPr>
        <w:t>目前</w:t>
      </w:r>
      <w:r>
        <w:rPr>
          <w:rFonts w:hint="eastAsia" w:ascii="仿宋" w:hAnsi="仿宋" w:eastAsia="仿宋" w:cs="Times New Roman"/>
          <w:kern w:val="30"/>
          <w:sz w:val="30"/>
          <w:szCs w:val="30"/>
          <w:lang w:val="en-US" w:eastAsia="zh-CN" w:bidi="ar"/>
        </w:rPr>
        <w:t>在基层尚未真正内化为日常管理手段，更多被视为年度报表任务。</w:t>
      </w:r>
    </w:p>
    <w:p w14:paraId="02E24BC9">
      <w:pPr>
        <w:spacing w:line="579" w:lineRule="exact"/>
        <w:jc w:val="center"/>
        <w:rPr>
          <w:rFonts w:hint="eastAsia" w:ascii="方正小标宋简体" w:eastAsia="方正小标宋简体"/>
          <w:sz w:val="44"/>
          <w:szCs w:val="44"/>
          <w:lang w:val="en-US" w:eastAsia="zh-CN"/>
        </w:rPr>
      </w:pPr>
      <w:r>
        <w:rPr>
          <w:rFonts w:hint="eastAsia" w:ascii="方正小标宋简体" w:eastAsia="方正小标宋简体"/>
          <w:sz w:val="44"/>
          <w:szCs w:val="44"/>
          <w:lang w:val="en-US" w:eastAsia="zh-CN"/>
        </w:rPr>
        <w:t>昆明市西山区海口街道办事处</w:t>
      </w:r>
    </w:p>
    <w:p w14:paraId="34AFC49A">
      <w:pPr>
        <w:spacing w:line="579" w:lineRule="exact"/>
        <w:jc w:val="center"/>
        <w:rPr>
          <w:rFonts w:hint="eastAsia" w:ascii="方正小标宋简体" w:eastAsia="方正小标宋简体"/>
          <w:sz w:val="44"/>
          <w:szCs w:val="44"/>
          <w:lang w:val="en-US" w:eastAsia="zh-CN"/>
        </w:rPr>
      </w:pPr>
      <w:r>
        <w:rPr>
          <w:rFonts w:hint="eastAsia" w:ascii="方正小标宋简体" w:eastAsia="方正小标宋简体"/>
          <w:sz w:val="44"/>
          <w:szCs w:val="44"/>
          <w:lang w:val="en-US" w:eastAsia="zh-CN"/>
        </w:rPr>
        <w:t>产业发展专项资金支出项目</w:t>
      </w:r>
    </w:p>
    <w:p w14:paraId="413C61F2">
      <w:pPr>
        <w:spacing w:line="579" w:lineRule="exact"/>
        <w:jc w:val="center"/>
        <w:rPr>
          <w:rFonts w:ascii="方正小标宋简体" w:eastAsia="方正小标宋简体"/>
          <w:sz w:val="44"/>
          <w:szCs w:val="44"/>
        </w:rPr>
      </w:pPr>
      <w:r>
        <w:rPr>
          <w:rFonts w:hint="eastAsia" w:ascii="方正小标宋简体" w:eastAsia="方正小标宋简体"/>
          <w:sz w:val="44"/>
          <w:szCs w:val="44"/>
          <w:lang w:val="en-US" w:eastAsia="zh-CN"/>
        </w:rPr>
        <w:t>支出</w:t>
      </w:r>
      <w:r>
        <w:rPr>
          <w:rFonts w:hint="eastAsia" w:ascii="方正小标宋简体" w:eastAsia="方正小标宋简体"/>
          <w:sz w:val="44"/>
          <w:szCs w:val="44"/>
        </w:rPr>
        <w:t>绩效评价报告</w:t>
      </w:r>
    </w:p>
    <w:p w14:paraId="6213A391">
      <w:pPr>
        <w:spacing w:line="579" w:lineRule="exact"/>
        <w:rPr>
          <w:rFonts w:hAnsi="仿宋"/>
          <w:sz w:val="36"/>
          <w:szCs w:val="36"/>
        </w:rPr>
      </w:pPr>
    </w:p>
    <w:p w14:paraId="01B9328D">
      <w:pPr>
        <w:spacing w:line="579" w:lineRule="exact"/>
        <w:ind w:firstLine="630" w:firstLineChars="200"/>
        <w:rPr>
          <w:rFonts w:hAnsi="仿宋"/>
          <w:szCs w:val="30"/>
          <w:highlight w:val="none"/>
        </w:rPr>
      </w:pPr>
      <w:r>
        <w:rPr>
          <w:rFonts w:hint="eastAsia" w:hAnsi="仿宋"/>
          <w:szCs w:val="30"/>
          <w:highlight w:val="none"/>
        </w:rPr>
        <w:t>根据昆明市</w:t>
      </w:r>
      <w:r>
        <w:rPr>
          <w:rFonts w:hint="eastAsia" w:hAnsi="仿宋"/>
          <w:szCs w:val="30"/>
          <w:highlight w:val="none"/>
          <w:lang w:val="en-US" w:eastAsia="zh-CN"/>
        </w:rPr>
        <w:t>西山区</w:t>
      </w:r>
      <w:r>
        <w:rPr>
          <w:rFonts w:hint="eastAsia" w:hAnsi="仿宋"/>
          <w:szCs w:val="30"/>
          <w:highlight w:val="none"/>
        </w:rPr>
        <w:t>财政局《关于开展西山区202</w:t>
      </w:r>
      <w:r>
        <w:rPr>
          <w:rFonts w:hint="eastAsia" w:hAnsi="仿宋"/>
          <w:szCs w:val="30"/>
          <w:highlight w:val="none"/>
          <w:lang w:val="en-US" w:eastAsia="zh-CN"/>
        </w:rPr>
        <w:t>4</w:t>
      </w:r>
      <w:r>
        <w:rPr>
          <w:rFonts w:hint="eastAsia" w:hAnsi="仿宋"/>
          <w:szCs w:val="30"/>
          <w:highlight w:val="none"/>
        </w:rPr>
        <w:t>年度项目支出财政重点绩效评价工作的通知》</w:t>
      </w:r>
      <w:r>
        <w:rPr>
          <w:rFonts w:hint="eastAsia" w:hAnsi="仿宋"/>
          <w:szCs w:val="30"/>
          <w:highlight w:val="none"/>
          <w:lang w:eastAsia="zh-CN"/>
        </w:rPr>
        <w:t>（</w:t>
      </w:r>
      <w:r>
        <w:rPr>
          <w:rFonts w:hint="eastAsia" w:hAnsi="仿宋"/>
          <w:szCs w:val="30"/>
          <w:highlight w:val="none"/>
        </w:rPr>
        <w:t>西财评绩〔202</w:t>
      </w:r>
      <w:r>
        <w:rPr>
          <w:rFonts w:hint="eastAsia" w:hAnsi="仿宋"/>
          <w:szCs w:val="30"/>
          <w:highlight w:val="none"/>
          <w:lang w:val="en-US" w:eastAsia="zh-CN"/>
        </w:rPr>
        <w:t>5</w:t>
      </w:r>
      <w:r>
        <w:rPr>
          <w:rFonts w:hint="eastAsia" w:hAnsi="仿宋"/>
          <w:szCs w:val="30"/>
          <w:highlight w:val="none"/>
        </w:rPr>
        <w:t>〕1</w:t>
      </w:r>
      <w:r>
        <w:rPr>
          <w:rFonts w:hint="eastAsia" w:hAnsi="仿宋"/>
          <w:szCs w:val="30"/>
          <w:highlight w:val="none"/>
          <w:lang w:val="en-US" w:eastAsia="zh-CN"/>
        </w:rPr>
        <w:t>6</w:t>
      </w:r>
      <w:r>
        <w:rPr>
          <w:rFonts w:hint="eastAsia" w:hAnsi="仿宋"/>
          <w:szCs w:val="30"/>
          <w:highlight w:val="none"/>
        </w:rPr>
        <w:t>号</w:t>
      </w:r>
      <w:r>
        <w:rPr>
          <w:rFonts w:hint="eastAsia" w:hAnsi="仿宋"/>
          <w:szCs w:val="30"/>
          <w:highlight w:val="none"/>
          <w:lang w:eastAsia="zh-CN"/>
        </w:rPr>
        <w:t>）</w:t>
      </w:r>
      <w:r>
        <w:rPr>
          <w:rFonts w:hint="eastAsia" w:hAnsi="仿宋"/>
          <w:szCs w:val="30"/>
          <w:highlight w:val="none"/>
        </w:rPr>
        <w:t>，结合财政部《项目支出绩效评价管理办法》（财预〔2020〕10号）、《中共云南省委</w:t>
      </w:r>
      <w:r>
        <w:rPr>
          <w:rFonts w:hint="eastAsia" w:hAnsi="仿宋"/>
          <w:szCs w:val="30"/>
          <w:highlight w:val="none"/>
          <w:lang w:val="en-US" w:eastAsia="zh-CN"/>
        </w:rPr>
        <w:t>、</w:t>
      </w:r>
      <w:r>
        <w:rPr>
          <w:rFonts w:hint="eastAsia" w:hAnsi="仿宋"/>
          <w:szCs w:val="30"/>
          <w:highlight w:val="none"/>
        </w:rPr>
        <w:t>云南省政府关于全面实施预算绩效管理的实施意见》（云发〔2019〕11号）</w:t>
      </w:r>
      <w:r>
        <w:rPr>
          <w:rFonts w:hint="eastAsia" w:hAnsi="仿宋"/>
          <w:szCs w:val="30"/>
          <w:highlight w:val="none"/>
          <w:lang w:eastAsia="zh-CN"/>
        </w:rPr>
        <w:t>、</w:t>
      </w:r>
      <w:r>
        <w:rPr>
          <w:rFonts w:hint="eastAsia" w:hAnsi="仿宋"/>
          <w:szCs w:val="30"/>
          <w:highlight w:val="none"/>
        </w:rPr>
        <w:t>《云南省财政厅关于印发</w:t>
      </w:r>
      <w:r>
        <w:rPr>
          <w:rFonts w:hint="eastAsia" w:hAnsi="仿宋"/>
          <w:szCs w:val="30"/>
          <w:highlight w:val="none"/>
          <w:lang w:eastAsia="zh-CN"/>
        </w:rPr>
        <w:t>〈</w:t>
      </w:r>
      <w:r>
        <w:rPr>
          <w:rFonts w:hint="eastAsia" w:hAnsi="仿宋"/>
          <w:szCs w:val="30"/>
          <w:highlight w:val="none"/>
        </w:rPr>
        <w:t>云南省项目支出绩效评价管理办法</w:t>
      </w:r>
      <w:r>
        <w:rPr>
          <w:rFonts w:hint="eastAsia" w:hAnsi="仿宋"/>
          <w:szCs w:val="30"/>
          <w:highlight w:val="none"/>
          <w:lang w:eastAsia="zh-CN"/>
        </w:rPr>
        <w:t>〉的通知》</w:t>
      </w:r>
      <w:r>
        <w:rPr>
          <w:rFonts w:hint="eastAsia" w:hAnsi="仿宋"/>
          <w:szCs w:val="30"/>
          <w:highlight w:val="none"/>
        </w:rPr>
        <w:t>（云财绩〔2020〕11号）</w:t>
      </w:r>
      <w:r>
        <w:rPr>
          <w:rFonts w:hint="eastAsia" w:hAnsi="仿宋"/>
          <w:szCs w:val="30"/>
          <w:highlight w:val="none"/>
          <w:lang w:eastAsia="zh-CN"/>
        </w:rPr>
        <w:t>、中共昆明市西山区委、昆明市西山区人民政府关于印发《全面实施预算绩效管理的实施意见的通知》（西发〔2020〕3号）</w:t>
      </w:r>
      <w:r>
        <w:rPr>
          <w:rFonts w:hint="eastAsia" w:hAnsi="仿宋"/>
          <w:szCs w:val="30"/>
          <w:highlight w:val="none"/>
          <w:lang w:val="en-US" w:eastAsia="zh-CN"/>
        </w:rPr>
        <w:t>等文件</w:t>
      </w:r>
      <w:r>
        <w:rPr>
          <w:rFonts w:hint="eastAsia" w:hAnsi="仿宋"/>
          <w:szCs w:val="30"/>
          <w:highlight w:val="none"/>
        </w:rPr>
        <w:t>的要求，</w:t>
      </w:r>
      <w:r>
        <w:rPr>
          <w:rFonts w:hint="eastAsia" w:hAnsi="仿宋"/>
          <w:szCs w:val="30"/>
          <w:highlight w:val="none"/>
          <w:lang w:val="en-US" w:eastAsia="zh-CN"/>
        </w:rPr>
        <w:t>云南谛祥</w:t>
      </w:r>
      <w:r>
        <w:rPr>
          <w:rFonts w:hint="eastAsia" w:hAnsi="仿宋"/>
          <w:szCs w:val="30"/>
          <w:highlight w:val="none"/>
        </w:rPr>
        <w:t>会计师事务所</w:t>
      </w:r>
      <w:r>
        <w:rPr>
          <w:rFonts w:hint="eastAsia" w:hAnsi="仿宋"/>
          <w:szCs w:val="30"/>
          <w:highlight w:val="none"/>
          <w:lang w:eastAsia="zh-CN"/>
        </w:rPr>
        <w:t>（</w:t>
      </w:r>
      <w:r>
        <w:rPr>
          <w:rFonts w:hint="eastAsia" w:hAnsi="仿宋"/>
          <w:szCs w:val="30"/>
          <w:highlight w:val="none"/>
          <w:lang w:val="en-US" w:eastAsia="zh-CN"/>
        </w:rPr>
        <w:t>普通合伙）</w:t>
      </w:r>
      <w:r>
        <w:rPr>
          <w:rFonts w:hint="eastAsia" w:hAnsi="仿宋"/>
          <w:szCs w:val="30"/>
          <w:highlight w:val="none"/>
        </w:rPr>
        <w:t>接受</w:t>
      </w:r>
      <w:r>
        <w:rPr>
          <w:rFonts w:hint="eastAsia" w:hAnsi="仿宋"/>
          <w:szCs w:val="30"/>
          <w:highlight w:val="none"/>
          <w:lang w:val="en-US" w:eastAsia="zh-CN"/>
        </w:rPr>
        <w:t>昆明</w:t>
      </w:r>
      <w:r>
        <w:rPr>
          <w:rFonts w:hint="eastAsia" w:hAnsi="仿宋"/>
          <w:szCs w:val="30"/>
          <w:highlight w:val="none"/>
        </w:rPr>
        <w:t>市</w:t>
      </w:r>
      <w:r>
        <w:rPr>
          <w:rFonts w:hint="eastAsia" w:hAnsi="仿宋"/>
          <w:szCs w:val="30"/>
          <w:highlight w:val="none"/>
          <w:lang w:val="en-US" w:eastAsia="zh-CN"/>
        </w:rPr>
        <w:t>西山区</w:t>
      </w:r>
      <w:r>
        <w:rPr>
          <w:rFonts w:hint="eastAsia" w:hAnsi="仿宋"/>
          <w:szCs w:val="30"/>
          <w:highlight w:val="none"/>
        </w:rPr>
        <w:t>财政局委托，于20</w:t>
      </w:r>
      <w:r>
        <w:rPr>
          <w:rFonts w:hint="eastAsia" w:hAnsi="仿宋"/>
          <w:szCs w:val="30"/>
          <w:highlight w:val="none"/>
          <w:lang w:val="en-US" w:eastAsia="zh-CN"/>
        </w:rPr>
        <w:t>25</w:t>
      </w:r>
      <w:r>
        <w:rPr>
          <w:rFonts w:hint="eastAsia" w:hAnsi="仿宋"/>
          <w:szCs w:val="30"/>
          <w:highlight w:val="none"/>
        </w:rPr>
        <w:t>年</w:t>
      </w:r>
      <w:r>
        <w:rPr>
          <w:rFonts w:hint="eastAsia" w:hAnsi="仿宋"/>
          <w:szCs w:val="30"/>
          <w:highlight w:val="none"/>
          <w:lang w:val="en-US" w:eastAsia="zh-CN"/>
        </w:rPr>
        <w:t>8</w:t>
      </w:r>
      <w:r>
        <w:rPr>
          <w:rFonts w:hint="eastAsia" w:hAnsi="仿宋"/>
          <w:szCs w:val="30"/>
          <w:highlight w:val="none"/>
        </w:rPr>
        <w:t>月至2</w:t>
      </w:r>
      <w:r>
        <w:rPr>
          <w:rFonts w:hint="eastAsia" w:hAnsi="仿宋"/>
          <w:szCs w:val="30"/>
          <w:highlight w:val="none"/>
          <w:lang w:val="en-US" w:eastAsia="zh-CN"/>
        </w:rPr>
        <w:t>025</w:t>
      </w:r>
      <w:r>
        <w:rPr>
          <w:rFonts w:hint="eastAsia" w:hAnsi="仿宋"/>
          <w:szCs w:val="30"/>
          <w:highlight w:val="none"/>
        </w:rPr>
        <w:t>年</w:t>
      </w:r>
      <w:r>
        <w:rPr>
          <w:rFonts w:hint="eastAsia" w:hAnsi="仿宋"/>
          <w:szCs w:val="30"/>
          <w:highlight w:val="none"/>
          <w:lang w:val="en-US" w:eastAsia="zh-CN"/>
        </w:rPr>
        <w:t>10</w:t>
      </w:r>
      <w:r>
        <w:rPr>
          <w:rFonts w:hint="eastAsia" w:hAnsi="仿宋"/>
          <w:szCs w:val="30"/>
          <w:highlight w:val="none"/>
        </w:rPr>
        <w:t>月对</w:t>
      </w:r>
      <w:r>
        <w:rPr>
          <w:rFonts w:hint="eastAsia" w:hAnsi="仿宋"/>
          <w:szCs w:val="30"/>
          <w:highlight w:val="none"/>
          <w:lang w:eastAsia="zh-CN"/>
        </w:rPr>
        <w:t>“昆明市西山区海口街道办事处产业发展专项资金支出项目”</w:t>
      </w:r>
      <w:r>
        <w:rPr>
          <w:rFonts w:hint="eastAsia" w:hAnsi="仿宋"/>
          <w:szCs w:val="30"/>
          <w:highlight w:val="none"/>
          <w:lang w:val="en-US" w:eastAsia="zh-CN"/>
        </w:rPr>
        <w:t>项目</w:t>
      </w:r>
      <w:r>
        <w:rPr>
          <w:rFonts w:hint="eastAsia" w:hAnsi="仿宋"/>
          <w:szCs w:val="30"/>
          <w:highlight w:val="none"/>
        </w:rPr>
        <w:t>开展绩效评价。现将评价情况报告如下：</w:t>
      </w:r>
    </w:p>
    <w:p w14:paraId="20157AC6">
      <w:pPr>
        <w:spacing w:line="579" w:lineRule="exact"/>
        <w:ind w:firstLine="630" w:firstLineChars="200"/>
        <w:outlineLvl w:val="0"/>
        <w:rPr>
          <w:rFonts w:ascii="黑体" w:hAnsi="黑体" w:eastAsia="黑体" w:cs="宋体"/>
          <w:szCs w:val="30"/>
        </w:rPr>
      </w:pPr>
      <w:bookmarkStart w:id="2" w:name="_Toc18223"/>
      <w:r>
        <w:rPr>
          <w:rFonts w:hint="eastAsia" w:ascii="黑体" w:hAnsi="黑体" w:eastAsia="黑体" w:cs="宋体"/>
          <w:szCs w:val="30"/>
        </w:rPr>
        <w:t>一、基本情况</w:t>
      </w:r>
      <w:bookmarkEnd w:id="2"/>
    </w:p>
    <w:p w14:paraId="5623EE47">
      <w:pPr>
        <w:spacing w:line="579" w:lineRule="exact"/>
        <w:ind w:firstLine="630" w:firstLineChars="200"/>
        <w:outlineLvl w:val="1"/>
        <w:rPr>
          <w:rFonts w:hint="eastAsia" w:ascii="楷体" w:hAnsi="楷体" w:eastAsia="楷体"/>
          <w:szCs w:val="30"/>
        </w:rPr>
      </w:pPr>
      <w:bookmarkStart w:id="3" w:name="_Toc11393"/>
      <w:r>
        <w:rPr>
          <w:rFonts w:hint="eastAsia" w:ascii="楷体" w:hAnsi="楷体" w:eastAsia="楷体"/>
          <w:szCs w:val="30"/>
        </w:rPr>
        <w:t>（一）项目概况</w:t>
      </w:r>
      <w:bookmarkEnd w:id="3"/>
    </w:p>
    <w:p w14:paraId="5BF0C50C">
      <w:pPr>
        <w:pStyle w:val="8"/>
        <w:ind w:firstLine="419" w:firstLineChars="0"/>
        <w:rPr>
          <w:rFonts w:hint="default" w:ascii="仿宋" w:hAnsi="仿宋" w:eastAsia="仿宋" w:cs="Times New Roman"/>
          <w:kern w:val="30"/>
          <w:sz w:val="30"/>
          <w:szCs w:val="30"/>
          <w:lang w:val="en-US" w:eastAsia="zh-CN" w:bidi="ar-SA"/>
        </w:rPr>
      </w:pPr>
      <w:r>
        <w:rPr>
          <w:rFonts w:hint="eastAsia" w:ascii="仿宋" w:hAnsi="仿宋" w:eastAsia="仿宋" w:cs="Times New Roman"/>
          <w:kern w:val="30"/>
          <w:sz w:val="30"/>
          <w:szCs w:val="30"/>
          <w:lang w:val="en-US" w:eastAsia="zh-CN" w:bidi="ar-SA"/>
        </w:rPr>
        <w:t>根据</w:t>
      </w:r>
      <w:r>
        <w:rPr>
          <w:rFonts w:hint="eastAsia" w:ascii="仿宋" w:hAnsi="仿宋" w:eastAsia="仿宋" w:cs="Times New Roman"/>
          <w:kern w:val="30"/>
          <w:sz w:val="30"/>
          <w:szCs w:val="30"/>
          <w:lang w:val="en-US" w:eastAsia="zh-CN" w:bidi="ar-SA"/>
        </w:rPr>
        <w:tab/>
      </w:r>
      <w:r>
        <w:rPr>
          <w:rFonts w:hint="eastAsia" w:ascii="仿宋" w:hAnsi="仿宋" w:eastAsia="仿宋" w:cs="Times New Roman"/>
          <w:kern w:val="30"/>
          <w:sz w:val="30"/>
          <w:szCs w:val="30"/>
          <w:lang w:val="en-US" w:eastAsia="zh-CN" w:bidi="ar-SA"/>
        </w:rPr>
        <w:t>《昆明市西山区人民政府关于印发〈关于对海口工业园区与海口街道办事处实行园处合一财政单列的管理办法（试行）〉的通知》（西政发〔2013〕1号），海口工业园区与海口街道办事处（后简称海口街道）实行园处合一，此次评价项目资金</w:t>
      </w:r>
      <w:r>
        <w:rPr>
          <w:rFonts w:hint="eastAsia" w:hAnsi="仿宋" w:cs="Times New Roman"/>
          <w:kern w:val="30"/>
          <w:sz w:val="30"/>
          <w:szCs w:val="30"/>
          <w:highlight w:val="none"/>
          <w:lang w:val="en-US" w:eastAsia="zh-CN" w:bidi="ar-SA"/>
        </w:rPr>
        <w:t>607.87万元</w:t>
      </w:r>
      <w:r>
        <w:rPr>
          <w:rFonts w:hint="eastAsia" w:ascii="仿宋" w:hAnsi="仿宋" w:eastAsia="仿宋" w:cs="Times New Roman"/>
          <w:kern w:val="30"/>
          <w:sz w:val="30"/>
          <w:szCs w:val="30"/>
          <w:lang w:val="en-US" w:eastAsia="zh-CN" w:bidi="ar-SA"/>
        </w:rPr>
        <w:t>，全部为云南省海口工业园区（后简称园区）相关项目使用，后续不再进行专门说明。</w:t>
      </w:r>
    </w:p>
    <w:p w14:paraId="58F00427">
      <w:pPr>
        <w:spacing w:line="579" w:lineRule="exact"/>
        <w:ind w:firstLine="630" w:firstLineChars="200"/>
        <w:rPr>
          <w:rFonts w:hint="eastAsia" w:hAnsi="仿宋"/>
          <w:szCs w:val="30"/>
          <w:lang w:val="en-US" w:eastAsia="zh-CN"/>
        </w:rPr>
      </w:pPr>
      <w:r>
        <w:rPr>
          <w:rFonts w:hint="eastAsia" w:hAnsi="仿宋"/>
          <w:szCs w:val="30"/>
          <w:lang w:val="en-US" w:eastAsia="zh-CN"/>
        </w:rPr>
        <w:t>2024年度海口街道产业发展专项资金属于区级产业发展专项资金框架下的支出科目。该专项资金在年度预算安排时，并未按照单一具体项目进行专项立项，而是以“产业发展专项资金”总额形式下达至园区，由园区结合当年度重点任务、产业建设推进计划和基础设施运行维护需求进行统筹使用。因此，本次绩效评价以园区2024年度实际发生的三项重点支出事项为对象，分别开展绩效分析与评价。</w:t>
      </w:r>
    </w:p>
    <w:p w14:paraId="126AF532">
      <w:pPr>
        <w:spacing w:line="579" w:lineRule="exact"/>
        <w:ind w:firstLine="630" w:firstLineChars="200"/>
        <w:rPr>
          <w:rFonts w:hint="eastAsia" w:hAnsi="仿宋"/>
          <w:szCs w:val="30"/>
          <w:lang w:val="en-US" w:eastAsia="zh-CN"/>
        </w:rPr>
      </w:pPr>
      <w:r>
        <w:rPr>
          <w:rFonts w:hint="eastAsia" w:hAnsi="仿宋"/>
          <w:szCs w:val="30"/>
          <w:lang w:val="en-US" w:eastAsia="zh-CN"/>
        </w:rPr>
        <w:t>具体包括：</w:t>
      </w:r>
    </w:p>
    <w:p w14:paraId="1BFBCD8E">
      <w:pPr>
        <w:spacing w:line="579" w:lineRule="exact"/>
        <w:ind w:firstLine="630" w:firstLineChars="200"/>
        <w:rPr>
          <w:rFonts w:hint="eastAsia" w:hAnsi="仿宋"/>
          <w:szCs w:val="30"/>
          <w:lang w:val="en-US" w:eastAsia="zh-CN"/>
        </w:rPr>
      </w:pPr>
      <w:r>
        <w:rPr>
          <w:rFonts w:hint="eastAsia" w:hAnsi="仿宋"/>
          <w:szCs w:val="30"/>
          <w:lang w:val="en-US" w:eastAsia="zh-CN"/>
        </w:rPr>
        <w:tab/>
      </w:r>
      <w:r>
        <w:rPr>
          <w:rFonts w:hint="eastAsia" w:hAnsi="仿宋"/>
          <w:szCs w:val="30"/>
          <w:lang w:val="en-US" w:eastAsia="zh-CN"/>
        </w:rPr>
        <w:t>1.</w:t>
      </w:r>
      <w:r>
        <w:rPr>
          <w:rFonts w:hint="eastAsia" w:hAnsi="仿宋"/>
          <w:szCs w:val="30"/>
          <w:lang w:val="en-US" w:eastAsia="zh-CN"/>
        </w:rPr>
        <w:tab/>
      </w:r>
      <w:r>
        <w:rPr>
          <w:rFonts w:hint="eastAsia" w:hAnsi="仿宋"/>
          <w:szCs w:val="30"/>
          <w:lang w:val="en-US" w:eastAsia="zh-CN"/>
        </w:rPr>
        <w:t>海口工业园区新区污水处理厂（含配套管网）运行费用支出，用于园区污水处理设施日常运行、维护及污水达标排放管理；</w:t>
      </w:r>
    </w:p>
    <w:p w14:paraId="08B20630">
      <w:pPr>
        <w:spacing w:line="579" w:lineRule="exact"/>
        <w:ind w:firstLine="630" w:firstLineChars="200"/>
        <w:rPr>
          <w:rFonts w:hint="eastAsia" w:hAnsi="仿宋"/>
          <w:szCs w:val="30"/>
          <w:lang w:val="en-US" w:eastAsia="zh-CN"/>
        </w:rPr>
      </w:pPr>
      <w:r>
        <w:rPr>
          <w:rFonts w:hint="eastAsia" w:hAnsi="仿宋"/>
          <w:szCs w:val="30"/>
          <w:lang w:val="en-US" w:eastAsia="zh-CN"/>
        </w:rPr>
        <w:tab/>
      </w:r>
      <w:r>
        <w:rPr>
          <w:rFonts w:hint="eastAsia" w:hAnsi="仿宋"/>
          <w:szCs w:val="30"/>
          <w:lang w:val="en-US" w:eastAsia="zh-CN"/>
        </w:rPr>
        <w:t>2.</w:t>
      </w:r>
      <w:r>
        <w:rPr>
          <w:rFonts w:hint="eastAsia" w:hAnsi="仿宋"/>
          <w:szCs w:val="30"/>
          <w:lang w:val="en-US" w:eastAsia="zh-CN"/>
        </w:rPr>
        <w:tab/>
      </w:r>
      <w:r>
        <w:rPr>
          <w:rFonts w:hint="eastAsia" w:hAnsi="仿宋"/>
          <w:szCs w:val="30"/>
          <w:lang w:val="en-US" w:eastAsia="zh-CN"/>
        </w:rPr>
        <w:t>园区劳务派遣费用支出，用于保障海口工业园区公共服务、园区管理、项目协调及现场运行等环节的人力资源支出；</w:t>
      </w:r>
    </w:p>
    <w:p w14:paraId="00A60291">
      <w:pPr>
        <w:spacing w:line="579" w:lineRule="exact"/>
        <w:ind w:firstLine="630" w:firstLineChars="200"/>
        <w:rPr>
          <w:rFonts w:hint="eastAsia" w:hAnsi="仿宋"/>
          <w:szCs w:val="30"/>
          <w:lang w:val="en-US" w:eastAsia="zh-CN"/>
        </w:rPr>
      </w:pPr>
      <w:r>
        <w:rPr>
          <w:rFonts w:hint="eastAsia" w:hAnsi="仿宋"/>
          <w:szCs w:val="30"/>
          <w:lang w:val="en-US" w:eastAsia="zh-CN"/>
        </w:rPr>
        <w:tab/>
      </w:r>
      <w:r>
        <w:rPr>
          <w:rFonts w:hint="eastAsia" w:hAnsi="仿宋"/>
          <w:szCs w:val="30"/>
          <w:lang w:val="en-US" w:eastAsia="zh-CN"/>
        </w:rPr>
        <w:t>3.</w:t>
      </w:r>
      <w:r>
        <w:rPr>
          <w:rFonts w:hint="eastAsia" w:hAnsi="仿宋"/>
          <w:szCs w:val="30"/>
          <w:lang w:val="en-US" w:eastAsia="zh-CN"/>
        </w:rPr>
        <w:tab/>
      </w:r>
      <w:r>
        <w:rPr>
          <w:rFonts w:hint="eastAsia" w:hAnsi="仿宋"/>
          <w:szCs w:val="30"/>
          <w:lang w:val="en-US" w:eastAsia="zh-CN"/>
        </w:rPr>
        <w:t>光学片区凯航光电项目土地征转报批成本支出，用于光学园区重点招商项目的土地报批、征地补偿及相关前期支出。</w:t>
      </w:r>
    </w:p>
    <w:p w14:paraId="7D6C4080">
      <w:pPr>
        <w:spacing w:line="579" w:lineRule="exact"/>
        <w:ind w:firstLine="630" w:firstLineChars="200"/>
        <w:rPr>
          <w:rFonts w:hint="eastAsia" w:hAnsi="仿宋"/>
          <w:szCs w:val="30"/>
          <w:lang w:val="en-US" w:eastAsia="zh-CN"/>
        </w:rPr>
      </w:pPr>
      <w:r>
        <w:rPr>
          <w:rFonts w:hint="eastAsia" w:hAnsi="仿宋"/>
          <w:szCs w:val="30"/>
          <w:lang w:val="en-US" w:eastAsia="zh-CN"/>
        </w:rPr>
        <w:t>本专项资金由昆明市西山区海口街道办事处具体实施，资金使用均依据《西山区财政局关于下达2024年度区级产业发展专项资金的通知》及相关批复文件执行。</w:t>
      </w:r>
    </w:p>
    <w:p w14:paraId="0BD1782A">
      <w:pPr>
        <w:spacing w:line="579" w:lineRule="exact"/>
        <w:ind w:firstLine="630" w:firstLineChars="200"/>
        <w:rPr>
          <w:rFonts w:hint="default" w:hAnsi="仿宋"/>
          <w:szCs w:val="30"/>
          <w:lang w:val="en-US" w:eastAsia="zh-CN"/>
        </w:rPr>
      </w:pPr>
      <w:r>
        <w:rPr>
          <w:rFonts w:hint="eastAsia" w:hAnsi="仿宋"/>
          <w:szCs w:val="30"/>
          <w:lang w:val="en-US" w:eastAsia="zh-CN"/>
        </w:rPr>
        <w:t>该专项资金的使用旨在服务海口工业园区产业发展总体目标，提升园区基础设施运营保障能力，推动招商引资项目落地，促进园区经济发展与生态环境改善。鉴于专项资金本身属于框架性资金，涵盖多个支出方向，本次绩效评价报告将分别就三项支出事项的立项依据、执行过程、资金管理、产出与效益情况进行分项陈述与综合分析。</w:t>
      </w:r>
    </w:p>
    <w:p w14:paraId="1D4FC642">
      <w:pPr>
        <w:spacing w:line="579" w:lineRule="exact"/>
        <w:ind w:firstLine="630" w:firstLineChars="200"/>
        <w:outlineLvl w:val="1"/>
        <w:rPr>
          <w:rFonts w:ascii="楷体" w:hAnsi="楷体" w:eastAsia="楷体"/>
          <w:szCs w:val="30"/>
        </w:rPr>
      </w:pPr>
      <w:bookmarkStart w:id="4" w:name="_Toc9806"/>
      <w:r>
        <w:rPr>
          <w:rFonts w:hint="eastAsia" w:ascii="楷体" w:hAnsi="楷体" w:eastAsia="楷体"/>
          <w:szCs w:val="30"/>
          <w:lang w:eastAsia="zh-CN"/>
        </w:rPr>
        <w:t>（</w:t>
      </w:r>
      <w:r>
        <w:rPr>
          <w:rFonts w:hint="eastAsia" w:ascii="楷体" w:hAnsi="楷体" w:eastAsia="楷体"/>
          <w:szCs w:val="30"/>
          <w:lang w:val="en-US" w:eastAsia="zh-CN"/>
        </w:rPr>
        <w:t>二</w:t>
      </w:r>
      <w:r>
        <w:rPr>
          <w:rFonts w:hint="eastAsia" w:ascii="楷体" w:hAnsi="楷体" w:eastAsia="楷体"/>
          <w:szCs w:val="30"/>
          <w:lang w:eastAsia="zh-CN"/>
        </w:rPr>
        <w:t>）</w:t>
      </w:r>
      <w:r>
        <w:rPr>
          <w:rFonts w:hint="eastAsia" w:ascii="楷体" w:hAnsi="楷体" w:eastAsia="楷体"/>
          <w:szCs w:val="30"/>
          <w:lang w:val="en-US" w:eastAsia="zh-CN"/>
        </w:rPr>
        <w:t>资金到位</w:t>
      </w:r>
      <w:r>
        <w:rPr>
          <w:rFonts w:hint="eastAsia" w:ascii="楷体" w:hAnsi="楷体" w:eastAsia="楷体"/>
          <w:szCs w:val="30"/>
        </w:rPr>
        <w:t>及使用情况</w:t>
      </w:r>
      <w:bookmarkEnd w:id="4"/>
    </w:p>
    <w:p w14:paraId="32EE9E98">
      <w:pPr>
        <w:spacing w:line="579" w:lineRule="exact"/>
        <w:ind w:firstLine="630" w:firstLineChars="200"/>
        <w:rPr>
          <w:rFonts w:hAnsi="仿宋"/>
          <w:szCs w:val="30"/>
          <w:highlight w:val="none"/>
        </w:rPr>
      </w:pPr>
      <w:r>
        <w:rPr>
          <w:rFonts w:hint="eastAsia" w:hAnsi="仿宋"/>
          <w:szCs w:val="30"/>
          <w:highlight w:val="none"/>
          <w:lang w:val="en-US" w:eastAsia="zh-CN"/>
        </w:rPr>
        <w:t>1.资金到位</w:t>
      </w:r>
      <w:r>
        <w:rPr>
          <w:rFonts w:hint="eastAsia" w:hAnsi="仿宋"/>
          <w:szCs w:val="30"/>
          <w:highlight w:val="none"/>
        </w:rPr>
        <w:t>情况</w:t>
      </w:r>
    </w:p>
    <w:p w14:paraId="629233E7">
      <w:pPr>
        <w:spacing w:line="579" w:lineRule="exact"/>
        <w:ind w:firstLine="630" w:firstLineChars="200"/>
        <w:rPr>
          <w:rFonts w:hint="default" w:hAnsi="仿宋"/>
          <w:szCs w:val="30"/>
          <w:highlight w:val="none"/>
          <w:lang w:val="en-US" w:eastAsia="zh-CN"/>
        </w:rPr>
      </w:pPr>
      <w:r>
        <w:rPr>
          <w:rFonts w:hint="eastAsia" w:hAnsi="仿宋"/>
          <w:szCs w:val="30"/>
          <w:lang w:val="en-US" w:eastAsia="zh-CN"/>
        </w:rPr>
        <w:t>2024年度产业发展专项资金框架预算为1000万元，实际到位并支出607.88</w:t>
      </w:r>
      <w:r>
        <w:rPr>
          <w:rFonts w:hint="eastAsia" w:hAnsi="仿宋" w:cs="Times New Roman"/>
          <w:kern w:val="30"/>
          <w:sz w:val="30"/>
          <w:szCs w:val="30"/>
          <w:highlight w:val="none"/>
          <w:lang w:val="en-US" w:eastAsia="zh-CN" w:bidi="ar-SA"/>
        </w:rPr>
        <w:t>万元</w:t>
      </w:r>
      <w:r>
        <w:rPr>
          <w:rFonts w:hint="eastAsia" w:hAnsi="仿宋"/>
          <w:szCs w:val="30"/>
          <w:lang w:val="en-US" w:eastAsia="zh-CN"/>
        </w:rPr>
        <w:t>。截至2024年年底，专项资金607.88万元全部拨付到位并完成使用，预算执行率为100%</w:t>
      </w:r>
      <w:r>
        <w:rPr>
          <w:rFonts w:hint="eastAsia" w:hAnsi="仿宋" w:cs="Times New Roman"/>
          <w:kern w:val="30"/>
          <w:sz w:val="30"/>
          <w:szCs w:val="30"/>
          <w:lang w:val="en-US" w:eastAsia="zh-CN" w:bidi="ar-SA"/>
        </w:rPr>
        <w:t>。</w:t>
      </w:r>
    </w:p>
    <w:p w14:paraId="5191730F">
      <w:pPr>
        <w:spacing w:line="579" w:lineRule="exact"/>
        <w:ind w:firstLine="630" w:firstLineChars="200"/>
        <w:rPr>
          <w:rFonts w:hint="eastAsia" w:ascii="仿宋" w:hAnsi="仿宋" w:eastAsia="仿宋" w:cs="Times New Roman"/>
          <w:kern w:val="30"/>
          <w:sz w:val="30"/>
          <w:szCs w:val="30"/>
          <w:highlight w:val="none"/>
          <w:lang w:val="en-US" w:eastAsia="zh-CN" w:bidi="ar-SA"/>
        </w:rPr>
      </w:pPr>
      <w:r>
        <w:rPr>
          <w:rFonts w:hint="eastAsia" w:hAnsi="仿宋" w:cs="Times New Roman"/>
          <w:kern w:val="30"/>
          <w:sz w:val="30"/>
          <w:szCs w:val="30"/>
          <w:highlight w:val="none"/>
          <w:lang w:val="en-US" w:eastAsia="zh-CN" w:bidi="ar-SA"/>
        </w:rPr>
        <w:t>2</w:t>
      </w:r>
      <w:r>
        <w:rPr>
          <w:rFonts w:hint="eastAsia" w:ascii="仿宋" w:hAnsi="仿宋" w:eastAsia="仿宋" w:cs="Times New Roman"/>
          <w:kern w:val="30"/>
          <w:sz w:val="30"/>
          <w:szCs w:val="30"/>
          <w:highlight w:val="none"/>
          <w:lang w:val="en-US" w:eastAsia="zh-CN" w:bidi="ar-SA"/>
        </w:rPr>
        <w:t>.资金使用情况</w:t>
      </w:r>
    </w:p>
    <w:p w14:paraId="3202D76D">
      <w:pPr>
        <w:spacing w:line="579" w:lineRule="exact"/>
        <w:ind w:firstLine="630" w:firstLineChars="200"/>
        <w:rPr>
          <w:rFonts w:hint="default" w:ascii="仿宋" w:hAnsi="仿宋" w:eastAsia="仿宋" w:cs="Times New Roman"/>
          <w:kern w:val="30"/>
          <w:sz w:val="30"/>
          <w:szCs w:val="30"/>
          <w:highlight w:val="none"/>
          <w:lang w:val="en-US" w:eastAsia="zh-CN" w:bidi="ar-SA"/>
        </w:rPr>
      </w:pPr>
      <w:r>
        <w:rPr>
          <w:rFonts w:hint="eastAsia" w:ascii="仿宋" w:hAnsi="仿宋" w:eastAsia="仿宋" w:cs="Times New Roman"/>
          <w:kern w:val="30"/>
          <w:sz w:val="30"/>
          <w:szCs w:val="30"/>
          <w:highlight w:val="none"/>
          <w:lang w:val="en-US" w:eastAsia="zh-CN" w:bidi="ar-SA"/>
        </w:rPr>
        <w:t>截至2022年12月31日，</w:t>
      </w:r>
      <w:r>
        <w:rPr>
          <w:rFonts w:hint="eastAsia" w:hAnsi="仿宋" w:cs="Times New Roman"/>
          <w:kern w:val="30"/>
          <w:sz w:val="30"/>
          <w:szCs w:val="30"/>
          <w:highlight w:val="none"/>
          <w:lang w:val="en-US" w:eastAsia="zh-CN" w:bidi="ar-SA"/>
        </w:rPr>
        <w:t>累计支出</w:t>
      </w:r>
      <w:r>
        <w:rPr>
          <w:rFonts w:hint="eastAsia" w:hAnsi="仿宋"/>
          <w:szCs w:val="30"/>
          <w:lang w:val="en-US" w:eastAsia="zh-CN"/>
        </w:rPr>
        <w:t>607.88</w:t>
      </w:r>
      <w:r>
        <w:rPr>
          <w:rFonts w:hint="eastAsia" w:hAnsi="仿宋" w:cs="Times New Roman"/>
          <w:kern w:val="30"/>
          <w:sz w:val="30"/>
          <w:szCs w:val="30"/>
          <w:highlight w:val="none"/>
          <w:lang w:val="en-US" w:eastAsia="zh-CN" w:bidi="ar-SA"/>
        </w:rPr>
        <w:t>万元，资金使用率为100%，分别支付</w:t>
      </w:r>
      <w:r>
        <w:rPr>
          <w:rFonts w:hint="eastAsia" w:hAnsi="仿宋"/>
          <w:szCs w:val="30"/>
          <w:lang w:val="en-US" w:eastAsia="zh-CN"/>
        </w:rPr>
        <w:t>污水处理运营费100.00万元，劳务派遣费164.75万元，征转土地成本343.13万元</w:t>
      </w:r>
      <w:r>
        <w:rPr>
          <w:rFonts w:hint="eastAsia" w:hAnsi="仿宋" w:cs="Times New Roman"/>
          <w:kern w:val="30"/>
          <w:sz w:val="30"/>
          <w:szCs w:val="30"/>
          <w:lang w:val="en-US" w:eastAsia="zh-CN" w:bidi="ar-SA"/>
        </w:rPr>
        <w:t>。</w:t>
      </w:r>
    </w:p>
    <w:p w14:paraId="3FCBFC7E">
      <w:pPr>
        <w:spacing w:line="579" w:lineRule="exact"/>
        <w:ind w:firstLine="630" w:firstLineChars="200"/>
        <w:outlineLvl w:val="1"/>
        <w:rPr>
          <w:rFonts w:hint="default" w:ascii="楷体" w:hAnsi="楷体" w:eastAsia="楷体"/>
          <w:szCs w:val="30"/>
          <w:lang w:val="en-US" w:eastAsia="zh-CN"/>
        </w:rPr>
      </w:pPr>
      <w:bookmarkStart w:id="5" w:name="_Toc6664"/>
      <w:r>
        <w:rPr>
          <w:rFonts w:hint="eastAsia" w:ascii="楷体" w:hAnsi="楷体" w:eastAsia="楷体"/>
          <w:szCs w:val="30"/>
          <w:lang w:val="en-US" w:eastAsia="zh-CN"/>
        </w:rPr>
        <w:t>（三）实施内容</w:t>
      </w:r>
      <w:bookmarkEnd w:id="5"/>
    </w:p>
    <w:p w14:paraId="43FCCFC3">
      <w:pPr>
        <w:shd w:val="clear"/>
        <w:spacing w:line="579" w:lineRule="exact"/>
        <w:ind w:firstLine="630" w:firstLineChars="200"/>
        <w:outlineLvl w:val="9"/>
        <w:rPr>
          <w:rFonts w:hint="eastAsia" w:hAnsi="仿宋"/>
          <w:szCs w:val="30"/>
          <w:highlight w:val="none"/>
          <w:lang w:val="en-US" w:eastAsia="zh-CN"/>
        </w:rPr>
      </w:pPr>
      <w:r>
        <w:rPr>
          <w:rFonts w:hint="eastAsia" w:hAnsi="仿宋"/>
          <w:szCs w:val="30"/>
          <w:highlight w:val="none"/>
          <w:lang w:val="en-US" w:eastAsia="zh-CN"/>
        </w:rPr>
        <w:t>1. 海口工业园区新区污水处理厂（含配套管网）项目</w:t>
      </w:r>
    </w:p>
    <w:p w14:paraId="45671D55">
      <w:pPr>
        <w:shd w:val="clear"/>
        <w:spacing w:line="579" w:lineRule="exact"/>
        <w:ind w:firstLine="630" w:firstLineChars="200"/>
        <w:outlineLvl w:val="9"/>
        <w:rPr>
          <w:rFonts w:hint="eastAsia" w:hAnsi="仿宋"/>
          <w:szCs w:val="30"/>
          <w:highlight w:val="none"/>
          <w:lang w:val="en-US" w:eastAsia="zh-CN"/>
        </w:rPr>
      </w:pPr>
      <w:r>
        <w:rPr>
          <w:rFonts w:hint="eastAsia" w:hAnsi="仿宋"/>
          <w:szCs w:val="30"/>
          <w:highlight w:val="none"/>
          <w:lang w:val="en-US" w:eastAsia="zh-CN"/>
        </w:rPr>
        <w:t>海口工业园区新区污水处理厂（含配套管网）工程项目，位于海口工业园区新区2号路与7号路交叉口东北角，项目计划投资6939.34万元，占地面积39.45亩，设计能力为近期规模4500m³/d（一期）；远期规模7000m³/d（二期，暂定），敷设管网8.514公里。</w:t>
      </w:r>
    </w:p>
    <w:p w14:paraId="743F7C1D">
      <w:pPr>
        <w:shd w:val="clear"/>
        <w:spacing w:line="579" w:lineRule="exact"/>
        <w:ind w:firstLine="630" w:firstLineChars="200"/>
        <w:outlineLvl w:val="9"/>
        <w:rPr>
          <w:rFonts w:hint="eastAsia" w:hAnsi="仿宋"/>
          <w:szCs w:val="30"/>
          <w:highlight w:val="none"/>
          <w:lang w:val="en-US" w:eastAsia="zh-CN"/>
        </w:rPr>
      </w:pPr>
      <w:r>
        <w:rPr>
          <w:rFonts w:hint="eastAsia" w:hAnsi="仿宋"/>
          <w:szCs w:val="30"/>
          <w:highlight w:val="none"/>
          <w:lang w:val="en-US" w:eastAsia="zh-CN"/>
        </w:rPr>
        <w:t>2017年11月24日，省委、省政府第四环保督察组明确指出海口工业园区必须配套建设工业污水处理厂，2018年，云南省设计院集团有限公司出具《昆明海口工业园新区污水处理厂（含配套管网）工程可行性研究报告》，于2019年6月报经西山区人民政府批准：原则同意实施海口工业园区新区污水处理厂（含配套管网）建设项目，由海口工业园区管委会采取委托代建的方式，委托西山区城投公司实施。</w:t>
      </w:r>
    </w:p>
    <w:p w14:paraId="0D8930C6">
      <w:pPr>
        <w:numPr>
          <w:ilvl w:val="0"/>
          <w:numId w:val="1"/>
        </w:numPr>
        <w:shd w:val="clear"/>
        <w:spacing w:line="579" w:lineRule="exact"/>
        <w:ind w:firstLine="630" w:firstLineChars="0"/>
        <w:outlineLvl w:val="9"/>
        <w:rPr>
          <w:rFonts w:hint="default" w:hAnsi="仿宋"/>
          <w:szCs w:val="30"/>
          <w:highlight w:val="none"/>
          <w:lang w:val="en-US" w:eastAsia="zh-CN"/>
        </w:rPr>
      </w:pPr>
      <w:r>
        <w:rPr>
          <w:rFonts w:hint="eastAsia" w:hAnsi="仿宋"/>
          <w:szCs w:val="30"/>
          <w:highlight w:val="none"/>
          <w:lang w:val="en-US" w:eastAsia="zh-CN"/>
        </w:rPr>
        <w:t>代建单位区城投公司于2019年8月9日通过公</w:t>
      </w:r>
      <w:r>
        <w:rPr>
          <w:rFonts w:hint="default" w:hAnsi="仿宋"/>
          <w:szCs w:val="30"/>
          <w:highlight w:val="none"/>
          <w:lang w:val="en-US" w:eastAsia="zh-CN"/>
        </w:rPr>
        <w:t>开招标确定了EPC设计、施工、采购单位并完成公示及合同签订等工作，建设工期为1年；</w:t>
      </w:r>
    </w:p>
    <w:p w14:paraId="5B21EC11">
      <w:pPr>
        <w:numPr>
          <w:ilvl w:val="0"/>
          <w:numId w:val="1"/>
        </w:numPr>
        <w:shd w:val="clear"/>
        <w:spacing w:line="579" w:lineRule="exact"/>
        <w:ind w:firstLine="630" w:firstLineChars="0"/>
        <w:outlineLvl w:val="9"/>
        <w:rPr>
          <w:rFonts w:hint="eastAsia" w:hAnsi="仿宋"/>
          <w:szCs w:val="30"/>
          <w:highlight w:val="none"/>
          <w:lang w:val="en-US" w:eastAsia="zh-CN"/>
        </w:rPr>
      </w:pPr>
      <w:r>
        <w:rPr>
          <w:rFonts w:hint="default" w:hAnsi="仿宋"/>
          <w:szCs w:val="30"/>
          <w:highlight w:val="none"/>
          <w:lang w:val="en-US" w:eastAsia="zh-CN"/>
        </w:rPr>
        <w:t>截至2020年9月29日，17个单体主要构（建）筑物：粗格栅提升泵站及混凝反应池、初沉池及初沉池污泥泵站、调节池及事故调节池、Fenton反应池、高密沉淀池、污泥浓缩池、纤维转盘滤池、活性炭过滤池、集水池、紫外消毒渠及巴氏计量槽、二沉池及配水井、二沉池污泥泵房、生化池、加药间及加药罐、鼓风机房、污泥脱水间、办公楼等已完成建设及装修工作。2020年10月至</w:t>
      </w:r>
      <w:r>
        <w:rPr>
          <w:rFonts w:hint="eastAsia" w:hAnsi="仿宋"/>
          <w:szCs w:val="30"/>
          <w:highlight w:val="none"/>
          <w:lang w:val="en-US" w:eastAsia="zh-CN"/>
        </w:rPr>
        <w:t>2021</w:t>
      </w:r>
      <w:r>
        <w:rPr>
          <w:rFonts w:hint="default" w:hAnsi="仿宋"/>
          <w:szCs w:val="30"/>
          <w:highlight w:val="none"/>
          <w:lang w:val="en-US" w:eastAsia="zh-CN"/>
        </w:rPr>
        <w:t>年3月完成所有设施设备采购和安装工作，2021年3月至7月开展污水处理设施设备调试</w:t>
      </w:r>
      <w:r>
        <w:rPr>
          <w:rFonts w:hint="eastAsia" w:hAnsi="仿宋"/>
          <w:szCs w:val="30"/>
          <w:highlight w:val="none"/>
          <w:lang w:val="en-US" w:eastAsia="zh-CN"/>
        </w:rPr>
        <w:t>、</w:t>
      </w:r>
      <w:r>
        <w:rPr>
          <w:rFonts w:hint="default" w:hAnsi="仿宋"/>
          <w:szCs w:val="30"/>
          <w:highlight w:val="none"/>
          <w:lang w:val="en-US" w:eastAsia="zh-CN"/>
        </w:rPr>
        <w:t>活性污泥培养，于2021年7月23日进行了项目初验</w:t>
      </w:r>
      <w:r>
        <w:rPr>
          <w:rFonts w:hint="eastAsia" w:hAnsi="仿宋"/>
          <w:szCs w:val="30"/>
          <w:highlight w:val="none"/>
          <w:lang w:val="en-US" w:eastAsia="zh-CN"/>
        </w:rPr>
        <w:t>。</w:t>
      </w:r>
    </w:p>
    <w:p w14:paraId="389EE69A">
      <w:pPr>
        <w:shd w:val="clear"/>
        <w:spacing w:line="579" w:lineRule="exact"/>
        <w:ind w:firstLine="630" w:firstLineChars="200"/>
        <w:outlineLvl w:val="9"/>
        <w:rPr>
          <w:rFonts w:hint="eastAsia" w:hAnsi="仿宋"/>
          <w:szCs w:val="30"/>
          <w:highlight w:val="none"/>
          <w:lang w:val="en-US" w:eastAsia="zh-CN"/>
        </w:rPr>
      </w:pPr>
      <w:r>
        <w:rPr>
          <w:rFonts w:hint="default" w:hAnsi="仿宋"/>
          <w:szCs w:val="30"/>
          <w:highlight w:val="none"/>
          <w:lang w:val="en-US" w:eastAsia="zh-CN"/>
        </w:rPr>
        <w:t>（3）2021年7月25日海口工业园区管委会委托西山区兴禹水资源有限公司对污水处理厂进行运营管理，7月26日西山区兴禹水资源有限公司委托第三方污水处理厂专业运维管理公司进厂开展运营管理。</w:t>
      </w:r>
    </w:p>
    <w:p w14:paraId="0D89F3DD">
      <w:pPr>
        <w:shd w:val="clear"/>
        <w:spacing w:line="579" w:lineRule="exact"/>
        <w:ind w:firstLine="630" w:firstLineChars="200"/>
        <w:outlineLvl w:val="9"/>
        <w:rPr>
          <w:rFonts w:hint="eastAsia" w:hAnsi="仿宋"/>
          <w:szCs w:val="30"/>
          <w:highlight w:val="none"/>
          <w:lang w:val="en-US" w:eastAsia="zh-CN"/>
        </w:rPr>
      </w:pPr>
      <w:r>
        <w:rPr>
          <w:rFonts w:hint="default" w:hAnsi="仿宋"/>
          <w:szCs w:val="30"/>
          <w:highlight w:val="none"/>
          <w:lang w:val="en-US" w:eastAsia="zh-CN"/>
        </w:rPr>
        <w:t>（4）2021年8月28日污水处理厂出水水质在线监测设备与昆明市生态环境信息中心污染源自动监控系统联网，实现在线监测。</w:t>
      </w:r>
    </w:p>
    <w:p w14:paraId="734AE3C8">
      <w:pPr>
        <w:shd w:val="clear"/>
        <w:spacing w:line="579" w:lineRule="exact"/>
        <w:ind w:firstLine="630" w:firstLineChars="200"/>
        <w:outlineLvl w:val="9"/>
        <w:rPr>
          <w:rFonts w:hint="eastAsia" w:hAnsi="仿宋"/>
          <w:szCs w:val="30"/>
          <w:highlight w:val="none"/>
          <w:lang w:val="en-US" w:eastAsia="zh-CN"/>
        </w:rPr>
      </w:pPr>
      <w:r>
        <w:rPr>
          <w:rFonts w:hint="default" w:hAnsi="仿宋"/>
          <w:szCs w:val="30"/>
          <w:highlight w:val="none"/>
          <w:lang w:val="en-US" w:eastAsia="zh-CN"/>
        </w:rPr>
        <w:t>（5）2022年8月30日污水处理厂除臭装置完成安装投入使用。</w:t>
      </w:r>
    </w:p>
    <w:p w14:paraId="31F1BB72">
      <w:pPr>
        <w:shd w:val="clear"/>
        <w:spacing w:line="579" w:lineRule="exact"/>
        <w:ind w:firstLine="630" w:firstLineChars="200"/>
        <w:outlineLvl w:val="9"/>
        <w:rPr>
          <w:rFonts w:hint="eastAsia" w:hAnsi="仿宋"/>
          <w:szCs w:val="30"/>
          <w:highlight w:val="none"/>
          <w:lang w:val="en-US" w:eastAsia="zh-CN"/>
        </w:rPr>
      </w:pPr>
      <w:r>
        <w:rPr>
          <w:rFonts w:hint="default" w:hAnsi="仿宋"/>
          <w:szCs w:val="30"/>
          <w:highlight w:val="none"/>
          <w:lang w:val="en-US" w:eastAsia="zh-CN"/>
        </w:rPr>
        <w:t>（6）2022年9月24日取得入河排口设置批复。</w:t>
      </w:r>
    </w:p>
    <w:p w14:paraId="7C3ABB1E">
      <w:pPr>
        <w:shd w:val="clear"/>
        <w:spacing w:line="579" w:lineRule="exact"/>
        <w:ind w:firstLine="630" w:firstLineChars="200"/>
        <w:outlineLvl w:val="9"/>
        <w:rPr>
          <w:rFonts w:hint="default" w:hAnsi="仿宋"/>
          <w:szCs w:val="30"/>
          <w:highlight w:val="none"/>
          <w:lang w:val="en-US" w:eastAsia="zh-CN"/>
        </w:rPr>
      </w:pPr>
      <w:r>
        <w:rPr>
          <w:rFonts w:hint="default" w:hAnsi="仿宋"/>
          <w:szCs w:val="30"/>
          <w:highlight w:val="none"/>
          <w:lang w:val="en-US" w:eastAsia="zh-CN"/>
        </w:rPr>
        <w:t>（7）2022年11月4日取得《污染物排放许可证》。</w:t>
      </w:r>
    </w:p>
    <w:p w14:paraId="12ACE60D">
      <w:pPr>
        <w:shd w:val="clear"/>
        <w:spacing w:line="579" w:lineRule="exact"/>
        <w:ind w:firstLine="630" w:firstLineChars="200"/>
        <w:outlineLvl w:val="9"/>
        <w:rPr>
          <w:rFonts w:hint="eastAsia" w:hAnsi="仿宋"/>
          <w:szCs w:val="30"/>
          <w:highlight w:val="none"/>
          <w:lang w:val="en-US" w:eastAsia="zh-CN"/>
        </w:rPr>
      </w:pPr>
      <w:r>
        <w:rPr>
          <w:rFonts w:hint="default" w:hAnsi="仿宋"/>
          <w:szCs w:val="30"/>
          <w:highlight w:val="none"/>
          <w:lang w:val="en-US" w:eastAsia="zh-CN"/>
        </w:rPr>
        <w:t>（8）2022年1月20日通过昆明市公共资源</w:t>
      </w:r>
      <w:r>
        <w:rPr>
          <w:rFonts w:hint="eastAsia" w:hAnsi="仿宋"/>
          <w:szCs w:val="30"/>
          <w:highlight w:val="none"/>
          <w:lang w:val="en-US" w:eastAsia="zh-CN"/>
        </w:rPr>
        <w:t>交易中心</w:t>
      </w:r>
      <w:r>
        <w:rPr>
          <w:rFonts w:hint="default" w:hAnsi="仿宋"/>
          <w:szCs w:val="30"/>
          <w:highlight w:val="none"/>
          <w:lang w:val="en-US" w:eastAsia="zh-CN"/>
        </w:rPr>
        <w:t>公开招选了污水处理厂管理维护单位</w:t>
      </w:r>
      <w:r>
        <w:rPr>
          <w:rFonts w:hint="eastAsia" w:hAnsi="仿宋"/>
          <w:szCs w:val="30"/>
          <w:highlight w:val="none"/>
          <w:lang w:val="en-US" w:eastAsia="zh-CN"/>
        </w:rPr>
        <w:t>重庆润达科峰环境科技有限公司（以下简称“润达科峰”）</w:t>
      </w:r>
      <w:r>
        <w:rPr>
          <w:rFonts w:hint="default" w:hAnsi="仿宋"/>
          <w:szCs w:val="30"/>
          <w:highlight w:val="none"/>
          <w:lang w:val="en-US" w:eastAsia="zh-CN"/>
        </w:rPr>
        <w:t>，现已正常运行，日均处理量</w:t>
      </w:r>
      <w:r>
        <w:rPr>
          <w:rFonts w:hint="eastAsia" w:hAnsi="仿宋"/>
          <w:szCs w:val="30"/>
          <w:highlight w:val="none"/>
          <w:lang w:val="en-US" w:eastAsia="zh-CN"/>
        </w:rPr>
        <w:t>约为</w:t>
      </w:r>
      <w:r>
        <w:rPr>
          <w:rFonts w:hint="default" w:hAnsi="仿宋"/>
          <w:szCs w:val="30"/>
          <w:highlight w:val="none"/>
          <w:lang w:val="en-US" w:eastAsia="zh-CN"/>
        </w:rPr>
        <w:t>4000m</w:t>
      </w:r>
      <w:r>
        <w:rPr>
          <w:rFonts w:hint="eastAsia" w:hAnsi="仿宋"/>
          <w:szCs w:val="30"/>
          <w:highlight w:val="none"/>
          <w:lang w:val="en-US" w:eastAsia="zh-CN"/>
        </w:rPr>
        <w:t>³</w:t>
      </w:r>
      <w:r>
        <w:rPr>
          <w:rFonts w:hint="default" w:hAnsi="仿宋"/>
          <w:szCs w:val="30"/>
          <w:highlight w:val="none"/>
          <w:lang w:val="en-US" w:eastAsia="zh-CN"/>
        </w:rPr>
        <w:t>/d。</w:t>
      </w:r>
    </w:p>
    <w:p w14:paraId="3A3ACD81">
      <w:pPr>
        <w:shd w:val="clear"/>
        <w:spacing w:line="579" w:lineRule="exact"/>
        <w:ind w:firstLine="630" w:firstLineChars="200"/>
        <w:outlineLvl w:val="9"/>
        <w:rPr>
          <w:rFonts w:hint="default" w:hAnsi="仿宋"/>
          <w:szCs w:val="30"/>
          <w:highlight w:val="none"/>
          <w:lang w:val="en-US" w:eastAsia="zh-CN"/>
        </w:rPr>
      </w:pPr>
      <w:r>
        <w:rPr>
          <w:rFonts w:hint="eastAsia" w:hAnsi="仿宋"/>
          <w:szCs w:val="30"/>
          <w:highlight w:val="none"/>
          <w:lang w:val="en-US" w:eastAsia="zh-CN"/>
        </w:rPr>
        <w:t>海口产业园区管理委员会委托海口街道办通过政府采购平台公开招标，园区管委会、重庆润达科峰环境科技有限公司（以下简称“润达科峰”）及海口街道办事处签订三方协议，使用一体化系统进行采购，通过政府采购平台公开招标完成了污水处理厂项目采购，中标人为重庆润达科峰环境科技有限公司，约定了园区管委会为业主，组织合同签订和执行，考核执行情况，并拨付相应服务费用，并于2023年1月及2024年2月分别签订运营管理政府采购合同。润达科峰负责污水处理厂运行管理及水质控制，按日处理量计付服务费，园区安环部门通过数据平台进行处理量监督，日设计处理量为4500立方米，不足50%的按照50%计算，超出部分按照实际处理量计算（按日进行比对和计算，按季度汇总日计算累计处理量，并根据合同约定的单价进行运维费用的结算）。</w:t>
      </w:r>
    </w:p>
    <w:p w14:paraId="29DA4E1D">
      <w:pPr>
        <w:shd w:val="clear"/>
        <w:spacing w:line="579" w:lineRule="exact"/>
        <w:ind w:firstLine="630" w:firstLineChars="200"/>
        <w:outlineLvl w:val="9"/>
        <w:rPr>
          <w:rFonts w:hint="eastAsia" w:hAnsi="仿宋"/>
          <w:szCs w:val="30"/>
          <w:highlight w:val="none"/>
          <w:lang w:val="en-US" w:eastAsia="zh-CN"/>
        </w:rPr>
      </w:pPr>
      <w:r>
        <w:rPr>
          <w:rFonts w:hint="eastAsia" w:hAnsi="仿宋"/>
          <w:szCs w:val="30"/>
          <w:highlight w:val="none"/>
          <w:lang w:val="en-US" w:eastAsia="zh-CN"/>
        </w:rPr>
        <w:t>云南天倪检测有限公司承担污水处理厂进出水水质的第三方检测，每月出具检测报告。润达科峰按季度编制《结算处理量确认表》经园区安环部确认后结算。</w:t>
      </w:r>
    </w:p>
    <w:p w14:paraId="19E7ECE5">
      <w:pPr>
        <w:shd w:val="clear"/>
        <w:spacing w:line="579" w:lineRule="exact"/>
        <w:ind w:firstLine="630" w:firstLineChars="200"/>
        <w:outlineLvl w:val="9"/>
        <w:rPr>
          <w:rFonts w:hint="default" w:hAnsi="仿宋"/>
          <w:szCs w:val="30"/>
          <w:highlight w:val="yellow"/>
          <w:lang w:val="en-US" w:eastAsia="zh-CN"/>
        </w:rPr>
      </w:pPr>
      <w:r>
        <w:rPr>
          <w:rFonts w:hint="eastAsia" w:hAnsi="仿宋"/>
          <w:szCs w:val="30"/>
          <w:highlight w:val="none"/>
          <w:lang w:val="en-US" w:eastAsia="zh-CN"/>
        </w:rPr>
        <w:t>根据《海口工业园区新区污水处理厂（含配套管网）运营管理政府采购合同》及园区安环部核对结果，润达科峰于2024年8月5日提出加快拨付款项的紧急请示，陈述请求支付三期合计应付运维费用约663.08万元，其中2023年三季度应付216.90万元，2023年四季度应付247.21万元，2024年一季度应付198.97万元，表明截止2024年8月5日南方电网下发的欠费停电通知书显示污水处理厂已欠缴电费10.42万元。</w:t>
      </w:r>
    </w:p>
    <w:p w14:paraId="40262F19">
      <w:pPr>
        <w:shd w:val="clear"/>
        <w:spacing w:line="579" w:lineRule="exact"/>
        <w:ind w:firstLine="630" w:firstLineChars="200"/>
        <w:outlineLvl w:val="9"/>
        <w:rPr>
          <w:rFonts w:hint="eastAsia" w:hAnsi="仿宋"/>
          <w:szCs w:val="30"/>
          <w:highlight w:val="none"/>
          <w:lang w:val="en-US" w:eastAsia="zh-CN"/>
        </w:rPr>
      </w:pPr>
      <w:r>
        <w:rPr>
          <w:rFonts w:hint="eastAsia" w:hAnsi="仿宋"/>
          <w:szCs w:val="30"/>
          <w:highlight w:val="none"/>
          <w:lang w:val="en-US" w:eastAsia="zh-CN"/>
        </w:rPr>
        <w:t>园区于2024年7月3日以自有资金支付运维费用100万元，并于2024年8月19日会议研究，同意以产业发展专项资金支付运维费100万元，共计支付200万元。2024年4月19日收到重庆润达科峰环境科技有限公司开具对应服务费发票316.90万元。</w:t>
      </w:r>
    </w:p>
    <w:p w14:paraId="38678AF7">
      <w:pPr>
        <w:shd w:val="clear"/>
        <w:spacing w:line="579" w:lineRule="exact"/>
        <w:ind w:firstLine="630" w:firstLineChars="200"/>
        <w:outlineLvl w:val="9"/>
        <w:rPr>
          <w:rFonts w:hint="eastAsia" w:hAnsi="仿宋"/>
          <w:szCs w:val="30"/>
          <w:highlight w:val="none"/>
          <w:lang w:val="en-US" w:eastAsia="zh-CN"/>
        </w:rPr>
      </w:pPr>
      <w:r>
        <w:rPr>
          <w:rFonts w:hint="eastAsia" w:hAnsi="仿宋"/>
          <w:szCs w:val="30"/>
          <w:highlight w:val="none"/>
          <w:lang w:val="en-US" w:eastAsia="zh-CN"/>
        </w:rPr>
        <w:t>2.光学片区凯航光电项目土地征转报批成本核算费用</w:t>
      </w:r>
    </w:p>
    <w:p w14:paraId="505B7847">
      <w:pPr>
        <w:shd w:val="clear"/>
        <w:spacing w:line="579" w:lineRule="exact"/>
        <w:ind w:firstLine="630" w:firstLineChars="200"/>
        <w:outlineLvl w:val="9"/>
        <w:rPr>
          <w:rFonts w:hint="eastAsia" w:hAnsi="仿宋"/>
          <w:szCs w:val="30"/>
          <w:highlight w:val="none"/>
          <w:lang w:val="en-US" w:eastAsia="zh-CN"/>
        </w:rPr>
      </w:pPr>
      <w:r>
        <w:rPr>
          <w:rFonts w:hint="eastAsia" w:hAnsi="仿宋"/>
          <w:szCs w:val="30"/>
          <w:highlight w:val="none"/>
          <w:lang w:val="en-US" w:eastAsia="zh-CN"/>
        </w:rPr>
        <w:t>该支出用于支持园区光学片区企业扩产项目的前期土地征转成本支出，属于园区对原有落户企业扩产支持的落地配套环节。</w:t>
      </w:r>
    </w:p>
    <w:p w14:paraId="04D21FD5">
      <w:pPr>
        <w:shd w:val="clear"/>
        <w:spacing w:line="579" w:lineRule="exact"/>
        <w:ind w:firstLine="630" w:firstLineChars="200"/>
        <w:outlineLvl w:val="9"/>
        <w:rPr>
          <w:rFonts w:hint="eastAsia"/>
          <w:lang w:val="en-US" w:eastAsia="zh-CN"/>
        </w:rPr>
      </w:pPr>
      <w:r>
        <w:rPr>
          <w:rFonts w:hint="eastAsia" w:hAnsi="仿宋"/>
          <w:color w:val="auto"/>
          <w:szCs w:val="30"/>
          <w:highlight w:val="none"/>
          <w:lang w:val="en-US" w:eastAsia="zh-CN"/>
        </w:rPr>
        <w:t>2024年，土地征转工作总体由昆明海口产业园区投资有限公司（以下简称投资公司）执行，根据凯航光电项目土地征转报批进度，按西山区自然资源局的通知，投资公司需按程序缴纳补充耕地指标、失地农民保障金、征地补偿费、税费等共计565.01万元，其中由园区通过产业发展专项资金实际支付343.13万元，其余部分由其他自筹资金支付，具体金额如下：</w:t>
      </w:r>
    </w:p>
    <w:tbl>
      <w:tblPr>
        <w:tblStyle w:val="18"/>
        <w:tblW w:w="765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781"/>
        <w:gridCol w:w="2878"/>
      </w:tblGrid>
      <w:tr w14:paraId="48ECD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5" w:hRule="atLeast"/>
          <w:jc w:val="center"/>
        </w:trPr>
        <w:tc>
          <w:tcPr>
            <w:tcW w:w="4781" w:type="dxa"/>
            <w:tcBorders>
              <w:top w:val="nil"/>
              <w:left w:val="nil"/>
              <w:bottom w:val="nil"/>
              <w:right w:val="nil"/>
            </w:tcBorders>
            <w:shd w:val="clear" w:color="auto" w:fill="auto"/>
            <w:noWrap/>
            <w:vAlign w:val="center"/>
          </w:tcPr>
          <w:p w14:paraId="75B990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费用类型</w:t>
            </w:r>
          </w:p>
        </w:tc>
        <w:tc>
          <w:tcPr>
            <w:tcW w:w="2878" w:type="dxa"/>
            <w:tcBorders>
              <w:top w:val="nil"/>
              <w:left w:val="nil"/>
              <w:bottom w:val="nil"/>
              <w:right w:val="nil"/>
            </w:tcBorders>
            <w:shd w:val="clear" w:color="auto" w:fill="auto"/>
            <w:noWrap/>
            <w:vAlign w:val="center"/>
          </w:tcPr>
          <w:p w14:paraId="4119DA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金额（元）</w:t>
            </w:r>
          </w:p>
        </w:tc>
      </w:tr>
      <w:tr w14:paraId="2691D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3" w:hRule="atLeast"/>
          <w:jc w:val="center"/>
        </w:trPr>
        <w:tc>
          <w:tcPr>
            <w:tcW w:w="4781" w:type="dxa"/>
            <w:tcBorders>
              <w:top w:val="nil"/>
              <w:left w:val="nil"/>
              <w:bottom w:val="nil"/>
              <w:right w:val="nil"/>
            </w:tcBorders>
            <w:shd w:val="clear" w:color="auto" w:fill="auto"/>
            <w:noWrap/>
            <w:vAlign w:val="center"/>
          </w:tcPr>
          <w:p w14:paraId="74B033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仿宋" w:hAnsi="仿宋" w:eastAsia="仿宋" w:cs="仿宋"/>
                <w:i w:val="0"/>
                <w:iCs w:val="0"/>
                <w:color w:val="000000"/>
                <w:sz w:val="21"/>
                <w:szCs w:val="21"/>
                <w:u w:val="none"/>
                <w:lang w:val="en-US"/>
              </w:rPr>
            </w:pPr>
            <w:r>
              <w:rPr>
                <w:rFonts w:hint="default" w:ascii="仿宋" w:hAnsi="仿宋" w:eastAsia="仿宋" w:cs="仿宋"/>
                <w:i w:val="0"/>
                <w:iCs w:val="0"/>
                <w:color w:val="000000"/>
                <w:kern w:val="0"/>
                <w:sz w:val="21"/>
                <w:szCs w:val="21"/>
                <w:u w:val="none"/>
                <w:lang w:val="en-US" w:eastAsia="zh-CN" w:bidi="ar"/>
              </w:rPr>
              <w:t>补充耕地市场化交易平台</w:t>
            </w:r>
            <w:r>
              <w:rPr>
                <w:rFonts w:hint="eastAsia" w:ascii="仿宋" w:hAnsi="仿宋" w:eastAsia="仿宋" w:cs="仿宋"/>
                <w:i w:val="0"/>
                <w:iCs w:val="0"/>
                <w:color w:val="000000"/>
                <w:kern w:val="0"/>
                <w:sz w:val="21"/>
                <w:szCs w:val="21"/>
                <w:u w:val="none"/>
                <w:lang w:val="en-US" w:eastAsia="zh-CN" w:bidi="ar"/>
              </w:rPr>
              <w:t>（耕地占补平衡）</w:t>
            </w:r>
            <w:r>
              <w:rPr>
                <w:rStyle w:val="24"/>
                <w:rFonts w:hint="eastAsia" w:ascii="仿宋" w:hAnsi="仿宋" w:eastAsia="仿宋" w:cs="仿宋"/>
                <w:i w:val="0"/>
                <w:iCs w:val="0"/>
                <w:color w:val="000000"/>
                <w:kern w:val="0"/>
                <w:sz w:val="21"/>
                <w:szCs w:val="21"/>
                <w:u w:val="none"/>
                <w:lang w:val="en-US" w:eastAsia="zh-CN" w:bidi="ar"/>
              </w:rPr>
              <w:footnoteReference w:id="1"/>
            </w:r>
          </w:p>
        </w:tc>
        <w:tc>
          <w:tcPr>
            <w:tcW w:w="2878" w:type="dxa"/>
            <w:tcBorders>
              <w:top w:val="nil"/>
              <w:left w:val="nil"/>
              <w:bottom w:val="nil"/>
              <w:right w:val="nil"/>
            </w:tcBorders>
            <w:shd w:val="clear" w:color="auto" w:fill="auto"/>
            <w:noWrap/>
            <w:vAlign w:val="center"/>
          </w:tcPr>
          <w:p w14:paraId="746396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1,661,760.00</w:t>
            </w:r>
          </w:p>
        </w:tc>
      </w:tr>
      <w:tr w14:paraId="426EB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jc w:val="center"/>
        </w:trPr>
        <w:tc>
          <w:tcPr>
            <w:tcW w:w="4781" w:type="dxa"/>
            <w:tcBorders>
              <w:top w:val="nil"/>
              <w:left w:val="nil"/>
              <w:bottom w:val="nil"/>
              <w:right w:val="nil"/>
            </w:tcBorders>
            <w:shd w:val="clear" w:color="auto" w:fill="auto"/>
            <w:noWrap/>
            <w:vAlign w:val="center"/>
          </w:tcPr>
          <w:p w14:paraId="4F8F1B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粮食产能指标</w:t>
            </w:r>
            <w:r>
              <w:rPr>
                <w:rFonts w:hint="eastAsia" w:ascii="仿宋" w:hAnsi="仿宋" w:eastAsia="仿宋" w:cs="仿宋"/>
                <w:i w:val="0"/>
                <w:iCs w:val="0"/>
                <w:color w:val="000000"/>
                <w:kern w:val="0"/>
                <w:sz w:val="21"/>
                <w:szCs w:val="21"/>
                <w:u w:val="none"/>
                <w:lang w:val="en-US" w:eastAsia="zh-CN" w:bidi="ar"/>
              </w:rPr>
              <w:t>购买（耕地占补平衡）</w:t>
            </w:r>
            <w:r>
              <w:rPr>
                <w:rStyle w:val="24"/>
                <w:rFonts w:hint="eastAsia" w:ascii="仿宋" w:hAnsi="仿宋" w:eastAsia="仿宋" w:cs="仿宋"/>
                <w:i w:val="0"/>
                <w:iCs w:val="0"/>
                <w:color w:val="000000"/>
                <w:kern w:val="0"/>
                <w:sz w:val="21"/>
                <w:szCs w:val="21"/>
                <w:u w:val="none"/>
                <w:lang w:val="en-US" w:eastAsia="zh-CN" w:bidi="ar"/>
              </w:rPr>
              <w:footnoteReference w:id="2"/>
            </w:r>
          </w:p>
        </w:tc>
        <w:tc>
          <w:tcPr>
            <w:tcW w:w="2878" w:type="dxa"/>
            <w:tcBorders>
              <w:top w:val="nil"/>
              <w:left w:val="nil"/>
              <w:bottom w:val="nil"/>
              <w:right w:val="nil"/>
            </w:tcBorders>
            <w:shd w:val="clear" w:color="auto" w:fill="auto"/>
            <w:noWrap/>
            <w:vAlign w:val="center"/>
          </w:tcPr>
          <w:p w14:paraId="1034CF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889,295.10</w:t>
            </w:r>
          </w:p>
        </w:tc>
      </w:tr>
      <w:tr w14:paraId="087D0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jc w:val="center"/>
        </w:trPr>
        <w:tc>
          <w:tcPr>
            <w:tcW w:w="4781" w:type="dxa"/>
            <w:tcBorders>
              <w:top w:val="nil"/>
              <w:left w:val="nil"/>
              <w:bottom w:val="nil"/>
              <w:right w:val="nil"/>
            </w:tcBorders>
            <w:shd w:val="clear" w:color="auto" w:fill="auto"/>
            <w:noWrap/>
            <w:vAlign w:val="center"/>
          </w:tcPr>
          <w:p w14:paraId="74B2C0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集体用地失地农民社会保障金</w:t>
            </w:r>
          </w:p>
        </w:tc>
        <w:tc>
          <w:tcPr>
            <w:tcW w:w="2878" w:type="dxa"/>
            <w:tcBorders>
              <w:top w:val="nil"/>
              <w:left w:val="nil"/>
              <w:bottom w:val="nil"/>
              <w:right w:val="nil"/>
            </w:tcBorders>
            <w:shd w:val="clear" w:color="auto" w:fill="auto"/>
            <w:noWrap/>
            <w:vAlign w:val="center"/>
          </w:tcPr>
          <w:p w14:paraId="12DDB4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227,640.00</w:t>
            </w:r>
          </w:p>
        </w:tc>
      </w:tr>
      <w:tr w14:paraId="1A140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jc w:val="center"/>
        </w:trPr>
        <w:tc>
          <w:tcPr>
            <w:tcW w:w="4781" w:type="dxa"/>
            <w:tcBorders>
              <w:top w:val="nil"/>
              <w:left w:val="nil"/>
              <w:bottom w:val="nil"/>
              <w:right w:val="nil"/>
            </w:tcBorders>
            <w:shd w:val="clear" w:color="auto" w:fill="auto"/>
            <w:noWrap/>
            <w:vAlign w:val="center"/>
          </w:tcPr>
          <w:p w14:paraId="3F2EC6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征地补偿费</w:t>
            </w:r>
          </w:p>
        </w:tc>
        <w:tc>
          <w:tcPr>
            <w:tcW w:w="2878" w:type="dxa"/>
            <w:tcBorders>
              <w:top w:val="nil"/>
              <w:left w:val="nil"/>
              <w:bottom w:val="nil"/>
              <w:right w:val="nil"/>
            </w:tcBorders>
            <w:shd w:val="clear" w:color="auto" w:fill="auto"/>
            <w:noWrap/>
            <w:vAlign w:val="center"/>
          </w:tcPr>
          <w:p w14:paraId="1513A0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2,218,870.00</w:t>
            </w:r>
          </w:p>
        </w:tc>
      </w:tr>
      <w:tr w14:paraId="1356E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jc w:val="center"/>
        </w:trPr>
        <w:tc>
          <w:tcPr>
            <w:tcW w:w="4781" w:type="dxa"/>
            <w:tcBorders>
              <w:top w:val="nil"/>
              <w:left w:val="nil"/>
              <w:bottom w:val="nil"/>
              <w:right w:val="nil"/>
            </w:tcBorders>
            <w:shd w:val="clear" w:color="auto" w:fill="auto"/>
            <w:noWrap/>
            <w:vAlign w:val="center"/>
          </w:tcPr>
          <w:p w14:paraId="1EA6A1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征地占用税</w:t>
            </w:r>
          </w:p>
        </w:tc>
        <w:tc>
          <w:tcPr>
            <w:tcW w:w="2878" w:type="dxa"/>
            <w:tcBorders>
              <w:top w:val="nil"/>
              <w:left w:val="nil"/>
              <w:bottom w:val="nil"/>
              <w:right w:val="nil"/>
            </w:tcBorders>
            <w:shd w:val="clear" w:color="auto" w:fill="auto"/>
            <w:noWrap/>
            <w:vAlign w:val="center"/>
          </w:tcPr>
          <w:p w14:paraId="62B56A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227,640.00</w:t>
            </w:r>
          </w:p>
        </w:tc>
      </w:tr>
      <w:tr w14:paraId="60F5C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jc w:val="center"/>
        </w:trPr>
        <w:tc>
          <w:tcPr>
            <w:tcW w:w="4781" w:type="dxa"/>
            <w:tcBorders>
              <w:top w:val="nil"/>
              <w:left w:val="nil"/>
              <w:bottom w:val="nil"/>
              <w:right w:val="nil"/>
            </w:tcBorders>
            <w:shd w:val="clear" w:color="auto" w:fill="auto"/>
            <w:noWrap/>
            <w:vAlign w:val="center"/>
          </w:tcPr>
          <w:p w14:paraId="040ADE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新增建设用地有偿使用费</w:t>
            </w:r>
          </w:p>
        </w:tc>
        <w:tc>
          <w:tcPr>
            <w:tcW w:w="2878" w:type="dxa"/>
            <w:tcBorders>
              <w:top w:val="nil"/>
              <w:left w:val="nil"/>
              <w:bottom w:val="nil"/>
              <w:right w:val="nil"/>
            </w:tcBorders>
            <w:shd w:val="clear" w:color="auto" w:fill="auto"/>
            <w:noWrap/>
            <w:vAlign w:val="center"/>
          </w:tcPr>
          <w:p w14:paraId="1D4225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424,928.00</w:t>
            </w:r>
          </w:p>
        </w:tc>
      </w:tr>
      <w:tr w14:paraId="018A0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jc w:val="center"/>
        </w:trPr>
        <w:tc>
          <w:tcPr>
            <w:tcW w:w="4781" w:type="dxa"/>
            <w:tcBorders>
              <w:top w:val="nil"/>
              <w:left w:val="nil"/>
              <w:bottom w:val="nil"/>
              <w:right w:val="nil"/>
            </w:tcBorders>
            <w:shd w:val="clear" w:color="auto" w:fill="auto"/>
            <w:noWrap/>
            <w:vAlign w:val="center"/>
          </w:tcPr>
          <w:p w14:paraId="7EA5AF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b/>
                <w:bCs/>
                <w:i w:val="0"/>
                <w:iCs w:val="0"/>
                <w:color w:val="000000"/>
                <w:sz w:val="21"/>
                <w:szCs w:val="21"/>
                <w:u w:val="none"/>
              </w:rPr>
            </w:pPr>
            <w:r>
              <w:rPr>
                <w:rFonts w:hint="default" w:ascii="仿宋" w:hAnsi="仿宋" w:eastAsia="仿宋" w:cs="仿宋"/>
                <w:b/>
                <w:bCs/>
                <w:i w:val="0"/>
                <w:iCs w:val="0"/>
                <w:color w:val="000000"/>
                <w:kern w:val="0"/>
                <w:sz w:val="21"/>
                <w:szCs w:val="21"/>
                <w:u w:val="none"/>
                <w:lang w:val="en-US" w:eastAsia="zh-CN" w:bidi="ar"/>
              </w:rPr>
              <w:t>合计</w:t>
            </w:r>
          </w:p>
        </w:tc>
        <w:tc>
          <w:tcPr>
            <w:tcW w:w="2878" w:type="dxa"/>
            <w:tcBorders>
              <w:top w:val="nil"/>
              <w:left w:val="nil"/>
              <w:bottom w:val="nil"/>
              <w:right w:val="nil"/>
            </w:tcBorders>
            <w:shd w:val="clear" w:color="auto" w:fill="auto"/>
            <w:noWrap/>
            <w:vAlign w:val="center"/>
          </w:tcPr>
          <w:p w14:paraId="13E785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仿宋" w:hAnsi="仿宋" w:eastAsia="仿宋" w:cs="仿宋"/>
                <w:b/>
                <w:bCs/>
                <w:i w:val="0"/>
                <w:iCs w:val="0"/>
                <w:color w:val="000000"/>
                <w:sz w:val="21"/>
                <w:szCs w:val="21"/>
                <w:u w:val="none"/>
              </w:rPr>
            </w:pPr>
            <w:r>
              <w:rPr>
                <w:rFonts w:hint="default" w:ascii="仿宋" w:hAnsi="仿宋" w:eastAsia="仿宋" w:cs="仿宋"/>
                <w:b/>
                <w:bCs/>
                <w:i w:val="0"/>
                <w:iCs w:val="0"/>
                <w:color w:val="000000"/>
                <w:kern w:val="0"/>
                <w:sz w:val="21"/>
                <w:szCs w:val="21"/>
                <w:u w:val="none"/>
                <w:lang w:val="en-US" w:eastAsia="zh-CN" w:bidi="ar"/>
              </w:rPr>
              <w:t>5,650,133.10</w:t>
            </w:r>
          </w:p>
        </w:tc>
      </w:tr>
    </w:tbl>
    <w:p w14:paraId="41EE84AF">
      <w:pPr>
        <w:pStyle w:val="2"/>
        <w:ind w:firstLine="420" w:firstLineChars="0"/>
        <w:rPr>
          <w:rFonts w:hint="eastAsia"/>
          <w:lang w:val="en-US" w:eastAsia="zh-CN"/>
        </w:rPr>
      </w:pPr>
      <w:r>
        <w:rPr>
          <w:rFonts w:hint="eastAsia" w:ascii="仿宋" w:hAnsi="仿宋" w:eastAsia="仿宋" w:cs="Times New Roman"/>
          <w:color w:val="auto"/>
          <w:kern w:val="30"/>
          <w:sz w:val="30"/>
          <w:szCs w:val="30"/>
          <w:highlight w:val="none"/>
          <w:lang w:val="en-US" w:eastAsia="zh-CN" w:bidi="ar-SA"/>
        </w:rPr>
        <w:t>其中耕地占补平衡根据《中共云南省委云南省人民政府关于加强耕地保护和改进占补平衡的实施意见》的规定和要求，由西山区人民政府报请昆明市人民政府给予统筹协议，在省补充耕地指标市场化交易平台完成竞价交易，并分别与普洱市和屏边县签订合同，由西山区人民政府分别将对应款项汇入红河州屏边县及普洱市指定银行及账户。</w:t>
      </w:r>
    </w:p>
    <w:p w14:paraId="2ED5751D">
      <w:pPr>
        <w:shd w:val="clear"/>
        <w:spacing w:line="579" w:lineRule="exact"/>
        <w:ind w:firstLine="630" w:firstLineChars="200"/>
        <w:outlineLvl w:val="9"/>
        <w:rPr>
          <w:rFonts w:hint="eastAsia" w:hAnsi="仿宋"/>
          <w:szCs w:val="30"/>
          <w:highlight w:val="none"/>
          <w:lang w:val="en-US" w:eastAsia="zh-CN"/>
        </w:rPr>
      </w:pPr>
      <w:r>
        <w:rPr>
          <w:rFonts w:hint="eastAsia" w:hAnsi="仿宋"/>
          <w:szCs w:val="30"/>
          <w:highlight w:val="none"/>
          <w:lang w:val="en-US" w:eastAsia="zh-CN"/>
        </w:rPr>
        <w:t>因投资公司账户被冻结，2024年6月5日，投资公司向产业园区规划建设处出具拨付费用请示，并于2024年6月11日向其全资子公司昆明海盛劳务有限公司（后简称“海盛劳务”）出具代收代付委托书，请求其代收代付相关款项。园区管委会出具批复，由海口街道办通过预算管理一体化平台以专项资金形式支付相关费用。审批流程完整，资金使用合规。</w:t>
      </w:r>
    </w:p>
    <w:p w14:paraId="4A77BD64">
      <w:pPr>
        <w:shd w:val="clear"/>
        <w:spacing w:line="579" w:lineRule="exact"/>
        <w:ind w:firstLine="630" w:firstLineChars="200"/>
        <w:outlineLvl w:val="9"/>
        <w:rPr>
          <w:rFonts w:hint="default" w:hAnsi="仿宋"/>
          <w:szCs w:val="30"/>
          <w:highlight w:val="none"/>
          <w:lang w:val="en-US" w:eastAsia="zh-CN"/>
        </w:rPr>
      </w:pPr>
      <w:r>
        <w:rPr>
          <w:rFonts w:hint="eastAsia" w:hAnsi="仿宋"/>
          <w:szCs w:val="30"/>
          <w:highlight w:val="none"/>
          <w:lang w:val="en-US" w:eastAsia="zh-CN"/>
        </w:rPr>
        <w:t>2024年6月14日，海盛劳务出具收据，确认收款343万元，自然资源厅审核报批资料完成后，2025年1月10日，海盛劳务转入西山区财政局42.49万元新增建设用地有偿使用费，2025年3月，根据税费缴纳要求，耕地占用税需由属地街道代为缴纳，海口街道向海盛劳务出具代缴函，由海盛劳务将耕地占用税22.76万元转入海口街道，以完成税款缴纳。</w:t>
      </w:r>
    </w:p>
    <w:p w14:paraId="164F14EE">
      <w:pPr>
        <w:shd w:val="clear"/>
        <w:spacing w:line="579" w:lineRule="exact"/>
        <w:ind w:firstLine="630" w:firstLineChars="200"/>
        <w:outlineLvl w:val="9"/>
        <w:rPr>
          <w:rFonts w:hint="default" w:hAnsi="仿宋"/>
          <w:szCs w:val="30"/>
          <w:highlight w:val="none"/>
          <w:lang w:val="en-US" w:eastAsia="zh-CN"/>
        </w:rPr>
      </w:pPr>
      <w:r>
        <w:rPr>
          <w:rFonts w:hint="eastAsia" w:hAnsi="仿宋"/>
          <w:szCs w:val="30"/>
          <w:highlight w:val="none"/>
          <w:lang w:val="en-US" w:eastAsia="zh-CN"/>
        </w:rPr>
        <w:t>该笔资金为企业扩产项目提供了用地保障，促进了园区高端制造业集聚发展，对提升产业承载能力具有积极作用。截止至2024年年末，征转工作尚在进行中。</w:t>
      </w:r>
    </w:p>
    <w:p w14:paraId="260EC8B4">
      <w:pPr>
        <w:shd w:val="clear"/>
        <w:spacing w:line="579" w:lineRule="exact"/>
        <w:ind w:firstLine="630" w:firstLineChars="200"/>
        <w:outlineLvl w:val="9"/>
        <w:rPr>
          <w:rFonts w:hint="eastAsia" w:hAnsi="仿宋"/>
          <w:szCs w:val="30"/>
          <w:highlight w:val="none"/>
          <w:lang w:val="en-US" w:eastAsia="zh-CN"/>
        </w:rPr>
      </w:pPr>
      <w:r>
        <w:rPr>
          <w:rFonts w:hint="eastAsia" w:hAnsi="仿宋"/>
          <w:szCs w:val="30"/>
          <w:highlight w:val="none"/>
          <w:lang w:val="en-US" w:eastAsia="zh-CN"/>
        </w:rPr>
        <w:t>3.园区劳务派遣服务支出</w:t>
      </w:r>
    </w:p>
    <w:p w14:paraId="2C93C3B5">
      <w:pPr>
        <w:shd w:val="clear"/>
        <w:spacing w:line="579" w:lineRule="exact"/>
        <w:ind w:firstLine="630" w:firstLineChars="200"/>
        <w:outlineLvl w:val="9"/>
        <w:rPr>
          <w:rFonts w:hint="default" w:hAnsi="仿宋" w:cs="Times New Roman"/>
          <w:szCs w:val="30"/>
          <w:highlight w:val="none"/>
          <w:lang w:val="en-US" w:eastAsia="zh-CN"/>
        </w:rPr>
      </w:pPr>
      <w:r>
        <w:rPr>
          <w:rFonts w:hint="eastAsia" w:hAnsi="仿宋" w:cs="Times New Roman"/>
          <w:szCs w:val="30"/>
          <w:highlight w:val="none"/>
          <w:lang w:val="en-US" w:eastAsia="zh-CN"/>
        </w:rPr>
        <w:t>园区</w:t>
      </w:r>
      <w:r>
        <w:rPr>
          <w:rFonts w:hint="default" w:hAnsi="仿宋" w:cs="Times New Roman"/>
          <w:szCs w:val="30"/>
          <w:highlight w:val="none"/>
          <w:lang w:val="en-US" w:eastAsia="zh-CN"/>
        </w:rPr>
        <w:t>2024年共核定增加公务员编制2名、编外用工20名，增加事业编制6名；市、区组织部门先后共为园区配置县处级领导2名，科级干部7名，交流使用科级干部3名，面向社会公开招考2名事业人员。</w:t>
      </w:r>
    </w:p>
    <w:p w14:paraId="726AEBEE">
      <w:pPr>
        <w:shd w:val="clear"/>
        <w:spacing w:line="579" w:lineRule="exact"/>
        <w:ind w:firstLine="630" w:firstLineChars="200"/>
        <w:outlineLvl w:val="9"/>
        <w:rPr>
          <w:rFonts w:hint="default" w:hAnsi="仿宋"/>
          <w:szCs w:val="30"/>
          <w:highlight w:val="none"/>
          <w:lang w:val="en-US" w:eastAsia="zh-CN"/>
        </w:rPr>
      </w:pPr>
      <w:r>
        <w:rPr>
          <w:rFonts w:hint="eastAsia" w:hAnsi="仿宋" w:cs="Times New Roman"/>
          <w:szCs w:val="30"/>
          <w:highlight w:val="none"/>
          <w:lang w:val="en-US" w:eastAsia="zh-CN"/>
        </w:rPr>
        <w:t>其中</w:t>
      </w:r>
      <w:r>
        <w:rPr>
          <w:rFonts w:hint="default" w:hAnsi="仿宋" w:cs="Times New Roman"/>
          <w:szCs w:val="30"/>
          <w:highlight w:val="none"/>
          <w:lang w:val="en-US" w:eastAsia="zh-CN"/>
        </w:rPr>
        <w:t>编外用工20名</w:t>
      </w:r>
      <w:r>
        <w:rPr>
          <w:rFonts w:hint="eastAsia" w:hAnsi="仿宋" w:cs="Times New Roman"/>
          <w:szCs w:val="30"/>
          <w:highlight w:val="none"/>
          <w:lang w:val="en-US" w:eastAsia="zh-CN"/>
        </w:rPr>
        <w:t>由西山区人才资源运营管理有限公司</w:t>
      </w:r>
      <w:r>
        <w:rPr>
          <w:rFonts w:hint="eastAsia" w:hAnsi="仿宋"/>
          <w:szCs w:val="30"/>
          <w:highlight w:val="none"/>
          <w:lang w:val="en-US" w:eastAsia="zh-CN"/>
        </w:rPr>
        <w:t>统一组织实施，提供行政辅助、保洁保安、现场管理、项目协调等公共性岗位人员，以支撑园区建设管理、招商服务及园区治理等日常工作。（具体统计数据参见产出评价部分）</w:t>
      </w:r>
    </w:p>
    <w:p w14:paraId="20DE58BC">
      <w:pPr>
        <w:shd w:val="clear"/>
        <w:spacing w:line="579" w:lineRule="exact"/>
        <w:ind w:firstLine="630" w:firstLineChars="200"/>
        <w:outlineLvl w:val="9"/>
        <w:rPr>
          <w:rFonts w:hint="eastAsia" w:ascii="仿宋" w:hAnsi="仿宋" w:eastAsia="仿宋" w:cs="Times New Roman"/>
          <w:kern w:val="30"/>
          <w:sz w:val="30"/>
          <w:szCs w:val="30"/>
          <w:highlight w:val="none"/>
          <w:lang w:val="en-US" w:eastAsia="zh-CN" w:bidi="ar-SA"/>
        </w:rPr>
      </w:pPr>
      <w:r>
        <w:rPr>
          <w:rFonts w:hint="eastAsia" w:ascii="仿宋" w:hAnsi="仿宋" w:eastAsia="仿宋" w:cs="Times New Roman"/>
          <w:kern w:val="30"/>
          <w:sz w:val="30"/>
          <w:szCs w:val="30"/>
          <w:highlight w:val="none"/>
          <w:lang w:val="en-US" w:eastAsia="zh-CN" w:bidi="ar-SA"/>
        </w:rPr>
        <w:t>经《云南海口产业园区管委会关于同意支付云南海口产业园区劳务派遣人员2024年劳务派遣服务费及劳务派遣人员劳务费的批复》同意，劳务派遣费用</w:t>
      </w:r>
      <w:r>
        <w:rPr>
          <w:rFonts w:hint="eastAsia" w:hAnsi="仿宋" w:cs="Times New Roman"/>
          <w:kern w:val="30"/>
          <w:sz w:val="30"/>
          <w:szCs w:val="30"/>
          <w:highlight w:val="none"/>
          <w:lang w:val="en-US" w:eastAsia="zh-CN" w:bidi="ar-SA"/>
        </w:rPr>
        <w:t>按月统计，</w:t>
      </w:r>
      <w:r>
        <w:rPr>
          <w:rFonts w:hint="eastAsia" w:ascii="仿宋" w:hAnsi="仿宋" w:eastAsia="仿宋" w:cs="Times New Roman"/>
          <w:kern w:val="30"/>
          <w:sz w:val="30"/>
          <w:szCs w:val="30"/>
          <w:highlight w:val="none"/>
          <w:lang w:val="en-US" w:eastAsia="zh-CN" w:bidi="ar-SA"/>
        </w:rPr>
        <w:t>按年一次性支付，如年内人员增减，按实际情况增加或缩减资金，费用从园区产业发展专项资金中列支。</w:t>
      </w:r>
    </w:p>
    <w:p w14:paraId="43AD2E3D">
      <w:pPr>
        <w:shd w:val="clear"/>
        <w:spacing w:line="579" w:lineRule="exact"/>
        <w:ind w:firstLine="630" w:firstLineChars="200"/>
        <w:outlineLvl w:val="9"/>
        <w:rPr>
          <w:rFonts w:hint="eastAsia"/>
          <w:lang w:val="en-US" w:eastAsia="zh-CN"/>
        </w:rPr>
      </w:pPr>
      <w:r>
        <w:rPr>
          <w:rFonts w:hint="eastAsia" w:hAnsi="仿宋" w:cs="Times New Roman"/>
          <w:kern w:val="30"/>
          <w:sz w:val="30"/>
          <w:szCs w:val="30"/>
          <w:highlight w:val="none"/>
          <w:lang w:val="en-US" w:eastAsia="zh-CN" w:bidi="ar-SA"/>
        </w:rPr>
        <w:t>自2024年2月起，人均</w:t>
      </w:r>
      <w:r>
        <w:rPr>
          <w:rFonts w:hint="eastAsia" w:ascii="仿宋" w:hAnsi="仿宋" w:eastAsia="仿宋" w:cs="Times New Roman"/>
          <w:kern w:val="30"/>
          <w:sz w:val="30"/>
          <w:szCs w:val="30"/>
          <w:highlight w:val="none"/>
          <w:lang w:val="en-US" w:eastAsia="zh-CN" w:bidi="ar-SA"/>
        </w:rPr>
        <w:t>劳务费用</w:t>
      </w:r>
      <w:r>
        <w:rPr>
          <w:rFonts w:hint="eastAsia" w:hAnsi="仿宋" w:cs="Times New Roman"/>
          <w:kern w:val="30"/>
          <w:sz w:val="30"/>
          <w:szCs w:val="30"/>
          <w:highlight w:val="none"/>
          <w:lang w:val="en-US" w:eastAsia="zh-CN" w:bidi="ar-SA"/>
        </w:rPr>
        <w:t>结构为应付7000元/月计，其中包含50元/月劳务派遣服务费，5097.52元/月税前应发工资，1264.48元/月社保单位承担部分，588元/月住房公积金单位承担部分。即每月应付7000元/人，20人合计14万元/月。（1月费用总额仍为13.29万元，存在人员试用期薪酬标准变动，同时结余23年支付余额2.54万元用于抵减应付派遣费用）。</w:t>
      </w:r>
    </w:p>
    <w:p w14:paraId="3DB750F2">
      <w:pPr>
        <w:shd w:val="clear"/>
        <w:spacing w:line="579" w:lineRule="exact"/>
        <w:ind w:firstLine="630" w:firstLineChars="200"/>
        <w:outlineLvl w:val="9"/>
        <w:rPr>
          <w:rFonts w:hint="default" w:ascii="仿宋" w:hAnsi="仿宋" w:eastAsia="仿宋" w:cs="Times New Roman"/>
          <w:kern w:val="30"/>
          <w:sz w:val="30"/>
          <w:szCs w:val="30"/>
          <w:highlight w:val="none"/>
          <w:lang w:val="en-US" w:eastAsia="zh-CN" w:bidi="ar-SA"/>
        </w:rPr>
      </w:pPr>
      <w:r>
        <w:rPr>
          <w:rFonts w:hint="eastAsia" w:hAnsi="仿宋"/>
          <w:szCs w:val="30"/>
          <w:highlight w:val="none"/>
          <w:lang w:val="en-US" w:eastAsia="zh-CN"/>
        </w:rPr>
        <w:t>2024年2月22日，云南海口产业园区党群工作部向园区管委会提交请示，申请支付由西山区人才资源运营管理有限公司（以下简称“派遣公司”）提供的劳务派遣服务费及劳务费共计164.75万元。经园区行政办公会及党工委会议审议通过后，于2024年5月29日完成支付，劳务费用结算依据完整，资金拨付程序规范。</w:t>
      </w:r>
    </w:p>
    <w:p w14:paraId="005564A3">
      <w:pPr>
        <w:spacing w:line="579" w:lineRule="exact"/>
        <w:ind w:firstLine="630" w:firstLineChars="200"/>
        <w:outlineLvl w:val="1"/>
        <w:rPr>
          <w:rFonts w:hint="default" w:ascii="楷体" w:hAnsi="楷体" w:eastAsia="楷体"/>
          <w:szCs w:val="30"/>
          <w:highlight w:val="none"/>
          <w:lang w:val="en-US" w:eastAsia="zh-CN"/>
        </w:rPr>
      </w:pPr>
      <w:bookmarkStart w:id="6" w:name="_Toc16422"/>
      <w:r>
        <w:rPr>
          <w:rFonts w:hint="eastAsia" w:ascii="楷体" w:hAnsi="楷体" w:eastAsia="楷体"/>
          <w:szCs w:val="30"/>
          <w:highlight w:val="none"/>
        </w:rPr>
        <w:t>（</w:t>
      </w:r>
      <w:r>
        <w:rPr>
          <w:rFonts w:hint="eastAsia" w:ascii="楷体" w:hAnsi="楷体" w:eastAsia="楷体"/>
          <w:szCs w:val="30"/>
          <w:highlight w:val="none"/>
          <w:lang w:val="en-US" w:eastAsia="zh-CN"/>
        </w:rPr>
        <w:t>四</w:t>
      </w:r>
      <w:r>
        <w:rPr>
          <w:rFonts w:hint="eastAsia" w:ascii="楷体" w:hAnsi="楷体" w:eastAsia="楷体"/>
          <w:szCs w:val="30"/>
          <w:highlight w:val="none"/>
        </w:rPr>
        <w:t>）绩效目标</w:t>
      </w:r>
      <w:r>
        <w:rPr>
          <w:rFonts w:hint="eastAsia" w:ascii="楷体" w:hAnsi="楷体" w:eastAsia="楷体"/>
          <w:szCs w:val="30"/>
          <w:highlight w:val="none"/>
          <w:lang w:val="en-US" w:eastAsia="zh-CN"/>
        </w:rPr>
        <w:t>设立情况</w:t>
      </w:r>
      <w:bookmarkEnd w:id="6"/>
    </w:p>
    <w:p w14:paraId="0F6DACF8">
      <w:pPr>
        <w:spacing w:line="579" w:lineRule="exact"/>
        <w:ind w:firstLine="630" w:firstLineChars="200"/>
        <w:rPr>
          <w:rFonts w:hAnsi="仿宋"/>
          <w:szCs w:val="30"/>
          <w:highlight w:val="none"/>
        </w:rPr>
      </w:pPr>
      <w:bookmarkStart w:id="7" w:name="_Hlk525314309"/>
      <w:r>
        <w:rPr>
          <w:rFonts w:hint="eastAsia" w:hAnsi="仿宋"/>
          <w:szCs w:val="30"/>
          <w:highlight w:val="none"/>
        </w:rPr>
        <w:t>1.</w:t>
      </w:r>
      <w:r>
        <w:rPr>
          <w:rFonts w:hint="eastAsia" w:hAnsi="仿宋"/>
          <w:szCs w:val="30"/>
          <w:highlight w:val="none"/>
          <w:lang w:val="en-US" w:eastAsia="zh-CN"/>
        </w:rPr>
        <w:t>下达</w:t>
      </w:r>
      <w:r>
        <w:rPr>
          <w:rFonts w:hint="eastAsia" w:hAnsi="仿宋"/>
          <w:szCs w:val="30"/>
          <w:highlight w:val="none"/>
        </w:rPr>
        <w:t>绩效目标和绩效指标情况</w:t>
      </w:r>
    </w:p>
    <w:p w14:paraId="7AF16959">
      <w:pPr>
        <w:numPr>
          <w:ilvl w:val="0"/>
          <w:numId w:val="0"/>
        </w:numPr>
        <w:spacing w:line="579" w:lineRule="exact"/>
        <w:ind w:firstLine="630" w:firstLineChars="200"/>
        <w:rPr>
          <w:rFonts w:hint="eastAsia" w:hAnsi="仿宋"/>
          <w:szCs w:val="30"/>
          <w:highlight w:val="none"/>
          <w:lang w:val="en-US" w:eastAsia="zh-CN"/>
        </w:rPr>
      </w:pPr>
      <w:r>
        <w:rPr>
          <w:rFonts w:hint="eastAsia" w:hAnsi="仿宋"/>
          <w:szCs w:val="30"/>
          <w:highlight w:val="none"/>
          <w:lang w:val="en-US" w:eastAsia="zh-CN"/>
        </w:rPr>
        <w:t>（1）绩效目标</w:t>
      </w:r>
    </w:p>
    <w:p w14:paraId="0106A267">
      <w:pPr>
        <w:numPr>
          <w:ilvl w:val="0"/>
          <w:numId w:val="0"/>
        </w:numPr>
        <w:spacing w:line="579" w:lineRule="exact"/>
        <w:ind w:firstLine="630" w:firstLineChars="200"/>
        <w:rPr>
          <w:rFonts w:hint="eastAsia" w:hAnsi="仿宋"/>
          <w:szCs w:val="30"/>
          <w:highlight w:val="none"/>
          <w:lang w:val="en-US" w:eastAsia="zh-CN"/>
        </w:rPr>
      </w:pPr>
      <w:r>
        <w:rPr>
          <w:rFonts w:hint="eastAsia" w:hAnsi="仿宋"/>
          <w:szCs w:val="30"/>
          <w:highlight w:val="none"/>
          <w:lang w:val="en-US" w:eastAsia="zh-CN"/>
        </w:rPr>
        <w:t>本项目绩效目标来源于《昆明市西山区海口街道办事处产业发展专项资金绩效目标表（2024年度）》等申报资料。整体目标设置以园区总体发展规划为导向，内容主要集中于促进园区产业发展、完善基础设施、优化营商环境和保障园区运行等方面。绩效目标表中的部分指标沿用了上级下达的任务目标或2023年工作完成情况，未对2024年度专项资金支持事项进行独立规划，部分产出与效益指标存在重复与交叉，整体目标更偏向反映园区经济运行总体状况，而非针对具体专项资金项目的单独绩效安排。</w:t>
      </w:r>
    </w:p>
    <w:p w14:paraId="76E92615">
      <w:pPr>
        <w:numPr>
          <w:ilvl w:val="0"/>
          <w:numId w:val="0"/>
        </w:numPr>
        <w:spacing w:line="579" w:lineRule="exact"/>
        <w:ind w:firstLine="630" w:firstLineChars="200"/>
        <w:rPr>
          <w:rFonts w:hint="eastAsia" w:hAnsi="仿宋"/>
          <w:szCs w:val="30"/>
          <w:highlight w:val="none"/>
          <w:lang w:val="en-US" w:eastAsia="zh-CN"/>
        </w:rPr>
      </w:pPr>
      <w:r>
        <w:rPr>
          <w:rFonts w:hint="eastAsia" w:hAnsi="仿宋"/>
          <w:szCs w:val="30"/>
          <w:highlight w:val="none"/>
          <w:lang w:val="en-US" w:eastAsia="zh-CN"/>
        </w:rPr>
        <w:t>产出指标主要包括园区经济运行及建设任务的完成情况，如一般公共预算收入、规模以上工业总产值、固定资产投资、工业主营收入、土地供应任务等。多数指标以2023年1—9月的完成数据为参考，反映园区阶段性工作成果。同时设定了产业发展资金使用质量和时效指标，要求资金使用质量达到100%，并在2024年12月20日前完成资金执行。整体呈现出对资金执行效率和园区产业运行的综合关注。</w:t>
      </w:r>
    </w:p>
    <w:p w14:paraId="6ABCD891">
      <w:pPr>
        <w:numPr>
          <w:ilvl w:val="0"/>
          <w:numId w:val="0"/>
        </w:numPr>
        <w:spacing w:line="579" w:lineRule="exact"/>
        <w:ind w:firstLine="630" w:firstLineChars="200"/>
        <w:rPr>
          <w:rFonts w:hint="eastAsia" w:hAnsi="仿宋"/>
          <w:szCs w:val="30"/>
          <w:highlight w:val="none"/>
          <w:lang w:val="en-US" w:eastAsia="zh-CN"/>
        </w:rPr>
      </w:pPr>
      <w:r>
        <w:rPr>
          <w:rFonts w:hint="eastAsia" w:hAnsi="仿宋"/>
          <w:szCs w:val="30"/>
          <w:highlight w:val="none"/>
          <w:lang w:val="en-US" w:eastAsia="zh-CN"/>
        </w:rPr>
        <w:t>效益指标涵盖经济效益、社会效益及可持续影响三类。经济效益方面提出要实现公共预算收入3.02亿元、工业总产值220亿元、固定资产投资35亿元及工业主营收入236亿元；社会效益方面提出每年引进项目30—40个、形成投资45亿—60亿元、达产后新增产值135亿—180亿元；可持续影响方面强调体制机制改革及服务质量提升。部分指标与产出指标内容重叠，主要聚焦于园区层面的经济增长目标。</w:t>
      </w:r>
    </w:p>
    <w:p w14:paraId="4CCE07C6">
      <w:pPr>
        <w:numPr>
          <w:ilvl w:val="0"/>
          <w:numId w:val="0"/>
        </w:numPr>
        <w:spacing w:line="579" w:lineRule="exact"/>
        <w:ind w:firstLine="630" w:firstLineChars="200"/>
        <w:rPr>
          <w:rFonts w:hint="eastAsia" w:hAnsi="仿宋" w:cs="Times New Roman"/>
          <w:szCs w:val="30"/>
          <w:highlight w:val="none"/>
          <w:lang w:val="en-US" w:eastAsia="zh-CN"/>
        </w:rPr>
      </w:pPr>
      <w:r>
        <w:rPr>
          <w:rFonts w:hint="eastAsia" w:hAnsi="仿宋" w:cs="Times New Roman"/>
          <w:szCs w:val="30"/>
          <w:highlight w:val="none"/>
          <w:lang w:val="en-US" w:eastAsia="zh-CN"/>
        </w:rPr>
        <w:t>（2）绩效指标</w:t>
      </w:r>
    </w:p>
    <w:p w14:paraId="237766AE">
      <w:pPr>
        <w:ind w:firstLine="504"/>
        <w:jc w:val="center"/>
        <w:rPr>
          <w:rFonts w:hint="eastAsia" w:ascii="黑体" w:hAnsi="黑体" w:eastAsia="黑体" w:cs="黑体"/>
          <w:spacing w:val="6"/>
          <w:sz w:val="24"/>
          <w:highlight w:val="none"/>
        </w:rPr>
      </w:pPr>
      <w:r>
        <w:rPr>
          <w:rFonts w:hint="eastAsia" w:ascii="黑体" w:hAnsi="黑体" w:eastAsia="黑体" w:cs="黑体"/>
          <w:spacing w:val="6"/>
          <w:sz w:val="24"/>
          <w:highlight w:val="none"/>
        </w:rPr>
        <w:t>表</w:t>
      </w:r>
      <w:r>
        <w:rPr>
          <w:rFonts w:hint="eastAsia" w:ascii="黑体" w:hAnsi="黑体" w:eastAsia="黑体" w:cs="黑体"/>
          <w:spacing w:val="6"/>
          <w:sz w:val="24"/>
          <w:highlight w:val="none"/>
          <w:lang w:val="en-US" w:eastAsia="zh-CN"/>
        </w:rPr>
        <w:t>1</w:t>
      </w:r>
      <w:r>
        <w:rPr>
          <w:rFonts w:hint="eastAsia" w:ascii="黑体" w:hAnsi="黑体" w:eastAsia="黑体" w:cs="黑体"/>
          <w:spacing w:val="6"/>
          <w:sz w:val="24"/>
          <w:highlight w:val="none"/>
        </w:rPr>
        <w:t xml:space="preserve"> 项目绩效目标申报绩效</w:t>
      </w:r>
      <w:r>
        <w:rPr>
          <w:rFonts w:hint="eastAsia" w:ascii="黑体" w:hAnsi="黑体" w:eastAsia="黑体" w:cs="黑体"/>
          <w:spacing w:val="6"/>
          <w:sz w:val="24"/>
          <w:highlight w:val="none"/>
          <w:lang w:val="en-US" w:eastAsia="zh-CN"/>
        </w:rPr>
        <w:t>指标</w:t>
      </w:r>
      <w:r>
        <w:rPr>
          <w:rFonts w:hint="eastAsia" w:ascii="黑体" w:hAnsi="黑体" w:eastAsia="黑体" w:cs="黑体"/>
          <w:spacing w:val="6"/>
          <w:sz w:val="24"/>
          <w:highlight w:val="none"/>
        </w:rPr>
        <w:t>表</w:t>
      </w:r>
    </w:p>
    <w:tbl>
      <w:tblPr>
        <w:tblStyle w:val="18"/>
        <w:tblW w:w="884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72"/>
        <w:gridCol w:w="1313"/>
        <w:gridCol w:w="4499"/>
        <w:gridCol w:w="1662"/>
      </w:tblGrid>
      <w:tr w14:paraId="07970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jc w:val="center"/>
        </w:trPr>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E0D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一级指标</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7AA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二级指标</w:t>
            </w:r>
          </w:p>
        </w:tc>
        <w:tc>
          <w:tcPr>
            <w:tcW w:w="4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7C4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三级指标</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7CD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指标值</w:t>
            </w:r>
          </w:p>
        </w:tc>
      </w:tr>
      <w:tr w14:paraId="5FE79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4" w:hRule="atLeast"/>
          <w:jc w:val="center"/>
        </w:trPr>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535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产出指标</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560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4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F86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top"/>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协调组织一般公共预算收入总任务</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246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top"/>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3.02亿元</w:t>
            </w:r>
          </w:p>
        </w:tc>
      </w:tr>
      <w:tr w14:paraId="1CF4F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9" w:hRule="atLeast"/>
          <w:jc w:val="center"/>
        </w:trPr>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FD7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产出指标</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363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4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1C3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规模以上工业总产值总任务</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DA3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220亿元</w:t>
            </w:r>
          </w:p>
        </w:tc>
      </w:tr>
      <w:tr w14:paraId="15C7D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2" w:hRule="atLeast"/>
          <w:jc w:val="center"/>
        </w:trPr>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3B8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产出指标</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029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4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E7F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规模以上固定资产投资总任务</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475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35亿元</w:t>
            </w:r>
          </w:p>
        </w:tc>
      </w:tr>
      <w:tr w14:paraId="2FFD5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8" w:hRule="atLeast"/>
          <w:jc w:val="center"/>
        </w:trPr>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4AC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产出指标</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EA6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4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F7D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规模以上工业主营收入</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821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236亿元</w:t>
            </w:r>
          </w:p>
        </w:tc>
      </w:tr>
      <w:tr w14:paraId="3A0AB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1" w:hRule="atLeast"/>
          <w:jc w:val="center"/>
        </w:trPr>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B19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产出指标</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C4F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4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06C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土地供应任务</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2A0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708亩</w:t>
            </w:r>
          </w:p>
        </w:tc>
      </w:tr>
      <w:tr w14:paraId="6D7D7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9" w:hRule="atLeast"/>
          <w:jc w:val="center"/>
        </w:trPr>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BE4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产出指标</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920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质量指标</w:t>
            </w:r>
          </w:p>
        </w:tc>
        <w:tc>
          <w:tcPr>
            <w:tcW w:w="4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9FA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产业发展资金使用质量</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75A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100%</w:t>
            </w:r>
          </w:p>
        </w:tc>
      </w:tr>
      <w:tr w14:paraId="74049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5" w:hRule="atLeast"/>
          <w:jc w:val="center"/>
        </w:trPr>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670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产出指标</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10F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时效指标</w:t>
            </w:r>
          </w:p>
        </w:tc>
        <w:tc>
          <w:tcPr>
            <w:tcW w:w="4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1DD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产业发展资金使用时效</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4F3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2024年12月20日前</w:t>
            </w:r>
          </w:p>
        </w:tc>
      </w:tr>
      <w:tr w14:paraId="05D98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jc w:val="center"/>
        </w:trPr>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B68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效益指标</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E6B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经济效益指标</w:t>
            </w:r>
          </w:p>
        </w:tc>
        <w:tc>
          <w:tcPr>
            <w:tcW w:w="4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B2B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协调组织一般公共预算收入任务</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FEF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完成3.02亿元</w:t>
            </w:r>
          </w:p>
        </w:tc>
      </w:tr>
      <w:tr w14:paraId="3963B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8" w:hRule="atLeast"/>
          <w:jc w:val="center"/>
        </w:trPr>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EED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效益指标</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141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经济效益指标</w:t>
            </w:r>
          </w:p>
        </w:tc>
        <w:tc>
          <w:tcPr>
            <w:tcW w:w="4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102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规模以上工业总产值任务</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B2B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完成220亿元</w:t>
            </w:r>
          </w:p>
        </w:tc>
      </w:tr>
      <w:tr w14:paraId="765E3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914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效益指标</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ECC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经济效益指标</w:t>
            </w:r>
          </w:p>
        </w:tc>
        <w:tc>
          <w:tcPr>
            <w:tcW w:w="4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059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规模以上固定资产投资任务</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9C6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完成35亿元</w:t>
            </w:r>
          </w:p>
        </w:tc>
      </w:tr>
      <w:tr w14:paraId="4CC23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5" w:hRule="atLeast"/>
          <w:jc w:val="center"/>
        </w:trPr>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824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效益指标</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079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经济效益指标</w:t>
            </w:r>
          </w:p>
        </w:tc>
        <w:tc>
          <w:tcPr>
            <w:tcW w:w="4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2C2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规模上工业主营收入任务</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A1D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完成236亿元</w:t>
            </w:r>
          </w:p>
        </w:tc>
      </w:tr>
      <w:tr w14:paraId="74B41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5" w:hRule="atLeast"/>
          <w:jc w:val="center"/>
        </w:trPr>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352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效益指标</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7AA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社会效益指标</w:t>
            </w:r>
          </w:p>
        </w:tc>
        <w:tc>
          <w:tcPr>
            <w:tcW w:w="4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2D3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每年引进项目</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DB9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不少于30—40个</w:t>
            </w:r>
          </w:p>
        </w:tc>
      </w:tr>
      <w:tr w14:paraId="00B1B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2" w:hRule="atLeast"/>
          <w:jc w:val="center"/>
        </w:trPr>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B26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效益指标</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5F2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社会效益指标</w:t>
            </w:r>
          </w:p>
        </w:tc>
        <w:tc>
          <w:tcPr>
            <w:tcW w:w="4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837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每年形成投资</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71B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不少于45—60个</w:t>
            </w:r>
          </w:p>
        </w:tc>
      </w:tr>
      <w:tr w14:paraId="145AE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 w:hRule="atLeast"/>
          <w:jc w:val="center"/>
        </w:trPr>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A03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效益指标</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194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社会效益指标</w:t>
            </w:r>
          </w:p>
        </w:tc>
        <w:tc>
          <w:tcPr>
            <w:tcW w:w="4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BED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达产后每年新增产值</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1E1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不少于135亿—180亿元</w:t>
            </w:r>
          </w:p>
        </w:tc>
      </w:tr>
      <w:tr w14:paraId="34FF6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1" w:hRule="atLeast"/>
          <w:jc w:val="center"/>
        </w:trPr>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4B9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效益指标</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6DB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可持续影响指标</w:t>
            </w:r>
          </w:p>
        </w:tc>
        <w:tc>
          <w:tcPr>
            <w:tcW w:w="4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200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深化园区体制机制改革、提升后续服务质量</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E87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进一步规范园区管理行为，明确行政管理政策法规及服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务质量标准</w:t>
            </w:r>
          </w:p>
        </w:tc>
      </w:tr>
      <w:tr w14:paraId="2E725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47C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满意度</w:t>
            </w:r>
          </w:p>
          <w:p w14:paraId="44575B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指标</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E8D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服务对象满意度</w:t>
            </w:r>
          </w:p>
          <w:p w14:paraId="3CF5F0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指标</w:t>
            </w:r>
          </w:p>
        </w:tc>
        <w:tc>
          <w:tcPr>
            <w:tcW w:w="4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708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企业满意度</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259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98%</w:t>
            </w:r>
          </w:p>
        </w:tc>
      </w:tr>
      <w:tr w14:paraId="77E2F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5" w:hRule="atLeast"/>
          <w:jc w:val="center"/>
        </w:trPr>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091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满意度</w:t>
            </w:r>
          </w:p>
          <w:p w14:paraId="317641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指标</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0ED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服务对象满意度</w:t>
            </w:r>
          </w:p>
          <w:p w14:paraId="2E44A0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指标</w:t>
            </w:r>
          </w:p>
        </w:tc>
        <w:tc>
          <w:tcPr>
            <w:tcW w:w="4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A48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街道满意度</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5B7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98%</w:t>
            </w:r>
          </w:p>
        </w:tc>
      </w:tr>
    </w:tbl>
    <w:p w14:paraId="03D7C1A0">
      <w:pPr>
        <w:pStyle w:val="8"/>
      </w:pPr>
    </w:p>
    <w:p w14:paraId="29588967">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rPr>
          <w:rFonts w:hAnsi="仿宋"/>
          <w:szCs w:val="30"/>
          <w:highlight w:val="none"/>
        </w:rPr>
      </w:pPr>
      <w:r>
        <w:rPr>
          <w:rFonts w:hint="eastAsia" w:hAnsi="仿宋"/>
          <w:szCs w:val="30"/>
          <w:highlight w:val="none"/>
        </w:rPr>
        <w:t>2.绩效评价调整后的绩效目标和绩效指标情况</w:t>
      </w:r>
    </w:p>
    <w:bookmarkEnd w:id="7"/>
    <w:p w14:paraId="560219CC">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rPr>
          <w:rFonts w:hint="default" w:hAnsi="仿宋"/>
          <w:szCs w:val="30"/>
          <w:highlight w:val="none"/>
          <w:lang w:val="en-US" w:eastAsia="zh-CN"/>
        </w:rPr>
      </w:pPr>
      <w:r>
        <w:rPr>
          <w:rFonts w:hint="eastAsia" w:hAnsi="仿宋"/>
          <w:szCs w:val="30"/>
          <w:highlight w:val="none"/>
          <w:lang w:eastAsia="zh-CN"/>
        </w:rPr>
        <w:t>根据《昆明市西山区工业园区海口片区高质量跨越式发展规划报告》（西发〔2022〕22号）等文件精神，本次绩效评价在对原申报绩效目标表进行比对分析的基础上，</w:t>
      </w:r>
      <w:r>
        <w:rPr>
          <w:rFonts w:hint="eastAsia" w:hAnsi="仿宋"/>
          <w:szCs w:val="30"/>
          <w:highlight w:val="none"/>
          <w:lang w:val="en-US" w:eastAsia="zh-CN"/>
        </w:rPr>
        <w:t>基本沿用原申报量化数据</w:t>
      </w:r>
      <w:r>
        <w:rPr>
          <w:rFonts w:hint="eastAsia" w:hAnsi="仿宋"/>
          <w:szCs w:val="30"/>
          <w:highlight w:val="none"/>
          <w:lang w:eastAsia="zh-CN"/>
        </w:rPr>
        <w:t>，对绩效目标的表述方式和指标口径进行了梳理与调整。</w:t>
      </w:r>
    </w:p>
    <w:p w14:paraId="37795777">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rPr>
          <w:rFonts w:hint="eastAsia" w:hAnsi="仿宋"/>
          <w:szCs w:val="30"/>
          <w:highlight w:val="none"/>
          <w:lang w:eastAsia="zh-CN"/>
        </w:rPr>
      </w:pPr>
      <w:r>
        <w:rPr>
          <w:rFonts w:hint="eastAsia" w:hAnsi="仿宋"/>
          <w:szCs w:val="30"/>
          <w:highlight w:val="none"/>
          <w:lang w:eastAsia="zh-CN"/>
        </w:rPr>
        <w:t>原绩效目标中存在部分指标口径偏陈旧、年度基准时间与实际考核年度不符、部分数值沿用</w:t>
      </w:r>
      <w:r>
        <w:rPr>
          <w:rFonts w:hint="eastAsia" w:hAnsi="仿宋"/>
          <w:szCs w:val="30"/>
          <w:highlight w:val="none"/>
          <w:lang w:val="en-US" w:eastAsia="zh-CN"/>
        </w:rPr>
        <w:t>2023</w:t>
      </w:r>
      <w:r>
        <w:rPr>
          <w:rFonts w:hint="eastAsia" w:hAnsi="仿宋"/>
          <w:szCs w:val="30"/>
          <w:highlight w:val="none"/>
          <w:lang w:eastAsia="zh-CN"/>
        </w:rPr>
        <w:t>年度统计数据的情况，</w:t>
      </w:r>
      <w:r>
        <w:rPr>
          <w:rFonts w:hint="eastAsia" w:hAnsi="仿宋"/>
          <w:szCs w:val="30"/>
          <w:highlight w:val="none"/>
          <w:lang w:val="en-US" w:eastAsia="zh-CN"/>
        </w:rPr>
        <w:t>无法</w:t>
      </w:r>
      <w:r>
        <w:rPr>
          <w:rFonts w:hint="eastAsia" w:hAnsi="仿宋"/>
          <w:szCs w:val="30"/>
          <w:highlight w:val="none"/>
          <w:lang w:eastAsia="zh-CN"/>
        </w:rPr>
        <w:t>充分反映专项资金使用的阶段性成果。为提高绩效目标的可比性与可操作性，本次绩效评价在保持总体</w:t>
      </w:r>
      <w:r>
        <w:rPr>
          <w:rFonts w:hint="eastAsia" w:hAnsi="仿宋"/>
          <w:szCs w:val="30"/>
          <w:highlight w:val="none"/>
          <w:lang w:val="en-US" w:eastAsia="zh-CN"/>
        </w:rPr>
        <w:t>原申报目标体系结构和</w:t>
      </w:r>
      <w:r>
        <w:rPr>
          <w:rFonts w:hint="eastAsia" w:hAnsi="仿宋"/>
          <w:szCs w:val="30"/>
          <w:highlight w:val="none"/>
          <w:lang w:eastAsia="zh-CN"/>
        </w:rPr>
        <w:t>方向不变的前提下，</w:t>
      </w:r>
      <w:r>
        <w:rPr>
          <w:rFonts w:hint="eastAsia" w:hAnsi="仿宋"/>
          <w:szCs w:val="30"/>
          <w:highlight w:val="none"/>
          <w:lang w:val="en-US" w:eastAsia="zh-CN"/>
        </w:rPr>
        <w:t>通过访谈了解单位目标申报原意和过程，在尊重原申报文件的前提下，结合原申报目标表单设置和描述，</w:t>
      </w:r>
      <w:r>
        <w:rPr>
          <w:rFonts w:hint="eastAsia" w:hAnsi="仿宋"/>
          <w:szCs w:val="30"/>
          <w:highlight w:val="none"/>
          <w:lang w:eastAsia="zh-CN"/>
        </w:rPr>
        <w:t>对目标结构进行</w:t>
      </w:r>
      <w:r>
        <w:rPr>
          <w:rFonts w:hint="eastAsia" w:hAnsi="仿宋"/>
          <w:szCs w:val="30"/>
          <w:highlight w:val="none"/>
          <w:lang w:val="en-US" w:eastAsia="zh-CN"/>
        </w:rPr>
        <w:t>描述和部分</w:t>
      </w:r>
      <w:r>
        <w:rPr>
          <w:rFonts w:hint="eastAsia" w:hAnsi="仿宋"/>
          <w:szCs w:val="30"/>
          <w:highlight w:val="none"/>
          <w:lang w:eastAsia="zh-CN"/>
        </w:rPr>
        <w:t>优化，按“产出指标—效益指标—满意度指标”三类重新调整和细化。</w:t>
      </w:r>
    </w:p>
    <w:p w14:paraId="3A7F427D">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rPr>
          <w:rFonts w:hint="eastAsia" w:hAnsi="仿宋"/>
          <w:szCs w:val="30"/>
          <w:highlight w:val="none"/>
          <w:lang w:eastAsia="zh-CN"/>
        </w:rPr>
      </w:pPr>
      <w:r>
        <w:rPr>
          <w:rFonts w:hint="eastAsia" w:hAnsi="仿宋"/>
          <w:szCs w:val="30"/>
          <w:highlight w:val="none"/>
          <w:lang w:val="en-US" w:eastAsia="zh-CN"/>
        </w:rPr>
        <w:t>原绩效目标将数量和质量指标设置为定性指标，效益和满意度设置为定量指标，但未设置具体的评价标准和计算方法，在此基础上，此次评价过程中重新明确计算方式，并将定量指标调整为基准值+比例计算的方式，贴合指标体系特征衡量和计算</w:t>
      </w:r>
      <w:r>
        <w:rPr>
          <w:rFonts w:hint="eastAsia" w:hAnsi="仿宋"/>
          <w:szCs w:val="30"/>
          <w:highlight w:val="none"/>
          <w:lang w:eastAsia="zh-CN"/>
        </w:rPr>
        <w:t>。</w:t>
      </w:r>
    </w:p>
    <w:p w14:paraId="41D05427">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rPr>
          <w:rFonts w:hint="eastAsia" w:hAnsi="仿宋"/>
          <w:szCs w:val="30"/>
          <w:highlight w:val="none"/>
          <w:lang w:eastAsia="zh-CN"/>
        </w:rPr>
      </w:pPr>
      <w:r>
        <w:rPr>
          <w:rFonts w:hint="eastAsia" w:hAnsi="仿宋"/>
          <w:szCs w:val="30"/>
          <w:highlight w:val="none"/>
          <w:lang w:eastAsia="zh-CN"/>
        </w:rPr>
        <w:t>调整后绩效目标体系共设5个产出指标、3个效益指标、2个满意度指标，主要从招商引资、产业产出、投资强度、财政贡献和园区管理成效等方面反映专项资金使用效果。</w:t>
      </w:r>
    </w:p>
    <w:p w14:paraId="187E3D36">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rPr>
          <w:rFonts w:hint="eastAsia" w:hAnsi="仿宋"/>
          <w:szCs w:val="30"/>
          <w:highlight w:val="none"/>
          <w:lang w:eastAsia="zh-CN"/>
        </w:rPr>
      </w:pPr>
      <w:r>
        <w:rPr>
          <w:rFonts w:hint="eastAsia" w:hAnsi="仿宋"/>
          <w:szCs w:val="30"/>
          <w:highlight w:val="none"/>
          <w:lang w:eastAsia="zh-CN"/>
        </w:rPr>
        <w:t>产出指标主要包括：</w:t>
      </w:r>
    </w:p>
    <w:p w14:paraId="36071BA0">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rPr>
          <w:rFonts w:hint="eastAsia" w:hAnsi="仿宋"/>
          <w:szCs w:val="30"/>
          <w:highlight w:val="none"/>
          <w:lang w:eastAsia="zh-CN"/>
        </w:rPr>
      </w:pPr>
      <w:r>
        <w:rPr>
          <w:rFonts w:hint="eastAsia" w:hAnsi="仿宋"/>
          <w:szCs w:val="30"/>
          <w:highlight w:val="none"/>
          <w:lang w:eastAsia="zh-CN"/>
        </w:rPr>
        <w:t>一是</w:t>
      </w:r>
      <w:r>
        <w:rPr>
          <w:rFonts w:hint="eastAsia" w:hAnsi="仿宋"/>
          <w:szCs w:val="30"/>
          <w:highlight w:val="none"/>
          <w:lang w:val="en-US" w:eastAsia="zh-CN"/>
        </w:rPr>
        <w:t>公共预算</w:t>
      </w:r>
      <w:r>
        <w:rPr>
          <w:rFonts w:hint="eastAsia" w:hAnsi="仿宋"/>
          <w:szCs w:val="30"/>
          <w:highlight w:val="none"/>
          <w:lang w:eastAsia="zh-CN"/>
        </w:rPr>
        <w:t>收入任务完成率；二是</w:t>
      </w:r>
      <w:r>
        <w:rPr>
          <w:rFonts w:hint="eastAsia" w:hAnsi="仿宋"/>
          <w:szCs w:val="30"/>
          <w:highlight w:val="none"/>
          <w:lang w:val="en-US" w:eastAsia="zh-CN"/>
        </w:rPr>
        <w:t>规模以</w:t>
      </w:r>
      <w:r>
        <w:rPr>
          <w:rFonts w:hint="eastAsia" w:hAnsi="仿宋"/>
          <w:szCs w:val="30"/>
          <w:highlight w:val="none"/>
          <w:lang w:eastAsia="zh-CN"/>
        </w:rPr>
        <w:t>上工业总产值完成率，调整口径为年度完成值占目标值的比例；</w:t>
      </w:r>
      <w:r>
        <w:rPr>
          <w:rFonts w:hint="eastAsia" w:hAnsi="仿宋" w:cs="Times New Roman"/>
          <w:szCs w:val="30"/>
          <w:highlight w:val="none"/>
          <w:lang w:eastAsia="zh-CN"/>
        </w:rPr>
        <w:t>三是固定资产投资额；</w:t>
      </w:r>
      <w:r>
        <w:rPr>
          <w:rFonts w:hint="eastAsia" w:hAnsi="仿宋"/>
          <w:szCs w:val="30"/>
          <w:highlight w:val="none"/>
          <w:lang w:eastAsia="zh-CN"/>
        </w:rPr>
        <w:t>四是土地供应及项目建设推进率，反映园区开发建设任务执行进度；五是专项资金使用效率与规范性，以资金支出时效及合规性为考核重点。</w:t>
      </w:r>
    </w:p>
    <w:p w14:paraId="45B5C1CA">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rPr>
          <w:rFonts w:hint="eastAsia" w:hAnsi="仿宋"/>
          <w:szCs w:val="30"/>
          <w:highlight w:val="none"/>
          <w:lang w:eastAsia="zh-CN"/>
        </w:rPr>
      </w:pPr>
      <w:r>
        <w:rPr>
          <w:rFonts w:hint="eastAsia" w:hAnsi="仿宋"/>
          <w:szCs w:val="30"/>
          <w:highlight w:val="none"/>
          <w:lang w:eastAsia="zh-CN"/>
        </w:rPr>
        <w:t>效益指标主要包括：</w:t>
      </w:r>
    </w:p>
    <w:p w14:paraId="368A2E8A">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rPr>
          <w:rFonts w:hint="eastAsia" w:hAnsi="仿宋"/>
          <w:szCs w:val="30"/>
          <w:highlight w:val="none"/>
          <w:lang w:eastAsia="zh-CN"/>
        </w:rPr>
      </w:pPr>
      <w:r>
        <w:rPr>
          <w:rFonts w:hint="eastAsia" w:hAnsi="仿宋"/>
          <w:szCs w:val="30"/>
          <w:highlight w:val="none"/>
          <w:lang w:eastAsia="zh-CN"/>
        </w:rPr>
        <w:t>一是经济效益，体现专项资金对园区产业集聚度、产值增长及财政收入的拉动作用；二是社会效益，反映园区在促进就业、优化营商环境和带动上下游产业协同发展方面的实际效果；三是可持续影响，关注园区管理机制完善、服务体系建设及后续产业发展能力提升情况。</w:t>
      </w:r>
    </w:p>
    <w:p w14:paraId="08E5197E">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rPr>
          <w:rFonts w:hint="eastAsia" w:hAnsi="仿宋"/>
          <w:szCs w:val="30"/>
          <w:highlight w:val="none"/>
          <w:lang w:eastAsia="zh-CN"/>
        </w:rPr>
      </w:pPr>
      <w:r>
        <w:rPr>
          <w:rFonts w:hint="eastAsia" w:hAnsi="仿宋"/>
          <w:szCs w:val="30"/>
          <w:highlight w:val="none"/>
          <w:lang w:eastAsia="zh-CN"/>
        </w:rPr>
        <w:t>满意度指标主要包括：</w:t>
      </w:r>
    </w:p>
    <w:p w14:paraId="2E52EB3C">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rPr>
          <w:rFonts w:hint="eastAsia" w:hAnsi="仿宋"/>
          <w:szCs w:val="30"/>
          <w:highlight w:val="none"/>
          <w:lang w:eastAsia="zh-CN"/>
        </w:rPr>
      </w:pPr>
      <w:r>
        <w:rPr>
          <w:rFonts w:hint="eastAsia" w:hAnsi="仿宋"/>
          <w:szCs w:val="30"/>
          <w:highlight w:val="none"/>
          <w:lang w:eastAsia="zh-CN"/>
        </w:rPr>
        <w:t>一是企业满意度，通过问卷调查及访谈方式反映园区入驻企业对管理服务、要素保障及政策落实的满意程度；</w:t>
      </w:r>
    </w:p>
    <w:p w14:paraId="3276D0B2">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rPr>
          <w:rFonts w:hint="eastAsia" w:hAnsi="仿宋"/>
          <w:szCs w:val="30"/>
          <w:highlight w:val="none"/>
          <w:lang w:eastAsia="zh-CN"/>
        </w:rPr>
      </w:pPr>
      <w:r>
        <w:rPr>
          <w:rFonts w:hint="eastAsia" w:hAnsi="仿宋"/>
          <w:szCs w:val="30"/>
          <w:highlight w:val="none"/>
          <w:lang w:eastAsia="zh-CN"/>
        </w:rPr>
        <w:t>二是属地管理单位满意度，反映</w:t>
      </w:r>
      <w:r>
        <w:rPr>
          <w:rFonts w:hint="eastAsia" w:hAnsi="仿宋"/>
          <w:szCs w:val="30"/>
          <w:highlight w:val="none"/>
          <w:lang w:val="en-US" w:eastAsia="zh-CN"/>
        </w:rPr>
        <w:t>在园处合一后</w:t>
      </w:r>
      <w:r>
        <w:rPr>
          <w:rFonts w:hint="eastAsia" w:hAnsi="仿宋"/>
          <w:szCs w:val="30"/>
          <w:highlight w:val="none"/>
          <w:lang w:eastAsia="zh-CN"/>
        </w:rPr>
        <w:t>街道</w:t>
      </w:r>
      <w:r>
        <w:rPr>
          <w:rFonts w:hint="eastAsia" w:hAnsi="仿宋"/>
          <w:szCs w:val="30"/>
          <w:highlight w:val="none"/>
          <w:lang w:val="en-US" w:eastAsia="zh-CN"/>
        </w:rPr>
        <w:t>办</w:t>
      </w:r>
      <w:r>
        <w:rPr>
          <w:rFonts w:hint="eastAsia" w:hAnsi="仿宋"/>
          <w:szCs w:val="30"/>
          <w:highlight w:val="none"/>
          <w:lang w:eastAsia="zh-CN"/>
        </w:rPr>
        <w:t>对园区服务协同、政务配合和工作衔接的评价结果。</w:t>
      </w:r>
    </w:p>
    <w:p w14:paraId="129F9AB7">
      <w:pPr>
        <w:spacing w:line="579" w:lineRule="exact"/>
        <w:ind w:firstLine="630" w:firstLineChars="200"/>
        <w:outlineLvl w:val="1"/>
        <w:rPr>
          <w:rFonts w:hint="eastAsia" w:ascii="楷体" w:hAnsi="楷体" w:eastAsia="楷体"/>
          <w:szCs w:val="30"/>
          <w:highlight w:val="none"/>
        </w:rPr>
      </w:pPr>
      <w:bookmarkStart w:id="8" w:name="_Toc19159"/>
      <w:bookmarkStart w:id="9" w:name="_Toc7130"/>
      <w:r>
        <w:rPr>
          <w:rFonts w:hint="eastAsia" w:ascii="楷体" w:hAnsi="楷体" w:eastAsia="楷体"/>
          <w:color w:val="auto"/>
          <w:szCs w:val="30"/>
          <w:highlight w:val="none"/>
          <w:u w:val="none"/>
        </w:rPr>
        <w:t>（五）</w:t>
      </w:r>
      <w:r>
        <w:rPr>
          <w:rFonts w:hint="eastAsia" w:ascii="楷体" w:hAnsi="楷体" w:eastAsia="楷体"/>
          <w:szCs w:val="30"/>
          <w:highlight w:val="none"/>
        </w:rPr>
        <w:t>组织管理情况</w:t>
      </w:r>
      <w:bookmarkEnd w:id="8"/>
      <w:bookmarkEnd w:id="9"/>
    </w:p>
    <w:p w14:paraId="3DBCE959">
      <w:pPr>
        <w:spacing w:line="579" w:lineRule="exact"/>
        <w:ind w:firstLine="630" w:firstLineChars="200"/>
        <w:rPr>
          <w:rFonts w:hint="eastAsia" w:hAnsi="仿宋"/>
          <w:szCs w:val="30"/>
          <w:highlight w:val="none"/>
        </w:rPr>
      </w:pPr>
      <w:r>
        <w:rPr>
          <w:rFonts w:hint="eastAsia" w:hAnsi="仿宋"/>
          <w:szCs w:val="30"/>
          <w:highlight w:val="none"/>
        </w:rPr>
        <w:t>1.项目管理情况</w:t>
      </w:r>
    </w:p>
    <w:p w14:paraId="555DF08F">
      <w:pPr>
        <w:spacing w:line="579" w:lineRule="exact"/>
        <w:ind w:firstLine="630" w:firstLineChars="200"/>
        <w:rPr>
          <w:rFonts w:hint="eastAsia" w:hAnsi="仿宋"/>
          <w:szCs w:val="30"/>
          <w:highlight w:val="none"/>
        </w:rPr>
      </w:pPr>
      <w:r>
        <w:rPr>
          <w:rFonts w:hint="eastAsia" w:hAnsi="仿宋"/>
          <w:szCs w:val="30"/>
          <w:highlight w:val="none"/>
        </w:rPr>
        <w:t>为规范资金使用、强化绩效导向，海口产业园区建立了“管委会统筹、部门分工、专账核算、逐项报批”的专项资金管理机制。</w:t>
      </w:r>
    </w:p>
    <w:p w14:paraId="1A9C4101">
      <w:pPr>
        <w:spacing w:line="579" w:lineRule="exact"/>
        <w:ind w:firstLine="420" w:firstLineChars="0"/>
        <w:rPr>
          <w:rFonts w:hint="eastAsia" w:hAnsi="仿宋"/>
          <w:szCs w:val="30"/>
          <w:highlight w:val="none"/>
        </w:rPr>
      </w:pPr>
      <w:r>
        <w:rPr>
          <w:rFonts w:hint="eastAsia" w:hAnsi="仿宋"/>
          <w:szCs w:val="30"/>
          <w:highlight w:val="none"/>
        </w:rPr>
        <w:t>（一）污水处理厂运营费用项目</w:t>
      </w:r>
    </w:p>
    <w:p w14:paraId="32D9AAAA">
      <w:pPr>
        <w:spacing w:line="579" w:lineRule="exact"/>
        <w:ind w:firstLine="630" w:firstLineChars="200"/>
        <w:rPr>
          <w:rFonts w:hint="eastAsia" w:hAnsi="仿宋"/>
          <w:szCs w:val="30"/>
          <w:highlight w:val="none"/>
        </w:rPr>
      </w:pPr>
      <w:r>
        <w:rPr>
          <w:rFonts w:hint="eastAsia" w:hAnsi="仿宋"/>
          <w:szCs w:val="30"/>
          <w:highlight w:val="none"/>
        </w:rPr>
        <w:t>该项目用于保障海口污水处理厂的日常运行维护，污水厂自2021年投运以来由重庆润达科峰环境科技有限公司昆明分公司承担运营，负责污水收集处理、设备设施维护及季度结算资料编制。项目实行委托运营模式，共签订两期合同，明确处理单价、设计能力及不足量按50%计量的结算方式，并由运营单位按季度报送结算确认表，经园区安环部门复核作为支付依据。</w:t>
      </w:r>
    </w:p>
    <w:p w14:paraId="1C039DC0">
      <w:pPr>
        <w:spacing w:line="579" w:lineRule="exact"/>
        <w:ind w:firstLine="630" w:firstLineChars="200"/>
        <w:rPr>
          <w:rFonts w:hint="eastAsia" w:hAnsi="仿宋"/>
          <w:szCs w:val="30"/>
          <w:highlight w:val="none"/>
        </w:rPr>
      </w:pPr>
      <w:r>
        <w:rPr>
          <w:rFonts w:hint="eastAsia" w:hAnsi="仿宋"/>
          <w:szCs w:val="30"/>
          <w:highlight w:val="none"/>
        </w:rPr>
        <w:t>项目运行监管由园区安环部门负责，第三方检测由云南天倪检测有限公司承担，监测报告显示主要水质指标持续达标，符合一级A排放要求。运营期间，因审核节奏和结算周期较长，园区按程序研究落实了专项资金与自筹资金相结合的支付安排，运营单位已对收款情况予以确认。</w:t>
      </w:r>
    </w:p>
    <w:p w14:paraId="522E436B">
      <w:pPr>
        <w:spacing w:line="579" w:lineRule="exact"/>
        <w:ind w:firstLine="630" w:firstLineChars="200"/>
        <w:rPr>
          <w:rFonts w:hint="eastAsia" w:hAnsi="仿宋"/>
          <w:szCs w:val="30"/>
          <w:highlight w:val="none"/>
        </w:rPr>
      </w:pPr>
      <w:r>
        <w:rPr>
          <w:rFonts w:hint="eastAsia" w:hAnsi="仿宋"/>
          <w:szCs w:val="30"/>
          <w:highlight w:val="none"/>
        </w:rPr>
        <w:t>总体来看，项目运行组织明确，合同约定执行较为规范，运行监管、检测及结算资料齐备，运营过程可核查、责任边界清晰。</w:t>
      </w:r>
    </w:p>
    <w:p w14:paraId="592FA770">
      <w:pPr>
        <w:spacing w:line="579" w:lineRule="exact"/>
        <w:ind w:firstLine="630" w:firstLineChars="200"/>
        <w:rPr>
          <w:rFonts w:hint="eastAsia" w:hAnsi="仿宋"/>
          <w:szCs w:val="30"/>
          <w:highlight w:val="none"/>
        </w:rPr>
      </w:pPr>
      <w:r>
        <w:rPr>
          <w:rFonts w:hint="eastAsia" w:hAnsi="仿宋"/>
          <w:szCs w:val="30"/>
          <w:highlight w:val="none"/>
        </w:rPr>
        <w:t>（二）凯航光电</w:t>
      </w:r>
      <w:r>
        <w:rPr>
          <w:rFonts w:hint="eastAsia" w:hAnsi="仿宋"/>
          <w:szCs w:val="30"/>
          <w:highlight w:val="none"/>
          <w:lang w:val="en-US" w:eastAsia="zh-CN"/>
        </w:rPr>
        <w:t>土地征转</w:t>
      </w:r>
      <w:r>
        <w:rPr>
          <w:rFonts w:hint="eastAsia" w:hAnsi="仿宋"/>
          <w:szCs w:val="30"/>
          <w:highlight w:val="none"/>
        </w:rPr>
        <w:t>项目</w:t>
      </w:r>
    </w:p>
    <w:p w14:paraId="532892FB">
      <w:pPr>
        <w:spacing w:line="579" w:lineRule="exact"/>
        <w:ind w:firstLine="630" w:firstLineChars="200"/>
        <w:rPr>
          <w:rFonts w:hint="eastAsia" w:hAnsi="仿宋"/>
          <w:szCs w:val="30"/>
          <w:highlight w:val="none"/>
        </w:rPr>
      </w:pPr>
      <w:r>
        <w:rPr>
          <w:rFonts w:hint="eastAsia" w:hAnsi="仿宋"/>
          <w:szCs w:val="30"/>
          <w:highlight w:val="none"/>
        </w:rPr>
        <w:t>该项目用于支持光学片区凯航光电项目在建设过程中发生的土地征转报批成本支出，执行主体为海口工业园区投资有限公司，资金由园区产业发展专项资金及自筹资金共同承担。2024年6月6日，园区管委会通过行政办公会议形成批复，同意按程序拨付相关费用并在土地交易完成后予以扣回。因投资公司账户被冻结，园区经研究决定由昆明海盛劳务有限公司代收代付，投资公司向其出具正式委托函，相关支付资料与凭证均已完整留存。</w:t>
      </w:r>
    </w:p>
    <w:p w14:paraId="613E2D4E">
      <w:pPr>
        <w:spacing w:line="579" w:lineRule="exact"/>
        <w:ind w:firstLine="630" w:firstLineChars="200"/>
        <w:rPr>
          <w:rFonts w:hint="eastAsia" w:hAnsi="仿宋"/>
          <w:szCs w:val="30"/>
          <w:highlight w:val="none"/>
        </w:rPr>
      </w:pPr>
      <w:r>
        <w:rPr>
          <w:rFonts w:hint="eastAsia" w:hAnsi="仿宋"/>
          <w:szCs w:val="30"/>
          <w:highlight w:val="none"/>
        </w:rPr>
        <w:t>经核查，项目成本构成及支出用途与批复内容一致，专项资金拨付、自筹资金配套及代付流程均按园区既定程序执行，资金最终用于土地报批所需指标费及相关税费。目前项目推进正常，后续费用支付等待自然资源局审核后按通知办理。</w:t>
      </w:r>
    </w:p>
    <w:p w14:paraId="70441677">
      <w:pPr>
        <w:spacing w:line="579" w:lineRule="exact"/>
        <w:ind w:firstLine="630" w:firstLineChars="200"/>
        <w:rPr>
          <w:rFonts w:hint="eastAsia" w:hAnsi="仿宋"/>
          <w:szCs w:val="30"/>
          <w:highlight w:val="none"/>
        </w:rPr>
      </w:pPr>
      <w:r>
        <w:rPr>
          <w:rFonts w:hint="eastAsia" w:hAnsi="仿宋"/>
          <w:szCs w:val="30"/>
          <w:highlight w:val="none"/>
        </w:rPr>
        <w:t>总体来看，项目立项、批复与执行程序匹配，支付路径和资金用途清晰，账实相符、执行合规。但在代付环节的过程监控、自筹资金统筹说明以及部分财务资料的归档规范</w:t>
      </w:r>
      <w:r>
        <w:rPr>
          <w:rFonts w:hint="eastAsia" w:hAnsi="仿宋"/>
          <w:szCs w:val="30"/>
          <w:highlight w:val="none"/>
          <w:lang w:eastAsia="zh-CN"/>
        </w:rPr>
        <w:t>性等</w:t>
      </w:r>
      <w:r>
        <w:rPr>
          <w:rFonts w:hint="eastAsia" w:hAnsi="仿宋"/>
          <w:szCs w:val="30"/>
          <w:highlight w:val="none"/>
        </w:rPr>
        <w:t>方面仍需进一步加强，以提升资金管理的完整性和透明度。</w:t>
      </w:r>
    </w:p>
    <w:p w14:paraId="69495D2C">
      <w:pPr>
        <w:spacing w:line="579" w:lineRule="exact"/>
        <w:ind w:firstLine="630" w:firstLineChars="200"/>
        <w:rPr>
          <w:rFonts w:hint="eastAsia" w:hAnsi="仿宋"/>
          <w:szCs w:val="30"/>
          <w:highlight w:val="none"/>
        </w:rPr>
      </w:pPr>
      <w:r>
        <w:rPr>
          <w:rFonts w:hint="eastAsia" w:hAnsi="仿宋"/>
          <w:szCs w:val="30"/>
          <w:highlight w:val="none"/>
        </w:rPr>
        <w:t>（三）劳务派遣用工项目</w:t>
      </w:r>
    </w:p>
    <w:p w14:paraId="7757F982">
      <w:pPr>
        <w:spacing w:line="579" w:lineRule="exact"/>
        <w:ind w:firstLine="630" w:firstLineChars="200"/>
        <w:rPr>
          <w:rFonts w:hint="eastAsia" w:hAnsi="仿宋"/>
          <w:szCs w:val="30"/>
          <w:highlight w:val="none"/>
        </w:rPr>
      </w:pPr>
      <w:r>
        <w:rPr>
          <w:rFonts w:hint="eastAsia" w:hAnsi="仿宋"/>
          <w:szCs w:val="30"/>
          <w:highlight w:val="none"/>
        </w:rPr>
        <w:t>该项目用于园区日常事务及招商、协调等辅助性岗位的人员经费支出。派遣单位为昆明汇才人力资源管理有限公司，用工形式为长期派遣，派遣人数</w:t>
      </w:r>
      <w:r>
        <w:rPr>
          <w:rFonts w:hint="eastAsia" w:hAnsi="仿宋"/>
          <w:szCs w:val="30"/>
          <w:highlight w:val="none"/>
          <w:lang w:val="en-US" w:eastAsia="zh-CN"/>
        </w:rPr>
        <w:t>二十</w:t>
      </w:r>
      <w:r>
        <w:rPr>
          <w:rFonts w:hint="eastAsia" w:hAnsi="仿宋"/>
          <w:szCs w:val="30"/>
          <w:highlight w:val="none"/>
        </w:rPr>
        <w:t>人。</w:t>
      </w:r>
    </w:p>
    <w:p w14:paraId="5349C7E3">
      <w:pPr>
        <w:spacing w:line="579" w:lineRule="exact"/>
        <w:ind w:firstLine="630" w:firstLineChars="200"/>
        <w:rPr>
          <w:rFonts w:hint="eastAsia"/>
        </w:rPr>
      </w:pPr>
      <w:r>
        <w:rPr>
          <w:rFonts w:hint="eastAsia" w:hAnsi="仿宋"/>
          <w:szCs w:val="30"/>
          <w:highlight w:val="none"/>
        </w:rPr>
        <w:t>经查阅花名册及合同信息，派遣人员主要从事行政、信息录入、招商服务、现场协调等事务性工作</w:t>
      </w:r>
      <w:r>
        <w:rPr>
          <w:rFonts w:hint="eastAsia" w:hAnsi="仿宋"/>
          <w:szCs w:val="30"/>
          <w:highlight w:val="none"/>
          <w:lang w:eastAsia="zh-CN"/>
        </w:rPr>
        <w:t>（</w:t>
      </w:r>
      <w:r>
        <w:rPr>
          <w:rFonts w:hint="eastAsia" w:hAnsi="仿宋"/>
          <w:szCs w:val="30"/>
          <w:highlight w:val="none"/>
          <w:lang w:val="en-US" w:eastAsia="zh-CN"/>
        </w:rPr>
        <w:t>统计信息详见项目产出评价部分）</w:t>
      </w:r>
      <w:r>
        <w:rPr>
          <w:rFonts w:hint="eastAsia" w:hAnsi="仿宋"/>
          <w:szCs w:val="30"/>
          <w:highlight w:val="none"/>
        </w:rPr>
        <w:t>，</w:t>
      </w:r>
      <w:r>
        <w:rPr>
          <w:rFonts w:hint="eastAsia" w:hAnsi="仿宋"/>
          <w:szCs w:val="30"/>
          <w:highlight w:val="none"/>
          <w:lang w:val="en-US" w:eastAsia="zh-CN"/>
        </w:rPr>
        <w:t>合同附件名单、花名册汇总核算</w:t>
      </w:r>
      <w:r>
        <w:rPr>
          <w:rFonts w:hint="eastAsia" w:hAnsi="仿宋"/>
          <w:szCs w:val="30"/>
          <w:highlight w:val="none"/>
        </w:rPr>
        <w:t>与付款记录相符。</w:t>
      </w:r>
    </w:p>
    <w:p w14:paraId="302A9A31">
      <w:pPr>
        <w:spacing w:line="579" w:lineRule="exact"/>
        <w:ind w:firstLine="630" w:firstLineChars="200"/>
        <w:rPr>
          <w:rFonts w:hint="default" w:hAnsi="仿宋"/>
          <w:szCs w:val="30"/>
          <w:highlight w:val="none"/>
          <w:lang w:val="en-US" w:eastAsia="zh-CN"/>
        </w:rPr>
      </w:pPr>
      <w:r>
        <w:rPr>
          <w:rFonts w:hint="eastAsia" w:hAnsi="仿宋"/>
          <w:szCs w:val="30"/>
          <w:highlight w:val="none"/>
        </w:rPr>
        <w:t>2.资金</w:t>
      </w:r>
      <w:r>
        <w:rPr>
          <w:rFonts w:hint="eastAsia" w:hAnsi="仿宋"/>
          <w:szCs w:val="30"/>
          <w:highlight w:val="none"/>
          <w:lang w:val="en-US" w:eastAsia="zh-CN"/>
        </w:rPr>
        <w:t>管理情况</w:t>
      </w:r>
    </w:p>
    <w:p w14:paraId="0D4C07C9">
      <w:pPr>
        <w:pStyle w:val="16"/>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0"/>
        <w:ind w:left="0" w:right="0" w:firstLine="630" w:firstLineChars="200"/>
        <w:textAlignment w:val="auto"/>
        <w:rPr>
          <w:rFonts w:hint="eastAsia" w:ascii="仿宋" w:hAnsi="仿宋" w:eastAsia="仿宋" w:cs="Times New Roman"/>
          <w:kern w:val="30"/>
          <w:sz w:val="30"/>
          <w:szCs w:val="30"/>
          <w:highlight w:val="none"/>
          <w:lang w:val="en-US" w:eastAsia="zh-CN" w:bidi="ar-SA"/>
        </w:rPr>
      </w:pPr>
      <w:bookmarkStart w:id="10" w:name="_Toc26824"/>
      <w:r>
        <w:rPr>
          <w:rFonts w:hint="eastAsia" w:ascii="仿宋" w:hAnsi="仿宋" w:eastAsia="仿宋" w:cs="Times New Roman"/>
          <w:kern w:val="30"/>
          <w:sz w:val="30"/>
          <w:szCs w:val="30"/>
          <w:highlight w:val="none"/>
          <w:lang w:val="en-US" w:eastAsia="zh-CN" w:bidi="ar-SA"/>
        </w:rPr>
        <w:t>园区在实行园处合一后，资金执行遵循区财政统筹批复、园区预算执行和部门分级审核的管理机制，专项资金纳入区级预算统一管理并实行财政预算一体化报账制度，支付资料经合同、批复、会议纪要、结算及发票等凭证逐级审核后办理，确保专账核算和专款专用。</w:t>
      </w:r>
    </w:p>
    <w:p w14:paraId="4F1CCF4F">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1"/>
        <w:ind w:left="0" w:right="0" w:firstLine="630" w:firstLineChars="200"/>
        <w:textAlignment w:val="auto"/>
        <w:rPr>
          <w:rFonts w:hint="eastAsia" w:ascii="仿宋" w:hAnsi="仿宋" w:eastAsia="仿宋" w:cs="Times New Roman"/>
          <w:kern w:val="30"/>
          <w:sz w:val="30"/>
          <w:szCs w:val="30"/>
          <w:highlight w:val="none"/>
          <w:lang w:val="en-US" w:eastAsia="zh-CN" w:bidi="ar-SA"/>
        </w:rPr>
      </w:pPr>
      <w:r>
        <w:rPr>
          <w:rFonts w:hint="eastAsia" w:ascii="仿宋" w:hAnsi="仿宋" w:eastAsia="仿宋" w:cs="Times New Roman"/>
          <w:kern w:val="30"/>
          <w:sz w:val="30"/>
          <w:szCs w:val="30"/>
          <w:highlight w:val="none"/>
          <w:lang w:val="en-US" w:eastAsia="zh-CN" w:bidi="ar-SA"/>
        </w:rPr>
        <w:t>从运行情况看，园区总体能够按照上级财政部门文件及《云南海口产业园区管理委员会财政资金管理办法（试行）》的要求执行预算、拨付和支付流程，资金用途与批复相符，账实一致、账账可对，支付路径清晰可追溯。2024年度继续执行财政集中支付制度，污水处理运行补助、征地补偿及劳务派遣等专项资金均按规定留痕管理，资金运行安全合规，能够有效保障项目推进；但现行制度对不同类型项目的分类管理标准仍有进一步细化空间。</w:t>
      </w:r>
    </w:p>
    <w:p w14:paraId="1D80B9F7">
      <w:pPr>
        <w:spacing w:line="579" w:lineRule="exact"/>
        <w:ind w:firstLine="630" w:firstLineChars="200"/>
        <w:outlineLvl w:val="0"/>
        <w:rPr>
          <w:rFonts w:ascii="黑体" w:hAnsi="宋体" w:eastAsia="黑体" w:cs="宋体"/>
          <w:szCs w:val="30"/>
        </w:rPr>
      </w:pPr>
      <w:r>
        <w:rPr>
          <w:rFonts w:hint="eastAsia" w:ascii="黑体" w:hAnsi="宋体" w:eastAsia="黑体" w:cs="宋体"/>
          <w:szCs w:val="30"/>
          <w:lang w:val="en-US" w:eastAsia="zh-CN"/>
        </w:rPr>
        <w:t>二</w:t>
      </w:r>
      <w:r>
        <w:rPr>
          <w:rFonts w:hint="eastAsia" w:ascii="黑体" w:hAnsi="宋体" w:eastAsia="黑体" w:cs="宋体"/>
          <w:szCs w:val="30"/>
        </w:rPr>
        <w:t>、绩效评价工作开展情况</w:t>
      </w:r>
      <w:bookmarkEnd w:id="10"/>
    </w:p>
    <w:p w14:paraId="171DE136">
      <w:pPr>
        <w:spacing w:line="579" w:lineRule="exact"/>
        <w:ind w:firstLine="630" w:firstLineChars="200"/>
        <w:outlineLvl w:val="1"/>
        <w:rPr>
          <w:rFonts w:hint="default" w:ascii="楷体" w:hAnsi="楷体" w:eastAsia="楷体"/>
          <w:szCs w:val="30"/>
          <w:highlight w:val="none"/>
          <w:lang w:val="en-US" w:eastAsia="zh-CN"/>
        </w:rPr>
      </w:pPr>
      <w:bookmarkStart w:id="11" w:name="_Toc17233"/>
      <w:r>
        <w:rPr>
          <w:rFonts w:hint="eastAsia" w:ascii="楷体" w:hAnsi="楷体" w:eastAsia="楷体"/>
          <w:szCs w:val="30"/>
          <w:highlight w:val="none"/>
        </w:rPr>
        <w:t>（一）绩效评价</w:t>
      </w:r>
      <w:r>
        <w:rPr>
          <w:rFonts w:hint="eastAsia" w:ascii="楷体" w:hAnsi="楷体" w:eastAsia="楷体"/>
          <w:szCs w:val="30"/>
          <w:highlight w:val="none"/>
          <w:lang w:val="en-US" w:eastAsia="zh-CN"/>
        </w:rPr>
        <w:t>目的、对象和范围</w:t>
      </w:r>
      <w:bookmarkEnd w:id="11"/>
    </w:p>
    <w:p w14:paraId="088C4338">
      <w:pPr>
        <w:spacing w:line="579" w:lineRule="exact"/>
        <w:ind w:firstLine="630" w:firstLineChars="200"/>
        <w:rPr>
          <w:rFonts w:hint="eastAsia" w:hAnsi="仿宋"/>
          <w:szCs w:val="30"/>
          <w:highlight w:val="none"/>
          <w:lang w:val="en-US" w:eastAsia="zh-CN"/>
        </w:rPr>
      </w:pPr>
      <w:r>
        <w:rPr>
          <w:rFonts w:hint="eastAsia" w:hAnsi="仿宋"/>
          <w:szCs w:val="30"/>
          <w:highlight w:val="none"/>
          <w:lang w:val="en-US" w:eastAsia="zh-CN"/>
        </w:rPr>
        <w:t>1.绩效评价的目的</w:t>
      </w:r>
    </w:p>
    <w:p w14:paraId="05F26B08">
      <w:pPr>
        <w:spacing w:line="579" w:lineRule="exact"/>
        <w:ind w:firstLine="630" w:firstLineChars="200"/>
        <w:rPr>
          <w:rFonts w:hint="default" w:hAnsi="仿宋"/>
          <w:szCs w:val="30"/>
          <w:lang w:val="en-US" w:eastAsia="zh-CN"/>
        </w:rPr>
      </w:pPr>
      <w:r>
        <w:rPr>
          <w:rFonts w:hint="default" w:hAnsi="仿宋"/>
          <w:szCs w:val="30"/>
          <w:lang w:val="en-US" w:eastAsia="zh-CN"/>
        </w:rPr>
        <w:t>本次绩效评价以云南海口产业园区产业发展专项资金支持的各类项目为对象，围绕资金投入与使用管理、项目实施进度与质量、绩效目标实现程度以及资金使用规范性等方面进行综合分析与评价。重点考察园区在专项资金使用中是否坚持绩效导向，项目实施是否符合决策程序、资金是否按规定用途支出、管理是否规范高效，以及项目产出和效益是否达到预期目标。</w:t>
      </w:r>
    </w:p>
    <w:p w14:paraId="2683E8F3">
      <w:pPr>
        <w:spacing w:line="579" w:lineRule="exact"/>
        <w:ind w:firstLine="630" w:firstLineChars="200"/>
        <w:rPr>
          <w:rFonts w:hint="default" w:hAnsi="仿宋"/>
          <w:szCs w:val="30"/>
          <w:lang w:val="en-US" w:eastAsia="zh-CN"/>
        </w:rPr>
      </w:pPr>
      <w:r>
        <w:rPr>
          <w:rFonts w:hint="default" w:hAnsi="仿宋"/>
          <w:szCs w:val="30"/>
          <w:lang w:val="en-US" w:eastAsia="zh-CN"/>
        </w:rPr>
        <w:t>通过本次绩效评价，梳理园区专项资金管理和使用情况，分析存在的制度性、程序性和执行性问题，评价资金投入的经济性、管理的规范性和产出的有效性。通过总结经验与不足，为后续年度预算编制、资金分配和项目管理提供决策依据，进一步强化绩效目标管理，促进财政资金从“重投入”向“重绩效”转变，</w:t>
      </w:r>
      <w:r>
        <w:rPr>
          <w:rFonts w:hint="eastAsia" w:hAnsi="仿宋"/>
          <w:szCs w:val="30"/>
          <w:lang w:val="en-US" w:eastAsia="zh-CN"/>
        </w:rPr>
        <w:t>协助</w:t>
      </w:r>
      <w:r>
        <w:rPr>
          <w:rFonts w:hint="default" w:hAnsi="仿宋"/>
          <w:szCs w:val="30"/>
          <w:lang w:val="en-US" w:eastAsia="zh-CN"/>
        </w:rPr>
        <w:t>提升财政资金使用效益和公共服务水平。</w:t>
      </w:r>
    </w:p>
    <w:p w14:paraId="53F28981">
      <w:pPr>
        <w:spacing w:line="579" w:lineRule="exact"/>
        <w:ind w:firstLine="630" w:firstLineChars="200"/>
        <w:rPr>
          <w:rFonts w:hint="default" w:hAnsi="仿宋"/>
          <w:szCs w:val="30"/>
          <w:lang w:val="en-US" w:eastAsia="zh-CN"/>
        </w:rPr>
      </w:pPr>
      <w:r>
        <w:rPr>
          <w:rFonts w:hint="default" w:hAnsi="仿宋"/>
          <w:szCs w:val="30"/>
          <w:lang w:val="en-US" w:eastAsia="zh-CN"/>
        </w:rPr>
        <w:t>同时，本次评价也为园区管委会建立完善的预算绩效管理机制提供参考，</w:t>
      </w:r>
      <w:r>
        <w:rPr>
          <w:rFonts w:hint="eastAsia" w:hAnsi="仿宋"/>
          <w:szCs w:val="30"/>
          <w:lang w:val="en-US" w:eastAsia="zh-CN"/>
        </w:rPr>
        <w:t>试图</w:t>
      </w:r>
      <w:r>
        <w:rPr>
          <w:rFonts w:hint="default" w:hAnsi="仿宋"/>
          <w:szCs w:val="30"/>
          <w:lang w:val="en-US" w:eastAsia="zh-CN"/>
        </w:rPr>
        <w:t>推动形成“资金投入与绩效目标相统一、项目实施与结果运用相衔接”的长效管理格局，为园区产业发展、招商引资及基础运营提供有力的财政保障支撑。</w:t>
      </w:r>
    </w:p>
    <w:p w14:paraId="218466B6">
      <w:pPr>
        <w:spacing w:line="579" w:lineRule="exact"/>
        <w:ind w:firstLine="630" w:firstLineChars="200"/>
        <w:rPr>
          <w:rFonts w:hint="default" w:hAnsi="仿宋"/>
          <w:szCs w:val="30"/>
          <w:highlight w:val="none"/>
          <w:lang w:val="en-US" w:eastAsia="zh-CN"/>
        </w:rPr>
      </w:pPr>
      <w:r>
        <w:rPr>
          <w:rFonts w:hint="eastAsia" w:hAnsi="仿宋"/>
          <w:szCs w:val="30"/>
          <w:highlight w:val="none"/>
          <w:lang w:val="en-US" w:eastAsia="zh-CN"/>
        </w:rPr>
        <w:t>2.绩效评价对象和范围</w:t>
      </w:r>
    </w:p>
    <w:p w14:paraId="5961D56D">
      <w:pPr>
        <w:spacing w:line="579" w:lineRule="exact"/>
        <w:ind w:firstLine="630" w:firstLineChars="200"/>
        <w:rPr>
          <w:rFonts w:hint="eastAsia" w:hAnsi="仿宋"/>
          <w:szCs w:val="30"/>
          <w:highlight w:val="none"/>
          <w:lang w:val="en-US" w:eastAsia="zh-CN"/>
        </w:rPr>
      </w:pPr>
      <w:r>
        <w:rPr>
          <w:rFonts w:hint="eastAsia" w:hAnsi="仿宋"/>
          <w:szCs w:val="30"/>
          <w:highlight w:val="none"/>
          <w:lang w:val="en-US" w:eastAsia="zh-CN"/>
        </w:rPr>
        <w:t>（1）评价对象</w:t>
      </w:r>
    </w:p>
    <w:p w14:paraId="4CEF7D3F">
      <w:pPr>
        <w:spacing w:line="579" w:lineRule="exact"/>
        <w:ind w:firstLine="630" w:firstLineChars="200"/>
        <w:rPr>
          <w:rFonts w:hint="eastAsia" w:hAnsi="仿宋"/>
          <w:szCs w:val="30"/>
          <w:highlight w:val="none"/>
          <w:lang w:val="en-US" w:eastAsia="zh-CN"/>
        </w:rPr>
      </w:pPr>
      <w:r>
        <w:rPr>
          <w:rFonts w:hint="eastAsia" w:hAnsi="仿宋"/>
          <w:szCs w:val="30"/>
          <w:highlight w:val="none"/>
          <w:lang w:val="en-US" w:eastAsia="zh-CN"/>
        </w:rPr>
        <w:t>根据项目立项批复、资金拨付、项目实施及绩效目标完成情况，本次绩效评价对象为海口街道办事处（海口产业园）及其专项资金使用管理项目。资金使用项目包括园区专项资金支持的污水处理运行维护项目、凯航光电项目土地征收补偿项目及劳务派遣用工项目三个项目，评价范围涵盖资金管理、项目执行、监督审核及绩效目标实现情况。</w:t>
      </w:r>
    </w:p>
    <w:p w14:paraId="55911A69">
      <w:pPr>
        <w:spacing w:line="579" w:lineRule="exact"/>
        <w:ind w:firstLine="630" w:firstLineChars="200"/>
        <w:rPr>
          <w:rFonts w:hint="default" w:hAnsi="仿宋"/>
          <w:szCs w:val="30"/>
          <w:highlight w:val="none"/>
          <w:lang w:val="en-US" w:eastAsia="zh-CN"/>
        </w:rPr>
      </w:pPr>
      <w:r>
        <w:rPr>
          <w:rFonts w:hint="eastAsia" w:hAnsi="仿宋"/>
          <w:szCs w:val="30"/>
          <w:highlight w:val="none"/>
          <w:lang w:val="en-US" w:eastAsia="zh-CN"/>
        </w:rPr>
        <w:t>评价内容主要包括：园区在专项资金分配、拨付与监管过程中的制度执行与内部控制情况；项目实施单位在合同履行、资金使用、资料归档及绩效产出等环节的执行效果；整体专项资金的安全性、规范性，以及在专项资金支持下的园区总体经济和社会效益。</w:t>
      </w:r>
    </w:p>
    <w:p w14:paraId="1D869CFC">
      <w:pPr>
        <w:spacing w:line="579" w:lineRule="exact"/>
        <w:ind w:firstLine="630" w:firstLineChars="200"/>
        <w:rPr>
          <w:rFonts w:hint="default" w:hAnsi="仿宋"/>
          <w:szCs w:val="30"/>
          <w:highlight w:val="none"/>
          <w:lang w:val="en-US" w:eastAsia="zh-CN"/>
        </w:rPr>
      </w:pPr>
      <w:r>
        <w:rPr>
          <w:rFonts w:hint="eastAsia" w:hAnsi="仿宋"/>
          <w:szCs w:val="30"/>
          <w:highlight w:val="none"/>
          <w:lang w:val="en-US" w:eastAsia="zh-CN"/>
        </w:rPr>
        <w:t>（2）评价范围</w:t>
      </w:r>
    </w:p>
    <w:p w14:paraId="64971937">
      <w:pPr>
        <w:spacing w:line="579" w:lineRule="exact"/>
        <w:ind w:firstLine="630" w:firstLineChars="200"/>
        <w:rPr>
          <w:rFonts w:hint="default" w:hAnsi="仿宋"/>
          <w:szCs w:val="30"/>
          <w:highlight w:val="none"/>
          <w:lang w:val="en-US" w:eastAsia="zh-CN"/>
        </w:rPr>
      </w:pPr>
      <w:r>
        <w:rPr>
          <w:rFonts w:hint="eastAsia" w:hAnsi="仿宋"/>
          <w:szCs w:val="30"/>
          <w:highlight w:val="none"/>
          <w:lang w:val="en-US" w:eastAsia="zh-CN"/>
        </w:rPr>
        <w:t>2024年度。</w:t>
      </w:r>
    </w:p>
    <w:p w14:paraId="0CA7A94A">
      <w:pPr>
        <w:spacing w:line="579" w:lineRule="exact"/>
        <w:ind w:firstLine="630" w:firstLineChars="200"/>
        <w:outlineLvl w:val="1"/>
        <w:rPr>
          <w:rFonts w:hint="eastAsia" w:hAnsi="仿宋" w:eastAsia="仿宋"/>
          <w:szCs w:val="30"/>
          <w:lang w:eastAsia="zh-CN"/>
        </w:rPr>
      </w:pPr>
      <w:bookmarkStart w:id="12" w:name="_Toc2924"/>
      <w:r>
        <w:rPr>
          <w:rFonts w:hint="eastAsia" w:ascii="楷体" w:hAnsi="楷体" w:eastAsia="楷体"/>
          <w:szCs w:val="30"/>
          <w:lang w:eastAsia="zh-CN"/>
        </w:rPr>
        <w:t>（</w:t>
      </w:r>
      <w:r>
        <w:rPr>
          <w:rFonts w:hint="eastAsia" w:ascii="楷体" w:hAnsi="楷体" w:eastAsia="楷体"/>
          <w:szCs w:val="30"/>
          <w:lang w:val="en-US" w:eastAsia="zh-CN"/>
        </w:rPr>
        <w:t>二</w:t>
      </w:r>
      <w:r>
        <w:rPr>
          <w:rFonts w:hint="eastAsia" w:ascii="楷体" w:hAnsi="楷体" w:eastAsia="楷体"/>
          <w:szCs w:val="30"/>
          <w:lang w:eastAsia="zh-CN"/>
        </w:rPr>
        <w:t>）</w:t>
      </w:r>
      <w:r>
        <w:rPr>
          <w:rFonts w:hint="eastAsia" w:ascii="楷体" w:hAnsi="楷体" w:eastAsia="楷体"/>
          <w:szCs w:val="30"/>
        </w:rPr>
        <w:t>绩效评价原则</w:t>
      </w:r>
      <w:bookmarkEnd w:id="12"/>
    </w:p>
    <w:p w14:paraId="00782805">
      <w:pPr>
        <w:spacing w:line="579" w:lineRule="exact"/>
        <w:ind w:firstLine="630" w:firstLineChars="200"/>
        <w:rPr>
          <w:rFonts w:hint="eastAsia" w:hAnsi="仿宋"/>
          <w:szCs w:val="30"/>
          <w:lang w:val="en-US" w:eastAsia="zh-CN"/>
        </w:rPr>
      </w:pPr>
      <w:r>
        <w:rPr>
          <w:rFonts w:hint="eastAsia" w:hAnsi="仿宋"/>
          <w:szCs w:val="30"/>
          <w:lang w:val="en-US" w:eastAsia="zh-CN"/>
        </w:rPr>
        <w:t>1.公平性原则。公平公正是绩效评价工作的前提，坚持公平的原则才能客观真实地反映绩效评价结果。运用科学合理的方法，按照规范的程序，对项目绩效进行客观、公正地反映。</w:t>
      </w:r>
    </w:p>
    <w:p w14:paraId="3A64B879">
      <w:pPr>
        <w:spacing w:line="579" w:lineRule="exact"/>
        <w:ind w:firstLine="630" w:firstLineChars="200"/>
        <w:rPr>
          <w:rFonts w:hint="eastAsia" w:hAnsi="仿宋"/>
          <w:szCs w:val="30"/>
          <w:lang w:val="en-US" w:eastAsia="zh-CN"/>
        </w:rPr>
      </w:pPr>
      <w:r>
        <w:rPr>
          <w:rFonts w:hint="eastAsia" w:hAnsi="仿宋"/>
          <w:szCs w:val="30"/>
          <w:lang w:val="en-US" w:eastAsia="zh-CN"/>
        </w:rPr>
        <w:t>2.客观性原则。绩效评价应以绩效目标为导向，采用科学方法和规范制度，确保评价数据真实、来源可靠。</w:t>
      </w:r>
    </w:p>
    <w:p w14:paraId="2F512C9E">
      <w:pPr>
        <w:spacing w:line="579" w:lineRule="exact"/>
        <w:ind w:firstLine="630" w:firstLineChars="200"/>
        <w:rPr>
          <w:rFonts w:hint="eastAsia" w:hAnsi="仿宋"/>
          <w:szCs w:val="30"/>
          <w:lang w:val="en-US" w:eastAsia="zh-CN"/>
        </w:rPr>
      </w:pPr>
      <w:r>
        <w:rPr>
          <w:rFonts w:hint="eastAsia" w:hAnsi="仿宋"/>
          <w:szCs w:val="30"/>
          <w:lang w:val="en-US" w:eastAsia="zh-CN"/>
        </w:rPr>
        <w:t>3.可行性原则。绩效评价标准和方法应结合被评价单位实际，具有可操作性和可执行性，评价数据来源应易获取、指标可衡量，确保评价工作顺利开展。</w:t>
      </w:r>
    </w:p>
    <w:p w14:paraId="305DC886">
      <w:pPr>
        <w:spacing w:line="579" w:lineRule="exact"/>
        <w:ind w:firstLine="630" w:firstLineChars="200"/>
        <w:rPr>
          <w:rFonts w:hint="eastAsia" w:hAnsi="仿宋"/>
          <w:szCs w:val="30"/>
        </w:rPr>
      </w:pPr>
      <w:r>
        <w:rPr>
          <w:rFonts w:hint="eastAsia" w:hAnsi="仿宋"/>
          <w:szCs w:val="30"/>
          <w:lang w:val="en-US" w:eastAsia="zh-CN"/>
        </w:rPr>
        <w:t>4.公开性原则。绩效评价的程序、方法、标准及结果应对被评价单位公开，并在必要范围内适度公示，确保过程透明、结论公正</w:t>
      </w:r>
      <w:r>
        <w:rPr>
          <w:rFonts w:hint="eastAsia" w:hAnsi="仿宋"/>
          <w:szCs w:val="30"/>
        </w:rPr>
        <w:t>。</w:t>
      </w:r>
    </w:p>
    <w:p w14:paraId="16549292">
      <w:pPr>
        <w:spacing w:line="579" w:lineRule="exact"/>
        <w:ind w:firstLine="632"/>
        <w:outlineLvl w:val="1"/>
        <w:rPr>
          <w:rFonts w:hint="eastAsia" w:ascii="楷体" w:hAnsi="楷体" w:eastAsia="楷体"/>
          <w:szCs w:val="30"/>
        </w:rPr>
      </w:pPr>
      <w:bookmarkStart w:id="13" w:name="_Toc6375"/>
      <w:r>
        <w:rPr>
          <w:rFonts w:hint="eastAsia" w:ascii="楷体" w:hAnsi="楷体" w:eastAsia="楷体"/>
          <w:szCs w:val="30"/>
        </w:rPr>
        <w:t>（三）绩效评价依据</w:t>
      </w:r>
      <w:bookmarkEnd w:id="13"/>
    </w:p>
    <w:p w14:paraId="0B378F28">
      <w:pPr>
        <w:spacing w:line="579" w:lineRule="exact"/>
        <w:ind w:firstLine="630" w:firstLineChars="200"/>
        <w:rPr>
          <w:rFonts w:hint="eastAsia" w:hAnsi="仿宋"/>
          <w:szCs w:val="30"/>
          <w:lang w:val="en-US" w:eastAsia="zh-CN"/>
        </w:rPr>
      </w:pPr>
      <w:r>
        <w:rPr>
          <w:rFonts w:hint="eastAsia" w:hAnsi="仿宋"/>
          <w:szCs w:val="30"/>
          <w:lang w:val="en-US" w:eastAsia="zh-CN"/>
        </w:rPr>
        <w:tab/>
      </w:r>
      <w:r>
        <w:rPr>
          <w:rFonts w:hint="eastAsia" w:hAnsi="仿宋"/>
          <w:szCs w:val="30"/>
          <w:lang w:val="en-US" w:eastAsia="zh-CN"/>
        </w:rPr>
        <w:t>1.</w:t>
      </w:r>
      <w:r>
        <w:rPr>
          <w:rFonts w:hint="eastAsia" w:hAnsi="仿宋"/>
          <w:szCs w:val="30"/>
          <w:lang w:val="en-US" w:eastAsia="zh-CN"/>
        </w:rPr>
        <w:tab/>
      </w:r>
      <w:r>
        <w:rPr>
          <w:rFonts w:hint="eastAsia" w:hAnsi="仿宋"/>
          <w:szCs w:val="30"/>
          <w:lang w:val="en-US" w:eastAsia="zh-CN"/>
        </w:rPr>
        <w:t>《财政部〈项目支出绩效评价管理办法〉》（财预〔2020〕10号）；</w:t>
      </w:r>
    </w:p>
    <w:p w14:paraId="14114849">
      <w:pPr>
        <w:spacing w:line="579" w:lineRule="exact"/>
        <w:ind w:firstLine="630" w:firstLineChars="200"/>
        <w:rPr>
          <w:rFonts w:hint="eastAsia" w:hAnsi="仿宋"/>
          <w:szCs w:val="30"/>
          <w:lang w:val="en-US" w:eastAsia="zh-CN"/>
        </w:rPr>
      </w:pPr>
      <w:r>
        <w:rPr>
          <w:rFonts w:hint="eastAsia" w:hAnsi="仿宋"/>
          <w:szCs w:val="30"/>
          <w:lang w:val="en-US" w:eastAsia="zh-CN"/>
        </w:rPr>
        <w:tab/>
      </w:r>
      <w:r>
        <w:rPr>
          <w:rFonts w:hint="eastAsia" w:hAnsi="仿宋"/>
          <w:szCs w:val="30"/>
          <w:lang w:val="en-US" w:eastAsia="zh-CN"/>
        </w:rPr>
        <w:t>2.</w:t>
      </w:r>
      <w:r>
        <w:rPr>
          <w:rFonts w:hint="eastAsia" w:hAnsi="仿宋"/>
          <w:szCs w:val="30"/>
          <w:lang w:val="en-US" w:eastAsia="zh-CN"/>
        </w:rPr>
        <w:tab/>
      </w:r>
      <w:r>
        <w:rPr>
          <w:rFonts w:hint="eastAsia" w:hAnsi="仿宋"/>
          <w:szCs w:val="30"/>
          <w:lang w:val="en-US" w:eastAsia="zh-CN"/>
        </w:rPr>
        <w:t>《云南省财政厅〈项目支出绩效评价管理办法〉》（云财绩〔2020〕11号）；</w:t>
      </w:r>
    </w:p>
    <w:p w14:paraId="79CDEFE5">
      <w:pPr>
        <w:spacing w:line="579" w:lineRule="exact"/>
        <w:ind w:firstLine="630" w:firstLineChars="200"/>
        <w:rPr>
          <w:rFonts w:hint="eastAsia" w:hAnsi="仿宋"/>
          <w:szCs w:val="30"/>
          <w:lang w:val="en-US" w:eastAsia="zh-CN"/>
        </w:rPr>
      </w:pPr>
      <w:r>
        <w:rPr>
          <w:rFonts w:hint="eastAsia" w:hAnsi="仿宋"/>
          <w:szCs w:val="30"/>
          <w:lang w:val="en-US" w:eastAsia="zh-CN"/>
        </w:rPr>
        <w:tab/>
      </w:r>
      <w:r>
        <w:rPr>
          <w:rFonts w:hint="eastAsia" w:hAnsi="仿宋"/>
          <w:szCs w:val="30"/>
          <w:lang w:val="en-US" w:eastAsia="zh-CN"/>
        </w:rPr>
        <w:t>3.</w:t>
      </w:r>
      <w:r>
        <w:rPr>
          <w:rFonts w:hint="eastAsia" w:hAnsi="仿宋"/>
          <w:szCs w:val="30"/>
          <w:lang w:val="en-US" w:eastAsia="zh-CN"/>
        </w:rPr>
        <w:tab/>
      </w:r>
      <w:r>
        <w:rPr>
          <w:rFonts w:hint="eastAsia" w:hAnsi="仿宋"/>
          <w:szCs w:val="30"/>
          <w:lang w:val="en-US" w:eastAsia="zh-CN"/>
        </w:rPr>
        <w:t>《中共昆明市委、昆明市人民政府关于全面实施预算绩效管理的实施意见》（昆发〔2019〕12号）；</w:t>
      </w:r>
    </w:p>
    <w:p w14:paraId="5AB29F05">
      <w:pPr>
        <w:spacing w:line="579" w:lineRule="exact"/>
        <w:ind w:firstLine="630" w:firstLineChars="200"/>
        <w:rPr>
          <w:rFonts w:hint="eastAsia" w:hAnsi="仿宋"/>
          <w:szCs w:val="30"/>
          <w:lang w:val="en-US" w:eastAsia="zh-CN"/>
        </w:rPr>
      </w:pPr>
      <w:r>
        <w:rPr>
          <w:rFonts w:hint="eastAsia" w:hAnsi="仿宋"/>
          <w:szCs w:val="30"/>
          <w:lang w:val="en-US" w:eastAsia="zh-CN"/>
        </w:rPr>
        <w:tab/>
      </w:r>
      <w:r>
        <w:rPr>
          <w:rFonts w:hint="eastAsia" w:hAnsi="仿宋"/>
          <w:szCs w:val="30"/>
          <w:lang w:val="en-US" w:eastAsia="zh-CN"/>
        </w:rPr>
        <w:t>4.</w:t>
      </w:r>
      <w:r>
        <w:rPr>
          <w:rFonts w:hint="eastAsia" w:hAnsi="仿宋"/>
          <w:szCs w:val="30"/>
          <w:lang w:val="en-US" w:eastAsia="zh-CN"/>
        </w:rPr>
        <w:tab/>
      </w:r>
      <w:r>
        <w:rPr>
          <w:rFonts w:hint="eastAsia" w:hAnsi="仿宋"/>
          <w:szCs w:val="30"/>
          <w:lang w:val="en-US" w:eastAsia="zh-CN"/>
        </w:rPr>
        <w:t>《昆明市西山区人民政府关于印发〈关于对海口工业园区与海口街道办事处实行园处合一财政单列的管理办法（试行）〉的通知》（西政发〔2013〕1号）；</w:t>
      </w:r>
    </w:p>
    <w:p w14:paraId="56C89ACE">
      <w:pPr>
        <w:spacing w:line="579" w:lineRule="exact"/>
        <w:ind w:firstLine="630" w:firstLineChars="200"/>
        <w:rPr>
          <w:rFonts w:hint="eastAsia" w:hAnsi="仿宋"/>
          <w:szCs w:val="30"/>
          <w:lang w:val="en-US" w:eastAsia="zh-CN"/>
        </w:rPr>
      </w:pPr>
      <w:r>
        <w:rPr>
          <w:rFonts w:hint="eastAsia" w:hAnsi="仿宋"/>
          <w:szCs w:val="30"/>
          <w:lang w:val="en-US" w:eastAsia="zh-CN"/>
        </w:rPr>
        <w:tab/>
      </w:r>
      <w:r>
        <w:rPr>
          <w:rFonts w:hint="eastAsia" w:hAnsi="仿宋"/>
          <w:szCs w:val="30"/>
          <w:lang w:val="en-US" w:eastAsia="zh-CN"/>
        </w:rPr>
        <w:t>5.</w:t>
      </w:r>
      <w:r>
        <w:rPr>
          <w:rFonts w:hint="eastAsia" w:hAnsi="仿宋"/>
          <w:szCs w:val="30"/>
          <w:lang w:val="en-US" w:eastAsia="zh-CN"/>
        </w:rPr>
        <w:tab/>
      </w:r>
      <w:r>
        <w:rPr>
          <w:rFonts w:hint="eastAsia" w:hAnsi="仿宋"/>
          <w:szCs w:val="30"/>
          <w:lang w:val="en-US" w:eastAsia="zh-CN"/>
        </w:rPr>
        <w:t>《昆明市西山区海口街道职能配置、内设机构和人员编制规定》（西办通〔2019〕81号）；</w:t>
      </w:r>
    </w:p>
    <w:p w14:paraId="07198B4C">
      <w:pPr>
        <w:spacing w:line="579" w:lineRule="exact"/>
        <w:ind w:firstLine="630" w:firstLineChars="200"/>
        <w:rPr>
          <w:rFonts w:hint="eastAsia" w:hAnsi="仿宋"/>
          <w:szCs w:val="30"/>
          <w:lang w:val="en-US" w:eastAsia="zh-CN"/>
        </w:rPr>
      </w:pPr>
      <w:r>
        <w:rPr>
          <w:rFonts w:hint="eastAsia" w:hAnsi="仿宋"/>
          <w:szCs w:val="30"/>
          <w:lang w:val="en-US" w:eastAsia="zh-CN"/>
        </w:rPr>
        <w:tab/>
      </w:r>
      <w:r>
        <w:rPr>
          <w:rFonts w:hint="eastAsia" w:hAnsi="仿宋"/>
          <w:szCs w:val="30"/>
          <w:lang w:val="en-US" w:eastAsia="zh-CN"/>
        </w:rPr>
        <w:t>6.</w:t>
      </w:r>
      <w:r>
        <w:rPr>
          <w:rFonts w:hint="eastAsia" w:hAnsi="仿宋"/>
          <w:szCs w:val="30"/>
          <w:lang w:val="en-US" w:eastAsia="zh-CN"/>
        </w:rPr>
        <w:tab/>
      </w:r>
      <w:r>
        <w:rPr>
          <w:rFonts w:hint="eastAsia" w:hAnsi="仿宋"/>
          <w:szCs w:val="30"/>
          <w:lang w:val="en-US" w:eastAsia="zh-CN"/>
        </w:rPr>
        <w:t>《中共昆明市委机构编制办公室关于成立昆明海口工业园区管理委员会的批复》（昆编办复〔2012〕14号）；</w:t>
      </w:r>
    </w:p>
    <w:p w14:paraId="4704A080">
      <w:pPr>
        <w:spacing w:line="579" w:lineRule="exact"/>
        <w:ind w:firstLine="630" w:firstLineChars="200"/>
        <w:rPr>
          <w:rFonts w:hint="eastAsia" w:hAnsi="仿宋"/>
          <w:szCs w:val="30"/>
          <w:lang w:val="en-US" w:eastAsia="zh-CN"/>
        </w:rPr>
      </w:pPr>
      <w:r>
        <w:rPr>
          <w:rFonts w:hint="eastAsia" w:hAnsi="仿宋"/>
          <w:szCs w:val="30"/>
          <w:lang w:val="en-US" w:eastAsia="zh-CN"/>
        </w:rPr>
        <w:tab/>
      </w:r>
      <w:r>
        <w:rPr>
          <w:rFonts w:hint="eastAsia" w:hAnsi="仿宋"/>
          <w:szCs w:val="30"/>
          <w:lang w:val="en-US" w:eastAsia="zh-CN"/>
        </w:rPr>
        <w:t>7.</w:t>
      </w:r>
      <w:r>
        <w:rPr>
          <w:rFonts w:hint="eastAsia" w:hAnsi="仿宋"/>
          <w:szCs w:val="30"/>
          <w:lang w:val="en-US" w:eastAsia="zh-CN"/>
        </w:rPr>
        <w:tab/>
      </w:r>
      <w:r>
        <w:rPr>
          <w:rFonts w:hint="eastAsia" w:hAnsi="仿宋"/>
          <w:szCs w:val="30"/>
          <w:lang w:val="en-US" w:eastAsia="zh-CN"/>
        </w:rPr>
        <w:t>《海口产业园区2023年度园区经济发展指标考评细则的通知》及《西发〔2022〕22号〈昆明市西山区工业园区海口片区高质量跨越式发展规划报告〉的通知》；</w:t>
      </w:r>
    </w:p>
    <w:p w14:paraId="03EE173F">
      <w:pPr>
        <w:spacing w:line="579" w:lineRule="exact"/>
        <w:ind w:firstLine="630" w:firstLineChars="200"/>
        <w:rPr>
          <w:rFonts w:hint="eastAsia" w:hAnsi="仿宋"/>
          <w:szCs w:val="30"/>
          <w:lang w:val="en-US" w:eastAsia="zh-CN"/>
        </w:rPr>
      </w:pPr>
      <w:r>
        <w:rPr>
          <w:rFonts w:hint="eastAsia" w:hAnsi="仿宋"/>
          <w:szCs w:val="30"/>
          <w:lang w:val="en-US" w:eastAsia="zh-CN"/>
        </w:rPr>
        <w:tab/>
      </w:r>
      <w:r>
        <w:rPr>
          <w:rFonts w:hint="eastAsia" w:hAnsi="仿宋"/>
          <w:szCs w:val="30"/>
          <w:lang w:val="en-US" w:eastAsia="zh-CN"/>
        </w:rPr>
        <w:t>8.</w:t>
      </w:r>
      <w:r>
        <w:rPr>
          <w:rFonts w:hint="eastAsia" w:hAnsi="仿宋"/>
          <w:szCs w:val="30"/>
          <w:lang w:val="en-US" w:eastAsia="zh-CN"/>
        </w:rPr>
        <w:tab/>
      </w:r>
      <w:r>
        <w:rPr>
          <w:rFonts w:hint="eastAsia" w:hAnsi="仿宋"/>
          <w:szCs w:val="30"/>
          <w:lang w:val="en-US" w:eastAsia="zh-CN"/>
        </w:rPr>
        <w:t>《中共云南海口产业园区工作委员会关于印发〈云南海口产业园区“三重一大”事项集体决策制度（试行）〉的通知》（海产党通〔2024〕6号）；</w:t>
      </w:r>
    </w:p>
    <w:p w14:paraId="5303853F">
      <w:pPr>
        <w:spacing w:line="579" w:lineRule="exact"/>
        <w:ind w:firstLine="630" w:firstLineChars="200"/>
        <w:rPr>
          <w:rFonts w:hint="eastAsia" w:hAnsi="仿宋"/>
          <w:szCs w:val="30"/>
          <w:lang w:val="en-US" w:eastAsia="zh-CN"/>
        </w:rPr>
      </w:pPr>
      <w:r>
        <w:rPr>
          <w:rFonts w:hint="eastAsia" w:hAnsi="仿宋"/>
          <w:szCs w:val="30"/>
          <w:lang w:val="en-US" w:eastAsia="zh-CN"/>
        </w:rPr>
        <w:tab/>
      </w:r>
      <w:r>
        <w:rPr>
          <w:rFonts w:hint="eastAsia" w:hAnsi="仿宋"/>
          <w:szCs w:val="30"/>
          <w:lang w:val="en-US" w:eastAsia="zh-CN"/>
        </w:rPr>
        <w:t>9.</w:t>
      </w:r>
      <w:r>
        <w:rPr>
          <w:rFonts w:hint="eastAsia" w:hAnsi="仿宋"/>
          <w:szCs w:val="30"/>
          <w:lang w:val="en-US" w:eastAsia="zh-CN"/>
        </w:rPr>
        <w:tab/>
      </w:r>
      <w:r>
        <w:rPr>
          <w:rFonts w:hint="eastAsia" w:hAnsi="仿宋"/>
          <w:szCs w:val="30"/>
          <w:lang w:val="en-US" w:eastAsia="zh-CN"/>
        </w:rPr>
        <w:t>《海口产业园区管委会关于印发〈云南海口产业园区管委会财政资金管理办法（试行）〉的通知》（海管通〔2024〕8号）；</w:t>
      </w:r>
    </w:p>
    <w:p w14:paraId="40CF9291">
      <w:pPr>
        <w:spacing w:line="579" w:lineRule="exact"/>
        <w:ind w:firstLine="630" w:firstLineChars="200"/>
        <w:rPr>
          <w:rFonts w:hint="eastAsia" w:hAnsi="仿宋"/>
          <w:szCs w:val="30"/>
          <w:lang w:val="en-US" w:eastAsia="zh-CN"/>
        </w:rPr>
      </w:pPr>
      <w:r>
        <w:rPr>
          <w:rFonts w:hint="eastAsia" w:hAnsi="仿宋"/>
          <w:szCs w:val="30"/>
          <w:lang w:val="en-US" w:eastAsia="zh-CN"/>
        </w:rPr>
        <w:tab/>
      </w:r>
      <w:r>
        <w:rPr>
          <w:rFonts w:hint="eastAsia" w:hAnsi="仿宋"/>
          <w:szCs w:val="30"/>
          <w:lang w:val="en-US" w:eastAsia="zh-CN"/>
        </w:rPr>
        <w:t>10.</w:t>
      </w:r>
      <w:r>
        <w:rPr>
          <w:rFonts w:hint="eastAsia" w:hAnsi="仿宋"/>
          <w:szCs w:val="30"/>
          <w:lang w:val="en-US" w:eastAsia="zh-CN"/>
        </w:rPr>
        <w:tab/>
      </w:r>
      <w:r>
        <w:rPr>
          <w:rFonts w:hint="eastAsia" w:hAnsi="仿宋"/>
          <w:szCs w:val="30"/>
          <w:lang w:val="en-US" w:eastAsia="zh-CN"/>
        </w:rPr>
        <w:t>《昆明市西山区发展和改革局关于海口工业园区新区污水处理厂（含配套管网）工程可行性研究报告的批复》（西发改〔2019〕68号）；</w:t>
      </w:r>
    </w:p>
    <w:p w14:paraId="72599503">
      <w:pPr>
        <w:spacing w:line="579" w:lineRule="exact"/>
        <w:ind w:firstLine="630" w:firstLineChars="200"/>
        <w:rPr>
          <w:rFonts w:hint="eastAsia" w:hAnsi="仿宋"/>
          <w:szCs w:val="30"/>
          <w:lang w:val="en-US" w:eastAsia="zh-CN"/>
        </w:rPr>
      </w:pPr>
      <w:r>
        <w:rPr>
          <w:rFonts w:hint="eastAsia" w:hAnsi="仿宋"/>
          <w:szCs w:val="30"/>
          <w:lang w:val="en-US" w:eastAsia="zh-CN"/>
        </w:rPr>
        <w:tab/>
      </w:r>
      <w:r>
        <w:rPr>
          <w:rFonts w:hint="eastAsia" w:hAnsi="仿宋"/>
          <w:szCs w:val="30"/>
          <w:lang w:val="en-US" w:eastAsia="zh-CN"/>
        </w:rPr>
        <w:t>11.</w:t>
      </w:r>
      <w:r>
        <w:rPr>
          <w:rFonts w:hint="eastAsia" w:hAnsi="仿宋"/>
          <w:szCs w:val="30"/>
          <w:lang w:val="en-US" w:eastAsia="zh-CN"/>
        </w:rPr>
        <w:tab/>
      </w:r>
      <w:r>
        <w:rPr>
          <w:rFonts w:hint="eastAsia" w:hAnsi="仿宋"/>
          <w:szCs w:val="30"/>
          <w:lang w:val="en-US" w:eastAsia="zh-CN"/>
        </w:rPr>
        <w:t>《昆明市西山区财政局关于批复2024年部门预算的通知》（西财预〔2024〕10号）；</w:t>
      </w:r>
    </w:p>
    <w:p w14:paraId="6B2372D4">
      <w:pPr>
        <w:spacing w:line="579" w:lineRule="exact"/>
        <w:ind w:firstLine="630" w:firstLineChars="200"/>
        <w:rPr>
          <w:rFonts w:hint="eastAsia" w:hAnsi="仿宋"/>
          <w:szCs w:val="30"/>
          <w:lang w:val="en-US" w:eastAsia="zh-CN"/>
        </w:rPr>
      </w:pPr>
      <w:r>
        <w:rPr>
          <w:rFonts w:hint="eastAsia" w:hAnsi="仿宋"/>
          <w:szCs w:val="30"/>
          <w:lang w:val="en-US" w:eastAsia="zh-CN"/>
        </w:rPr>
        <w:tab/>
      </w:r>
      <w:r>
        <w:rPr>
          <w:rFonts w:hint="eastAsia" w:hAnsi="仿宋"/>
          <w:szCs w:val="30"/>
          <w:lang w:val="en-US" w:eastAsia="zh-CN"/>
        </w:rPr>
        <w:t>12.</w:t>
      </w:r>
      <w:r>
        <w:rPr>
          <w:rFonts w:hint="eastAsia" w:hAnsi="仿宋"/>
          <w:szCs w:val="30"/>
          <w:lang w:val="en-US" w:eastAsia="zh-CN"/>
        </w:rPr>
        <w:tab/>
      </w:r>
      <w:r>
        <w:rPr>
          <w:rFonts w:hint="eastAsia" w:hAnsi="仿宋"/>
          <w:szCs w:val="30"/>
          <w:lang w:val="en-US" w:eastAsia="zh-CN"/>
        </w:rPr>
        <w:t>《昆明市西山区财政局关于进一步规范预算单位拨款事宜的通知》（西财库〔2023〕12号）；</w:t>
      </w:r>
    </w:p>
    <w:p w14:paraId="42A1D261">
      <w:pPr>
        <w:spacing w:line="579" w:lineRule="exact"/>
        <w:ind w:firstLine="630" w:firstLineChars="200"/>
        <w:rPr>
          <w:rFonts w:hint="eastAsia" w:hAnsi="仿宋"/>
          <w:szCs w:val="30"/>
          <w:lang w:val="en-US" w:eastAsia="zh-CN"/>
        </w:rPr>
      </w:pPr>
      <w:r>
        <w:rPr>
          <w:rFonts w:hint="eastAsia" w:hAnsi="仿宋"/>
          <w:szCs w:val="30"/>
          <w:lang w:val="en-US" w:eastAsia="zh-CN"/>
        </w:rPr>
        <w:tab/>
      </w:r>
      <w:r>
        <w:rPr>
          <w:rFonts w:hint="eastAsia" w:hAnsi="仿宋"/>
          <w:szCs w:val="30"/>
          <w:lang w:val="en-US" w:eastAsia="zh-CN"/>
        </w:rPr>
        <w:t>13.</w:t>
      </w:r>
      <w:r>
        <w:rPr>
          <w:rFonts w:hint="eastAsia" w:hAnsi="仿宋"/>
          <w:szCs w:val="30"/>
          <w:lang w:val="en-US" w:eastAsia="zh-CN"/>
        </w:rPr>
        <w:tab/>
      </w:r>
      <w:r>
        <w:rPr>
          <w:rFonts w:hint="eastAsia" w:hAnsi="仿宋"/>
          <w:szCs w:val="30"/>
          <w:lang w:val="en-US" w:eastAsia="zh-CN"/>
        </w:rPr>
        <w:t>《昆明市西山区自然资源局关于缴纳昆明市西山区2024年度第一批次城镇建设用地补充耕地指标费用的通知》及相关征地报批成本核算文件；</w:t>
      </w:r>
    </w:p>
    <w:p w14:paraId="39B96A6E">
      <w:pPr>
        <w:spacing w:line="579" w:lineRule="exact"/>
        <w:ind w:firstLine="630" w:firstLineChars="200"/>
        <w:rPr>
          <w:rFonts w:hint="eastAsia" w:hAnsi="仿宋"/>
          <w:szCs w:val="30"/>
          <w:lang w:val="en-US" w:eastAsia="zh-CN"/>
        </w:rPr>
      </w:pPr>
      <w:r>
        <w:rPr>
          <w:rFonts w:hint="eastAsia" w:hAnsi="仿宋"/>
          <w:szCs w:val="30"/>
          <w:lang w:val="en-US" w:eastAsia="zh-CN"/>
        </w:rPr>
        <w:tab/>
      </w:r>
      <w:r>
        <w:rPr>
          <w:rFonts w:hint="eastAsia" w:hAnsi="仿宋"/>
          <w:szCs w:val="30"/>
          <w:lang w:val="en-US" w:eastAsia="zh-CN"/>
        </w:rPr>
        <w:t>14.</w:t>
      </w:r>
      <w:r>
        <w:rPr>
          <w:rFonts w:hint="eastAsia" w:hAnsi="仿宋"/>
          <w:szCs w:val="30"/>
          <w:lang w:val="en-US" w:eastAsia="zh-CN"/>
        </w:rPr>
        <w:tab/>
      </w:r>
      <w:r>
        <w:rPr>
          <w:rFonts w:hint="eastAsia" w:hAnsi="仿宋"/>
          <w:szCs w:val="30"/>
          <w:lang w:val="en-US" w:eastAsia="zh-CN"/>
        </w:rPr>
        <w:t>云南海口产业园区管委会劳务派遣协议及西山区人力资源运营管理有限公司相关批复文件；</w:t>
      </w:r>
    </w:p>
    <w:p w14:paraId="505AF9BD">
      <w:pPr>
        <w:spacing w:line="579" w:lineRule="exact"/>
        <w:ind w:firstLine="630" w:firstLineChars="200"/>
        <w:rPr>
          <w:rFonts w:hint="eastAsia" w:hAnsi="仿宋"/>
          <w:szCs w:val="30"/>
          <w:lang w:val="en-US" w:eastAsia="zh-CN"/>
        </w:rPr>
      </w:pPr>
      <w:r>
        <w:rPr>
          <w:rFonts w:hint="eastAsia" w:hAnsi="仿宋"/>
          <w:szCs w:val="30"/>
          <w:lang w:val="en-US" w:eastAsia="zh-CN"/>
        </w:rPr>
        <w:tab/>
      </w:r>
      <w:r>
        <w:rPr>
          <w:rFonts w:hint="eastAsia" w:hAnsi="仿宋"/>
          <w:szCs w:val="30"/>
          <w:lang w:val="en-US" w:eastAsia="zh-CN"/>
        </w:rPr>
        <w:t>15.</w:t>
      </w:r>
      <w:r>
        <w:rPr>
          <w:rFonts w:hint="eastAsia" w:hAnsi="仿宋"/>
          <w:szCs w:val="30"/>
          <w:lang w:val="en-US" w:eastAsia="zh-CN"/>
        </w:rPr>
        <w:tab/>
      </w:r>
      <w:r>
        <w:rPr>
          <w:rFonts w:hint="eastAsia" w:hAnsi="仿宋"/>
          <w:szCs w:val="30"/>
          <w:lang w:val="en-US" w:eastAsia="zh-CN"/>
        </w:rPr>
        <w:t>昆明市西山区生态环境局关于海口产业园区污水处理运行检测的相关报告与批示；</w:t>
      </w:r>
    </w:p>
    <w:p w14:paraId="12BD8735">
      <w:pPr>
        <w:spacing w:line="579" w:lineRule="exact"/>
        <w:ind w:firstLine="630" w:firstLineChars="200"/>
        <w:rPr>
          <w:rFonts w:hint="default" w:hAnsi="仿宋"/>
          <w:szCs w:val="30"/>
          <w:lang w:val="en-US" w:eastAsia="zh-CN"/>
        </w:rPr>
      </w:pPr>
      <w:r>
        <w:rPr>
          <w:rFonts w:hint="eastAsia" w:hAnsi="仿宋"/>
          <w:szCs w:val="30"/>
          <w:lang w:val="en-US" w:eastAsia="zh-CN"/>
        </w:rPr>
        <w:tab/>
      </w:r>
      <w:r>
        <w:rPr>
          <w:rFonts w:hint="eastAsia" w:hAnsi="仿宋"/>
          <w:szCs w:val="30"/>
          <w:lang w:val="en-US" w:eastAsia="zh-CN"/>
        </w:rPr>
        <w:t>16.</w:t>
      </w:r>
      <w:r>
        <w:rPr>
          <w:rFonts w:hint="eastAsia" w:hAnsi="仿宋"/>
          <w:szCs w:val="30"/>
          <w:lang w:val="en-US" w:eastAsia="zh-CN"/>
        </w:rPr>
        <w:tab/>
      </w:r>
      <w:r>
        <w:rPr>
          <w:rFonts w:hint="eastAsia" w:hAnsi="仿宋"/>
          <w:szCs w:val="30"/>
          <w:lang w:val="en-US" w:eastAsia="zh-CN"/>
        </w:rPr>
        <w:t>各项目合同、结算确认表、支付审批单、财务凭证及其他佐证性资料。</w:t>
      </w:r>
    </w:p>
    <w:p w14:paraId="045B91CC">
      <w:pPr>
        <w:spacing w:line="579" w:lineRule="exact"/>
        <w:ind w:firstLine="632"/>
        <w:outlineLvl w:val="1"/>
        <w:rPr>
          <w:rFonts w:hint="eastAsia" w:ascii="楷体" w:hAnsi="楷体" w:eastAsia="楷体"/>
          <w:szCs w:val="30"/>
        </w:rPr>
      </w:pPr>
      <w:bookmarkStart w:id="14" w:name="_Toc14400"/>
      <w:r>
        <w:rPr>
          <w:rFonts w:hint="eastAsia" w:ascii="楷体" w:hAnsi="楷体" w:eastAsia="楷体"/>
          <w:szCs w:val="30"/>
        </w:rPr>
        <w:t>（</w:t>
      </w:r>
      <w:r>
        <w:rPr>
          <w:rFonts w:hint="eastAsia" w:ascii="楷体" w:hAnsi="楷体" w:eastAsia="楷体"/>
          <w:szCs w:val="30"/>
          <w:lang w:val="en-US" w:eastAsia="zh-CN"/>
        </w:rPr>
        <w:t>四</w:t>
      </w:r>
      <w:r>
        <w:rPr>
          <w:rFonts w:hint="eastAsia" w:ascii="楷体" w:hAnsi="楷体" w:eastAsia="楷体"/>
          <w:szCs w:val="30"/>
        </w:rPr>
        <w:t>）</w:t>
      </w:r>
      <w:r>
        <w:rPr>
          <w:rFonts w:hint="eastAsia" w:ascii="楷体" w:hAnsi="楷体" w:eastAsia="楷体"/>
          <w:szCs w:val="30"/>
          <w:lang w:val="en-US" w:eastAsia="zh-CN"/>
        </w:rPr>
        <w:t>绩效</w:t>
      </w:r>
      <w:r>
        <w:rPr>
          <w:rFonts w:hint="eastAsia" w:ascii="楷体" w:hAnsi="楷体" w:eastAsia="楷体"/>
          <w:szCs w:val="30"/>
        </w:rPr>
        <w:t>评价方法</w:t>
      </w:r>
      <w:bookmarkEnd w:id="14"/>
    </w:p>
    <w:p w14:paraId="04D4F13D">
      <w:pPr>
        <w:spacing w:line="579" w:lineRule="exact"/>
        <w:ind w:firstLine="630" w:firstLineChars="200"/>
        <w:rPr>
          <w:rFonts w:hint="eastAsia" w:hAnsi="仿宋"/>
          <w:szCs w:val="30"/>
        </w:rPr>
      </w:pPr>
      <w:r>
        <w:rPr>
          <w:rFonts w:hint="eastAsia" w:hAnsi="仿宋"/>
          <w:szCs w:val="30"/>
        </w:rPr>
        <w:t>绩效评价主要采取的方法包括成本效益分析法、比较法、因素分析法、最低成本法、公众评判法等。结合本次绩效评价项目的具体情况，为确保本次绩效评价工作的真实可靠，采用定量与定性相结合、审阅自评相结合，对收集的相关基础资料、各种技术经济数据，在归集、整理、分析的基础上，结合项目特点确定评价方法。具体如下：</w:t>
      </w:r>
    </w:p>
    <w:p w14:paraId="4CBCD258">
      <w:pPr>
        <w:spacing w:line="579" w:lineRule="exact"/>
        <w:ind w:firstLine="630" w:firstLineChars="200"/>
        <w:rPr>
          <w:rFonts w:hint="eastAsia" w:hAnsi="仿宋"/>
          <w:szCs w:val="30"/>
        </w:rPr>
      </w:pPr>
      <w:r>
        <w:rPr>
          <w:rFonts w:hint="eastAsia" w:hAnsi="仿宋"/>
          <w:szCs w:val="30"/>
          <w:lang w:val="en-US" w:eastAsia="zh-CN"/>
        </w:rPr>
        <w:t>1.</w:t>
      </w:r>
      <w:r>
        <w:rPr>
          <w:rFonts w:hint="eastAsia" w:hAnsi="仿宋"/>
          <w:szCs w:val="30"/>
        </w:rPr>
        <w:t>评价方法</w:t>
      </w:r>
    </w:p>
    <w:p w14:paraId="1A929789">
      <w:pPr>
        <w:spacing w:line="579" w:lineRule="exact"/>
        <w:ind w:firstLine="630" w:firstLineChars="200"/>
        <w:rPr>
          <w:rFonts w:hint="eastAsia" w:hAnsi="仿宋"/>
          <w:szCs w:val="30"/>
        </w:rPr>
      </w:pPr>
      <w:r>
        <w:rPr>
          <w:rFonts w:hint="eastAsia" w:hAnsi="仿宋"/>
          <w:szCs w:val="30"/>
        </w:rPr>
        <w:t>本次评价采用比较法、因素分析法和公众评判法等方法对项目的整体情况进行综合评价。包括将实际执行情况与</w:t>
      </w:r>
      <w:r>
        <w:rPr>
          <w:rFonts w:hint="eastAsia" w:hAnsi="仿宋"/>
          <w:szCs w:val="30"/>
          <w:lang w:val="en-US" w:eastAsia="zh-CN"/>
        </w:rPr>
        <w:t>计划</w:t>
      </w:r>
      <w:r>
        <w:rPr>
          <w:rFonts w:hint="eastAsia" w:hAnsi="仿宋"/>
          <w:szCs w:val="30"/>
        </w:rPr>
        <w:t>绩效目标进行比较分析，在评价中综合分析政策执行外部环境、内部控制等因素对绩效目标完成情况的影响，同时通过专家评估、公众问卷和抽样调查等公众评</w:t>
      </w:r>
      <w:r>
        <w:rPr>
          <w:rFonts w:hint="eastAsia" w:hAnsi="仿宋"/>
          <w:szCs w:val="30"/>
          <w:lang w:eastAsia="zh-CN"/>
        </w:rPr>
        <w:t>判方</w:t>
      </w:r>
      <w:r>
        <w:rPr>
          <w:rFonts w:hint="eastAsia" w:hAnsi="仿宋"/>
          <w:szCs w:val="30"/>
        </w:rPr>
        <w:t>法</w:t>
      </w:r>
      <w:r>
        <w:rPr>
          <w:rFonts w:hint="eastAsia" w:hAnsi="仿宋"/>
          <w:szCs w:val="30"/>
          <w:lang w:val="en-US" w:eastAsia="zh-CN"/>
        </w:rPr>
        <w:t>进行评价</w:t>
      </w:r>
      <w:r>
        <w:rPr>
          <w:rFonts w:hint="eastAsia" w:hAnsi="仿宋"/>
          <w:szCs w:val="30"/>
        </w:rPr>
        <w:t>，实地了解预算资金执行情况，社会公众满意度情况。</w:t>
      </w:r>
    </w:p>
    <w:p w14:paraId="5FF080D3">
      <w:pPr>
        <w:spacing w:line="579" w:lineRule="exact"/>
        <w:ind w:firstLine="630" w:firstLineChars="200"/>
        <w:rPr>
          <w:rFonts w:hint="eastAsia" w:hAnsi="仿宋"/>
          <w:szCs w:val="30"/>
        </w:rPr>
      </w:pPr>
      <w:r>
        <w:rPr>
          <w:rFonts w:hint="eastAsia" w:hAnsi="仿宋"/>
          <w:szCs w:val="30"/>
          <w:lang w:val="en-US" w:eastAsia="zh-CN"/>
        </w:rPr>
        <w:t>2.</w:t>
      </w:r>
      <w:r>
        <w:rPr>
          <w:rFonts w:hint="eastAsia" w:hAnsi="仿宋"/>
          <w:szCs w:val="30"/>
        </w:rPr>
        <w:t>评价方式</w:t>
      </w:r>
    </w:p>
    <w:p w14:paraId="7CC807DB">
      <w:pPr>
        <w:spacing w:line="579" w:lineRule="exact"/>
        <w:ind w:firstLine="630" w:firstLineChars="200"/>
        <w:rPr>
          <w:rFonts w:hint="eastAsia" w:hAnsi="仿宋"/>
          <w:szCs w:val="30"/>
        </w:rPr>
      </w:pPr>
      <w:r>
        <w:rPr>
          <w:rFonts w:hint="eastAsia" w:hAnsi="仿宋"/>
          <w:szCs w:val="30"/>
        </w:rPr>
        <w:t>一是资料审阅。从被评价部门收集与项目预算、管理、绩效相关的评价数据，形成绩效评价的基础资料，并对基础资料的真实性、可靠性进行审阅。</w:t>
      </w:r>
      <w:r>
        <w:rPr>
          <w:rFonts w:hint="eastAsia" w:hAnsi="仿宋"/>
          <w:szCs w:val="30"/>
          <w:lang w:eastAsia="zh-CN"/>
        </w:rPr>
        <w:t>具体</w:t>
      </w:r>
      <w:r>
        <w:rPr>
          <w:rFonts w:hint="eastAsia" w:hAnsi="仿宋"/>
          <w:szCs w:val="30"/>
        </w:rPr>
        <w:t>包括对各实施单位上报的自评报告进行认真审阅，核实各项目单位自评工作是否按要求完成，评价完成的效益和质量；收集绩效评价的基础数据，对项目实施单位填报的项目完成情况表、数据采集表、资金使用情况表进行审阅，对异常的资金使用通过实地调查、原始凭证查阅等进行核实；收集项目绩效的相关资料并结合问卷调查、座谈访谈结果对项目绩效进行客观评价。</w:t>
      </w:r>
    </w:p>
    <w:p w14:paraId="253D630C">
      <w:pPr>
        <w:spacing w:line="579" w:lineRule="exact"/>
        <w:ind w:firstLine="630" w:firstLineChars="200"/>
        <w:rPr>
          <w:rFonts w:hint="eastAsia" w:hAnsi="仿宋"/>
          <w:szCs w:val="30"/>
        </w:rPr>
      </w:pPr>
      <w:r>
        <w:rPr>
          <w:rFonts w:hint="eastAsia" w:hAnsi="仿宋"/>
          <w:szCs w:val="30"/>
          <w:lang w:val="en-US" w:eastAsia="zh-CN"/>
        </w:rPr>
        <w:t>二</w:t>
      </w:r>
      <w:r>
        <w:rPr>
          <w:rFonts w:hint="eastAsia" w:hAnsi="仿宋"/>
          <w:szCs w:val="30"/>
        </w:rPr>
        <w:t>是实地评价。绩效评价工作组根据分工，采用资料收集与数据填报、案卷研究、实地调研、问卷调查等方式，组织开展实地评价。在绩效评价实施过程中，根据评价对象的具体情况，设计数据收集表格收集评价数据、资料；同时发放调查问卷调查项目的公众满意度、管理人员意见以及评价相关的信息。</w:t>
      </w:r>
    </w:p>
    <w:p w14:paraId="4705916E">
      <w:pPr>
        <w:spacing w:line="579" w:lineRule="exact"/>
        <w:ind w:firstLine="630" w:firstLineChars="200"/>
        <w:outlineLvl w:val="1"/>
        <w:rPr>
          <w:rFonts w:ascii="楷体" w:hAnsi="楷体" w:eastAsia="楷体"/>
          <w:szCs w:val="30"/>
        </w:rPr>
      </w:pPr>
      <w:bookmarkStart w:id="15" w:name="_Toc22344"/>
      <w:r>
        <w:rPr>
          <w:rFonts w:hint="eastAsia" w:ascii="楷体" w:hAnsi="楷体" w:eastAsia="楷体"/>
          <w:szCs w:val="30"/>
        </w:rPr>
        <w:t>（</w:t>
      </w:r>
      <w:r>
        <w:rPr>
          <w:rFonts w:hint="eastAsia" w:ascii="楷体" w:hAnsi="楷体" w:eastAsia="楷体"/>
          <w:szCs w:val="30"/>
          <w:lang w:val="en-US" w:eastAsia="zh-CN"/>
        </w:rPr>
        <w:t>五</w:t>
      </w:r>
      <w:r>
        <w:rPr>
          <w:rFonts w:hint="eastAsia" w:ascii="楷体" w:hAnsi="楷体" w:eastAsia="楷体"/>
          <w:szCs w:val="30"/>
        </w:rPr>
        <w:t>）评价指标体系</w:t>
      </w:r>
      <w:bookmarkEnd w:id="15"/>
    </w:p>
    <w:p w14:paraId="634E6D97">
      <w:pPr>
        <w:spacing w:line="579" w:lineRule="exact"/>
        <w:ind w:firstLine="630" w:firstLineChars="200"/>
        <w:rPr>
          <w:rFonts w:hAnsi="仿宋"/>
          <w:szCs w:val="30"/>
        </w:rPr>
      </w:pPr>
      <w:r>
        <w:rPr>
          <w:rFonts w:hint="eastAsia" w:hAnsi="仿宋"/>
          <w:szCs w:val="30"/>
        </w:rPr>
        <w:t>1.指标体系</w:t>
      </w:r>
    </w:p>
    <w:p w14:paraId="09972384">
      <w:pPr>
        <w:spacing w:line="579" w:lineRule="exact"/>
        <w:ind w:firstLine="630" w:firstLineChars="200"/>
        <w:rPr>
          <w:rFonts w:hint="eastAsia" w:hAnsi="仿宋"/>
          <w:szCs w:val="30"/>
        </w:rPr>
      </w:pPr>
      <w:r>
        <w:rPr>
          <w:rFonts w:hint="eastAsia" w:hAnsi="仿宋"/>
          <w:szCs w:val="30"/>
        </w:rPr>
        <w:t>本次绩效评价，针对项目设置绩效评价指标体系，设计思路是：本次对项目的绩效评价从项目的设立、执行、产出及效果的全过程的绩效评价，一级指标即共性指标，反映项目评价的通用要素，适合所有的项目评价。即</w:t>
      </w:r>
      <w:r>
        <w:rPr>
          <w:rFonts w:hint="eastAsia" w:hAnsi="仿宋"/>
          <w:szCs w:val="30"/>
          <w:lang w:eastAsia="zh-CN"/>
        </w:rPr>
        <w:t>：</w:t>
      </w:r>
      <w:r>
        <w:rPr>
          <w:rFonts w:hint="eastAsia" w:hAnsi="仿宋"/>
          <w:szCs w:val="30"/>
        </w:rPr>
        <w:t>投入、过程、产出、</w:t>
      </w:r>
      <w:r>
        <w:rPr>
          <w:rFonts w:hint="eastAsia" w:hAnsi="仿宋"/>
          <w:szCs w:val="30"/>
          <w:lang w:val="en-US" w:eastAsia="zh-CN"/>
        </w:rPr>
        <w:t>效益</w:t>
      </w:r>
      <w:r>
        <w:rPr>
          <w:rFonts w:hint="eastAsia" w:hAnsi="仿宋"/>
          <w:szCs w:val="30"/>
        </w:rPr>
        <w:t>4个一级指标。结合海口产业园区专项资金使用和项目管理的实际情况，本次绩效评价在总体框架上遵循“目标明确、过程可控、结果可衡量、效益可评估”的原则，建立了由11个二级指标和29个三级指标组成的绩效评价体系。二级指标包括项目立项、绩效目标、资金投入、资金管理、项目管理、财务管理、产出数量、产出时效、社会效益、生态效益及满意度等内容；三级指标在此基础上进一步细化，涵盖立项程序规范性、目标合理性、资金使用合规性、预算执行率、财务监督有效性、项目产出质量、运行效率、可持续影响、社会满意度等方面。</w:t>
      </w:r>
    </w:p>
    <w:p w14:paraId="3814F295">
      <w:pPr>
        <w:spacing w:line="579" w:lineRule="exact"/>
        <w:ind w:firstLine="630" w:firstLineChars="200"/>
        <w:rPr>
          <w:rFonts w:hint="eastAsia" w:eastAsia="仿宋_GB2312"/>
          <w:lang w:val="en-US" w:eastAsia="zh-CN"/>
        </w:rPr>
      </w:pPr>
      <w:r>
        <w:rPr>
          <w:rFonts w:hint="eastAsia" w:hAnsi="仿宋"/>
          <w:szCs w:val="30"/>
          <w:lang w:val="en-US" w:eastAsia="zh-CN"/>
        </w:rPr>
        <w:t>2</w:t>
      </w:r>
      <w:r>
        <w:rPr>
          <w:rFonts w:hint="eastAsia" w:hAnsi="仿宋"/>
          <w:szCs w:val="30"/>
        </w:rPr>
        <w:t>.指标</w:t>
      </w:r>
      <w:r>
        <w:rPr>
          <w:rFonts w:hint="eastAsia" w:hAnsi="仿宋"/>
          <w:szCs w:val="30"/>
          <w:lang w:val="en-US" w:eastAsia="zh-CN"/>
        </w:rPr>
        <w:t>权重</w:t>
      </w:r>
    </w:p>
    <w:p w14:paraId="56ED5DEE">
      <w:pPr>
        <w:spacing w:line="579" w:lineRule="exact"/>
        <w:ind w:firstLine="630" w:firstLineChars="200"/>
        <w:rPr>
          <w:rFonts w:hint="eastAsia" w:hAnsi="仿宋" w:cs="Times New Roman"/>
          <w:szCs w:val="30"/>
          <w:lang w:val="en-US" w:eastAsia="zh-CN"/>
        </w:rPr>
      </w:pPr>
      <w:bookmarkStart w:id="16" w:name="_Toc81575277"/>
      <w:bookmarkStart w:id="17" w:name="_Toc17837"/>
      <w:bookmarkStart w:id="18" w:name="_Toc81575278"/>
      <w:r>
        <w:rPr>
          <w:rFonts w:hint="eastAsia" w:hAnsi="仿宋" w:cs="Times New Roman"/>
          <w:szCs w:val="30"/>
          <w:lang w:val="en-US" w:eastAsia="zh-CN"/>
        </w:rPr>
        <w:t>根据《昆明市西山区海口街道产业发展专项资金绩效评价共性指标体系框架》及项目实施阶段特征，绩效评价体系共设一级指标4项、二级指标11项、三级指标29项，总分100分。权重分配如下：决策（投入）15%，项目管理（过程）25%，产出30%，效益30%。</w:t>
      </w:r>
    </w:p>
    <w:p w14:paraId="783BD357">
      <w:pPr>
        <w:spacing w:line="579" w:lineRule="exact"/>
        <w:ind w:firstLine="630" w:firstLineChars="200"/>
        <w:rPr>
          <w:rFonts w:hint="eastAsia" w:hAnsi="仿宋" w:cs="Times New Roman"/>
          <w:szCs w:val="30"/>
          <w:lang w:val="en-US" w:eastAsia="zh-CN"/>
        </w:rPr>
      </w:pPr>
      <w:r>
        <w:rPr>
          <w:rFonts w:hint="eastAsia" w:hAnsi="仿宋" w:cs="Times New Roman"/>
          <w:szCs w:val="30"/>
          <w:lang w:val="en-US" w:eastAsia="zh-CN"/>
        </w:rPr>
        <w:tab/>
      </w:r>
      <w:r>
        <w:rPr>
          <w:rFonts w:hint="eastAsia" w:hAnsi="仿宋" w:cs="Times New Roman"/>
          <w:szCs w:val="30"/>
          <w:lang w:val="en-US" w:eastAsia="zh-CN"/>
        </w:rPr>
        <w:t>决策指标包括“项目立项、绩效目标、资金投入”3个二级指标，细化为6个三级指标，重点考核立项依据充分性、立项程序规范性、绩效目标合理性与明确性、预算编制合理性及执行率，反映专项资金安排的科学性和前期决策质量。</w:t>
      </w:r>
    </w:p>
    <w:p w14:paraId="29F9292C">
      <w:pPr>
        <w:spacing w:line="579" w:lineRule="exact"/>
        <w:ind w:firstLine="630" w:firstLineChars="200"/>
        <w:rPr>
          <w:rFonts w:hint="eastAsia" w:hAnsi="仿宋" w:cs="Times New Roman"/>
          <w:szCs w:val="30"/>
          <w:lang w:val="en-US" w:eastAsia="zh-CN"/>
        </w:rPr>
      </w:pPr>
      <w:r>
        <w:rPr>
          <w:rFonts w:hint="eastAsia" w:hAnsi="仿宋" w:cs="Times New Roman"/>
          <w:szCs w:val="30"/>
          <w:lang w:val="en-US" w:eastAsia="zh-CN"/>
        </w:rPr>
        <w:tab/>
      </w:r>
      <w:r>
        <w:rPr>
          <w:rFonts w:hint="eastAsia" w:hAnsi="仿宋" w:cs="Times New Roman"/>
          <w:szCs w:val="30"/>
          <w:lang w:val="en-US" w:eastAsia="zh-CN"/>
        </w:rPr>
        <w:t>项目管理指标包括“财务管理、项目实施”2个二级指标，细化为6个三级指标，重点考核财务制度健全性、资金使用合规性、财务监控有效性，以及项目制度执行、质量控制与管理有效性，反映资金运行和项目过程管理水平。</w:t>
      </w:r>
    </w:p>
    <w:p w14:paraId="4C211743">
      <w:pPr>
        <w:spacing w:line="579" w:lineRule="exact"/>
        <w:ind w:firstLine="630" w:firstLineChars="200"/>
        <w:rPr>
          <w:rFonts w:hint="eastAsia" w:hAnsi="仿宋" w:cs="Times New Roman"/>
          <w:szCs w:val="30"/>
          <w:lang w:val="en-US" w:eastAsia="zh-CN"/>
        </w:rPr>
      </w:pPr>
      <w:r>
        <w:rPr>
          <w:rFonts w:hint="eastAsia" w:hAnsi="仿宋" w:cs="Times New Roman"/>
          <w:szCs w:val="30"/>
          <w:lang w:val="en-US" w:eastAsia="zh-CN"/>
        </w:rPr>
        <w:tab/>
      </w:r>
      <w:r>
        <w:rPr>
          <w:rFonts w:hint="eastAsia" w:hAnsi="仿宋" w:cs="Times New Roman"/>
          <w:szCs w:val="30"/>
          <w:lang w:val="en-US" w:eastAsia="zh-CN"/>
        </w:rPr>
        <w:t>产出指标包括“产出数量、产出质量、产出时效、产出成本”4个二级指标，细化为7个三级指标，衡量专项资金投入所形成的直接产出和阶段性成效。</w:t>
      </w:r>
    </w:p>
    <w:p w14:paraId="1157C01D">
      <w:pPr>
        <w:spacing w:line="579" w:lineRule="exact"/>
        <w:ind w:firstLine="630" w:firstLineChars="200"/>
        <w:rPr>
          <w:rFonts w:hint="eastAsia" w:ascii="楷体" w:hAnsi="楷体" w:eastAsia="楷体"/>
          <w:szCs w:val="30"/>
        </w:rPr>
      </w:pPr>
      <w:r>
        <w:rPr>
          <w:rFonts w:hint="eastAsia" w:hAnsi="仿宋" w:cs="Times New Roman"/>
          <w:szCs w:val="30"/>
          <w:lang w:val="en-US" w:eastAsia="zh-CN"/>
        </w:rPr>
        <w:tab/>
      </w:r>
      <w:r>
        <w:rPr>
          <w:rFonts w:hint="eastAsia" w:hAnsi="仿宋" w:cs="Times New Roman"/>
          <w:szCs w:val="30"/>
          <w:lang w:val="en-US" w:eastAsia="zh-CN"/>
        </w:rPr>
        <w:t>效益指标包括“经济效益、社会效益、可持续影响、满意度”4个二级指标，细化为10个三级指标，重点考核产业带动、项目延展效益、街道与入驻园区企业满意度等综合效果，体现专项资金绩效目标的最终实现程度。</w:t>
      </w:r>
    </w:p>
    <w:p w14:paraId="0FD03071">
      <w:pPr>
        <w:spacing w:line="579" w:lineRule="exact"/>
        <w:ind w:firstLine="632"/>
        <w:outlineLvl w:val="1"/>
        <w:rPr>
          <w:rFonts w:hint="eastAsia" w:ascii="楷体" w:hAnsi="楷体" w:eastAsia="楷体"/>
          <w:szCs w:val="30"/>
          <w:lang w:val="en-US" w:eastAsia="zh-CN"/>
        </w:rPr>
      </w:pPr>
      <w:r>
        <w:rPr>
          <w:rFonts w:hint="eastAsia" w:ascii="楷体" w:hAnsi="楷体" w:eastAsia="楷体"/>
          <w:szCs w:val="30"/>
        </w:rPr>
        <w:t>（</w:t>
      </w:r>
      <w:r>
        <w:rPr>
          <w:rFonts w:hint="eastAsia" w:ascii="楷体" w:hAnsi="楷体" w:eastAsia="楷体"/>
          <w:szCs w:val="30"/>
          <w:lang w:val="en-US" w:eastAsia="zh-CN"/>
        </w:rPr>
        <w:t>六</w:t>
      </w:r>
      <w:r>
        <w:rPr>
          <w:rFonts w:hint="eastAsia" w:ascii="楷体" w:hAnsi="楷体" w:eastAsia="楷体"/>
          <w:szCs w:val="30"/>
        </w:rPr>
        <w:t>）</w:t>
      </w:r>
      <w:bookmarkStart w:id="19" w:name="_Toc11427721"/>
      <w:bookmarkStart w:id="20" w:name="_Toc80023565"/>
      <w:r>
        <w:rPr>
          <w:rFonts w:hint="eastAsia" w:ascii="楷体" w:hAnsi="楷体" w:eastAsia="楷体"/>
          <w:szCs w:val="30"/>
          <w:lang w:val="en-US" w:eastAsia="zh-CN"/>
        </w:rPr>
        <w:t>绩效</w:t>
      </w:r>
      <w:r>
        <w:rPr>
          <w:rFonts w:hint="eastAsia" w:ascii="楷体" w:hAnsi="楷体" w:eastAsia="楷体"/>
          <w:szCs w:val="30"/>
        </w:rPr>
        <w:t>评价</w:t>
      </w:r>
      <w:bookmarkEnd w:id="16"/>
      <w:bookmarkEnd w:id="19"/>
      <w:bookmarkEnd w:id="20"/>
      <w:r>
        <w:rPr>
          <w:rFonts w:hint="eastAsia" w:ascii="楷体" w:hAnsi="楷体" w:eastAsia="楷体"/>
          <w:szCs w:val="30"/>
          <w:lang w:val="en-US" w:eastAsia="zh-CN"/>
        </w:rPr>
        <w:t>抽样</w:t>
      </w:r>
      <w:bookmarkEnd w:id="17"/>
    </w:p>
    <w:p w14:paraId="353314CB">
      <w:pPr>
        <w:spacing w:line="579" w:lineRule="exact"/>
        <w:ind w:firstLine="630" w:firstLineChars="200"/>
        <w:rPr>
          <w:rFonts w:hint="eastAsia" w:hAnsi="仿宋"/>
          <w:szCs w:val="30"/>
          <w:lang w:val="en-US" w:eastAsia="zh-CN"/>
        </w:rPr>
      </w:pPr>
      <w:r>
        <w:rPr>
          <w:rFonts w:hint="eastAsia" w:hAnsi="仿宋"/>
          <w:szCs w:val="30"/>
          <w:lang w:val="en-US" w:eastAsia="zh-CN"/>
        </w:rPr>
        <w:t>本次昆明市西山区海口街道产业发展专项资金绩效评价未采用抽样方式，而是对专项资金支持的全部项目（包括污水处理厂运营维护、园区劳务派遣服务及光学片区土地征转报批费用等）进行全覆盖核查。</w:t>
      </w:r>
    </w:p>
    <w:bookmarkEnd w:id="18"/>
    <w:p w14:paraId="49297C46">
      <w:pPr>
        <w:spacing w:line="579" w:lineRule="exact"/>
        <w:ind w:firstLine="630" w:firstLineChars="200"/>
        <w:outlineLvl w:val="0"/>
        <w:rPr>
          <w:rFonts w:ascii="黑体" w:hAnsi="宋体" w:eastAsia="黑体" w:cs="宋体"/>
          <w:szCs w:val="30"/>
        </w:rPr>
      </w:pPr>
      <w:bookmarkStart w:id="21" w:name="_Toc4085"/>
      <w:r>
        <w:rPr>
          <w:rFonts w:hint="eastAsia" w:ascii="黑体" w:hAnsi="宋体" w:eastAsia="黑体" w:cs="宋体"/>
          <w:szCs w:val="30"/>
          <w:lang w:val="en-US" w:eastAsia="zh-CN"/>
        </w:rPr>
        <w:t>三</w:t>
      </w:r>
      <w:r>
        <w:rPr>
          <w:rFonts w:hint="eastAsia" w:ascii="黑体" w:hAnsi="宋体" w:eastAsia="黑体" w:cs="宋体"/>
          <w:szCs w:val="30"/>
        </w:rPr>
        <w:t>、</w:t>
      </w:r>
      <w:r>
        <w:rPr>
          <w:rFonts w:hint="eastAsia" w:ascii="黑体" w:hAnsi="黑体" w:eastAsia="黑体"/>
          <w:lang w:val="en-US" w:eastAsia="zh-CN"/>
        </w:rPr>
        <w:t>绩效评价</w:t>
      </w:r>
      <w:r>
        <w:rPr>
          <w:rFonts w:hint="eastAsia" w:ascii="黑体" w:hAnsi="黑体" w:eastAsia="黑体"/>
        </w:rPr>
        <w:t>结论</w:t>
      </w:r>
      <w:bookmarkEnd w:id="21"/>
    </w:p>
    <w:p w14:paraId="3E091055">
      <w:pPr>
        <w:spacing w:line="579" w:lineRule="exact"/>
        <w:ind w:firstLine="630" w:firstLineChars="200"/>
        <w:outlineLvl w:val="1"/>
        <w:rPr>
          <w:rFonts w:ascii="楷体" w:hAnsi="楷体" w:eastAsia="楷体"/>
          <w:szCs w:val="30"/>
        </w:rPr>
      </w:pPr>
      <w:bookmarkStart w:id="22" w:name="_Toc18661"/>
      <w:r>
        <w:rPr>
          <w:rFonts w:hint="eastAsia" w:ascii="楷体" w:hAnsi="楷体" w:eastAsia="楷体"/>
          <w:szCs w:val="30"/>
        </w:rPr>
        <w:t>（一）绩效评价综合结论</w:t>
      </w:r>
      <w:bookmarkEnd w:id="22"/>
    </w:p>
    <w:p w14:paraId="0D88DF40">
      <w:pPr>
        <w:spacing w:line="579" w:lineRule="exact"/>
        <w:ind w:firstLine="630" w:firstLineChars="200"/>
        <w:rPr>
          <w:rFonts w:hint="eastAsia"/>
        </w:rPr>
      </w:pPr>
      <w:bookmarkStart w:id="23" w:name="_Hlk525314439"/>
      <w:r>
        <w:rPr>
          <w:rFonts w:hint="eastAsia" w:hAnsi="仿宋"/>
          <w:szCs w:val="30"/>
          <w:highlight w:val="none"/>
        </w:rPr>
        <w:t>昆明市西山区海口街道产业发展专项资金绩效评价得分为</w:t>
      </w:r>
      <w:r>
        <w:rPr>
          <w:rFonts w:hint="eastAsia" w:hAnsi="仿宋"/>
          <w:szCs w:val="30"/>
          <w:highlight w:val="none"/>
          <w:lang w:val="en-US" w:eastAsia="zh-CN"/>
        </w:rPr>
        <w:t>80.21</w:t>
      </w:r>
      <w:r>
        <w:rPr>
          <w:rFonts w:hint="eastAsia" w:hAnsi="仿宋"/>
          <w:szCs w:val="30"/>
          <w:highlight w:val="none"/>
        </w:rPr>
        <w:t>分，绩效等级为“良”。具体得分情况详见下表</w:t>
      </w:r>
      <w:r>
        <w:rPr>
          <w:rFonts w:hint="eastAsia" w:hAnsi="仿宋"/>
          <w:szCs w:val="30"/>
          <w:highlight w:val="none"/>
          <w:lang w:eastAsia="zh-CN"/>
        </w:rPr>
        <w:t>：</w:t>
      </w:r>
    </w:p>
    <w:p w14:paraId="532DDEA2">
      <w:pPr>
        <w:jc w:val="center"/>
        <w:rPr>
          <w:rFonts w:ascii="黑体" w:hAnsi="黑体" w:eastAsia="黑体" w:cs="宋体"/>
          <w:bCs/>
          <w:sz w:val="24"/>
          <w:szCs w:val="24"/>
        </w:rPr>
      </w:pPr>
      <w:r>
        <w:rPr>
          <w:rFonts w:hint="eastAsia" w:ascii="黑体" w:hAnsi="黑体" w:eastAsia="黑体" w:cs="宋体"/>
          <w:bCs/>
          <w:sz w:val="24"/>
          <w:szCs w:val="24"/>
        </w:rPr>
        <w:t>表</w:t>
      </w:r>
      <w:r>
        <w:rPr>
          <w:rFonts w:hint="eastAsia" w:ascii="黑体" w:hAnsi="黑体" w:eastAsia="黑体" w:cs="宋体"/>
          <w:bCs/>
          <w:sz w:val="24"/>
          <w:szCs w:val="24"/>
          <w:lang w:val="en-US" w:eastAsia="zh-CN"/>
        </w:rPr>
        <w:t xml:space="preserve">2 </w:t>
      </w:r>
      <w:r>
        <w:rPr>
          <w:rFonts w:hint="eastAsia" w:ascii="黑体" w:hAnsi="黑体" w:eastAsia="黑体" w:cs="宋体"/>
          <w:bCs/>
          <w:sz w:val="24"/>
          <w:szCs w:val="24"/>
        </w:rPr>
        <w:t>绩效评价得分情况表</w:t>
      </w:r>
    </w:p>
    <w:tbl>
      <w:tblPr>
        <w:tblStyle w:val="18"/>
        <w:tblW w:w="8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2212"/>
        <w:gridCol w:w="2211"/>
        <w:gridCol w:w="2211"/>
        <w:gridCol w:w="2211"/>
      </w:tblGrid>
      <w:tr w14:paraId="4BA05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33" w:hRule="atLeast"/>
          <w:tblHeader/>
          <w:jc w:val="center"/>
        </w:trPr>
        <w:tc>
          <w:tcPr>
            <w:tcW w:w="2212" w:type="dxa"/>
            <w:tcBorders>
              <w:top w:val="single" w:color="auto" w:sz="4" w:space="0"/>
            </w:tcBorders>
            <w:vAlign w:val="center"/>
          </w:tcPr>
          <w:p w14:paraId="673E8B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hAnsi="仿宋" w:cs="宋体"/>
                <w:b/>
                <w:bCs/>
                <w:spacing w:val="6"/>
                <w:sz w:val="21"/>
                <w:highlight w:val="none"/>
              </w:rPr>
            </w:pPr>
            <w:r>
              <w:rPr>
                <w:rFonts w:hint="eastAsia" w:ascii="仿宋" w:hAnsi="仿宋" w:eastAsia="仿宋" w:cs="仿宋"/>
                <w:b/>
                <w:bCs/>
                <w:i w:val="0"/>
                <w:iCs w:val="0"/>
                <w:color w:val="000000"/>
                <w:kern w:val="0"/>
                <w:sz w:val="21"/>
                <w:szCs w:val="21"/>
                <w:u w:val="none"/>
                <w:lang w:val="en-US" w:eastAsia="zh-CN" w:bidi="ar"/>
              </w:rPr>
              <w:t>一级指标</w:t>
            </w:r>
          </w:p>
        </w:tc>
        <w:tc>
          <w:tcPr>
            <w:tcW w:w="2211" w:type="dxa"/>
            <w:tcBorders>
              <w:top w:val="single" w:color="auto" w:sz="4" w:space="0"/>
            </w:tcBorders>
            <w:vAlign w:val="center"/>
          </w:tcPr>
          <w:p w14:paraId="6AD958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hAnsi="仿宋" w:cs="宋体"/>
                <w:b/>
                <w:bCs/>
                <w:spacing w:val="6"/>
                <w:sz w:val="21"/>
                <w:highlight w:val="none"/>
              </w:rPr>
            </w:pPr>
            <w:r>
              <w:rPr>
                <w:rFonts w:hint="eastAsia" w:ascii="仿宋" w:hAnsi="仿宋" w:eastAsia="仿宋" w:cs="仿宋"/>
                <w:b/>
                <w:bCs/>
                <w:i w:val="0"/>
                <w:iCs w:val="0"/>
                <w:color w:val="000000"/>
                <w:kern w:val="0"/>
                <w:sz w:val="21"/>
                <w:szCs w:val="21"/>
                <w:u w:val="none"/>
                <w:lang w:val="en-US" w:eastAsia="zh-CN" w:bidi="ar"/>
              </w:rPr>
              <w:t>指标分值</w:t>
            </w:r>
          </w:p>
        </w:tc>
        <w:tc>
          <w:tcPr>
            <w:tcW w:w="2211" w:type="dxa"/>
            <w:tcBorders>
              <w:top w:val="single" w:color="auto" w:sz="4" w:space="0"/>
            </w:tcBorders>
            <w:vAlign w:val="center"/>
          </w:tcPr>
          <w:p w14:paraId="13D63E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hAnsi="仿宋" w:cs="宋体"/>
                <w:b/>
                <w:bCs/>
                <w:spacing w:val="6"/>
                <w:sz w:val="21"/>
                <w:highlight w:val="none"/>
              </w:rPr>
            </w:pPr>
            <w:r>
              <w:rPr>
                <w:rFonts w:hint="eastAsia" w:ascii="仿宋" w:hAnsi="仿宋" w:eastAsia="仿宋" w:cs="仿宋"/>
                <w:b/>
                <w:bCs/>
                <w:i w:val="0"/>
                <w:iCs w:val="0"/>
                <w:color w:val="000000"/>
                <w:kern w:val="0"/>
                <w:sz w:val="21"/>
                <w:szCs w:val="21"/>
                <w:u w:val="none"/>
                <w:lang w:val="en-US" w:eastAsia="zh-CN" w:bidi="ar"/>
              </w:rPr>
              <w:t>评价得分</w:t>
            </w:r>
          </w:p>
        </w:tc>
        <w:tc>
          <w:tcPr>
            <w:tcW w:w="2211" w:type="dxa"/>
            <w:tcBorders>
              <w:top w:val="single" w:color="auto" w:sz="4" w:space="0"/>
            </w:tcBorders>
            <w:vAlign w:val="center"/>
          </w:tcPr>
          <w:p w14:paraId="560190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hAnsi="仿宋" w:cs="宋体"/>
                <w:b/>
                <w:bCs/>
                <w:spacing w:val="6"/>
                <w:sz w:val="21"/>
                <w:highlight w:val="none"/>
              </w:rPr>
            </w:pPr>
            <w:r>
              <w:rPr>
                <w:rFonts w:hint="eastAsia" w:ascii="仿宋" w:hAnsi="仿宋" w:eastAsia="仿宋" w:cs="仿宋"/>
                <w:b/>
                <w:bCs/>
                <w:i w:val="0"/>
                <w:iCs w:val="0"/>
                <w:color w:val="000000"/>
                <w:kern w:val="0"/>
                <w:sz w:val="21"/>
                <w:szCs w:val="21"/>
                <w:u w:val="none"/>
                <w:lang w:val="en-US" w:eastAsia="zh-CN" w:bidi="ar"/>
              </w:rPr>
              <w:t>得分率</w:t>
            </w:r>
          </w:p>
        </w:tc>
      </w:tr>
      <w:tr w14:paraId="11411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47" w:hRule="atLeast"/>
          <w:jc w:val="center"/>
        </w:trPr>
        <w:tc>
          <w:tcPr>
            <w:tcW w:w="2212" w:type="dxa"/>
            <w:vAlign w:val="center"/>
          </w:tcPr>
          <w:p w14:paraId="214663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hAnsi="仿宋" w:eastAsia="仿宋" w:cs="宋体"/>
                <w:bCs/>
                <w:spacing w:val="6"/>
                <w:sz w:val="21"/>
                <w:highlight w:val="none"/>
                <w:lang w:val="en-US" w:eastAsia="zh-CN"/>
              </w:rPr>
            </w:pPr>
            <w:r>
              <w:rPr>
                <w:rFonts w:hint="eastAsia" w:ascii="仿宋" w:hAnsi="仿宋" w:eastAsia="仿宋" w:cs="仿宋"/>
                <w:i w:val="0"/>
                <w:iCs w:val="0"/>
                <w:color w:val="000000"/>
                <w:kern w:val="0"/>
                <w:sz w:val="21"/>
                <w:szCs w:val="21"/>
                <w:u w:val="none"/>
                <w:lang w:val="en-US" w:eastAsia="zh-CN" w:bidi="ar"/>
              </w:rPr>
              <w:t>决策</w:t>
            </w:r>
          </w:p>
        </w:tc>
        <w:tc>
          <w:tcPr>
            <w:tcW w:w="2211" w:type="dxa"/>
            <w:vAlign w:val="center"/>
          </w:tcPr>
          <w:p w14:paraId="20A2FF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hAnsi="仿宋" w:cs="宋体"/>
                <w:bCs/>
                <w:spacing w:val="6"/>
                <w:sz w:val="21"/>
                <w:highlight w:val="none"/>
              </w:rPr>
            </w:pPr>
            <w:r>
              <w:rPr>
                <w:rFonts w:hint="eastAsia" w:ascii="仿宋" w:hAnsi="仿宋" w:eastAsia="仿宋" w:cs="仿宋"/>
                <w:i w:val="0"/>
                <w:iCs w:val="0"/>
                <w:color w:val="000000"/>
                <w:kern w:val="0"/>
                <w:sz w:val="21"/>
                <w:szCs w:val="21"/>
                <w:u w:val="none"/>
                <w:lang w:val="en-US" w:eastAsia="zh-CN" w:bidi="ar"/>
              </w:rPr>
              <w:t>15</w:t>
            </w:r>
          </w:p>
        </w:tc>
        <w:tc>
          <w:tcPr>
            <w:tcW w:w="2211" w:type="dxa"/>
            <w:vAlign w:val="center"/>
          </w:tcPr>
          <w:p w14:paraId="623911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hAnsi="仿宋" w:eastAsia="仿宋" w:cs="宋体"/>
                <w:bCs/>
                <w:spacing w:val="6"/>
                <w:sz w:val="21"/>
                <w:highlight w:val="none"/>
                <w:lang w:val="en-US" w:eastAsia="zh-CN"/>
              </w:rPr>
            </w:pPr>
            <w:r>
              <w:rPr>
                <w:rFonts w:hint="eastAsia" w:hAnsi="仿宋" w:cs="宋体"/>
                <w:bCs/>
                <w:spacing w:val="6"/>
                <w:sz w:val="21"/>
                <w:highlight w:val="none"/>
                <w:lang w:val="en-US" w:eastAsia="zh-CN"/>
              </w:rPr>
              <w:t>10.50</w:t>
            </w:r>
          </w:p>
        </w:tc>
        <w:tc>
          <w:tcPr>
            <w:tcW w:w="2211" w:type="dxa"/>
            <w:vAlign w:val="center"/>
          </w:tcPr>
          <w:p w14:paraId="12C5A2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hAnsi="仿宋" w:cs="宋体"/>
                <w:bCs/>
                <w:spacing w:val="6"/>
                <w:sz w:val="21"/>
                <w:highlight w:val="none"/>
              </w:rPr>
            </w:pPr>
            <w:r>
              <w:rPr>
                <w:rFonts w:hint="eastAsia" w:hAnsi="仿宋" w:cs="仿宋"/>
                <w:i w:val="0"/>
                <w:iCs w:val="0"/>
                <w:color w:val="000000"/>
                <w:kern w:val="0"/>
                <w:sz w:val="21"/>
                <w:szCs w:val="21"/>
                <w:highlight w:val="none"/>
                <w:u w:val="none"/>
                <w:lang w:val="en-US" w:eastAsia="zh-CN" w:bidi="ar"/>
              </w:rPr>
              <w:t>70.00%</w:t>
            </w:r>
          </w:p>
        </w:tc>
      </w:tr>
      <w:tr w14:paraId="7C378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62" w:hRule="atLeast"/>
          <w:jc w:val="center"/>
        </w:trPr>
        <w:tc>
          <w:tcPr>
            <w:tcW w:w="2212" w:type="dxa"/>
            <w:vAlign w:val="center"/>
          </w:tcPr>
          <w:p w14:paraId="7C1D14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hAnsi="仿宋" w:cs="宋体"/>
                <w:bCs/>
                <w:spacing w:val="6"/>
                <w:sz w:val="21"/>
                <w:highlight w:val="none"/>
              </w:rPr>
            </w:pPr>
            <w:r>
              <w:rPr>
                <w:rFonts w:hint="eastAsia" w:ascii="仿宋" w:hAnsi="仿宋" w:eastAsia="仿宋" w:cs="仿宋"/>
                <w:i w:val="0"/>
                <w:iCs w:val="0"/>
                <w:color w:val="000000"/>
                <w:kern w:val="0"/>
                <w:sz w:val="21"/>
                <w:szCs w:val="21"/>
                <w:u w:val="none"/>
                <w:lang w:val="en-US" w:eastAsia="zh-CN" w:bidi="ar"/>
              </w:rPr>
              <w:t>过程</w:t>
            </w:r>
          </w:p>
        </w:tc>
        <w:tc>
          <w:tcPr>
            <w:tcW w:w="2211" w:type="dxa"/>
            <w:vAlign w:val="center"/>
          </w:tcPr>
          <w:p w14:paraId="26F17D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hAnsi="仿宋" w:eastAsia="仿宋" w:cs="宋体"/>
                <w:bCs/>
                <w:spacing w:val="6"/>
                <w:sz w:val="21"/>
                <w:highlight w:val="none"/>
                <w:lang w:val="en-US" w:eastAsia="zh-CN"/>
              </w:rPr>
            </w:pPr>
            <w:r>
              <w:rPr>
                <w:rFonts w:hint="eastAsia" w:hAnsi="仿宋" w:cs="宋体"/>
                <w:bCs/>
                <w:spacing w:val="6"/>
                <w:sz w:val="21"/>
                <w:highlight w:val="none"/>
                <w:lang w:val="en-US" w:eastAsia="zh-CN"/>
              </w:rPr>
              <w:t>25</w:t>
            </w:r>
          </w:p>
        </w:tc>
        <w:tc>
          <w:tcPr>
            <w:tcW w:w="2211" w:type="dxa"/>
            <w:vAlign w:val="center"/>
          </w:tcPr>
          <w:p w14:paraId="4B3815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hAnsi="仿宋" w:eastAsia="仿宋" w:cs="宋体"/>
                <w:bCs/>
                <w:spacing w:val="6"/>
                <w:sz w:val="21"/>
                <w:highlight w:val="none"/>
                <w:lang w:val="en-US" w:eastAsia="zh-CN"/>
              </w:rPr>
            </w:pPr>
            <w:r>
              <w:rPr>
                <w:rFonts w:hint="eastAsia" w:hAnsi="仿宋" w:cs="宋体"/>
                <w:bCs/>
                <w:spacing w:val="6"/>
                <w:sz w:val="21"/>
                <w:highlight w:val="none"/>
                <w:lang w:val="en-US" w:eastAsia="zh-CN"/>
              </w:rPr>
              <w:t>16.50</w:t>
            </w:r>
          </w:p>
        </w:tc>
        <w:tc>
          <w:tcPr>
            <w:tcW w:w="2211" w:type="dxa"/>
            <w:vAlign w:val="center"/>
          </w:tcPr>
          <w:p w14:paraId="75868A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hAnsi="仿宋" w:cs="宋体"/>
                <w:bCs/>
                <w:spacing w:val="6"/>
                <w:sz w:val="21"/>
                <w:highlight w:val="none"/>
                <w:lang w:val="en-US"/>
              </w:rPr>
            </w:pPr>
            <w:r>
              <w:rPr>
                <w:rFonts w:hint="eastAsia" w:hAnsi="仿宋" w:cs="仿宋"/>
                <w:i w:val="0"/>
                <w:iCs w:val="0"/>
                <w:color w:val="000000"/>
                <w:kern w:val="0"/>
                <w:sz w:val="21"/>
                <w:szCs w:val="21"/>
                <w:highlight w:val="none"/>
                <w:u w:val="none"/>
                <w:lang w:val="en-US" w:eastAsia="zh-CN" w:bidi="ar"/>
              </w:rPr>
              <w:t>66.00%</w:t>
            </w:r>
          </w:p>
        </w:tc>
      </w:tr>
      <w:tr w14:paraId="0580E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61" w:hRule="atLeast"/>
          <w:jc w:val="center"/>
        </w:trPr>
        <w:tc>
          <w:tcPr>
            <w:tcW w:w="2212" w:type="dxa"/>
            <w:vAlign w:val="center"/>
          </w:tcPr>
          <w:p w14:paraId="11C3D9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hAnsi="仿宋" w:cs="宋体"/>
                <w:bCs/>
                <w:spacing w:val="6"/>
                <w:sz w:val="21"/>
                <w:highlight w:val="none"/>
              </w:rPr>
            </w:pPr>
            <w:r>
              <w:rPr>
                <w:rFonts w:hint="eastAsia" w:ascii="仿宋" w:hAnsi="仿宋" w:eastAsia="仿宋" w:cs="仿宋"/>
                <w:i w:val="0"/>
                <w:iCs w:val="0"/>
                <w:color w:val="000000"/>
                <w:kern w:val="0"/>
                <w:sz w:val="21"/>
                <w:szCs w:val="21"/>
                <w:u w:val="none"/>
                <w:lang w:val="en-US" w:eastAsia="zh-CN" w:bidi="ar"/>
              </w:rPr>
              <w:t>产出</w:t>
            </w:r>
          </w:p>
        </w:tc>
        <w:tc>
          <w:tcPr>
            <w:tcW w:w="2211" w:type="dxa"/>
            <w:vAlign w:val="center"/>
          </w:tcPr>
          <w:p w14:paraId="328F2F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hAnsi="仿宋" w:eastAsia="仿宋" w:cs="宋体"/>
                <w:bCs/>
                <w:spacing w:val="6"/>
                <w:sz w:val="21"/>
                <w:highlight w:val="none"/>
                <w:lang w:val="en-US" w:eastAsia="zh-CN"/>
              </w:rPr>
            </w:pPr>
            <w:r>
              <w:rPr>
                <w:rFonts w:hint="eastAsia" w:hAnsi="仿宋" w:cs="仿宋"/>
                <w:i w:val="0"/>
                <w:iCs w:val="0"/>
                <w:color w:val="000000"/>
                <w:kern w:val="0"/>
                <w:sz w:val="21"/>
                <w:szCs w:val="21"/>
                <w:u w:val="none"/>
                <w:lang w:val="en-US" w:eastAsia="zh-CN" w:bidi="ar"/>
              </w:rPr>
              <w:t>30</w:t>
            </w:r>
          </w:p>
        </w:tc>
        <w:tc>
          <w:tcPr>
            <w:tcW w:w="2211" w:type="dxa"/>
            <w:vAlign w:val="center"/>
          </w:tcPr>
          <w:p w14:paraId="4A6D82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hAnsi="仿宋" w:eastAsia="仿宋" w:cs="宋体"/>
                <w:bCs/>
                <w:spacing w:val="6"/>
                <w:sz w:val="21"/>
                <w:highlight w:val="none"/>
                <w:lang w:val="en-US" w:eastAsia="zh-CN"/>
              </w:rPr>
            </w:pPr>
            <w:r>
              <w:rPr>
                <w:rFonts w:hint="eastAsia" w:hAnsi="仿宋" w:cs="宋体"/>
                <w:bCs/>
                <w:spacing w:val="6"/>
                <w:sz w:val="21"/>
                <w:highlight w:val="none"/>
                <w:lang w:val="en-US" w:eastAsia="zh-CN"/>
              </w:rPr>
              <w:t>27.93</w:t>
            </w:r>
          </w:p>
        </w:tc>
        <w:tc>
          <w:tcPr>
            <w:tcW w:w="2211" w:type="dxa"/>
            <w:vAlign w:val="center"/>
          </w:tcPr>
          <w:p w14:paraId="76EBC7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hAnsi="仿宋" w:cs="宋体"/>
                <w:bCs/>
                <w:spacing w:val="6"/>
                <w:sz w:val="21"/>
                <w:highlight w:val="none"/>
              </w:rPr>
            </w:pPr>
            <w:r>
              <w:rPr>
                <w:rFonts w:hint="eastAsia" w:hAnsi="仿宋" w:cs="仿宋"/>
                <w:i w:val="0"/>
                <w:iCs w:val="0"/>
                <w:color w:val="000000"/>
                <w:kern w:val="0"/>
                <w:sz w:val="21"/>
                <w:szCs w:val="21"/>
                <w:highlight w:val="none"/>
                <w:u w:val="none"/>
                <w:lang w:val="en-US" w:eastAsia="zh-CN" w:bidi="ar"/>
              </w:rPr>
              <w:t>93.10</w:t>
            </w:r>
            <w:r>
              <w:rPr>
                <w:rFonts w:hint="eastAsia" w:ascii="仿宋" w:hAnsi="仿宋" w:eastAsia="仿宋" w:cs="仿宋"/>
                <w:i w:val="0"/>
                <w:iCs w:val="0"/>
                <w:color w:val="000000"/>
                <w:kern w:val="0"/>
                <w:sz w:val="21"/>
                <w:szCs w:val="21"/>
                <w:highlight w:val="none"/>
                <w:u w:val="none"/>
                <w:lang w:val="en-US" w:eastAsia="zh-CN" w:bidi="ar"/>
              </w:rPr>
              <w:t>%</w:t>
            </w:r>
          </w:p>
        </w:tc>
      </w:tr>
      <w:tr w14:paraId="3495A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47" w:hRule="atLeast"/>
          <w:jc w:val="center"/>
        </w:trPr>
        <w:tc>
          <w:tcPr>
            <w:tcW w:w="2212" w:type="dxa"/>
            <w:vAlign w:val="center"/>
          </w:tcPr>
          <w:p w14:paraId="3D2713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hAnsi="仿宋" w:eastAsia="仿宋" w:cs="宋体"/>
                <w:bCs/>
                <w:spacing w:val="6"/>
                <w:sz w:val="21"/>
                <w:highlight w:val="none"/>
                <w:lang w:val="en-US" w:eastAsia="zh-CN"/>
              </w:rPr>
            </w:pPr>
            <w:r>
              <w:rPr>
                <w:rFonts w:hint="eastAsia" w:hAnsi="仿宋" w:cs="宋体"/>
                <w:bCs/>
                <w:spacing w:val="6"/>
                <w:sz w:val="21"/>
                <w:highlight w:val="none"/>
                <w:lang w:val="en-US" w:eastAsia="zh-CN"/>
              </w:rPr>
              <w:t>效益</w:t>
            </w:r>
          </w:p>
        </w:tc>
        <w:tc>
          <w:tcPr>
            <w:tcW w:w="2211" w:type="dxa"/>
            <w:vAlign w:val="center"/>
          </w:tcPr>
          <w:p w14:paraId="0A9F8B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hAnsi="仿宋" w:eastAsia="仿宋" w:cs="宋体"/>
                <w:bCs/>
                <w:spacing w:val="6"/>
                <w:sz w:val="21"/>
                <w:highlight w:val="none"/>
                <w:lang w:val="en-US" w:eastAsia="zh-CN"/>
              </w:rPr>
            </w:pPr>
            <w:r>
              <w:rPr>
                <w:rFonts w:hint="eastAsia" w:hAnsi="仿宋" w:cs="宋体"/>
                <w:bCs/>
                <w:spacing w:val="6"/>
                <w:sz w:val="21"/>
                <w:highlight w:val="none"/>
                <w:lang w:val="en-US" w:eastAsia="zh-CN"/>
              </w:rPr>
              <w:t>30</w:t>
            </w:r>
          </w:p>
        </w:tc>
        <w:tc>
          <w:tcPr>
            <w:tcW w:w="2211" w:type="dxa"/>
            <w:vAlign w:val="center"/>
          </w:tcPr>
          <w:p w14:paraId="331686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hAnsi="仿宋" w:eastAsia="仿宋" w:cs="宋体"/>
                <w:bCs/>
                <w:spacing w:val="6"/>
                <w:sz w:val="21"/>
                <w:highlight w:val="none"/>
                <w:lang w:val="en-US" w:eastAsia="zh-CN"/>
              </w:rPr>
            </w:pPr>
            <w:r>
              <w:rPr>
                <w:rFonts w:hint="eastAsia" w:hAnsi="仿宋" w:cs="宋体"/>
                <w:bCs/>
                <w:spacing w:val="6"/>
                <w:sz w:val="21"/>
                <w:highlight w:val="none"/>
                <w:lang w:val="en-US" w:eastAsia="zh-CN"/>
              </w:rPr>
              <w:t>25.28</w:t>
            </w:r>
          </w:p>
        </w:tc>
        <w:tc>
          <w:tcPr>
            <w:tcW w:w="2211" w:type="dxa"/>
            <w:vAlign w:val="center"/>
          </w:tcPr>
          <w:p w14:paraId="6823D6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hAnsi="仿宋" w:cs="宋体"/>
                <w:bCs/>
                <w:spacing w:val="6"/>
                <w:sz w:val="21"/>
                <w:highlight w:val="none"/>
              </w:rPr>
            </w:pPr>
            <w:r>
              <w:rPr>
                <w:rFonts w:hint="eastAsia" w:hAnsi="仿宋" w:cs="仿宋"/>
                <w:i w:val="0"/>
                <w:iCs w:val="0"/>
                <w:color w:val="000000"/>
                <w:kern w:val="0"/>
                <w:sz w:val="21"/>
                <w:szCs w:val="21"/>
                <w:highlight w:val="none"/>
                <w:u w:val="none"/>
                <w:lang w:val="en-US" w:eastAsia="zh-CN" w:bidi="ar"/>
              </w:rPr>
              <w:t>84.27</w:t>
            </w:r>
            <w:r>
              <w:rPr>
                <w:rFonts w:hint="eastAsia" w:ascii="仿宋" w:hAnsi="仿宋" w:eastAsia="仿宋" w:cs="仿宋"/>
                <w:i w:val="0"/>
                <w:iCs w:val="0"/>
                <w:color w:val="000000"/>
                <w:kern w:val="0"/>
                <w:sz w:val="21"/>
                <w:szCs w:val="21"/>
                <w:highlight w:val="none"/>
                <w:u w:val="none"/>
                <w:lang w:val="en-US" w:eastAsia="zh-CN" w:bidi="ar"/>
              </w:rPr>
              <w:t>%</w:t>
            </w:r>
          </w:p>
        </w:tc>
      </w:tr>
      <w:tr w14:paraId="7B701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72" w:hRule="atLeast"/>
          <w:jc w:val="center"/>
        </w:trPr>
        <w:tc>
          <w:tcPr>
            <w:tcW w:w="2212" w:type="dxa"/>
            <w:vAlign w:val="center"/>
          </w:tcPr>
          <w:p w14:paraId="1FA81D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hAnsi="仿宋" w:cs="宋体"/>
                <w:b/>
                <w:bCs/>
                <w:spacing w:val="6"/>
                <w:sz w:val="21"/>
                <w:highlight w:val="none"/>
              </w:rPr>
            </w:pPr>
            <w:r>
              <w:rPr>
                <w:rFonts w:hint="eastAsia" w:ascii="仿宋" w:hAnsi="仿宋" w:eastAsia="仿宋" w:cs="仿宋"/>
                <w:b/>
                <w:bCs/>
                <w:i w:val="0"/>
                <w:iCs w:val="0"/>
                <w:color w:val="000000"/>
                <w:kern w:val="0"/>
                <w:sz w:val="21"/>
                <w:szCs w:val="21"/>
                <w:u w:val="none"/>
                <w:lang w:val="en-US" w:eastAsia="zh-CN" w:bidi="ar"/>
              </w:rPr>
              <w:t>合</w:t>
            </w:r>
            <w:r>
              <w:rPr>
                <w:rStyle w:val="46"/>
                <w:lang w:val="en-US" w:eastAsia="zh-CN" w:bidi="ar"/>
              </w:rPr>
              <w:t xml:space="preserve"> 计</w:t>
            </w:r>
          </w:p>
        </w:tc>
        <w:tc>
          <w:tcPr>
            <w:tcW w:w="2211" w:type="dxa"/>
            <w:vAlign w:val="center"/>
          </w:tcPr>
          <w:p w14:paraId="01A35A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hAnsi="仿宋" w:cs="宋体"/>
                <w:b/>
                <w:bCs/>
                <w:spacing w:val="6"/>
                <w:sz w:val="21"/>
                <w:highlight w:val="none"/>
              </w:rPr>
            </w:pPr>
            <w:r>
              <w:rPr>
                <w:rFonts w:hint="eastAsia" w:ascii="仿宋" w:hAnsi="仿宋" w:eastAsia="仿宋" w:cs="仿宋"/>
                <w:b/>
                <w:bCs/>
                <w:i w:val="0"/>
                <w:iCs w:val="0"/>
                <w:color w:val="000000"/>
                <w:kern w:val="0"/>
                <w:sz w:val="21"/>
                <w:szCs w:val="21"/>
                <w:u w:val="none"/>
                <w:lang w:val="en-US" w:eastAsia="zh-CN" w:bidi="ar"/>
              </w:rPr>
              <w:t>100</w:t>
            </w:r>
          </w:p>
        </w:tc>
        <w:tc>
          <w:tcPr>
            <w:tcW w:w="2211" w:type="dxa"/>
            <w:vAlign w:val="center"/>
          </w:tcPr>
          <w:p w14:paraId="25D589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hAnsi="仿宋" w:eastAsia="仿宋" w:cs="宋体"/>
                <w:b/>
                <w:bCs/>
                <w:spacing w:val="6"/>
                <w:sz w:val="21"/>
                <w:highlight w:val="none"/>
                <w:lang w:val="en-US" w:eastAsia="zh-CN"/>
              </w:rPr>
            </w:pPr>
            <w:r>
              <w:rPr>
                <w:rFonts w:hint="eastAsia" w:hAnsi="仿宋" w:cs="宋体"/>
                <w:b/>
                <w:bCs/>
                <w:spacing w:val="6"/>
                <w:sz w:val="21"/>
                <w:highlight w:val="none"/>
                <w:lang w:val="en-US" w:eastAsia="zh-CN"/>
              </w:rPr>
              <w:t>80.21</w:t>
            </w:r>
          </w:p>
        </w:tc>
        <w:tc>
          <w:tcPr>
            <w:tcW w:w="2211" w:type="dxa"/>
            <w:vAlign w:val="center"/>
          </w:tcPr>
          <w:p w14:paraId="70A3D1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hAnsi="仿宋" w:cs="宋体"/>
                <w:b/>
                <w:bCs/>
                <w:spacing w:val="6"/>
                <w:sz w:val="21"/>
                <w:highlight w:val="none"/>
              </w:rPr>
            </w:pPr>
            <w:r>
              <w:rPr>
                <w:rFonts w:hint="eastAsia" w:hAnsi="仿宋" w:cs="宋体"/>
                <w:b/>
                <w:bCs/>
                <w:spacing w:val="6"/>
                <w:sz w:val="21"/>
                <w:highlight w:val="none"/>
                <w:lang w:val="en-US" w:eastAsia="zh-CN"/>
              </w:rPr>
              <w:t>80.21</w:t>
            </w:r>
            <w:r>
              <w:rPr>
                <w:rFonts w:hint="eastAsia" w:ascii="仿宋" w:hAnsi="仿宋" w:eastAsia="仿宋" w:cs="仿宋"/>
                <w:b/>
                <w:bCs/>
                <w:i w:val="0"/>
                <w:iCs w:val="0"/>
                <w:color w:val="000000"/>
                <w:kern w:val="0"/>
                <w:sz w:val="21"/>
                <w:szCs w:val="21"/>
                <w:highlight w:val="none"/>
                <w:u w:val="none"/>
                <w:lang w:val="en-US" w:eastAsia="zh-CN" w:bidi="ar"/>
              </w:rPr>
              <w:t>%</w:t>
            </w:r>
          </w:p>
        </w:tc>
      </w:tr>
    </w:tbl>
    <w:p w14:paraId="4C0FDC03">
      <w:pPr>
        <w:spacing w:line="579" w:lineRule="exact"/>
        <w:ind w:firstLine="630" w:firstLineChars="200"/>
        <w:rPr>
          <w:rFonts w:hint="eastAsia" w:hAnsi="仿宋"/>
          <w:szCs w:val="30"/>
          <w:highlight w:val="none"/>
          <w:lang w:val="en-US" w:eastAsia="zh-CN"/>
        </w:rPr>
      </w:pPr>
      <w:r>
        <w:rPr>
          <w:rFonts w:hint="eastAsia" w:hAnsi="仿宋"/>
          <w:szCs w:val="30"/>
          <w:highlight w:val="none"/>
          <w:lang w:val="en-US" w:eastAsia="zh-CN"/>
        </w:rPr>
        <w:t>整体昆明市西山区海口街道产业发展专项资金的使用与管理总体符合国家、省、市关于产业园区高质量发展的政策方向，契合《云南省开发区高质量发展行动计划》《昆明市西山区工业园区海口片区高质量跨越式发展规划报告》等文件精神，立项依据充分、程序规范。</w:t>
      </w:r>
    </w:p>
    <w:p w14:paraId="2B608F8C">
      <w:pPr>
        <w:spacing w:line="579" w:lineRule="exact"/>
        <w:ind w:firstLine="630" w:firstLineChars="200"/>
        <w:rPr>
          <w:rFonts w:hint="eastAsia" w:hAnsi="仿宋"/>
          <w:szCs w:val="30"/>
          <w:highlight w:val="none"/>
          <w:lang w:val="en-US" w:eastAsia="zh-CN"/>
        </w:rPr>
      </w:pPr>
      <w:r>
        <w:rPr>
          <w:rFonts w:hint="eastAsia" w:hAnsi="仿宋"/>
          <w:szCs w:val="30"/>
          <w:highlight w:val="none"/>
          <w:lang w:val="en-US" w:eastAsia="zh-CN"/>
        </w:rPr>
        <w:t>专项资金由昆明市西山区财政局批复，海口街道（园区）依托《云南海口产业园区管理委员会财政资金管理办法（试行）》实行财政资金集中支付、专账核算、专款专用，资金拨付手续较为完备，未发现截留、挤占、挪用等违规情形。但总体来看，园区资金管理制度仍主要依据上级文件执行，尚未结合项目实际建立更具针对性和操作性的内部管理细则，项目管理制度体系仍需完善。</w:t>
      </w:r>
    </w:p>
    <w:p w14:paraId="1B104B5C">
      <w:pPr>
        <w:spacing w:line="579" w:lineRule="exact"/>
        <w:ind w:firstLine="630" w:firstLineChars="200"/>
        <w:rPr>
          <w:rFonts w:hint="eastAsia" w:hAnsi="仿宋"/>
          <w:szCs w:val="30"/>
          <w:highlight w:val="none"/>
          <w:lang w:val="en-US" w:eastAsia="zh-CN"/>
        </w:rPr>
      </w:pPr>
      <w:r>
        <w:rPr>
          <w:rFonts w:hint="eastAsia" w:hAnsi="仿宋"/>
          <w:szCs w:val="30"/>
          <w:highlight w:val="none"/>
          <w:lang w:val="en-US" w:eastAsia="zh-CN"/>
        </w:rPr>
        <w:t>专项资金支持的污水处理厂运维、劳务派遣服务、光学片区土地征转报批等项目整体执行平稳，助力园区完善基础设施配套，保障企业生产要素供给，带动产业集聚，对提升园区营商环境和经济发展质量具有积极作用。</w:t>
      </w:r>
    </w:p>
    <w:p w14:paraId="40DE2355">
      <w:pPr>
        <w:spacing w:line="579" w:lineRule="exact"/>
        <w:ind w:firstLine="630" w:firstLineChars="200"/>
        <w:rPr>
          <w:rFonts w:hint="default" w:hAnsi="仿宋"/>
          <w:szCs w:val="30"/>
          <w:highlight w:val="none"/>
          <w:lang w:val="en-US" w:eastAsia="zh-CN"/>
        </w:rPr>
      </w:pPr>
      <w:r>
        <w:rPr>
          <w:rFonts w:hint="eastAsia" w:hAnsi="仿宋"/>
          <w:szCs w:val="30"/>
          <w:highlight w:val="none"/>
          <w:lang w:val="en-US" w:eastAsia="zh-CN"/>
        </w:rPr>
        <w:t>但在执行过程中，也存在绩效目标未细化到单项项目、预算与决算口径未分项核算、项目绩效考核反馈和应用机制不健全等问题。建议后续进一步强化专项资金全过程管理，结合项目性质细化分类标准，完善绩效目标管理和结果运用机制，提高财政资金使用效益与项目管理科学化水平。</w:t>
      </w:r>
    </w:p>
    <w:bookmarkEnd w:id="23"/>
    <w:p w14:paraId="133FBC24">
      <w:pPr>
        <w:spacing w:line="579" w:lineRule="exact"/>
        <w:ind w:firstLine="630" w:firstLineChars="200"/>
        <w:outlineLvl w:val="1"/>
        <w:rPr>
          <w:rFonts w:ascii="楷体" w:hAnsi="楷体" w:eastAsia="楷体"/>
          <w:szCs w:val="30"/>
        </w:rPr>
      </w:pPr>
      <w:bookmarkStart w:id="24" w:name="_Toc3631"/>
      <w:r>
        <w:rPr>
          <w:rFonts w:hint="eastAsia" w:ascii="楷体" w:hAnsi="楷体" w:eastAsia="楷体"/>
          <w:szCs w:val="30"/>
        </w:rPr>
        <w:t>（二）绩效目标实现情况</w:t>
      </w:r>
      <w:bookmarkEnd w:id="24"/>
    </w:p>
    <w:p w14:paraId="7B9C0D8E">
      <w:pPr>
        <w:ind w:firstLine="630"/>
        <w:rPr>
          <w:rFonts w:hint="eastAsia" w:hAnsi="仿宋"/>
          <w:szCs w:val="30"/>
          <w:highlight w:val="none"/>
        </w:rPr>
      </w:pPr>
      <w:bookmarkStart w:id="25" w:name="_Hlk525314457"/>
      <w:r>
        <w:rPr>
          <w:rFonts w:hint="eastAsia" w:hAnsi="仿宋"/>
          <w:szCs w:val="30"/>
          <w:highlight w:val="none"/>
        </w:rPr>
        <w:t>根据绩效评价结果，昆明市西山区海口街道产业发展专项资金项目产出与效益目标总体实现情况较好，但部分指标未达到预期。</w:t>
      </w:r>
    </w:p>
    <w:p w14:paraId="6A48CFAB">
      <w:pPr>
        <w:ind w:firstLine="630"/>
        <w:rPr>
          <w:rFonts w:hint="eastAsia" w:hAnsi="仿宋"/>
          <w:szCs w:val="30"/>
          <w:highlight w:val="none"/>
        </w:rPr>
      </w:pPr>
      <w:r>
        <w:rPr>
          <w:rFonts w:hint="eastAsia" w:hAnsi="仿宋"/>
          <w:szCs w:val="30"/>
          <w:highlight w:val="none"/>
        </w:rPr>
        <w:t>从产出及效益指标来看，共设定1</w:t>
      </w:r>
      <w:r>
        <w:rPr>
          <w:rFonts w:hint="eastAsia" w:hAnsi="仿宋"/>
          <w:szCs w:val="30"/>
          <w:highlight w:val="none"/>
          <w:lang w:val="en-US" w:eastAsia="zh-CN"/>
        </w:rPr>
        <w:t>7</w:t>
      </w:r>
      <w:r>
        <w:rPr>
          <w:rFonts w:hint="eastAsia" w:hAnsi="仿宋"/>
          <w:szCs w:val="30"/>
          <w:highlight w:val="none"/>
        </w:rPr>
        <w:t>项具体绩效指标，其中7项完成，完成比例为</w:t>
      </w:r>
      <w:r>
        <w:rPr>
          <w:rFonts w:hint="eastAsia" w:hAnsi="仿宋"/>
          <w:szCs w:val="30"/>
          <w:highlight w:val="none"/>
          <w:lang w:val="en-US" w:eastAsia="zh-CN"/>
        </w:rPr>
        <w:t>64.71</w:t>
      </w:r>
      <w:r>
        <w:rPr>
          <w:rFonts w:hint="eastAsia" w:hAnsi="仿宋"/>
          <w:szCs w:val="30"/>
          <w:highlight w:val="none"/>
        </w:rPr>
        <w:t>%</w:t>
      </w:r>
      <w:r>
        <w:rPr>
          <w:rFonts w:hint="eastAsia" w:hAnsi="仿宋"/>
          <w:szCs w:val="30"/>
          <w:highlight w:val="none"/>
          <w:lang w:eastAsia="zh-CN"/>
        </w:rPr>
        <w:t>；</w:t>
      </w:r>
      <w:r>
        <w:rPr>
          <w:rFonts w:hint="eastAsia" w:hAnsi="仿宋"/>
          <w:szCs w:val="30"/>
          <w:highlight w:val="none"/>
          <w:lang w:val="en-US" w:eastAsia="zh-CN"/>
        </w:rPr>
        <w:t>6</w:t>
      </w:r>
      <w:r>
        <w:rPr>
          <w:rFonts w:hint="eastAsia" w:hAnsi="仿宋"/>
          <w:szCs w:val="30"/>
          <w:highlight w:val="none"/>
        </w:rPr>
        <w:t>项部分完成，部分完成率为</w:t>
      </w:r>
      <w:r>
        <w:rPr>
          <w:rFonts w:hint="eastAsia" w:hAnsi="仿宋"/>
          <w:szCs w:val="30"/>
          <w:highlight w:val="none"/>
          <w:lang w:val="en-US" w:eastAsia="zh-CN"/>
        </w:rPr>
        <w:t>35.29</w:t>
      </w:r>
      <w:r>
        <w:rPr>
          <w:rFonts w:hint="eastAsia" w:hAnsi="仿宋"/>
          <w:szCs w:val="30"/>
          <w:highlight w:val="none"/>
        </w:rPr>
        <w:t>%。</w:t>
      </w:r>
    </w:p>
    <w:p w14:paraId="5C3871D3">
      <w:pPr>
        <w:ind w:firstLine="630"/>
        <w:rPr>
          <w:rFonts w:hint="eastAsia" w:hAnsi="仿宋"/>
          <w:szCs w:val="30"/>
          <w:highlight w:val="none"/>
        </w:rPr>
      </w:pPr>
      <w:r>
        <w:rPr>
          <w:rFonts w:hint="eastAsia" w:hAnsi="仿宋"/>
          <w:szCs w:val="30"/>
          <w:highlight w:val="none"/>
        </w:rPr>
        <w:t>其中，产出类指标中，一般公共预算收入、规模以上工业产值指标完成较好。</w:t>
      </w:r>
    </w:p>
    <w:p w14:paraId="6F508073">
      <w:pPr>
        <w:ind w:firstLine="630"/>
        <w:rPr>
          <w:rFonts w:hint="eastAsia" w:hAnsi="仿宋"/>
          <w:szCs w:val="30"/>
          <w:highlight w:val="none"/>
        </w:rPr>
      </w:pPr>
      <w:r>
        <w:rPr>
          <w:rFonts w:hint="eastAsia" w:hAnsi="仿宋"/>
          <w:szCs w:val="30"/>
          <w:highlight w:val="none"/>
        </w:rPr>
        <w:t>效益类指标中，经济效益总体良好，“规模以上固定资产投资”指标偏低，仅完成年度目标的26.33%，</w:t>
      </w:r>
      <w:r>
        <w:rPr>
          <w:rFonts w:hint="eastAsia" w:hAnsi="仿宋"/>
          <w:szCs w:val="30"/>
          <w:highlight w:val="none"/>
          <w:lang w:val="en-US" w:eastAsia="zh-CN"/>
        </w:rPr>
        <w:t>完成程度低</w:t>
      </w:r>
      <w:r>
        <w:rPr>
          <w:rFonts w:hint="eastAsia" w:hAnsi="仿宋"/>
          <w:szCs w:val="30"/>
          <w:highlight w:val="none"/>
        </w:rPr>
        <w:t>，部分实现绩效目标；社会效益和满意度指标完成率较高，园区企业及街道满意度均达到100%。各指标完成情况详见下表：</w:t>
      </w:r>
    </w:p>
    <w:p w14:paraId="774FA9DC">
      <w:pPr>
        <w:pStyle w:val="2"/>
        <w:rPr>
          <w:rFonts w:hint="eastAsia" w:hAnsi="仿宋" w:eastAsia="黑体"/>
          <w:szCs w:val="30"/>
          <w:highlight w:val="none"/>
          <w:lang w:val="en-US" w:eastAsia="zh-CN"/>
        </w:rPr>
      </w:pPr>
    </w:p>
    <w:p w14:paraId="6FE6D10C">
      <w:pPr>
        <w:rPr>
          <w:rFonts w:hint="eastAsia" w:hAnsi="仿宋"/>
          <w:szCs w:val="30"/>
          <w:highlight w:val="none"/>
        </w:rPr>
      </w:pPr>
    </w:p>
    <w:p w14:paraId="67A6A4D4">
      <w:pPr>
        <w:pStyle w:val="2"/>
        <w:rPr>
          <w:rFonts w:hint="eastAsia" w:hAnsi="仿宋"/>
          <w:szCs w:val="30"/>
          <w:highlight w:val="none"/>
        </w:rPr>
      </w:pPr>
    </w:p>
    <w:p w14:paraId="034DE0AB">
      <w:pPr>
        <w:rPr>
          <w:rFonts w:hint="eastAsia" w:hAnsi="仿宋"/>
          <w:szCs w:val="30"/>
          <w:highlight w:val="none"/>
        </w:rPr>
      </w:pPr>
    </w:p>
    <w:p w14:paraId="25311FC1">
      <w:pPr>
        <w:pStyle w:val="2"/>
        <w:rPr>
          <w:rFonts w:hint="eastAsia"/>
        </w:rPr>
      </w:pPr>
    </w:p>
    <w:p w14:paraId="5221F556">
      <w:pPr>
        <w:rPr>
          <w:rFonts w:hint="eastAsia"/>
        </w:rPr>
      </w:pPr>
    </w:p>
    <w:p w14:paraId="610337C9">
      <w:pPr>
        <w:pStyle w:val="2"/>
        <w:rPr>
          <w:rFonts w:hint="eastAsia"/>
        </w:rPr>
      </w:pPr>
    </w:p>
    <w:p w14:paraId="47C5F0DA">
      <w:pPr>
        <w:rPr>
          <w:rFonts w:hint="eastAsia"/>
        </w:rPr>
      </w:pPr>
    </w:p>
    <w:p w14:paraId="32F2FDC8">
      <w:pPr>
        <w:pStyle w:val="2"/>
        <w:rPr>
          <w:rFonts w:hint="eastAsia"/>
        </w:rPr>
      </w:pPr>
    </w:p>
    <w:p w14:paraId="6B3A9498">
      <w:pPr>
        <w:ind w:firstLine="630"/>
        <w:jc w:val="center"/>
        <w:rPr>
          <w:rFonts w:hint="eastAsia" w:ascii="黑体" w:hAnsi="黑体" w:eastAsia="黑体" w:cs="宋体"/>
          <w:bCs/>
          <w:sz w:val="24"/>
          <w:szCs w:val="24"/>
        </w:rPr>
      </w:pPr>
      <w:r>
        <w:rPr>
          <w:rFonts w:hint="eastAsia" w:ascii="黑体" w:hAnsi="黑体" w:eastAsia="黑体" w:cs="宋体"/>
          <w:bCs/>
          <w:sz w:val="24"/>
          <w:szCs w:val="24"/>
        </w:rPr>
        <w:t>表</w:t>
      </w:r>
      <w:r>
        <w:rPr>
          <w:rFonts w:hint="eastAsia" w:ascii="黑体" w:hAnsi="黑体" w:eastAsia="黑体" w:cs="宋体"/>
          <w:bCs/>
          <w:sz w:val="24"/>
          <w:szCs w:val="24"/>
          <w:lang w:val="en-US" w:eastAsia="zh-CN"/>
        </w:rPr>
        <w:t xml:space="preserve">3 </w:t>
      </w:r>
      <w:r>
        <w:rPr>
          <w:rFonts w:hint="eastAsia" w:ascii="黑体" w:hAnsi="黑体" w:eastAsia="黑体" w:cs="宋体"/>
          <w:bCs/>
          <w:sz w:val="24"/>
          <w:szCs w:val="24"/>
        </w:rPr>
        <w:t>绩效指标完成情况表</w:t>
      </w:r>
    </w:p>
    <w:tbl>
      <w:tblPr>
        <w:tblStyle w:val="18"/>
        <w:tblW w:w="90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5"/>
        <w:gridCol w:w="732"/>
        <w:gridCol w:w="964"/>
        <w:gridCol w:w="2756"/>
        <w:gridCol w:w="645"/>
        <w:gridCol w:w="3253"/>
      </w:tblGrid>
      <w:tr w14:paraId="30688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5C7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一级指标</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54B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二级指标</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112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三级</w:t>
            </w:r>
          </w:p>
          <w:p w14:paraId="789134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指标</w:t>
            </w:r>
          </w:p>
        </w:tc>
        <w:tc>
          <w:tcPr>
            <w:tcW w:w="2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28F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指标说明</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AD2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完成情况</w:t>
            </w: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402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完成情况说明</w:t>
            </w:r>
          </w:p>
        </w:tc>
      </w:tr>
      <w:tr w14:paraId="6431D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60" w:hRule="atLeast"/>
        </w:trPr>
        <w:tc>
          <w:tcPr>
            <w:tcW w:w="705" w:type="dxa"/>
            <w:vMerge w:val="restart"/>
            <w:tcBorders>
              <w:top w:val="single" w:color="000000" w:sz="4" w:space="0"/>
              <w:left w:val="single" w:color="000000" w:sz="4" w:space="0"/>
              <w:bottom w:val="nil"/>
              <w:right w:val="single" w:color="000000" w:sz="4" w:space="0"/>
            </w:tcBorders>
            <w:shd w:val="clear" w:color="auto" w:fill="auto"/>
            <w:vAlign w:val="center"/>
          </w:tcPr>
          <w:p w14:paraId="00A7F4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决策</w:t>
            </w:r>
          </w:p>
        </w:tc>
        <w:tc>
          <w:tcPr>
            <w:tcW w:w="732" w:type="dxa"/>
            <w:vMerge w:val="restart"/>
            <w:tcBorders>
              <w:top w:val="single" w:color="000000" w:sz="4" w:space="0"/>
              <w:left w:val="single" w:color="000000" w:sz="4" w:space="0"/>
              <w:bottom w:val="nil"/>
              <w:right w:val="single" w:color="000000" w:sz="4" w:space="0"/>
            </w:tcBorders>
            <w:shd w:val="clear" w:color="auto" w:fill="auto"/>
            <w:vAlign w:val="center"/>
          </w:tcPr>
          <w:p w14:paraId="6DEAE0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项目立项</w:t>
            </w:r>
          </w:p>
        </w:tc>
        <w:tc>
          <w:tcPr>
            <w:tcW w:w="964" w:type="dxa"/>
            <w:tcBorders>
              <w:top w:val="single" w:color="000000" w:sz="4" w:space="0"/>
              <w:left w:val="single" w:color="000000" w:sz="4" w:space="0"/>
              <w:bottom w:val="nil"/>
              <w:right w:val="single" w:color="000000" w:sz="4" w:space="0"/>
            </w:tcBorders>
            <w:shd w:val="clear" w:color="auto" w:fill="auto"/>
            <w:vAlign w:val="center"/>
          </w:tcPr>
          <w:p w14:paraId="443FBC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立项</w:t>
            </w:r>
          </w:p>
          <w:p w14:paraId="752DBC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依据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充分性</w:t>
            </w:r>
          </w:p>
        </w:tc>
        <w:tc>
          <w:tcPr>
            <w:tcW w:w="2756" w:type="dxa"/>
            <w:tcBorders>
              <w:top w:val="single" w:color="000000" w:sz="4" w:space="0"/>
              <w:left w:val="single" w:color="000000" w:sz="4" w:space="0"/>
              <w:bottom w:val="nil"/>
              <w:right w:val="single" w:color="000000" w:sz="4" w:space="0"/>
            </w:tcBorders>
            <w:shd w:val="clear" w:color="auto" w:fill="auto"/>
            <w:vAlign w:val="center"/>
          </w:tcPr>
          <w:p w14:paraId="504645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评价要点：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①项目立项是否符合相关发展规划和决策；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②项目是否与部门职责密切相关；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③项目是否与部门中长期目标相匹配。</w:t>
            </w:r>
          </w:p>
        </w:tc>
        <w:tc>
          <w:tcPr>
            <w:tcW w:w="645" w:type="dxa"/>
            <w:tcBorders>
              <w:top w:val="single" w:color="000000" w:sz="4" w:space="0"/>
              <w:left w:val="single" w:color="000000" w:sz="4" w:space="0"/>
              <w:bottom w:val="nil"/>
              <w:right w:val="single" w:color="000000" w:sz="4" w:space="0"/>
            </w:tcBorders>
            <w:shd w:val="clear" w:color="auto" w:fill="auto"/>
            <w:vAlign w:val="center"/>
          </w:tcPr>
          <w:p w14:paraId="072F40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已完成</w:t>
            </w:r>
          </w:p>
        </w:tc>
        <w:tc>
          <w:tcPr>
            <w:tcW w:w="3253" w:type="dxa"/>
            <w:tcBorders>
              <w:top w:val="single" w:color="000000" w:sz="4" w:space="0"/>
              <w:left w:val="single" w:color="000000" w:sz="4" w:space="0"/>
              <w:bottom w:val="nil"/>
              <w:right w:val="single" w:color="000000" w:sz="4" w:space="0"/>
            </w:tcBorders>
            <w:shd w:val="clear" w:color="auto" w:fill="auto"/>
            <w:vAlign w:val="center"/>
          </w:tcPr>
          <w:p w14:paraId="368F50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项目符合相关部门的发展和决策，与项目实施单位或委托单位职责密切相关，与项目实施单位或委托单位中长期目标相匹配</w:t>
            </w:r>
          </w:p>
        </w:tc>
      </w:tr>
      <w:tr w14:paraId="05312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60" w:hRule="atLeast"/>
        </w:trPr>
        <w:tc>
          <w:tcPr>
            <w:tcW w:w="705" w:type="dxa"/>
            <w:vMerge w:val="continue"/>
            <w:tcBorders>
              <w:top w:val="single" w:color="000000" w:sz="4" w:space="0"/>
              <w:left w:val="single" w:color="000000" w:sz="4" w:space="0"/>
              <w:bottom w:val="nil"/>
              <w:right w:val="single" w:color="000000" w:sz="4" w:space="0"/>
            </w:tcBorders>
            <w:shd w:val="clear" w:color="auto" w:fill="auto"/>
            <w:vAlign w:val="center"/>
          </w:tcPr>
          <w:p w14:paraId="74AF1A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0"/>
                <w:szCs w:val="20"/>
                <w:u w:val="none"/>
              </w:rPr>
            </w:pPr>
          </w:p>
        </w:tc>
        <w:tc>
          <w:tcPr>
            <w:tcW w:w="732" w:type="dxa"/>
            <w:vMerge w:val="continue"/>
            <w:tcBorders>
              <w:top w:val="single" w:color="000000" w:sz="4" w:space="0"/>
              <w:left w:val="single" w:color="000000" w:sz="4" w:space="0"/>
              <w:bottom w:val="nil"/>
              <w:right w:val="single" w:color="000000" w:sz="4" w:space="0"/>
            </w:tcBorders>
            <w:shd w:val="clear" w:color="auto" w:fill="auto"/>
            <w:vAlign w:val="center"/>
          </w:tcPr>
          <w:p w14:paraId="5A3AC6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0"/>
                <w:szCs w:val="20"/>
                <w:u w:val="none"/>
              </w:rPr>
            </w:pPr>
          </w:p>
        </w:tc>
        <w:tc>
          <w:tcPr>
            <w:tcW w:w="964" w:type="dxa"/>
            <w:tcBorders>
              <w:top w:val="single" w:color="000000" w:sz="4" w:space="0"/>
              <w:left w:val="single" w:color="000000" w:sz="4" w:space="0"/>
              <w:bottom w:val="nil"/>
              <w:right w:val="single" w:color="000000" w:sz="4" w:space="0"/>
            </w:tcBorders>
            <w:shd w:val="clear" w:color="auto" w:fill="auto"/>
            <w:vAlign w:val="center"/>
          </w:tcPr>
          <w:p w14:paraId="2E8DE8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立项</w:t>
            </w:r>
          </w:p>
          <w:p w14:paraId="227E3A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程序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规范性</w:t>
            </w:r>
          </w:p>
        </w:tc>
        <w:tc>
          <w:tcPr>
            <w:tcW w:w="2756" w:type="dxa"/>
            <w:tcBorders>
              <w:top w:val="single" w:color="000000" w:sz="4" w:space="0"/>
              <w:left w:val="single" w:color="000000" w:sz="4" w:space="0"/>
              <w:bottom w:val="nil"/>
              <w:right w:val="single" w:color="000000" w:sz="4" w:space="0"/>
            </w:tcBorders>
            <w:shd w:val="clear" w:color="auto" w:fill="auto"/>
            <w:vAlign w:val="center"/>
          </w:tcPr>
          <w:p w14:paraId="3F3D09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评价要点：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①项目是否按照规定的程序申请设立；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②审批文件、材料是否符合相关要求；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③事前是否已经过必要的可行性研究，专家论证、风险评估、绩效评估、集体决策。</w:t>
            </w:r>
          </w:p>
        </w:tc>
        <w:tc>
          <w:tcPr>
            <w:tcW w:w="645" w:type="dxa"/>
            <w:tcBorders>
              <w:top w:val="single" w:color="000000" w:sz="4" w:space="0"/>
              <w:left w:val="single" w:color="000000" w:sz="4" w:space="0"/>
              <w:bottom w:val="nil"/>
              <w:right w:val="single" w:color="000000" w:sz="4" w:space="0"/>
            </w:tcBorders>
            <w:shd w:val="clear" w:color="auto" w:fill="auto"/>
            <w:vAlign w:val="center"/>
          </w:tcPr>
          <w:p w14:paraId="10D052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已完成</w:t>
            </w:r>
          </w:p>
        </w:tc>
        <w:tc>
          <w:tcPr>
            <w:tcW w:w="3253" w:type="dxa"/>
            <w:tcBorders>
              <w:top w:val="single" w:color="000000" w:sz="4" w:space="0"/>
              <w:left w:val="single" w:color="000000" w:sz="4" w:space="0"/>
              <w:bottom w:val="nil"/>
              <w:right w:val="single" w:color="000000" w:sz="4" w:space="0"/>
            </w:tcBorders>
            <w:shd w:val="clear" w:color="auto" w:fill="auto"/>
            <w:vAlign w:val="center"/>
          </w:tcPr>
          <w:p w14:paraId="4459FD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项目按照规定的程序申请设立；审批文件、材料符合相关要求；事前已经过必要的可行性研究并针对项目有专家论证、专业机构的可行性研究报告、发改批复，风险评估、绩效评估、集体决策。</w:t>
            </w:r>
          </w:p>
        </w:tc>
      </w:tr>
      <w:tr w14:paraId="23730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0" w:hRule="atLeast"/>
        </w:trPr>
        <w:tc>
          <w:tcPr>
            <w:tcW w:w="705" w:type="dxa"/>
            <w:vMerge w:val="continue"/>
            <w:tcBorders>
              <w:top w:val="single" w:color="000000" w:sz="4" w:space="0"/>
              <w:left w:val="single" w:color="000000" w:sz="4" w:space="0"/>
              <w:bottom w:val="nil"/>
              <w:right w:val="single" w:color="000000" w:sz="4" w:space="0"/>
            </w:tcBorders>
            <w:shd w:val="clear" w:color="auto" w:fill="auto"/>
            <w:vAlign w:val="center"/>
          </w:tcPr>
          <w:p w14:paraId="086238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0"/>
                <w:szCs w:val="20"/>
                <w:u w:val="none"/>
              </w:rPr>
            </w:pPr>
          </w:p>
        </w:tc>
        <w:tc>
          <w:tcPr>
            <w:tcW w:w="732" w:type="dxa"/>
            <w:vMerge w:val="restart"/>
            <w:tcBorders>
              <w:top w:val="single" w:color="000000" w:sz="4" w:space="0"/>
              <w:left w:val="single" w:color="000000" w:sz="4" w:space="0"/>
              <w:bottom w:val="nil"/>
              <w:right w:val="single" w:color="000000" w:sz="4" w:space="0"/>
            </w:tcBorders>
            <w:shd w:val="clear" w:color="auto" w:fill="auto"/>
            <w:vAlign w:val="center"/>
          </w:tcPr>
          <w:p w14:paraId="03974F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绩效目标</w:t>
            </w:r>
          </w:p>
        </w:tc>
        <w:tc>
          <w:tcPr>
            <w:tcW w:w="964" w:type="dxa"/>
            <w:tcBorders>
              <w:top w:val="single" w:color="000000" w:sz="4" w:space="0"/>
              <w:left w:val="single" w:color="000000" w:sz="4" w:space="0"/>
              <w:bottom w:val="nil"/>
              <w:right w:val="single" w:color="000000" w:sz="4" w:space="0"/>
            </w:tcBorders>
            <w:shd w:val="clear" w:color="auto" w:fill="auto"/>
            <w:vAlign w:val="center"/>
          </w:tcPr>
          <w:p w14:paraId="7C9803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绩效</w:t>
            </w:r>
          </w:p>
          <w:p w14:paraId="40A59E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合理性</w:t>
            </w:r>
          </w:p>
        </w:tc>
        <w:tc>
          <w:tcPr>
            <w:tcW w:w="2756" w:type="dxa"/>
            <w:tcBorders>
              <w:top w:val="single" w:color="000000" w:sz="4" w:space="0"/>
              <w:left w:val="single" w:color="000000" w:sz="4" w:space="0"/>
              <w:bottom w:val="nil"/>
              <w:right w:val="single" w:color="000000" w:sz="4" w:space="0"/>
            </w:tcBorders>
            <w:shd w:val="clear" w:color="auto" w:fill="auto"/>
            <w:vAlign w:val="center"/>
          </w:tcPr>
          <w:p w14:paraId="10670C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评价要点：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（如未设定预算绩效目标，也可考核其他工作任务目标）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①项目是否有绩效目标；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②项目绩效目标与实际工作内容是否具有相关性；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③项目绩效目标是否完整反映预期产出和效果；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④是否与预算确定的项目投资额或资金量相匹配。</w:t>
            </w:r>
          </w:p>
        </w:tc>
        <w:tc>
          <w:tcPr>
            <w:tcW w:w="645" w:type="dxa"/>
            <w:tcBorders>
              <w:top w:val="single" w:color="000000" w:sz="4" w:space="0"/>
              <w:left w:val="single" w:color="000000" w:sz="4" w:space="0"/>
              <w:bottom w:val="nil"/>
              <w:right w:val="single" w:color="000000" w:sz="4" w:space="0"/>
            </w:tcBorders>
            <w:shd w:val="clear" w:color="auto" w:fill="auto"/>
            <w:vAlign w:val="center"/>
          </w:tcPr>
          <w:p w14:paraId="38A86A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部分完成</w:t>
            </w:r>
          </w:p>
        </w:tc>
        <w:tc>
          <w:tcPr>
            <w:tcW w:w="3253" w:type="dxa"/>
            <w:tcBorders>
              <w:top w:val="single" w:color="000000" w:sz="4" w:space="0"/>
              <w:left w:val="single" w:color="000000" w:sz="4" w:space="0"/>
              <w:bottom w:val="nil"/>
              <w:right w:val="single" w:color="000000" w:sz="4" w:space="0"/>
            </w:tcBorders>
            <w:shd w:val="clear" w:color="auto" w:fill="auto"/>
            <w:vAlign w:val="center"/>
          </w:tcPr>
          <w:p w14:paraId="2DD0B3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有绩效目标，项目绩效目标与实际工作内容具有相关性：目前三个项目在同一份绩效考核表里，不能较好地对每一个项目进行更准确的绩效反馈，项目绩效目标反映预期产出和效果：受限于三个性质有差异的项目，使用同一个考核指标，反映预期产出和效果有限，与预算确定的项目投资额或资金量基本匹配，尚有提升空间。不符合②③</w:t>
            </w:r>
          </w:p>
        </w:tc>
      </w:tr>
      <w:tr w14:paraId="6EFBA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trPr>
        <w:tc>
          <w:tcPr>
            <w:tcW w:w="705" w:type="dxa"/>
            <w:vMerge w:val="continue"/>
            <w:tcBorders>
              <w:top w:val="single" w:color="000000" w:sz="4" w:space="0"/>
              <w:left w:val="single" w:color="000000" w:sz="4" w:space="0"/>
              <w:bottom w:val="nil"/>
              <w:right w:val="single" w:color="000000" w:sz="4" w:space="0"/>
            </w:tcBorders>
            <w:shd w:val="clear" w:color="auto" w:fill="auto"/>
            <w:vAlign w:val="center"/>
          </w:tcPr>
          <w:p w14:paraId="09B934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0"/>
                <w:szCs w:val="20"/>
                <w:u w:val="none"/>
              </w:rPr>
            </w:pPr>
          </w:p>
        </w:tc>
        <w:tc>
          <w:tcPr>
            <w:tcW w:w="732" w:type="dxa"/>
            <w:vMerge w:val="continue"/>
            <w:tcBorders>
              <w:top w:val="single" w:color="000000" w:sz="4" w:space="0"/>
              <w:left w:val="single" w:color="000000" w:sz="4" w:space="0"/>
              <w:bottom w:val="nil"/>
              <w:right w:val="single" w:color="000000" w:sz="4" w:space="0"/>
            </w:tcBorders>
            <w:shd w:val="clear" w:color="auto" w:fill="auto"/>
            <w:vAlign w:val="center"/>
          </w:tcPr>
          <w:p w14:paraId="0BB365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0"/>
                <w:szCs w:val="20"/>
                <w:u w:val="none"/>
              </w:rPr>
            </w:pPr>
          </w:p>
        </w:tc>
        <w:tc>
          <w:tcPr>
            <w:tcW w:w="964" w:type="dxa"/>
            <w:tcBorders>
              <w:top w:val="single" w:color="000000" w:sz="4" w:space="0"/>
              <w:left w:val="single" w:color="000000" w:sz="4" w:space="0"/>
              <w:bottom w:val="nil"/>
              <w:right w:val="single" w:color="000000" w:sz="4" w:space="0"/>
            </w:tcBorders>
            <w:shd w:val="clear" w:color="auto" w:fill="auto"/>
            <w:vAlign w:val="center"/>
          </w:tcPr>
          <w:p w14:paraId="62D6C6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绩效</w:t>
            </w:r>
          </w:p>
          <w:p w14:paraId="01A445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明确性</w:t>
            </w:r>
          </w:p>
        </w:tc>
        <w:tc>
          <w:tcPr>
            <w:tcW w:w="2756" w:type="dxa"/>
            <w:tcBorders>
              <w:top w:val="single" w:color="000000" w:sz="4" w:space="0"/>
              <w:left w:val="single" w:color="000000" w:sz="4" w:space="0"/>
              <w:bottom w:val="nil"/>
              <w:right w:val="single" w:color="000000" w:sz="4" w:space="0"/>
            </w:tcBorders>
            <w:shd w:val="clear" w:color="auto" w:fill="auto"/>
            <w:vAlign w:val="center"/>
          </w:tcPr>
          <w:p w14:paraId="2F940E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评价要点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①是否将项目绩效目标细化分解为具体的绩效指标；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②是否通过清晰、可衡量的指标值予以体现；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③是否与项目目标任务数或计划数相对应。</w:t>
            </w:r>
          </w:p>
        </w:tc>
        <w:tc>
          <w:tcPr>
            <w:tcW w:w="645" w:type="dxa"/>
            <w:tcBorders>
              <w:top w:val="single" w:color="000000" w:sz="4" w:space="0"/>
              <w:left w:val="single" w:color="000000" w:sz="4" w:space="0"/>
              <w:bottom w:val="nil"/>
              <w:right w:val="single" w:color="000000" w:sz="4" w:space="0"/>
            </w:tcBorders>
            <w:shd w:val="clear" w:color="auto" w:fill="auto"/>
            <w:vAlign w:val="center"/>
          </w:tcPr>
          <w:p w14:paraId="016155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部分完成</w:t>
            </w:r>
          </w:p>
        </w:tc>
        <w:tc>
          <w:tcPr>
            <w:tcW w:w="3253" w:type="dxa"/>
            <w:tcBorders>
              <w:top w:val="single" w:color="000000" w:sz="4" w:space="0"/>
              <w:left w:val="single" w:color="000000" w:sz="4" w:space="0"/>
              <w:bottom w:val="nil"/>
              <w:right w:val="single" w:color="000000" w:sz="4" w:space="0"/>
            </w:tcBorders>
            <w:shd w:val="clear" w:color="auto" w:fill="auto"/>
            <w:vAlign w:val="center"/>
          </w:tcPr>
          <w:p w14:paraId="3B8A89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绩效目标完全援引上级下达园区的发展目标及上一年度完成情况，并未根据工作计划和立项项目状况进行分项和分解。不符合③</w:t>
            </w:r>
          </w:p>
        </w:tc>
      </w:tr>
      <w:tr w14:paraId="7A720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60" w:hRule="atLeast"/>
        </w:trPr>
        <w:tc>
          <w:tcPr>
            <w:tcW w:w="705" w:type="dxa"/>
            <w:vMerge w:val="continue"/>
            <w:tcBorders>
              <w:top w:val="single" w:color="000000" w:sz="4" w:space="0"/>
              <w:left w:val="single" w:color="000000" w:sz="4" w:space="0"/>
              <w:bottom w:val="nil"/>
              <w:right w:val="single" w:color="000000" w:sz="4" w:space="0"/>
            </w:tcBorders>
            <w:shd w:val="clear" w:color="auto" w:fill="auto"/>
            <w:vAlign w:val="center"/>
          </w:tcPr>
          <w:p w14:paraId="1F212E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0"/>
                <w:szCs w:val="20"/>
                <w:u w:val="none"/>
              </w:rPr>
            </w:pPr>
          </w:p>
        </w:tc>
        <w:tc>
          <w:tcPr>
            <w:tcW w:w="7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EE5A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资金投入</w:t>
            </w:r>
          </w:p>
        </w:tc>
        <w:tc>
          <w:tcPr>
            <w:tcW w:w="964" w:type="dxa"/>
            <w:tcBorders>
              <w:top w:val="single" w:color="000000" w:sz="4" w:space="0"/>
              <w:left w:val="single" w:color="000000" w:sz="4" w:space="0"/>
              <w:bottom w:val="nil"/>
              <w:right w:val="single" w:color="000000" w:sz="4" w:space="0"/>
            </w:tcBorders>
            <w:shd w:val="clear" w:color="auto" w:fill="auto"/>
            <w:vAlign w:val="center"/>
          </w:tcPr>
          <w:p w14:paraId="5B3735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预算</w:t>
            </w:r>
          </w:p>
          <w:p w14:paraId="54A790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编制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合理性</w:t>
            </w:r>
          </w:p>
        </w:tc>
        <w:tc>
          <w:tcPr>
            <w:tcW w:w="2756" w:type="dxa"/>
            <w:tcBorders>
              <w:top w:val="single" w:color="000000" w:sz="4" w:space="0"/>
              <w:left w:val="single" w:color="000000" w:sz="4" w:space="0"/>
              <w:bottom w:val="nil"/>
              <w:right w:val="single" w:color="000000" w:sz="4" w:space="0"/>
            </w:tcBorders>
            <w:shd w:val="clear" w:color="auto" w:fill="auto"/>
            <w:vAlign w:val="center"/>
          </w:tcPr>
          <w:p w14:paraId="690C70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评价要点：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①预算编制是否经过科学论证；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②预算内容与项目内容是否匹配；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③预算额度测算依据是否充分，是否按照标准编制；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④预算确定的项目投资额或资金量是否与工作任务相匹配。</w:t>
            </w:r>
          </w:p>
        </w:tc>
        <w:tc>
          <w:tcPr>
            <w:tcW w:w="645" w:type="dxa"/>
            <w:tcBorders>
              <w:top w:val="single" w:color="000000" w:sz="4" w:space="0"/>
              <w:left w:val="single" w:color="000000" w:sz="4" w:space="0"/>
              <w:bottom w:val="nil"/>
              <w:right w:val="single" w:color="000000" w:sz="4" w:space="0"/>
            </w:tcBorders>
            <w:shd w:val="clear" w:color="auto" w:fill="auto"/>
            <w:vAlign w:val="center"/>
          </w:tcPr>
          <w:p w14:paraId="3112F4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部分完成</w:t>
            </w:r>
          </w:p>
        </w:tc>
        <w:tc>
          <w:tcPr>
            <w:tcW w:w="3253" w:type="dxa"/>
            <w:tcBorders>
              <w:top w:val="single" w:color="000000" w:sz="4" w:space="0"/>
              <w:left w:val="single" w:color="000000" w:sz="4" w:space="0"/>
              <w:bottom w:val="nil"/>
              <w:right w:val="single" w:color="000000" w:sz="4" w:space="0"/>
            </w:tcBorders>
            <w:shd w:val="clear" w:color="auto" w:fill="auto"/>
            <w:vAlign w:val="center"/>
          </w:tcPr>
          <w:p w14:paraId="746C27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预算编制经过科学论证；预算内容与项目内容匹配；预算额度测算依据充分，按照标准编制；污水处理厂运营费用预算根据设计文件及合同估算，劳务派遣费根据上年度合同完成和结转情况，以及拟用人指标和本年年度合同为基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但因未分项进行预算和决算，难以明确辨认预算和决算的项目偏差情况。不符合②</w:t>
            </w:r>
          </w:p>
        </w:tc>
      </w:tr>
      <w:tr w14:paraId="02447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3" w:hRule="atLeast"/>
        </w:trPr>
        <w:tc>
          <w:tcPr>
            <w:tcW w:w="705" w:type="dxa"/>
            <w:vMerge w:val="continue"/>
            <w:tcBorders>
              <w:top w:val="single" w:color="000000" w:sz="4" w:space="0"/>
              <w:left w:val="single" w:color="000000" w:sz="4" w:space="0"/>
              <w:bottom w:val="nil"/>
              <w:right w:val="single" w:color="000000" w:sz="4" w:space="0"/>
            </w:tcBorders>
            <w:shd w:val="clear" w:color="auto" w:fill="auto"/>
            <w:vAlign w:val="center"/>
          </w:tcPr>
          <w:p w14:paraId="2734B4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0"/>
                <w:szCs w:val="20"/>
                <w:u w:val="none"/>
              </w:rPr>
            </w:pPr>
          </w:p>
        </w:tc>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9C3C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0"/>
                <w:szCs w:val="20"/>
                <w:u w:val="none"/>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8D3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执行率</w:t>
            </w:r>
          </w:p>
        </w:tc>
        <w:tc>
          <w:tcPr>
            <w:tcW w:w="2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75C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预算执行率=（实际支出资金/实际到位资金）×100%。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实际支出资金：一定时期（本年度或项目期）内项目实际拨付的资金。</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9DD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已完成</w:t>
            </w: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099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项目实际到位资金6078759.46元，截止2024年12月31日实际支出资金6078759.46元，预算执行率=100%。</w:t>
            </w:r>
          </w:p>
        </w:tc>
      </w:tr>
      <w:tr w14:paraId="54323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2" w:hRule="atLeast"/>
        </w:trPr>
        <w:tc>
          <w:tcPr>
            <w:tcW w:w="705" w:type="dxa"/>
            <w:vMerge w:val="restart"/>
            <w:tcBorders>
              <w:top w:val="nil"/>
              <w:left w:val="single" w:color="000000" w:sz="4" w:space="0"/>
              <w:bottom w:val="nil"/>
              <w:right w:val="single" w:color="000000" w:sz="4" w:space="0"/>
            </w:tcBorders>
            <w:shd w:val="clear" w:color="auto" w:fill="auto"/>
            <w:vAlign w:val="center"/>
          </w:tcPr>
          <w:p w14:paraId="292216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项目管理</w:t>
            </w:r>
            <w:r>
              <w:rPr>
                <w:rFonts w:hint="eastAsia" w:ascii="宋体" w:hAnsi="宋体" w:eastAsia="宋体" w:cs="宋体"/>
                <w:i w:val="0"/>
                <w:iCs w:val="0"/>
                <w:color w:val="000000"/>
                <w:kern w:val="0"/>
                <w:sz w:val="20"/>
                <w:szCs w:val="20"/>
                <w:u w:val="none"/>
                <w:lang w:val="en-US" w:eastAsia="zh-CN" w:bidi="ar"/>
              </w:rPr>
              <w:br w:type="textWrapping"/>
            </w:r>
          </w:p>
        </w:tc>
        <w:tc>
          <w:tcPr>
            <w:tcW w:w="732" w:type="dxa"/>
            <w:vMerge w:val="restart"/>
            <w:tcBorders>
              <w:top w:val="nil"/>
              <w:left w:val="single" w:color="000000" w:sz="4" w:space="0"/>
              <w:bottom w:val="nil"/>
              <w:right w:val="single" w:color="000000" w:sz="4" w:space="0"/>
            </w:tcBorders>
            <w:shd w:val="clear" w:color="auto" w:fill="auto"/>
            <w:vAlign w:val="center"/>
          </w:tcPr>
          <w:p w14:paraId="30F9B2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财务管理</w:t>
            </w:r>
          </w:p>
        </w:tc>
        <w:tc>
          <w:tcPr>
            <w:tcW w:w="964" w:type="dxa"/>
            <w:tcBorders>
              <w:top w:val="single" w:color="000000" w:sz="4" w:space="0"/>
              <w:left w:val="single" w:color="000000" w:sz="4" w:space="0"/>
              <w:bottom w:val="nil"/>
              <w:right w:val="single" w:color="000000" w:sz="4" w:space="0"/>
            </w:tcBorders>
            <w:shd w:val="clear" w:color="auto" w:fill="auto"/>
            <w:vAlign w:val="center"/>
          </w:tcPr>
          <w:p w14:paraId="129B9F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财务管理制度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健全性</w:t>
            </w:r>
          </w:p>
        </w:tc>
        <w:tc>
          <w:tcPr>
            <w:tcW w:w="2756" w:type="dxa"/>
            <w:tcBorders>
              <w:top w:val="single" w:color="000000" w:sz="4" w:space="0"/>
              <w:left w:val="single" w:color="000000" w:sz="4" w:space="0"/>
              <w:bottom w:val="nil"/>
              <w:right w:val="single" w:color="000000" w:sz="4" w:space="0"/>
            </w:tcBorders>
            <w:shd w:val="clear" w:color="auto" w:fill="auto"/>
            <w:vAlign w:val="center"/>
          </w:tcPr>
          <w:p w14:paraId="0EE565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评价要点：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①是否已制定或具有相应的项目资金管理办法；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②项目资金管理办法是否符合相关财务会计制度的规定。</w:t>
            </w:r>
          </w:p>
        </w:tc>
        <w:tc>
          <w:tcPr>
            <w:tcW w:w="645" w:type="dxa"/>
            <w:tcBorders>
              <w:top w:val="single" w:color="000000" w:sz="4" w:space="0"/>
              <w:left w:val="single" w:color="000000" w:sz="4" w:space="0"/>
              <w:bottom w:val="nil"/>
              <w:right w:val="single" w:color="000000" w:sz="4" w:space="0"/>
            </w:tcBorders>
            <w:shd w:val="clear" w:color="auto" w:fill="auto"/>
            <w:vAlign w:val="center"/>
          </w:tcPr>
          <w:p w14:paraId="05EFB8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已完成</w:t>
            </w:r>
          </w:p>
        </w:tc>
        <w:tc>
          <w:tcPr>
            <w:tcW w:w="3253" w:type="dxa"/>
            <w:tcBorders>
              <w:top w:val="single" w:color="000000" w:sz="4" w:space="0"/>
              <w:left w:val="single" w:color="000000" w:sz="4" w:space="0"/>
              <w:bottom w:val="nil"/>
              <w:right w:val="single" w:color="000000" w:sz="4" w:space="0"/>
            </w:tcBorders>
            <w:shd w:val="clear" w:color="auto" w:fill="auto"/>
            <w:vAlign w:val="center"/>
          </w:tcPr>
          <w:p w14:paraId="494393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制定了相应的资金管理办法，符合财务会计制度规定。</w:t>
            </w:r>
          </w:p>
        </w:tc>
      </w:tr>
      <w:tr w14:paraId="31DFA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7" w:hRule="atLeast"/>
        </w:trPr>
        <w:tc>
          <w:tcPr>
            <w:tcW w:w="705" w:type="dxa"/>
            <w:vMerge w:val="continue"/>
            <w:tcBorders>
              <w:top w:val="nil"/>
              <w:left w:val="single" w:color="000000" w:sz="4" w:space="0"/>
              <w:bottom w:val="nil"/>
              <w:right w:val="single" w:color="000000" w:sz="4" w:space="0"/>
            </w:tcBorders>
            <w:shd w:val="clear" w:color="auto" w:fill="auto"/>
            <w:vAlign w:val="center"/>
          </w:tcPr>
          <w:p w14:paraId="219FD5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0"/>
                <w:szCs w:val="20"/>
                <w:u w:val="none"/>
              </w:rPr>
            </w:pPr>
          </w:p>
        </w:tc>
        <w:tc>
          <w:tcPr>
            <w:tcW w:w="732" w:type="dxa"/>
            <w:vMerge w:val="continue"/>
            <w:tcBorders>
              <w:top w:val="nil"/>
              <w:left w:val="single" w:color="000000" w:sz="4" w:space="0"/>
              <w:bottom w:val="nil"/>
              <w:right w:val="single" w:color="000000" w:sz="4" w:space="0"/>
            </w:tcBorders>
            <w:shd w:val="clear" w:color="auto" w:fill="auto"/>
            <w:vAlign w:val="center"/>
          </w:tcPr>
          <w:p w14:paraId="12FA2A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0"/>
                <w:szCs w:val="20"/>
                <w:u w:val="none"/>
              </w:rPr>
            </w:pPr>
          </w:p>
        </w:tc>
        <w:tc>
          <w:tcPr>
            <w:tcW w:w="964" w:type="dxa"/>
            <w:tcBorders>
              <w:top w:val="single" w:color="000000" w:sz="4" w:space="0"/>
              <w:left w:val="single" w:color="000000" w:sz="4" w:space="0"/>
              <w:bottom w:val="nil"/>
              <w:right w:val="single" w:color="000000" w:sz="4" w:space="0"/>
            </w:tcBorders>
            <w:shd w:val="clear" w:color="auto" w:fill="auto"/>
            <w:vAlign w:val="center"/>
          </w:tcPr>
          <w:p w14:paraId="63EF9E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资金</w:t>
            </w:r>
          </w:p>
          <w:p w14:paraId="5A2B29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合规性</w:t>
            </w:r>
          </w:p>
        </w:tc>
        <w:tc>
          <w:tcPr>
            <w:tcW w:w="2756" w:type="dxa"/>
            <w:tcBorders>
              <w:top w:val="single" w:color="000000" w:sz="4" w:space="0"/>
              <w:left w:val="single" w:color="000000" w:sz="4" w:space="0"/>
              <w:bottom w:val="nil"/>
              <w:right w:val="single" w:color="000000" w:sz="4" w:space="0"/>
            </w:tcBorders>
            <w:shd w:val="clear" w:color="auto" w:fill="auto"/>
            <w:vAlign w:val="center"/>
          </w:tcPr>
          <w:p w14:paraId="581588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评价要点：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①是否符合项目预算批复或合同规定的用途；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②是否存在截留、挤占、挪用、虚列支出等情况。</w:t>
            </w:r>
          </w:p>
        </w:tc>
        <w:tc>
          <w:tcPr>
            <w:tcW w:w="645" w:type="dxa"/>
            <w:tcBorders>
              <w:top w:val="single" w:color="000000" w:sz="4" w:space="0"/>
              <w:left w:val="single" w:color="000000" w:sz="4" w:space="0"/>
              <w:bottom w:val="nil"/>
              <w:right w:val="single" w:color="000000" w:sz="4" w:space="0"/>
            </w:tcBorders>
            <w:shd w:val="clear" w:color="auto" w:fill="auto"/>
            <w:vAlign w:val="center"/>
          </w:tcPr>
          <w:p w14:paraId="0817B6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已完成</w:t>
            </w:r>
          </w:p>
        </w:tc>
        <w:tc>
          <w:tcPr>
            <w:tcW w:w="3253" w:type="dxa"/>
            <w:tcBorders>
              <w:top w:val="single" w:color="000000" w:sz="4" w:space="0"/>
              <w:left w:val="single" w:color="000000" w:sz="4" w:space="0"/>
              <w:bottom w:val="nil"/>
              <w:right w:val="single" w:color="000000" w:sz="4" w:space="0"/>
            </w:tcBorders>
            <w:shd w:val="clear" w:color="auto" w:fill="auto"/>
            <w:vAlign w:val="center"/>
          </w:tcPr>
          <w:p w14:paraId="5196DA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符合项目预算批复或合同规定的用途；不存在截留、挤占、挪用、虚列支出等情况。</w:t>
            </w:r>
          </w:p>
        </w:tc>
      </w:tr>
      <w:tr w14:paraId="26BEB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705" w:type="dxa"/>
            <w:vMerge w:val="continue"/>
            <w:tcBorders>
              <w:top w:val="nil"/>
              <w:left w:val="single" w:color="000000" w:sz="4" w:space="0"/>
              <w:bottom w:val="nil"/>
              <w:right w:val="single" w:color="000000" w:sz="4" w:space="0"/>
            </w:tcBorders>
            <w:shd w:val="clear" w:color="auto" w:fill="auto"/>
            <w:vAlign w:val="center"/>
          </w:tcPr>
          <w:p w14:paraId="330235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0"/>
                <w:szCs w:val="20"/>
                <w:u w:val="none"/>
              </w:rPr>
            </w:pPr>
          </w:p>
        </w:tc>
        <w:tc>
          <w:tcPr>
            <w:tcW w:w="732" w:type="dxa"/>
            <w:vMerge w:val="continue"/>
            <w:tcBorders>
              <w:top w:val="nil"/>
              <w:left w:val="single" w:color="000000" w:sz="4" w:space="0"/>
              <w:bottom w:val="nil"/>
              <w:right w:val="single" w:color="000000" w:sz="4" w:space="0"/>
            </w:tcBorders>
            <w:shd w:val="clear" w:color="auto" w:fill="auto"/>
            <w:vAlign w:val="center"/>
          </w:tcPr>
          <w:p w14:paraId="751DA5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0"/>
                <w:szCs w:val="20"/>
                <w:u w:val="none"/>
              </w:rPr>
            </w:pPr>
          </w:p>
        </w:tc>
        <w:tc>
          <w:tcPr>
            <w:tcW w:w="964" w:type="dxa"/>
            <w:tcBorders>
              <w:top w:val="single" w:color="000000" w:sz="4" w:space="0"/>
              <w:left w:val="single" w:color="000000" w:sz="4" w:space="0"/>
              <w:bottom w:val="nil"/>
              <w:right w:val="single" w:color="000000" w:sz="4" w:space="0"/>
            </w:tcBorders>
            <w:shd w:val="clear" w:color="auto" w:fill="auto"/>
            <w:vAlign w:val="center"/>
          </w:tcPr>
          <w:p w14:paraId="7D26AE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财务</w:t>
            </w:r>
          </w:p>
          <w:p w14:paraId="70BD04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监控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有效性</w:t>
            </w:r>
          </w:p>
        </w:tc>
        <w:tc>
          <w:tcPr>
            <w:tcW w:w="2756" w:type="dxa"/>
            <w:tcBorders>
              <w:top w:val="single" w:color="000000" w:sz="4" w:space="0"/>
              <w:left w:val="single" w:color="000000" w:sz="4" w:space="0"/>
              <w:bottom w:val="nil"/>
              <w:right w:val="single" w:color="000000" w:sz="4" w:space="0"/>
            </w:tcBorders>
            <w:shd w:val="clear" w:color="auto" w:fill="auto"/>
            <w:vAlign w:val="center"/>
          </w:tcPr>
          <w:p w14:paraId="43F716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评价要点：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①资金拨付手续是否审批完整；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②是否存在违反制度和流程规定的行为。                                                            </w:t>
            </w:r>
          </w:p>
        </w:tc>
        <w:tc>
          <w:tcPr>
            <w:tcW w:w="645" w:type="dxa"/>
            <w:tcBorders>
              <w:top w:val="single" w:color="000000" w:sz="4" w:space="0"/>
              <w:left w:val="single" w:color="000000" w:sz="4" w:space="0"/>
              <w:bottom w:val="nil"/>
              <w:right w:val="single" w:color="000000" w:sz="4" w:space="0"/>
            </w:tcBorders>
            <w:shd w:val="clear" w:color="auto" w:fill="auto"/>
            <w:vAlign w:val="center"/>
          </w:tcPr>
          <w:p w14:paraId="2782C2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已完成</w:t>
            </w:r>
          </w:p>
        </w:tc>
        <w:tc>
          <w:tcPr>
            <w:tcW w:w="3253" w:type="dxa"/>
            <w:tcBorders>
              <w:top w:val="single" w:color="000000" w:sz="4" w:space="0"/>
              <w:left w:val="single" w:color="000000" w:sz="4" w:space="0"/>
              <w:bottom w:val="nil"/>
              <w:right w:val="single" w:color="000000" w:sz="4" w:space="0"/>
            </w:tcBorders>
            <w:shd w:val="clear" w:color="auto" w:fill="auto"/>
            <w:vAlign w:val="center"/>
          </w:tcPr>
          <w:p w14:paraId="6F550E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资金的拨付有完整的审批程序和手续；符合项目预算批复或合同规定的用途，不存在违反制度和流程行为，审批手续完整。</w:t>
            </w:r>
          </w:p>
        </w:tc>
      </w:tr>
      <w:tr w14:paraId="25F71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0" w:hRule="atLeast"/>
        </w:trPr>
        <w:tc>
          <w:tcPr>
            <w:tcW w:w="705" w:type="dxa"/>
            <w:vMerge w:val="continue"/>
            <w:tcBorders>
              <w:top w:val="nil"/>
              <w:left w:val="single" w:color="000000" w:sz="4" w:space="0"/>
              <w:bottom w:val="nil"/>
              <w:right w:val="single" w:color="000000" w:sz="4" w:space="0"/>
            </w:tcBorders>
            <w:shd w:val="clear" w:color="auto" w:fill="auto"/>
            <w:vAlign w:val="center"/>
          </w:tcPr>
          <w:p w14:paraId="654AAD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0"/>
                <w:szCs w:val="20"/>
                <w:u w:val="none"/>
              </w:rPr>
            </w:pPr>
          </w:p>
        </w:tc>
        <w:tc>
          <w:tcPr>
            <w:tcW w:w="732" w:type="dxa"/>
            <w:vMerge w:val="restart"/>
            <w:tcBorders>
              <w:top w:val="single" w:color="000000" w:sz="4" w:space="0"/>
              <w:left w:val="single" w:color="000000" w:sz="4" w:space="0"/>
              <w:bottom w:val="nil"/>
              <w:right w:val="single" w:color="000000" w:sz="4" w:space="0"/>
            </w:tcBorders>
            <w:shd w:val="clear" w:color="auto" w:fill="auto"/>
            <w:vAlign w:val="center"/>
          </w:tcPr>
          <w:p w14:paraId="128712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项目实施</w:t>
            </w:r>
          </w:p>
        </w:tc>
        <w:tc>
          <w:tcPr>
            <w:tcW w:w="964" w:type="dxa"/>
            <w:tcBorders>
              <w:top w:val="single" w:color="000000" w:sz="4" w:space="0"/>
              <w:left w:val="single" w:color="000000" w:sz="4" w:space="0"/>
              <w:bottom w:val="nil"/>
              <w:right w:val="single" w:color="000000" w:sz="4" w:space="0"/>
            </w:tcBorders>
            <w:shd w:val="clear" w:color="auto" w:fill="auto"/>
            <w:vAlign w:val="center"/>
          </w:tcPr>
          <w:p w14:paraId="28BB11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管理</w:t>
            </w:r>
          </w:p>
          <w:p w14:paraId="180BB4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健全性</w:t>
            </w:r>
          </w:p>
        </w:tc>
        <w:tc>
          <w:tcPr>
            <w:tcW w:w="2756" w:type="dxa"/>
            <w:tcBorders>
              <w:top w:val="single" w:color="000000" w:sz="4" w:space="0"/>
              <w:left w:val="single" w:color="000000" w:sz="4" w:space="0"/>
              <w:bottom w:val="nil"/>
              <w:right w:val="single" w:color="000000" w:sz="4" w:space="0"/>
            </w:tcBorders>
            <w:shd w:val="clear" w:color="auto" w:fill="auto"/>
            <w:vAlign w:val="center"/>
          </w:tcPr>
          <w:p w14:paraId="67B468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评价要点：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①是否已制定或具有相应的业务管理制度；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②为保障项目顺利实施采取的监管措施是否明确；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③是否存在需要完善的风险控制环节。</w:t>
            </w:r>
          </w:p>
        </w:tc>
        <w:tc>
          <w:tcPr>
            <w:tcW w:w="645" w:type="dxa"/>
            <w:tcBorders>
              <w:top w:val="single" w:color="000000" w:sz="4" w:space="0"/>
              <w:left w:val="single" w:color="000000" w:sz="4" w:space="0"/>
              <w:bottom w:val="nil"/>
              <w:right w:val="single" w:color="000000" w:sz="4" w:space="0"/>
            </w:tcBorders>
            <w:shd w:val="clear" w:color="auto" w:fill="auto"/>
            <w:vAlign w:val="center"/>
          </w:tcPr>
          <w:p w14:paraId="610EE7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未完成</w:t>
            </w:r>
          </w:p>
        </w:tc>
        <w:tc>
          <w:tcPr>
            <w:tcW w:w="3253" w:type="dxa"/>
            <w:tcBorders>
              <w:top w:val="single" w:color="000000" w:sz="4" w:space="0"/>
              <w:left w:val="single" w:color="000000" w:sz="4" w:space="0"/>
              <w:bottom w:val="nil"/>
              <w:right w:val="single" w:color="000000" w:sz="4" w:space="0"/>
            </w:tcBorders>
            <w:shd w:val="clear" w:color="auto" w:fill="auto"/>
            <w:vAlign w:val="center"/>
          </w:tcPr>
          <w:p w14:paraId="6D395B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口街道（园区）制定了“三重一大”事项集体决策制度，并且依据区政府及上级政府，省发改委对园区经济发展的系列文件、通知和细则进行工作安排。有基本的管理制度和依据，但对具体项目的管理尚欠缺项目管理制度，以及对于例行运营类项目，还可增加制度化的监控，不符合①③</w:t>
            </w:r>
          </w:p>
        </w:tc>
      </w:tr>
      <w:tr w14:paraId="61AD3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40" w:hRule="atLeast"/>
        </w:trPr>
        <w:tc>
          <w:tcPr>
            <w:tcW w:w="705" w:type="dxa"/>
            <w:vMerge w:val="continue"/>
            <w:tcBorders>
              <w:top w:val="nil"/>
              <w:left w:val="single" w:color="000000" w:sz="4" w:space="0"/>
              <w:bottom w:val="nil"/>
              <w:right w:val="single" w:color="000000" w:sz="4" w:space="0"/>
            </w:tcBorders>
            <w:shd w:val="clear" w:color="auto" w:fill="auto"/>
            <w:vAlign w:val="center"/>
          </w:tcPr>
          <w:p w14:paraId="15CD79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0"/>
                <w:szCs w:val="20"/>
                <w:u w:val="none"/>
              </w:rPr>
            </w:pPr>
          </w:p>
        </w:tc>
        <w:tc>
          <w:tcPr>
            <w:tcW w:w="732" w:type="dxa"/>
            <w:vMerge w:val="continue"/>
            <w:tcBorders>
              <w:top w:val="single" w:color="000000" w:sz="4" w:space="0"/>
              <w:left w:val="single" w:color="000000" w:sz="4" w:space="0"/>
              <w:bottom w:val="nil"/>
              <w:right w:val="single" w:color="000000" w:sz="4" w:space="0"/>
            </w:tcBorders>
            <w:shd w:val="clear" w:color="auto" w:fill="auto"/>
            <w:vAlign w:val="center"/>
          </w:tcPr>
          <w:p w14:paraId="26108A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0"/>
                <w:szCs w:val="20"/>
                <w:u w:val="none"/>
              </w:rPr>
            </w:pPr>
          </w:p>
        </w:tc>
        <w:tc>
          <w:tcPr>
            <w:tcW w:w="964" w:type="dxa"/>
            <w:tcBorders>
              <w:top w:val="single" w:color="000000" w:sz="4" w:space="0"/>
              <w:left w:val="single" w:color="000000" w:sz="4" w:space="0"/>
              <w:bottom w:val="nil"/>
              <w:right w:val="single" w:color="000000" w:sz="4" w:space="0"/>
            </w:tcBorders>
            <w:shd w:val="clear" w:color="auto" w:fill="auto"/>
            <w:vAlign w:val="center"/>
          </w:tcPr>
          <w:p w14:paraId="4E47C4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制度</w:t>
            </w:r>
          </w:p>
          <w:p w14:paraId="122ECA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有效性</w:t>
            </w:r>
            <w:r>
              <w:rPr>
                <w:rFonts w:hint="eastAsia" w:ascii="宋体" w:hAnsi="宋体" w:eastAsia="宋体" w:cs="宋体"/>
                <w:i w:val="0"/>
                <w:iCs w:val="0"/>
                <w:color w:val="000000"/>
                <w:kern w:val="0"/>
                <w:sz w:val="20"/>
                <w:szCs w:val="20"/>
                <w:u w:val="none"/>
                <w:lang w:val="en-US" w:eastAsia="zh-CN" w:bidi="ar"/>
              </w:rPr>
              <w:br w:type="textWrapping"/>
            </w:r>
          </w:p>
        </w:tc>
        <w:tc>
          <w:tcPr>
            <w:tcW w:w="2756" w:type="dxa"/>
            <w:tcBorders>
              <w:top w:val="single" w:color="000000" w:sz="4" w:space="0"/>
              <w:left w:val="single" w:color="000000" w:sz="4" w:space="0"/>
              <w:bottom w:val="nil"/>
              <w:right w:val="single" w:color="000000" w:sz="4" w:space="0"/>
            </w:tcBorders>
            <w:shd w:val="clear" w:color="auto" w:fill="auto"/>
            <w:vAlign w:val="center"/>
          </w:tcPr>
          <w:p w14:paraId="08BE96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评价要点：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①是否遵守相关法律法规和相关管理和实际管理制度规定；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②项目是否签订合同；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③项目合同书、验收报告、技术鉴定等资料是否齐全并及时归档；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④项目是否按照合同的条款得到执行。</w:t>
            </w:r>
          </w:p>
        </w:tc>
        <w:tc>
          <w:tcPr>
            <w:tcW w:w="645" w:type="dxa"/>
            <w:tcBorders>
              <w:top w:val="single" w:color="000000" w:sz="4" w:space="0"/>
              <w:left w:val="single" w:color="000000" w:sz="4" w:space="0"/>
              <w:bottom w:val="nil"/>
              <w:right w:val="single" w:color="000000" w:sz="4" w:space="0"/>
            </w:tcBorders>
            <w:shd w:val="clear" w:color="auto" w:fill="auto"/>
            <w:vAlign w:val="center"/>
          </w:tcPr>
          <w:p w14:paraId="7C7E60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已完成</w:t>
            </w:r>
          </w:p>
        </w:tc>
        <w:tc>
          <w:tcPr>
            <w:tcW w:w="3253" w:type="dxa"/>
            <w:tcBorders>
              <w:top w:val="single" w:color="000000" w:sz="4" w:space="0"/>
              <w:left w:val="single" w:color="000000" w:sz="4" w:space="0"/>
              <w:bottom w:val="nil"/>
              <w:right w:val="single" w:color="000000" w:sz="4" w:space="0"/>
            </w:tcBorders>
            <w:shd w:val="clear" w:color="auto" w:fill="auto"/>
            <w:vAlign w:val="center"/>
          </w:tcPr>
          <w:p w14:paraId="534318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项目遵守了法律法规、财务制度和规范以及上级文件和管理规范要求，所有项目均按程序签订了合同，有验收报告、技术鉴定并及时归档，项目均按照合同和委托条款得到执行</w:t>
            </w:r>
          </w:p>
        </w:tc>
      </w:tr>
      <w:tr w14:paraId="6FC4E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38" w:hRule="atLeast"/>
        </w:trPr>
        <w:tc>
          <w:tcPr>
            <w:tcW w:w="705" w:type="dxa"/>
            <w:vMerge w:val="continue"/>
            <w:tcBorders>
              <w:top w:val="nil"/>
              <w:left w:val="single" w:color="000000" w:sz="4" w:space="0"/>
              <w:bottom w:val="nil"/>
              <w:right w:val="single" w:color="000000" w:sz="4" w:space="0"/>
            </w:tcBorders>
            <w:shd w:val="clear" w:color="auto" w:fill="auto"/>
            <w:vAlign w:val="center"/>
          </w:tcPr>
          <w:p w14:paraId="46F7ED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0"/>
                <w:szCs w:val="20"/>
                <w:u w:val="none"/>
              </w:rPr>
            </w:pPr>
          </w:p>
        </w:tc>
        <w:tc>
          <w:tcPr>
            <w:tcW w:w="732" w:type="dxa"/>
            <w:vMerge w:val="continue"/>
            <w:tcBorders>
              <w:top w:val="single" w:color="000000" w:sz="4" w:space="0"/>
              <w:left w:val="single" w:color="000000" w:sz="4" w:space="0"/>
              <w:bottom w:val="nil"/>
              <w:right w:val="single" w:color="000000" w:sz="4" w:space="0"/>
            </w:tcBorders>
            <w:shd w:val="clear" w:color="auto" w:fill="auto"/>
            <w:vAlign w:val="center"/>
          </w:tcPr>
          <w:p w14:paraId="7728CE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0"/>
                <w:szCs w:val="20"/>
                <w:u w:val="none"/>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3A8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项目</w:t>
            </w:r>
          </w:p>
          <w:p w14:paraId="6F89BF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可控性</w:t>
            </w:r>
          </w:p>
        </w:tc>
        <w:tc>
          <w:tcPr>
            <w:tcW w:w="2756" w:type="dxa"/>
            <w:tcBorders>
              <w:top w:val="single" w:color="000000" w:sz="4" w:space="0"/>
              <w:left w:val="single" w:color="000000" w:sz="4" w:space="0"/>
              <w:bottom w:val="nil"/>
              <w:right w:val="single" w:color="000000" w:sz="4" w:space="0"/>
            </w:tcBorders>
            <w:shd w:val="clear" w:color="auto" w:fill="auto"/>
            <w:vAlign w:val="center"/>
          </w:tcPr>
          <w:p w14:paraId="413343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评价要点：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①是否已制定或具有相应的项目质量要求或标准；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②是否采取了相应的项目质量检查、验收等必需的控制措施或手段。</w:t>
            </w:r>
          </w:p>
        </w:tc>
        <w:tc>
          <w:tcPr>
            <w:tcW w:w="645" w:type="dxa"/>
            <w:tcBorders>
              <w:top w:val="single" w:color="000000" w:sz="4" w:space="0"/>
              <w:left w:val="single" w:color="000000" w:sz="4" w:space="0"/>
              <w:bottom w:val="nil"/>
              <w:right w:val="single" w:color="000000" w:sz="4" w:space="0"/>
            </w:tcBorders>
            <w:shd w:val="clear" w:color="auto" w:fill="auto"/>
            <w:vAlign w:val="center"/>
          </w:tcPr>
          <w:p w14:paraId="5EF69E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部分完成</w:t>
            </w: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DCA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1.污水处理厂根据合同每月出具处理结算量确认及水质检测报告，进行质量控制；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2、劳务派遣用工，有岗位和专业/学历等需求明细，根据名单、岗位花名册和到岗情况进行核对，并且明确列表及薪酬社保费用，按实际人员工作状况进行年度结算和调整。有基本的服务质量控制措施。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3、光学片区土地征转项目按照自然资源局通知组织付款，不存在质量控制管理事项。</w:t>
            </w:r>
          </w:p>
        </w:tc>
      </w:tr>
      <w:tr w14:paraId="08561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0" w:hRule="atLeast"/>
        </w:trPr>
        <w:tc>
          <w:tcPr>
            <w:tcW w:w="705" w:type="dxa"/>
            <w:vMerge w:val="restart"/>
            <w:tcBorders>
              <w:top w:val="single" w:color="000000" w:sz="4" w:space="0"/>
              <w:left w:val="single" w:color="000000" w:sz="4" w:space="0"/>
              <w:bottom w:val="nil"/>
              <w:right w:val="single" w:color="000000" w:sz="4" w:space="0"/>
            </w:tcBorders>
            <w:shd w:val="clear" w:color="auto" w:fill="auto"/>
            <w:vAlign w:val="center"/>
          </w:tcPr>
          <w:p w14:paraId="7EC24A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w:t>
            </w:r>
          </w:p>
        </w:tc>
        <w:tc>
          <w:tcPr>
            <w:tcW w:w="7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BF4C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产出数量</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1D1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协调组织一般公共预算收入</w:t>
            </w:r>
          </w:p>
        </w:tc>
        <w:tc>
          <w:tcPr>
            <w:tcW w:w="2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939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以2023年基础情况，结合上级下达指标，</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设定为完成2.54亿元</w:t>
            </w:r>
          </w:p>
        </w:tc>
        <w:tc>
          <w:tcPr>
            <w:tcW w:w="645" w:type="dxa"/>
            <w:tcBorders>
              <w:top w:val="single" w:color="000000" w:sz="4" w:space="0"/>
              <w:left w:val="single" w:color="000000" w:sz="4" w:space="0"/>
              <w:bottom w:val="nil"/>
              <w:right w:val="single" w:color="000000" w:sz="4" w:space="0"/>
            </w:tcBorders>
            <w:shd w:val="clear" w:color="auto" w:fill="auto"/>
            <w:vAlign w:val="center"/>
          </w:tcPr>
          <w:p w14:paraId="0685B0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已完成</w:t>
            </w: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055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实际完成3.802亿元，完成率149.69%</w:t>
            </w:r>
          </w:p>
        </w:tc>
      </w:tr>
      <w:tr w14:paraId="2C106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2" w:hRule="atLeast"/>
        </w:trPr>
        <w:tc>
          <w:tcPr>
            <w:tcW w:w="705" w:type="dxa"/>
            <w:vMerge w:val="continue"/>
            <w:tcBorders>
              <w:top w:val="single" w:color="000000" w:sz="4" w:space="0"/>
              <w:left w:val="single" w:color="000000" w:sz="4" w:space="0"/>
              <w:bottom w:val="nil"/>
              <w:right w:val="single" w:color="000000" w:sz="4" w:space="0"/>
            </w:tcBorders>
            <w:shd w:val="clear" w:color="auto" w:fill="auto"/>
            <w:vAlign w:val="center"/>
          </w:tcPr>
          <w:p w14:paraId="5B6D80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0"/>
                <w:szCs w:val="20"/>
                <w:u w:val="none"/>
              </w:rPr>
            </w:pPr>
          </w:p>
        </w:tc>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78D8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0"/>
                <w:szCs w:val="20"/>
                <w:u w:val="none"/>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9CB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规模以上工业总产值</w:t>
            </w:r>
          </w:p>
        </w:tc>
        <w:tc>
          <w:tcPr>
            <w:tcW w:w="2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F87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以2023年基础情况，结合上级下达指标，</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设定为完成161.90亿元</w:t>
            </w:r>
          </w:p>
        </w:tc>
        <w:tc>
          <w:tcPr>
            <w:tcW w:w="645" w:type="dxa"/>
            <w:tcBorders>
              <w:top w:val="single" w:color="000000" w:sz="4" w:space="0"/>
              <w:left w:val="single" w:color="000000" w:sz="4" w:space="0"/>
              <w:bottom w:val="nil"/>
              <w:right w:val="single" w:color="000000" w:sz="4" w:space="0"/>
            </w:tcBorders>
            <w:shd w:val="clear" w:color="auto" w:fill="auto"/>
            <w:vAlign w:val="center"/>
          </w:tcPr>
          <w:p w14:paraId="6DF8DB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已完成</w:t>
            </w: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5E8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实际完成204.33亿元，完成率126.21%</w:t>
            </w:r>
          </w:p>
        </w:tc>
      </w:tr>
      <w:tr w14:paraId="76832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7" w:hRule="atLeast"/>
        </w:trPr>
        <w:tc>
          <w:tcPr>
            <w:tcW w:w="705" w:type="dxa"/>
            <w:vMerge w:val="continue"/>
            <w:tcBorders>
              <w:top w:val="single" w:color="000000" w:sz="4" w:space="0"/>
              <w:left w:val="single" w:color="000000" w:sz="4" w:space="0"/>
              <w:bottom w:val="nil"/>
              <w:right w:val="single" w:color="000000" w:sz="4" w:space="0"/>
            </w:tcBorders>
            <w:shd w:val="clear" w:color="auto" w:fill="auto"/>
            <w:vAlign w:val="center"/>
          </w:tcPr>
          <w:p w14:paraId="3E622A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0"/>
                <w:szCs w:val="20"/>
                <w:u w:val="none"/>
              </w:rPr>
            </w:pPr>
          </w:p>
        </w:tc>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C616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0"/>
                <w:szCs w:val="20"/>
                <w:u w:val="none"/>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83A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规模以上固定资产投资</w:t>
            </w:r>
          </w:p>
        </w:tc>
        <w:tc>
          <w:tcPr>
            <w:tcW w:w="2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C8D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以2023年基础情况，结合上级下达指标，</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设定为完成14.60亿元</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1A0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部分完成</w:t>
            </w: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D1B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实际完成9.215亿，完成率63.12%</w:t>
            </w:r>
          </w:p>
        </w:tc>
      </w:tr>
      <w:tr w14:paraId="460C0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705" w:type="dxa"/>
            <w:vMerge w:val="continue"/>
            <w:tcBorders>
              <w:top w:val="single" w:color="000000" w:sz="4" w:space="0"/>
              <w:left w:val="single" w:color="000000" w:sz="4" w:space="0"/>
              <w:bottom w:val="nil"/>
              <w:right w:val="single" w:color="000000" w:sz="4" w:space="0"/>
            </w:tcBorders>
            <w:shd w:val="clear" w:color="auto" w:fill="auto"/>
            <w:vAlign w:val="center"/>
          </w:tcPr>
          <w:p w14:paraId="48AA72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0"/>
                <w:szCs w:val="20"/>
                <w:u w:val="none"/>
              </w:rPr>
            </w:pPr>
          </w:p>
        </w:tc>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1C1E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0"/>
                <w:szCs w:val="20"/>
                <w:u w:val="none"/>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261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规模以上工业主营收入</w:t>
            </w:r>
          </w:p>
        </w:tc>
        <w:tc>
          <w:tcPr>
            <w:tcW w:w="2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F86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以2023年基础情况，结合上级下达指标，</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设定为完成167.47亿元</w:t>
            </w:r>
          </w:p>
        </w:tc>
        <w:tc>
          <w:tcPr>
            <w:tcW w:w="645" w:type="dxa"/>
            <w:tcBorders>
              <w:top w:val="single" w:color="000000" w:sz="4" w:space="0"/>
              <w:left w:val="single" w:color="000000" w:sz="4" w:space="0"/>
              <w:bottom w:val="nil"/>
              <w:right w:val="single" w:color="000000" w:sz="4" w:space="0"/>
            </w:tcBorders>
            <w:shd w:val="clear" w:color="auto" w:fill="auto"/>
            <w:vAlign w:val="center"/>
          </w:tcPr>
          <w:p w14:paraId="7384D2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已完成</w:t>
            </w: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ED5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实际完成236.23亿元，完成率141.06%</w:t>
            </w:r>
          </w:p>
        </w:tc>
      </w:tr>
      <w:tr w14:paraId="092DE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705" w:type="dxa"/>
            <w:vMerge w:val="continue"/>
            <w:tcBorders>
              <w:top w:val="single" w:color="000000" w:sz="4" w:space="0"/>
              <w:left w:val="single" w:color="000000" w:sz="4" w:space="0"/>
              <w:bottom w:val="nil"/>
              <w:right w:val="single" w:color="000000" w:sz="4" w:space="0"/>
            </w:tcBorders>
            <w:shd w:val="clear" w:color="auto" w:fill="auto"/>
            <w:vAlign w:val="center"/>
          </w:tcPr>
          <w:p w14:paraId="754263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0"/>
                <w:szCs w:val="20"/>
                <w:u w:val="none"/>
              </w:rPr>
            </w:pPr>
          </w:p>
        </w:tc>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E48D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0"/>
                <w:szCs w:val="20"/>
                <w:u w:val="none"/>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730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土地</w:t>
            </w:r>
          </w:p>
          <w:p w14:paraId="0D42C9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供应</w:t>
            </w:r>
          </w:p>
        </w:tc>
        <w:tc>
          <w:tcPr>
            <w:tcW w:w="2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435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以2023年基础情况，结合上级下达指标，</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设定为完成312亩</w:t>
            </w:r>
          </w:p>
        </w:tc>
        <w:tc>
          <w:tcPr>
            <w:tcW w:w="645" w:type="dxa"/>
            <w:tcBorders>
              <w:top w:val="single" w:color="000000" w:sz="4" w:space="0"/>
              <w:left w:val="single" w:color="000000" w:sz="4" w:space="0"/>
              <w:bottom w:val="nil"/>
              <w:right w:val="single" w:color="000000" w:sz="4" w:space="0"/>
            </w:tcBorders>
            <w:shd w:val="clear" w:color="auto" w:fill="auto"/>
            <w:vAlign w:val="center"/>
          </w:tcPr>
          <w:p w14:paraId="7DBADE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已完成</w:t>
            </w: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905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园区2024年已供地总面积为680亩，其中69亩出让给中节能公司，307亩划拨给园区，304亩划拨给投资公司，完成率218%（（截止目前累计完成土地供应3173.56亩，剩余可供应的1672.44亩土地）</w:t>
            </w:r>
          </w:p>
        </w:tc>
      </w:tr>
      <w:tr w14:paraId="7578A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0" w:hRule="atLeast"/>
        </w:trPr>
        <w:tc>
          <w:tcPr>
            <w:tcW w:w="705" w:type="dxa"/>
            <w:vMerge w:val="continue"/>
            <w:tcBorders>
              <w:top w:val="single" w:color="000000" w:sz="4" w:space="0"/>
              <w:left w:val="single" w:color="000000" w:sz="4" w:space="0"/>
              <w:bottom w:val="nil"/>
              <w:right w:val="single" w:color="000000" w:sz="4" w:space="0"/>
            </w:tcBorders>
            <w:shd w:val="clear" w:color="auto" w:fill="auto"/>
            <w:vAlign w:val="center"/>
          </w:tcPr>
          <w:p w14:paraId="0BA2BC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0"/>
                <w:szCs w:val="20"/>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A61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产出质量</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767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质量达标率</w:t>
            </w:r>
          </w:p>
        </w:tc>
        <w:tc>
          <w:tcPr>
            <w:tcW w:w="2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DCE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质量达标率=（质量达标产出数/实际产出数）×100%。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质量达标产出数：一定时期（本年度或项目期）内实际达到既定质量标准的产品或服务数量。</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85A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部分完成</w:t>
            </w: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EC9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1.污水处理厂水质评价报告水质达标率100%；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2、劳务派遣人员按照要求专业、人数和时间及时到位，并且提供了合同约定的服务，但未进行绩效评价和服务评价，质量无控制标准，扣1.33分；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3、光学片区土地征转报批项目正常推进中，暂未出现需解决问题。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此项产出质量未按照产出数量评价，按照实际项目情况进行评价</w:t>
            </w:r>
          </w:p>
        </w:tc>
      </w:tr>
      <w:tr w14:paraId="3C214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705" w:type="dxa"/>
            <w:vMerge w:val="restart"/>
            <w:tcBorders>
              <w:top w:val="single" w:color="000000" w:sz="4" w:space="0"/>
              <w:left w:val="single" w:color="000000" w:sz="4" w:space="0"/>
              <w:bottom w:val="nil"/>
              <w:right w:val="single" w:color="000000" w:sz="4" w:space="0"/>
            </w:tcBorders>
            <w:shd w:val="clear" w:color="auto" w:fill="auto"/>
            <w:vAlign w:val="center"/>
          </w:tcPr>
          <w:p w14:paraId="713B99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0"/>
                <w:szCs w:val="20"/>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BEF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产出时效</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AC1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完成及时性</w:t>
            </w:r>
          </w:p>
        </w:tc>
        <w:tc>
          <w:tcPr>
            <w:tcW w:w="2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1DE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完成及时率=（计划完成天数-实际完成天数）/计划完成天数×100%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实际完成时间：项目实施单位完成该项目实际所耗用的时间，计划完成时间：按照项目实施计划或相关规定完成该项目所需的时间。</w:t>
            </w:r>
          </w:p>
        </w:tc>
        <w:tc>
          <w:tcPr>
            <w:tcW w:w="645" w:type="dxa"/>
            <w:tcBorders>
              <w:top w:val="single" w:color="000000" w:sz="4" w:space="0"/>
              <w:left w:val="single" w:color="000000" w:sz="4" w:space="0"/>
              <w:bottom w:val="nil"/>
              <w:right w:val="single" w:color="000000" w:sz="4" w:space="0"/>
            </w:tcBorders>
            <w:shd w:val="clear" w:color="auto" w:fill="auto"/>
            <w:vAlign w:val="center"/>
          </w:tcPr>
          <w:p w14:paraId="357B21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已完成</w:t>
            </w: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246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1.污水处理厂水质评价报告和处理量核对工作，按照合同约定时间每月评价，每季度核对，及时完成，但费用未能按时支付。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2、劳务派遣人员按照要求专业、人数和时间及时到位，并且提供了合同约定的服务；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3、光学片区土地征转报批项目正常推进中，暂未出现需解决问题。</w:t>
            </w:r>
          </w:p>
        </w:tc>
      </w:tr>
      <w:tr w14:paraId="666F1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705" w:type="dxa"/>
            <w:vMerge w:val="continue"/>
            <w:tcBorders>
              <w:top w:val="single" w:color="000000" w:sz="4" w:space="0"/>
              <w:left w:val="single" w:color="000000" w:sz="4" w:space="0"/>
              <w:bottom w:val="nil"/>
              <w:right w:val="single" w:color="000000" w:sz="4" w:space="0"/>
            </w:tcBorders>
            <w:shd w:val="clear" w:color="auto" w:fill="auto"/>
            <w:vAlign w:val="center"/>
          </w:tcPr>
          <w:p w14:paraId="21EE6E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0"/>
                <w:szCs w:val="20"/>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808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产出成本</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4CA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成本节约率</w:t>
            </w:r>
          </w:p>
        </w:tc>
        <w:tc>
          <w:tcPr>
            <w:tcW w:w="2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856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成本节约率=[（计划成本-实际成本）/计划成本]×100%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实际成本：项目实施单位如期、保质、保量完成既定工作目标实际所耗费的支出。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计划成本：项目实施单位为完成工作目标计划安排的支出，一般以项目预算为参考。</w:t>
            </w:r>
          </w:p>
        </w:tc>
        <w:tc>
          <w:tcPr>
            <w:tcW w:w="645" w:type="dxa"/>
            <w:tcBorders>
              <w:top w:val="single" w:color="000000" w:sz="4" w:space="0"/>
              <w:left w:val="single" w:color="000000" w:sz="4" w:space="0"/>
              <w:bottom w:val="nil"/>
              <w:right w:val="single" w:color="000000" w:sz="4" w:space="0"/>
            </w:tcBorders>
            <w:shd w:val="clear" w:color="auto" w:fill="auto"/>
            <w:vAlign w:val="center"/>
          </w:tcPr>
          <w:p w14:paraId="2727AD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已完成</w:t>
            </w: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B2B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三个项目合计计划专项资金成本为6078759.46元，实际支出6078759.46元，其他部分以自有资金补足和支付。</w:t>
            </w:r>
          </w:p>
        </w:tc>
      </w:tr>
      <w:tr w14:paraId="111A7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B1BA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效益</w:t>
            </w:r>
          </w:p>
        </w:tc>
        <w:tc>
          <w:tcPr>
            <w:tcW w:w="732" w:type="dxa"/>
            <w:vMerge w:val="restart"/>
            <w:tcBorders>
              <w:top w:val="single" w:color="000000" w:sz="4" w:space="0"/>
              <w:left w:val="single" w:color="000000" w:sz="4" w:space="0"/>
              <w:bottom w:val="nil"/>
              <w:right w:val="single" w:color="000000" w:sz="4" w:space="0"/>
            </w:tcBorders>
            <w:shd w:val="clear" w:color="auto" w:fill="auto"/>
            <w:vAlign w:val="center"/>
          </w:tcPr>
          <w:p w14:paraId="522C93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经济效益</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D6F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协调组织一般公共预算收入</w:t>
            </w:r>
          </w:p>
        </w:tc>
        <w:tc>
          <w:tcPr>
            <w:tcW w:w="2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5F8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根据年度经济任务指标设定完成3.02亿元为目标</w:t>
            </w:r>
          </w:p>
        </w:tc>
        <w:tc>
          <w:tcPr>
            <w:tcW w:w="645" w:type="dxa"/>
            <w:tcBorders>
              <w:top w:val="single" w:color="000000" w:sz="4" w:space="0"/>
              <w:left w:val="single" w:color="000000" w:sz="4" w:space="0"/>
              <w:bottom w:val="nil"/>
              <w:right w:val="single" w:color="000000" w:sz="4" w:space="0"/>
            </w:tcBorders>
            <w:shd w:val="clear" w:color="auto" w:fill="auto"/>
            <w:vAlign w:val="center"/>
          </w:tcPr>
          <w:p w14:paraId="1C92FD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已完成</w:t>
            </w: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5D5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实际完成3.802亿元，完成率125.89%</w:t>
            </w:r>
          </w:p>
        </w:tc>
      </w:tr>
      <w:tr w14:paraId="60CC0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1D25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0"/>
                <w:szCs w:val="20"/>
                <w:u w:val="none"/>
              </w:rPr>
            </w:pPr>
          </w:p>
        </w:tc>
        <w:tc>
          <w:tcPr>
            <w:tcW w:w="732" w:type="dxa"/>
            <w:vMerge w:val="continue"/>
            <w:tcBorders>
              <w:top w:val="single" w:color="000000" w:sz="4" w:space="0"/>
              <w:left w:val="single" w:color="000000" w:sz="4" w:space="0"/>
              <w:bottom w:val="nil"/>
              <w:right w:val="single" w:color="000000" w:sz="4" w:space="0"/>
            </w:tcBorders>
            <w:shd w:val="clear" w:color="auto" w:fill="auto"/>
            <w:vAlign w:val="center"/>
          </w:tcPr>
          <w:p w14:paraId="7D1099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0"/>
                <w:szCs w:val="20"/>
                <w:u w:val="none"/>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61A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规模以上工业总产值</w:t>
            </w:r>
          </w:p>
        </w:tc>
        <w:tc>
          <w:tcPr>
            <w:tcW w:w="2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BBB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根据年度经济任务指标设定完成220亿元为目标</w:t>
            </w:r>
          </w:p>
        </w:tc>
        <w:tc>
          <w:tcPr>
            <w:tcW w:w="645" w:type="dxa"/>
            <w:tcBorders>
              <w:top w:val="single" w:color="000000" w:sz="4" w:space="0"/>
              <w:left w:val="single" w:color="000000" w:sz="4" w:space="0"/>
              <w:bottom w:val="nil"/>
              <w:right w:val="single" w:color="000000" w:sz="4" w:space="0"/>
            </w:tcBorders>
            <w:shd w:val="clear" w:color="auto" w:fill="auto"/>
            <w:vAlign w:val="center"/>
          </w:tcPr>
          <w:p w14:paraId="3A964D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已完成</w:t>
            </w: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1E9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实际完成204.33亿元，完成率92.88%</w:t>
            </w:r>
          </w:p>
        </w:tc>
      </w:tr>
      <w:tr w14:paraId="6B78F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DFA9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0"/>
                <w:szCs w:val="20"/>
                <w:u w:val="none"/>
              </w:rPr>
            </w:pPr>
          </w:p>
        </w:tc>
        <w:tc>
          <w:tcPr>
            <w:tcW w:w="732" w:type="dxa"/>
            <w:vMerge w:val="continue"/>
            <w:tcBorders>
              <w:top w:val="single" w:color="000000" w:sz="4" w:space="0"/>
              <w:left w:val="single" w:color="000000" w:sz="4" w:space="0"/>
              <w:bottom w:val="nil"/>
              <w:right w:val="single" w:color="000000" w:sz="4" w:space="0"/>
            </w:tcBorders>
            <w:shd w:val="clear" w:color="auto" w:fill="auto"/>
            <w:vAlign w:val="center"/>
          </w:tcPr>
          <w:p w14:paraId="47707C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0"/>
                <w:szCs w:val="20"/>
                <w:u w:val="none"/>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F41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规模以上固定资产投资</w:t>
            </w:r>
          </w:p>
        </w:tc>
        <w:tc>
          <w:tcPr>
            <w:tcW w:w="2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EA3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根据年度经济任务指标设定完成35亿元为目标</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7D1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部分完成</w:t>
            </w: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1BB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实际完成9.215亿，完成率26.33%</w:t>
            </w:r>
          </w:p>
        </w:tc>
      </w:tr>
      <w:tr w14:paraId="7B715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5657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0"/>
                <w:szCs w:val="20"/>
                <w:u w:val="none"/>
              </w:rPr>
            </w:pPr>
          </w:p>
        </w:tc>
        <w:tc>
          <w:tcPr>
            <w:tcW w:w="732" w:type="dxa"/>
            <w:vMerge w:val="continue"/>
            <w:tcBorders>
              <w:top w:val="single" w:color="000000" w:sz="4" w:space="0"/>
              <w:left w:val="single" w:color="000000" w:sz="4" w:space="0"/>
              <w:bottom w:val="nil"/>
              <w:right w:val="single" w:color="000000" w:sz="4" w:space="0"/>
            </w:tcBorders>
            <w:shd w:val="clear" w:color="auto" w:fill="auto"/>
            <w:vAlign w:val="center"/>
          </w:tcPr>
          <w:p w14:paraId="02E5C8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0"/>
                <w:szCs w:val="20"/>
                <w:u w:val="none"/>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991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规模以上工业主营收入</w:t>
            </w:r>
          </w:p>
        </w:tc>
        <w:tc>
          <w:tcPr>
            <w:tcW w:w="2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029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根据年度经济任务指标设定完成236亿元为目标</w:t>
            </w:r>
          </w:p>
        </w:tc>
        <w:tc>
          <w:tcPr>
            <w:tcW w:w="645" w:type="dxa"/>
            <w:tcBorders>
              <w:top w:val="single" w:color="000000" w:sz="4" w:space="0"/>
              <w:left w:val="single" w:color="000000" w:sz="4" w:space="0"/>
              <w:bottom w:val="nil"/>
              <w:right w:val="single" w:color="000000" w:sz="4" w:space="0"/>
            </w:tcBorders>
            <w:shd w:val="clear" w:color="auto" w:fill="auto"/>
            <w:vAlign w:val="center"/>
          </w:tcPr>
          <w:p w14:paraId="48725D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已完成</w:t>
            </w: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B12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实际完成236.23亿元，完成率 100%</w:t>
            </w:r>
          </w:p>
        </w:tc>
      </w:tr>
      <w:tr w14:paraId="3405C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04EE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0"/>
                <w:szCs w:val="20"/>
                <w:u w:val="none"/>
              </w:rPr>
            </w:pPr>
          </w:p>
        </w:tc>
        <w:tc>
          <w:tcPr>
            <w:tcW w:w="732" w:type="dxa"/>
            <w:vMerge w:val="restart"/>
            <w:tcBorders>
              <w:top w:val="single" w:color="000000" w:sz="4" w:space="0"/>
              <w:left w:val="single" w:color="000000" w:sz="4" w:space="0"/>
              <w:bottom w:val="nil"/>
              <w:right w:val="single" w:color="000000" w:sz="4" w:space="0"/>
            </w:tcBorders>
            <w:shd w:val="clear" w:color="auto" w:fill="auto"/>
            <w:vAlign w:val="center"/>
          </w:tcPr>
          <w:p w14:paraId="6F169C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9FF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每年引进项目</w:t>
            </w:r>
          </w:p>
        </w:tc>
        <w:tc>
          <w:tcPr>
            <w:tcW w:w="2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D77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根据年度经济任务指标设定不少于30—40个</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67A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部分完成</w:t>
            </w: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6C1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2024年新签约项目21个，完成率70.00%</w:t>
            </w:r>
          </w:p>
        </w:tc>
      </w:tr>
      <w:tr w14:paraId="6EAFC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008E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0"/>
                <w:szCs w:val="20"/>
                <w:u w:val="none"/>
              </w:rPr>
            </w:pPr>
          </w:p>
        </w:tc>
        <w:tc>
          <w:tcPr>
            <w:tcW w:w="732" w:type="dxa"/>
            <w:vMerge w:val="continue"/>
            <w:tcBorders>
              <w:top w:val="single" w:color="000000" w:sz="4" w:space="0"/>
              <w:left w:val="single" w:color="000000" w:sz="4" w:space="0"/>
              <w:bottom w:val="nil"/>
              <w:right w:val="single" w:color="000000" w:sz="4" w:space="0"/>
            </w:tcBorders>
            <w:shd w:val="clear" w:color="auto" w:fill="auto"/>
            <w:vAlign w:val="center"/>
          </w:tcPr>
          <w:p w14:paraId="1C5F3D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0"/>
                <w:szCs w:val="20"/>
                <w:u w:val="none"/>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A6B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每年形成投资</w:t>
            </w:r>
          </w:p>
        </w:tc>
        <w:tc>
          <w:tcPr>
            <w:tcW w:w="2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D1D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根据年度经济任务指标设定不少于45亿—60亿元</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210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部分完成</w:t>
            </w: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853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2024年新引进项目形成投资额23.3亿，完成率51.78%</w:t>
            </w:r>
          </w:p>
        </w:tc>
      </w:tr>
      <w:tr w14:paraId="333D2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8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0E45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0"/>
                <w:szCs w:val="20"/>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C03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可持续影响</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25A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深入推进园区体制、机制改革，提升后续服务企业和群众质量</w:t>
            </w:r>
          </w:p>
        </w:tc>
        <w:tc>
          <w:tcPr>
            <w:tcW w:w="2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0CD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社会公众或服务对象是指因该项目实施而受到影响的部门（单位）、群体或个人。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针对入驻园区企业的调查对政策和服务的知晓情况和满意度进行调查</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A1A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部分完成</w:t>
            </w: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035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1.污水处理厂项目，调查问卷有需求答卷5份（有需求且得到满足），回答能够满足需求问卷5份，此项分数100%，污水处理项目占比50%；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2、劳务派遣考察园区总体服务需求和满足效率和有效性，相关问题4个，反馈有效满足得分比95.83%；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3、土地征转为光学片区满足产能和区域扩大跟进项目，不纳入此次评价计算中。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综上合计得分比例为50+50*95.83%=97.915%</w:t>
            </w:r>
          </w:p>
        </w:tc>
      </w:tr>
      <w:tr w14:paraId="3F941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3CC9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0"/>
                <w:szCs w:val="20"/>
                <w:u w:val="none"/>
              </w:rPr>
            </w:pPr>
          </w:p>
        </w:tc>
        <w:tc>
          <w:tcPr>
            <w:tcW w:w="732" w:type="dxa"/>
            <w:vMerge w:val="restart"/>
            <w:tcBorders>
              <w:top w:val="nil"/>
              <w:left w:val="single" w:color="000000" w:sz="4" w:space="0"/>
              <w:bottom w:val="single" w:color="000000" w:sz="4" w:space="0"/>
              <w:right w:val="single" w:color="000000" w:sz="4" w:space="0"/>
            </w:tcBorders>
            <w:shd w:val="clear" w:color="auto" w:fill="auto"/>
            <w:vAlign w:val="center"/>
          </w:tcPr>
          <w:p w14:paraId="4B62F5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w:t>
            </w:r>
          </w:p>
        </w:tc>
        <w:tc>
          <w:tcPr>
            <w:tcW w:w="964" w:type="dxa"/>
            <w:tcBorders>
              <w:top w:val="single" w:color="000000" w:sz="4" w:space="0"/>
              <w:left w:val="single" w:color="000000" w:sz="4" w:space="0"/>
              <w:bottom w:val="nil"/>
              <w:right w:val="single" w:color="000000" w:sz="4" w:space="0"/>
            </w:tcBorders>
            <w:shd w:val="clear" w:color="auto" w:fill="auto"/>
            <w:vAlign w:val="center"/>
          </w:tcPr>
          <w:p w14:paraId="02626A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街道满意度</w:t>
            </w:r>
          </w:p>
        </w:tc>
        <w:tc>
          <w:tcPr>
            <w:tcW w:w="2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7EF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满意度=（有效问卷中达到“满意”的数量/有效问卷总数）×100%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社会公众或服务对象是指因该项目实施而受到影响的部门（单位）、群体或个人。一般采取社会调查的方式。</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406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已完成</w:t>
            </w: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5F5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本次回收问卷6份，其中有效问卷6份，其中对于“对园区与街道的工作配合和融合情况是否满意”回答满意问卷为6份，占比为100%</w:t>
            </w:r>
          </w:p>
        </w:tc>
      </w:tr>
      <w:tr w14:paraId="1CA40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3A45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0"/>
                <w:szCs w:val="20"/>
                <w:u w:val="none"/>
              </w:rPr>
            </w:pPr>
          </w:p>
        </w:tc>
        <w:tc>
          <w:tcPr>
            <w:tcW w:w="732" w:type="dxa"/>
            <w:vMerge w:val="continue"/>
            <w:tcBorders>
              <w:top w:val="nil"/>
              <w:left w:val="single" w:color="000000" w:sz="4" w:space="0"/>
              <w:bottom w:val="single" w:color="000000" w:sz="4" w:space="0"/>
              <w:right w:val="single" w:color="000000" w:sz="4" w:space="0"/>
            </w:tcBorders>
            <w:shd w:val="clear" w:color="auto" w:fill="auto"/>
            <w:vAlign w:val="center"/>
          </w:tcPr>
          <w:p w14:paraId="193670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0"/>
                <w:szCs w:val="20"/>
                <w:u w:val="none"/>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18C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企业满意度</w:t>
            </w:r>
          </w:p>
        </w:tc>
        <w:tc>
          <w:tcPr>
            <w:tcW w:w="2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88E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满意度=（有效问卷中达到“满意”的数量/有效问卷总数）×100%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社会公众或服务对象是指因该项目实施而受到影响的部门（单位）、群体或个人。一般采取社会调查的方式。</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95F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已完成</w:t>
            </w: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DFE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本次回收问卷12份，其中有效问卷12份，其中对于“园区整体营商环境的满意度”回答满意问卷为12份，占比为100%</w:t>
            </w:r>
          </w:p>
        </w:tc>
      </w:tr>
    </w:tbl>
    <w:p w14:paraId="36906156">
      <w:pPr>
        <w:pStyle w:val="8"/>
        <w:rPr>
          <w:rFonts w:hint="eastAsia"/>
        </w:rPr>
      </w:pPr>
    </w:p>
    <w:bookmarkEnd w:id="25"/>
    <w:p w14:paraId="3068DD97">
      <w:pPr>
        <w:spacing w:line="579" w:lineRule="exact"/>
        <w:ind w:firstLine="630" w:firstLineChars="200"/>
        <w:outlineLvl w:val="0"/>
        <w:rPr>
          <w:rFonts w:ascii="黑体" w:hAnsi="宋体" w:eastAsia="黑体" w:cs="宋体"/>
          <w:szCs w:val="30"/>
        </w:rPr>
      </w:pPr>
      <w:bookmarkStart w:id="26" w:name="_Toc1968"/>
      <w:r>
        <w:rPr>
          <w:rFonts w:hint="eastAsia" w:ascii="黑体" w:hAnsi="宋体" w:eastAsia="黑体" w:cs="宋体"/>
          <w:szCs w:val="30"/>
          <w:lang w:val="en-US" w:eastAsia="zh-CN"/>
        </w:rPr>
        <w:t>四</w:t>
      </w:r>
      <w:r>
        <w:rPr>
          <w:rFonts w:hint="eastAsia" w:ascii="黑体" w:hAnsi="宋体" w:eastAsia="黑体" w:cs="宋体"/>
          <w:szCs w:val="30"/>
        </w:rPr>
        <w:t>、绩效评价情况分析</w:t>
      </w:r>
      <w:bookmarkEnd w:id="26"/>
    </w:p>
    <w:p w14:paraId="300C8850">
      <w:pPr>
        <w:spacing w:line="579" w:lineRule="exact"/>
        <w:ind w:firstLine="630" w:firstLineChars="200"/>
        <w:outlineLvl w:val="1"/>
        <w:rPr>
          <w:rFonts w:ascii="楷体" w:hAnsi="楷体" w:eastAsia="楷体"/>
          <w:szCs w:val="30"/>
        </w:rPr>
      </w:pPr>
      <w:bookmarkStart w:id="27" w:name="_Toc12798"/>
      <w:r>
        <w:rPr>
          <w:rFonts w:hint="eastAsia" w:ascii="楷体" w:hAnsi="楷体" w:eastAsia="楷体"/>
          <w:szCs w:val="30"/>
        </w:rPr>
        <w:t>（一）</w:t>
      </w:r>
      <w:r>
        <w:rPr>
          <w:rFonts w:hint="eastAsia" w:ascii="楷体" w:hAnsi="楷体" w:eastAsia="楷体"/>
          <w:szCs w:val="30"/>
          <w:lang w:val="en-US" w:eastAsia="zh-CN"/>
        </w:rPr>
        <w:t>项目决策</w:t>
      </w:r>
      <w:r>
        <w:rPr>
          <w:rFonts w:hint="eastAsia" w:ascii="楷体" w:hAnsi="楷体" w:eastAsia="楷体"/>
          <w:szCs w:val="30"/>
        </w:rPr>
        <w:t>情况</w:t>
      </w:r>
      <w:bookmarkEnd w:id="27"/>
    </w:p>
    <w:p w14:paraId="53F3AD70">
      <w:pPr>
        <w:spacing w:line="579" w:lineRule="exact"/>
        <w:ind w:firstLine="630" w:firstLineChars="200"/>
        <w:rPr>
          <w:rFonts w:hint="eastAsia" w:hAnsi="仿宋"/>
          <w:szCs w:val="30"/>
        </w:rPr>
      </w:pPr>
      <w:r>
        <w:rPr>
          <w:rFonts w:hint="eastAsia" w:hAnsi="仿宋"/>
          <w:szCs w:val="30"/>
        </w:rPr>
        <w:t>项目决策情况包括项目立项、绩效目标和资金投入</w:t>
      </w:r>
      <w:r>
        <w:rPr>
          <w:rFonts w:hint="eastAsia" w:hAnsi="仿宋"/>
          <w:szCs w:val="30"/>
          <w:lang w:eastAsia="zh-CN"/>
        </w:rPr>
        <w:t>三个</w:t>
      </w:r>
      <w:r>
        <w:rPr>
          <w:rFonts w:hint="eastAsia" w:hAnsi="仿宋"/>
          <w:szCs w:val="30"/>
        </w:rPr>
        <w:t>方面。</w:t>
      </w:r>
    </w:p>
    <w:p w14:paraId="3E4C48DA">
      <w:pPr>
        <w:spacing w:line="579" w:lineRule="exact"/>
        <w:rPr>
          <w:rFonts w:hint="eastAsia" w:hAnsi="仿宋"/>
          <w:szCs w:val="30"/>
        </w:rPr>
      </w:pPr>
      <w:r>
        <w:rPr>
          <w:rFonts w:hint="eastAsia" w:hAnsi="仿宋"/>
          <w:szCs w:val="30"/>
        </w:rPr>
        <w:t>该项满分为15</w:t>
      </w:r>
      <w:r>
        <w:rPr>
          <w:rFonts w:hint="eastAsia" w:hAnsi="仿宋"/>
          <w:szCs w:val="30"/>
          <w:lang w:val="en-US" w:eastAsia="zh-CN"/>
        </w:rPr>
        <w:t>.00</w:t>
      </w:r>
      <w:r>
        <w:rPr>
          <w:rFonts w:hint="eastAsia" w:hAnsi="仿宋"/>
          <w:szCs w:val="30"/>
        </w:rPr>
        <w:t>分，评价得</w:t>
      </w:r>
      <w:r>
        <w:rPr>
          <w:rFonts w:hint="eastAsia" w:hAnsi="仿宋"/>
          <w:szCs w:val="30"/>
          <w:highlight w:val="none"/>
        </w:rPr>
        <w:t>分</w:t>
      </w:r>
      <w:r>
        <w:rPr>
          <w:rFonts w:hint="eastAsia" w:hAnsi="仿宋"/>
          <w:szCs w:val="30"/>
          <w:highlight w:val="none"/>
          <w:lang w:val="en-US" w:eastAsia="zh-CN"/>
        </w:rPr>
        <w:t>10.50</w:t>
      </w:r>
      <w:r>
        <w:rPr>
          <w:rFonts w:hint="eastAsia" w:hAnsi="仿宋"/>
          <w:szCs w:val="30"/>
          <w:highlight w:val="none"/>
        </w:rPr>
        <w:t>分，</w:t>
      </w:r>
      <w:r>
        <w:rPr>
          <w:rFonts w:hint="eastAsia" w:hAnsi="仿宋"/>
          <w:szCs w:val="30"/>
        </w:rPr>
        <w:t>得分率</w:t>
      </w:r>
      <w:r>
        <w:rPr>
          <w:rFonts w:hint="eastAsia" w:hAnsi="仿宋"/>
          <w:szCs w:val="30"/>
          <w:lang w:val="en-US" w:eastAsia="zh-CN"/>
        </w:rPr>
        <w:t>70.00</w:t>
      </w:r>
      <w:r>
        <w:rPr>
          <w:rFonts w:hint="eastAsia" w:hAnsi="仿宋"/>
          <w:szCs w:val="30"/>
        </w:rPr>
        <w:t>%。</w:t>
      </w:r>
    </w:p>
    <w:p w14:paraId="695AAEC5">
      <w:pPr>
        <w:spacing w:line="579" w:lineRule="exact"/>
        <w:ind w:firstLine="630" w:firstLineChars="200"/>
        <w:rPr>
          <w:rFonts w:hint="eastAsia" w:hAnsi="仿宋"/>
          <w:szCs w:val="30"/>
          <w:highlight w:val="none"/>
          <w:lang w:val="en-US" w:eastAsia="zh-CN"/>
        </w:rPr>
      </w:pPr>
      <w:r>
        <w:rPr>
          <w:rFonts w:hint="eastAsia" w:hAnsi="仿宋"/>
          <w:szCs w:val="30"/>
          <w:highlight w:val="none"/>
          <w:lang w:val="en-US" w:eastAsia="zh-CN"/>
        </w:rPr>
        <w:t>1.立项依据充分性</w:t>
      </w:r>
    </w:p>
    <w:p w14:paraId="6F858380">
      <w:pPr>
        <w:spacing w:line="579" w:lineRule="exact"/>
        <w:ind w:firstLine="630" w:firstLineChars="200"/>
        <w:rPr>
          <w:rFonts w:hint="eastAsia" w:hAnsi="仿宋"/>
          <w:szCs w:val="30"/>
          <w:highlight w:val="none"/>
          <w:lang w:val="en-US" w:eastAsia="zh-CN"/>
        </w:rPr>
      </w:pPr>
      <w:r>
        <w:rPr>
          <w:rFonts w:hint="eastAsia" w:hAnsi="仿宋"/>
          <w:szCs w:val="30"/>
          <w:highlight w:val="none"/>
          <w:lang w:val="en-US" w:eastAsia="zh-CN"/>
        </w:rPr>
        <w:t>项目能够符合相关法律法规、政策与发展规划，与实施单位职责及中长期目标一致，提交的依据材料完整，能够支撑立项合规与必要性，满分2.00分，得分2.00分。</w:t>
      </w:r>
    </w:p>
    <w:p w14:paraId="7AA8AE90">
      <w:pPr>
        <w:spacing w:line="579" w:lineRule="exact"/>
        <w:ind w:firstLine="630" w:firstLineChars="200"/>
        <w:rPr>
          <w:rFonts w:hint="eastAsia" w:hAnsi="仿宋"/>
          <w:szCs w:val="30"/>
          <w:highlight w:val="none"/>
          <w:lang w:val="en-US" w:eastAsia="zh-CN"/>
        </w:rPr>
      </w:pPr>
      <w:r>
        <w:rPr>
          <w:rFonts w:hint="eastAsia" w:hAnsi="仿宋"/>
          <w:szCs w:val="30"/>
          <w:highlight w:val="none"/>
          <w:lang w:val="en-US" w:eastAsia="zh-CN"/>
        </w:rPr>
        <w:t>2.立项程序规范性</w:t>
      </w:r>
    </w:p>
    <w:p w14:paraId="1A710468">
      <w:pPr>
        <w:spacing w:line="579" w:lineRule="exact"/>
        <w:ind w:firstLine="630" w:firstLineChars="200"/>
        <w:rPr>
          <w:rFonts w:hint="eastAsia" w:hAnsi="仿宋"/>
          <w:szCs w:val="30"/>
          <w:highlight w:val="none"/>
          <w:lang w:val="en-US" w:eastAsia="zh-CN"/>
        </w:rPr>
      </w:pPr>
      <w:r>
        <w:rPr>
          <w:rFonts w:hint="eastAsia" w:hAnsi="仿宋"/>
          <w:szCs w:val="30"/>
          <w:highlight w:val="none"/>
          <w:lang w:val="en-US" w:eastAsia="zh-CN"/>
        </w:rPr>
        <w:t>项目严格按规定程序申请设立，完成可研、专家论证与风险评估，取得发改部门批复并经集体决策同意，资料归档规范，程序完备，满分3.00分，得分3.00分。</w:t>
      </w:r>
    </w:p>
    <w:p w14:paraId="5EB72E1C">
      <w:pPr>
        <w:spacing w:line="579" w:lineRule="exact"/>
        <w:ind w:firstLine="630" w:firstLineChars="200"/>
        <w:rPr>
          <w:rFonts w:hint="eastAsia" w:hAnsi="仿宋"/>
          <w:szCs w:val="30"/>
          <w:highlight w:val="none"/>
          <w:lang w:val="en-US" w:eastAsia="zh-CN"/>
        </w:rPr>
      </w:pPr>
      <w:r>
        <w:rPr>
          <w:rFonts w:hint="eastAsia" w:hAnsi="仿宋"/>
          <w:szCs w:val="30"/>
          <w:highlight w:val="none"/>
          <w:lang w:val="en-US" w:eastAsia="zh-CN"/>
        </w:rPr>
        <w:t>本次评价所涉项目中，污水处理厂运营项目为续约事项，从可研报告及批复，到运营合同均有相应的决策支持和计提决议；劳务派遣项目亦为续约，现阶段主要依据历次合同、人员花名册与细节表单开展管理与结算，立项支持性文件尚待完善，续约程序相对简化，前一年度绩效评价已通过。征转土地项目由区一级政府统筹协调组织，立项资料相对完备，项目实施依据系服务企业扩产的现实需求，且属于符合发展政策导向的光学等相关产业。上述具体情况已在佐证材料与过程记录中予以说明，用于支撑立项程序规范性与合规性的评价结论。</w:t>
      </w:r>
    </w:p>
    <w:p w14:paraId="2E2CE7D5">
      <w:pPr>
        <w:spacing w:line="579" w:lineRule="exact"/>
        <w:ind w:firstLine="630" w:firstLineChars="200"/>
        <w:rPr>
          <w:rFonts w:hint="eastAsia" w:hAnsi="仿宋"/>
          <w:szCs w:val="30"/>
          <w:highlight w:val="none"/>
          <w:lang w:val="en-US" w:eastAsia="zh-CN"/>
        </w:rPr>
      </w:pPr>
      <w:r>
        <w:rPr>
          <w:rFonts w:hint="eastAsia" w:hAnsi="仿宋"/>
          <w:szCs w:val="30"/>
          <w:highlight w:val="none"/>
          <w:lang w:val="en-US" w:eastAsia="zh-CN"/>
        </w:rPr>
        <w:t>3.绩效目标合理性</w:t>
      </w:r>
    </w:p>
    <w:p w14:paraId="750C77F7">
      <w:pPr>
        <w:spacing w:line="579" w:lineRule="exact"/>
        <w:ind w:firstLine="630" w:firstLineChars="200"/>
        <w:rPr>
          <w:rFonts w:hint="eastAsia" w:hAnsi="仿宋"/>
          <w:szCs w:val="30"/>
          <w:highlight w:val="none"/>
          <w:lang w:val="en-US" w:eastAsia="zh-CN"/>
        </w:rPr>
      </w:pPr>
      <w:r>
        <w:rPr>
          <w:rFonts w:hint="eastAsia" w:hAnsi="仿宋"/>
          <w:szCs w:val="30"/>
          <w:highlight w:val="none"/>
          <w:lang w:val="en-US" w:eastAsia="zh-CN"/>
        </w:rPr>
        <w:t>海口街道项目已设定绩效目标，整体与产业发展专项资金和园区定位发展目的及年度工作目标相关，能够反映预期产出与效果，但受制于多项目同表管理，难以对单体项目形成更准确的绩效反馈，目标与实际工作内容的对应性不充分，且未完整呈现预期产出与效果，无法对应具体的项目投资额或资金量相匹配，满分2.00分，扣减1.50分，得分0.50分。</w:t>
      </w:r>
    </w:p>
    <w:p w14:paraId="6EB8689A">
      <w:pPr>
        <w:spacing w:line="579" w:lineRule="exact"/>
        <w:ind w:firstLine="630" w:firstLineChars="200"/>
        <w:rPr>
          <w:rFonts w:hint="eastAsia" w:hAnsi="仿宋"/>
          <w:szCs w:val="30"/>
          <w:highlight w:val="none"/>
          <w:lang w:val="en-US" w:eastAsia="zh-CN"/>
        </w:rPr>
      </w:pPr>
      <w:r>
        <w:rPr>
          <w:rFonts w:hint="eastAsia" w:hAnsi="仿宋"/>
          <w:szCs w:val="30"/>
          <w:highlight w:val="none"/>
          <w:lang w:val="en-US" w:eastAsia="zh-CN"/>
        </w:rPr>
        <w:t>本次评价所涉三个项目属性不同——污水处理厂与劳务派遣为续约事项，目标设定主要承接既有合同、可研与历年绩效基础；土地征转为政府统筹类事项，年度目标对投资形成受外部报批与要素保障进度影响较大。由于三个项目共用同一张考核表，目标口径未能按单体项目拆分至“任务清单—资金安排—关键节点”，导致反馈的针对性与可比性不足。</w:t>
      </w:r>
    </w:p>
    <w:p w14:paraId="675467E0">
      <w:pPr>
        <w:spacing w:line="579" w:lineRule="exact"/>
        <w:ind w:firstLine="630" w:firstLineChars="200"/>
        <w:rPr>
          <w:rFonts w:hint="eastAsia" w:hAnsi="仿宋"/>
          <w:szCs w:val="30"/>
          <w:highlight w:val="none"/>
          <w:lang w:val="en-US" w:eastAsia="zh-CN"/>
        </w:rPr>
      </w:pPr>
      <w:r>
        <w:rPr>
          <w:rFonts w:hint="eastAsia" w:hAnsi="仿宋"/>
          <w:szCs w:val="30"/>
          <w:highlight w:val="none"/>
          <w:lang w:val="en-US" w:eastAsia="zh-CN"/>
        </w:rPr>
        <w:t>4.绩效指标明确性</w:t>
      </w:r>
    </w:p>
    <w:p w14:paraId="42C2B584">
      <w:pPr>
        <w:spacing w:line="579" w:lineRule="exact"/>
        <w:ind w:firstLine="630" w:firstLineChars="200"/>
        <w:rPr>
          <w:rFonts w:hint="eastAsia" w:hAnsi="仿宋"/>
          <w:szCs w:val="30"/>
          <w:highlight w:val="none"/>
          <w:lang w:val="en-US" w:eastAsia="zh-CN"/>
        </w:rPr>
      </w:pPr>
      <w:r>
        <w:rPr>
          <w:rFonts w:hint="eastAsia" w:hAnsi="仿宋"/>
          <w:szCs w:val="30"/>
          <w:highlight w:val="none"/>
          <w:lang w:val="en-US" w:eastAsia="zh-CN"/>
        </w:rPr>
        <w:t>海口街道目标申报设定的指标总体清晰、可衡量，能够支撑考核与跟踪；但部分指标与项目计划数、任务数的对应性不充分影响针对性与可比性，指标未与目标任务数或计划数形成对应，部分指标缺少可衡量指标值和评价标准支撑，本项满分3.00分，扣减2.00分，得分1.00分。</w:t>
      </w:r>
    </w:p>
    <w:p w14:paraId="3F14011B">
      <w:pPr>
        <w:spacing w:line="579" w:lineRule="exact"/>
        <w:ind w:firstLine="630" w:firstLineChars="200"/>
        <w:rPr>
          <w:rFonts w:hint="eastAsia" w:hAnsi="仿宋"/>
          <w:szCs w:val="30"/>
          <w:highlight w:val="none"/>
          <w:lang w:val="en-US" w:eastAsia="zh-CN"/>
        </w:rPr>
      </w:pPr>
      <w:r>
        <w:rPr>
          <w:rFonts w:hint="eastAsia" w:hAnsi="仿宋"/>
          <w:szCs w:val="30"/>
          <w:highlight w:val="none"/>
          <w:lang w:val="en-US" w:eastAsia="zh-CN"/>
        </w:rPr>
        <w:t>5.预算编制合理性</w:t>
      </w:r>
    </w:p>
    <w:p w14:paraId="0830D4EE">
      <w:pPr>
        <w:spacing w:line="579" w:lineRule="exact"/>
        <w:ind w:firstLine="630" w:firstLineChars="200"/>
        <w:rPr>
          <w:rFonts w:hint="eastAsia" w:hAnsi="仿宋"/>
          <w:szCs w:val="30"/>
          <w:highlight w:val="none"/>
          <w:lang w:val="en-US" w:eastAsia="zh-CN"/>
        </w:rPr>
      </w:pPr>
      <w:r>
        <w:rPr>
          <w:rFonts w:hint="eastAsia" w:hAnsi="仿宋"/>
          <w:szCs w:val="30"/>
          <w:highlight w:val="none"/>
          <w:lang w:val="en-US" w:eastAsia="zh-CN"/>
        </w:rPr>
        <w:t>预算编制有一定依据，但多项目混用；编制口径规范，明细内容与项目不能一一对应，污水处理运营与劳务派遣等费用测算有据，但由于未按照独立项目设置预算，决算缺乏比对基准，偏差难以逐项对比与复盘，同时不能将具体项目与资金需求和使用量进行匹配，扣减1.00分，满分2.00分，得分1.00分。</w:t>
      </w:r>
    </w:p>
    <w:p w14:paraId="5449DC14">
      <w:pPr>
        <w:spacing w:line="579" w:lineRule="exact"/>
        <w:ind w:firstLine="630" w:firstLineChars="200"/>
        <w:rPr>
          <w:rFonts w:hint="eastAsia" w:hAnsi="仿宋"/>
          <w:szCs w:val="30"/>
          <w:highlight w:val="none"/>
          <w:lang w:val="en-US" w:eastAsia="zh-CN"/>
        </w:rPr>
      </w:pPr>
      <w:r>
        <w:rPr>
          <w:rFonts w:hint="eastAsia" w:hAnsi="仿宋"/>
          <w:szCs w:val="30"/>
          <w:highlight w:val="none"/>
          <w:lang w:val="en-US" w:eastAsia="zh-CN"/>
        </w:rPr>
        <w:t>6.预算执行率</w:t>
      </w:r>
    </w:p>
    <w:p w14:paraId="6C64A9F7">
      <w:pPr>
        <w:spacing w:line="579" w:lineRule="exact"/>
        <w:ind w:firstLine="630" w:firstLineChars="200"/>
        <w:rPr>
          <w:rFonts w:hint="default" w:hAnsi="仿宋" w:eastAsia="仿宋"/>
          <w:szCs w:val="30"/>
          <w:highlight w:val="none"/>
          <w:lang w:val="en-US" w:eastAsia="zh-CN"/>
        </w:rPr>
      </w:pPr>
      <w:r>
        <w:rPr>
          <w:rFonts w:hint="eastAsia" w:hAnsi="仿宋"/>
          <w:szCs w:val="30"/>
          <w:highlight w:val="none"/>
          <w:lang w:val="en-US" w:eastAsia="zh-CN"/>
        </w:rPr>
        <w:t>截至2024年12月31日，到位资金607.88万元，实际支出607.88万元，预算执行率100%，满分3.00分，得分为3.00分。</w:t>
      </w:r>
    </w:p>
    <w:p w14:paraId="7B28FB97">
      <w:pPr>
        <w:keepNext/>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1"/>
        <w:rPr>
          <w:rFonts w:ascii="楷体" w:hAnsi="楷体" w:eastAsia="楷体"/>
          <w:szCs w:val="30"/>
        </w:rPr>
      </w:pPr>
      <w:bookmarkStart w:id="28" w:name="_Toc21971"/>
      <w:r>
        <w:rPr>
          <w:rFonts w:hint="eastAsia" w:ascii="楷体" w:hAnsi="楷体" w:eastAsia="楷体"/>
          <w:szCs w:val="30"/>
        </w:rPr>
        <w:t>（二）</w:t>
      </w:r>
      <w:r>
        <w:rPr>
          <w:rFonts w:hint="eastAsia" w:ascii="楷体" w:hAnsi="楷体" w:eastAsia="楷体"/>
          <w:szCs w:val="30"/>
          <w:lang w:val="en-US" w:eastAsia="zh-CN"/>
        </w:rPr>
        <w:t>项目</w:t>
      </w:r>
      <w:r>
        <w:rPr>
          <w:rFonts w:hint="eastAsia" w:ascii="楷体" w:hAnsi="楷体" w:eastAsia="楷体"/>
          <w:szCs w:val="30"/>
        </w:rPr>
        <w:t>过程情况</w:t>
      </w:r>
      <w:bookmarkEnd w:id="28"/>
    </w:p>
    <w:p w14:paraId="3D95812F">
      <w:pPr>
        <w:spacing w:line="579" w:lineRule="exact"/>
        <w:ind w:firstLine="630" w:firstLineChars="200"/>
        <w:rPr>
          <w:rFonts w:hint="eastAsia" w:hAnsi="仿宋"/>
          <w:szCs w:val="30"/>
          <w:highlight w:val="none"/>
          <w:lang w:val="en-US" w:eastAsia="zh-CN"/>
        </w:rPr>
      </w:pPr>
      <w:r>
        <w:rPr>
          <w:rFonts w:hint="eastAsia" w:hAnsi="仿宋"/>
          <w:szCs w:val="30"/>
          <w:highlight w:val="none"/>
        </w:rPr>
        <w:t>过程</w:t>
      </w:r>
      <w:r>
        <w:rPr>
          <w:rFonts w:hint="eastAsia" w:hAnsi="仿宋"/>
          <w:szCs w:val="30"/>
          <w:highlight w:val="none"/>
          <w:lang w:val="en-US" w:eastAsia="zh-CN"/>
        </w:rPr>
        <w:t>情况</w:t>
      </w:r>
      <w:r>
        <w:rPr>
          <w:rFonts w:hint="eastAsia" w:hAnsi="仿宋"/>
          <w:szCs w:val="30"/>
          <w:highlight w:val="none"/>
        </w:rPr>
        <w:t>包括项目业务管理（管理制度健全性、制度执行有效性、项目质量可控性）、财务管理（管理制度健全性、资金使用合规性、财务监控有效性）方面的情况。按过程指标口径，基准分为</w:t>
      </w:r>
      <w:r>
        <w:rPr>
          <w:rFonts w:hint="eastAsia" w:hAnsi="仿宋"/>
          <w:szCs w:val="30"/>
          <w:highlight w:val="none"/>
          <w:lang w:val="en-US" w:eastAsia="zh-CN"/>
        </w:rPr>
        <w:t>25.00</w:t>
      </w:r>
      <w:r>
        <w:rPr>
          <w:rFonts w:hint="eastAsia" w:hAnsi="仿宋"/>
          <w:szCs w:val="30"/>
          <w:highlight w:val="none"/>
        </w:rPr>
        <w:t>分，实际得分</w:t>
      </w:r>
      <w:r>
        <w:rPr>
          <w:rFonts w:hint="eastAsia" w:hAnsi="仿宋"/>
          <w:szCs w:val="30"/>
          <w:highlight w:val="none"/>
          <w:lang w:val="en-US" w:eastAsia="zh-CN"/>
        </w:rPr>
        <w:t>16.50</w:t>
      </w:r>
      <w:r>
        <w:rPr>
          <w:rFonts w:hint="eastAsia" w:hAnsi="仿宋"/>
          <w:szCs w:val="30"/>
          <w:highlight w:val="none"/>
        </w:rPr>
        <w:t>分，得分率</w:t>
      </w:r>
      <w:r>
        <w:rPr>
          <w:rFonts w:hint="eastAsia" w:hAnsi="仿宋"/>
          <w:szCs w:val="30"/>
          <w:highlight w:val="none"/>
          <w:lang w:val="en-US" w:eastAsia="zh-CN"/>
        </w:rPr>
        <w:t>66.00</w:t>
      </w:r>
      <w:r>
        <w:rPr>
          <w:rFonts w:hint="eastAsia" w:hAnsi="仿宋"/>
          <w:szCs w:val="30"/>
          <w:highlight w:val="none"/>
        </w:rPr>
        <w:t>%。</w:t>
      </w:r>
    </w:p>
    <w:p w14:paraId="08767F85">
      <w:pPr>
        <w:spacing w:line="579" w:lineRule="exact"/>
        <w:ind w:firstLine="630" w:firstLineChars="200"/>
        <w:rPr>
          <w:rFonts w:hint="eastAsia" w:hAnsi="仿宋"/>
          <w:szCs w:val="30"/>
          <w:highlight w:val="none"/>
          <w:lang w:val="en-US" w:eastAsia="zh-CN"/>
        </w:rPr>
      </w:pPr>
      <w:r>
        <w:rPr>
          <w:rFonts w:hint="eastAsia" w:hAnsi="仿宋"/>
          <w:szCs w:val="30"/>
          <w:highlight w:val="none"/>
          <w:lang w:val="en-US" w:eastAsia="zh-CN"/>
        </w:rPr>
        <w:t>1.财务管理制度健全性</w:t>
      </w:r>
    </w:p>
    <w:p w14:paraId="56D7DAE3">
      <w:pPr>
        <w:spacing w:line="579" w:lineRule="exact"/>
        <w:ind w:firstLine="630" w:firstLineChars="200"/>
        <w:rPr>
          <w:rFonts w:hint="eastAsia" w:hAnsi="仿宋"/>
          <w:szCs w:val="30"/>
          <w:highlight w:val="none"/>
          <w:lang w:val="en-US" w:eastAsia="zh-CN"/>
        </w:rPr>
      </w:pPr>
      <w:r>
        <w:rPr>
          <w:rFonts w:hint="eastAsia" w:hAnsi="仿宋"/>
          <w:szCs w:val="30"/>
          <w:highlight w:val="none"/>
          <w:lang w:val="en-US" w:eastAsia="zh-CN"/>
        </w:rPr>
        <w:t>依据《云南海口产业园区管理委员会财政资金管理办法（试行）》等制度，项目资金管理办法完备，能覆盖资金拨付、报销与结算关键环节，与财务会计制度相衔接，制度层面对资金规范与安全运行形成保障，满分2.00分，得分2.00分。</w:t>
      </w:r>
    </w:p>
    <w:p w14:paraId="6E123677">
      <w:pPr>
        <w:spacing w:line="579" w:lineRule="exact"/>
        <w:ind w:firstLine="630" w:firstLineChars="200"/>
        <w:rPr>
          <w:rFonts w:hint="eastAsia" w:hAnsi="仿宋"/>
          <w:szCs w:val="30"/>
          <w:highlight w:val="none"/>
          <w:lang w:val="en-US" w:eastAsia="zh-CN"/>
        </w:rPr>
      </w:pPr>
      <w:r>
        <w:rPr>
          <w:rFonts w:hint="eastAsia" w:hAnsi="仿宋"/>
          <w:szCs w:val="30"/>
          <w:highlight w:val="none"/>
          <w:lang w:val="en-US" w:eastAsia="zh-CN"/>
        </w:rPr>
        <w:t>2.资金使用合规性</w:t>
      </w:r>
    </w:p>
    <w:p w14:paraId="773A7A30">
      <w:pPr>
        <w:spacing w:line="579" w:lineRule="exact"/>
        <w:ind w:firstLine="630" w:firstLineChars="200"/>
        <w:rPr>
          <w:rFonts w:hint="eastAsia" w:hAnsi="仿宋"/>
          <w:szCs w:val="30"/>
          <w:highlight w:val="none"/>
          <w:lang w:val="en-US" w:eastAsia="zh-CN"/>
        </w:rPr>
      </w:pPr>
      <w:r>
        <w:rPr>
          <w:rFonts w:hint="eastAsia" w:hAnsi="仿宋"/>
          <w:szCs w:val="30"/>
          <w:highlight w:val="none"/>
          <w:lang w:val="en-US" w:eastAsia="zh-CN"/>
        </w:rPr>
        <w:t>资金用途与预算批复及合同约定一致，未发现截留、挤占、挪用、虚列等情形。凭证、批复、采购与结算资料相互印证，形成从申请到归档的流程和痕迹，合规性良好，满分3.00分，得分3.00分。</w:t>
      </w:r>
    </w:p>
    <w:p w14:paraId="79F7F6C0">
      <w:pPr>
        <w:spacing w:line="579" w:lineRule="exact"/>
        <w:ind w:firstLine="630" w:firstLineChars="200"/>
        <w:rPr>
          <w:rFonts w:hint="eastAsia" w:hAnsi="仿宋"/>
          <w:szCs w:val="30"/>
          <w:highlight w:val="none"/>
          <w:lang w:val="en-US" w:eastAsia="zh-CN"/>
        </w:rPr>
      </w:pPr>
      <w:r>
        <w:rPr>
          <w:rFonts w:hint="eastAsia" w:hAnsi="仿宋"/>
          <w:szCs w:val="30"/>
          <w:highlight w:val="none"/>
          <w:lang w:val="en-US" w:eastAsia="zh-CN"/>
        </w:rPr>
        <w:t>3.财务监控有效性</w:t>
      </w:r>
    </w:p>
    <w:p w14:paraId="03F62BEF">
      <w:pPr>
        <w:spacing w:line="579" w:lineRule="exact"/>
        <w:ind w:firstLine="630" w:firstLineChars="200"/>
        <w:rPr>
          <w:rFonts w:hint="eastAsia" w:hAnsi="仿宋"/>
          <w:szCs w:val="30"/>
          <w:highlight w:val="none"/>
          <w:lang w:val="en-US" w:eastAsia="zh-CN"/>
        </w:rPr>
      </w:pPr>
      <w:r>
        <w:rPr>
          <w:rFonts w:hint="eastAsia" w:hAnsi="仿宋"/>
          <w:szCs w:val="30"/>
          <w:highlight w:val="none"/>
          <w:lang w:val="en-US" w:eastAsia="zh-CN"/>
        </w:rPr>
        <w:t>审批流程与手续完整，授权、审核、支付与归档各环节符合既有制度，能按节点开展监控与复核。提供材料流程一致性与留痕基本，满分3.00分，得分3.00分。</w:t>
      </w:r>
    </w:p>
    <w:p w14:paraId="12C9C4D0">
      <w:pPr>
        <w:spacing w:line="579" w:lineRule="exact"/>
        <w:ind w:firstLine="630" w:firstLineChars="200"/>
        <w:rPr>
          <w:rFonts w:hint="eastAsia" w:hAnsi="仿宋"/>
          <w:szCs w:val="30"/>
          <w:highlight w:val="none"/>
          <w:lang w:val="en-US" w:eastAsia="zh-CN"/>
        </w:rPr>
      </w:pPr>
      <w:r>
        <w:rPr>
          <w:rFonts w:hint="eastAsia" w:hAnsi="仿宋"/>
          <w:szCs w:val="30"/>
          <w:highlight w:val="none"/>
          <w:lang w:val="en-US" w:eastAsia="zh-CN"/>
        </w:rPr>
        <w:t>4.项目实施管理制度健全性</w:t>
      </w:r>
    </w:p>
    <w:p w14:paraId="13090002">
      <w:pPr>
        <w:spacing w:line="579" w:lineRule="exact"/>
        <w:ind w:firstLine="630" w:firstLineChars="200"/>
        <w:rPr>
          <w:rFonts w:hint="default" w:hAnsi="仿宋"/>
          <w:szCs w:val="30"/>
          <w:highlight w:val="none"/>
          <w:lang w:val="en-US" w:eastAsia="zh-CN"/>
        </w:rPr>
      </w:pPr>
      <w:r>
        <w:rPr>
          <w:rFonts w:hint="eastAsia" w:hAnsi="仿宋"/>
          <w:szCs w:val="30"/>
          <w:highlight w:val="none"/>
          <w:lang w:val="en-US" w:eastAsia="zh-CN"/>
        </w:rPr>
        <w:t>海口街道（园区）已建立“三重一大”等决策制度，并依据上级文件与细则组织推进。但针对三个具体项目而言，均缺乏具体的管理制度和标准，尤其是按项目设定过程监控要素与频率，其中污水处理厂运营，尚未完成拟定和公布收费标准和对企业的服务采购制度，劳务派遣项目，仅针对合同和人员名单付款，对岗位需求的调研、评价以及动态监控暂无相应管理制度，对派遣人员考勤、绩效等相应管理制度也暂缺。本项因各具体项目均缺乏制度/流程/管理标准而不得分，本项满分6.00分，得分0.00分。</w:t>
      </w:r>
    </w:p>
    <w:p w14:paraId="5F24B017">
      <w:pPr>
        <w:spacing w:line="579" w:lineRule="exact"/>
        <w:ind w:firstLine="630" w:firstLineChars="200"/>
        <w:rPr>
          <w:rFonts w:hint="eastAsia" w:hAnsi="仿宋"/>
          <w:szCs w:val="30"/>
          <w:highlight w:val="none"/>
          <w:lang w:val="en-US" w:eastAsia="zh-CN"/>
        </w:rPr>
      </w:pPr>
      <w:r>
        <w:rPr>
          <w:rFonts w:hint="eastAsia" w:hAnsi="仿宋"/>
          <w:szCs w:val="30"/>
          <w:highlight w:val="none"/>
          <w:lang w:val="en-US" w:eastAsia="zh-CN"/>
        </w:rPr>
        <w:t>5.制度执行有效性</w:t>
      </w:r>
    </w:p>
    <w:p w14:paraId="71F3F551">
      <w:pPr>
        <w:spacing w:line="579" w:lineRule="exact"/>
        <w:ind w:firstLine="630" w:firstLineChars="200"/>
        <w:rPr>
          <w:rFonts w:hint="eastAsia" w:hAnsi="仿宋"/>
          <w:szCs w:val="30"/>
          <w:highlight w:val="none"/>
          <w:lang w:val="en-US" w:eastAsia="zh-CN"/>
        </w:rPr>
      </w:pPr>
      <w:r>
        <w:rPr>
          <w:rFonts w:hint="eastAsia" w:hAnsi="仿宋"/>
          <w:szCs w:val="30"/>
          <w:highlight w:val="none"/>
          <w:lang w:val="en-US" w:eastAsia="zh-CN"/>
        </w:rPr>
        <w:t>项目遵守相关法律法规与内部财务管理制度要求，均按程序签订合同，具备验收报告、技术鉴定并及时归档，按合同与批复执行，流程与证据链基本完整，满分6.00分，得分6.00分。</w:t>
      </w:r>
    </w:p>
    <w:p w14:paraId="5527212D">
      <w:pPr>
        <w:spacing w:line="579" w:lineRule="exact"/>
        <w:ind w:firstLine="630" w:firstLineChars="200"/>
        <w:rPr>
          <w:rFonts w:hint="eastAsia" w:hAnsi="仿宋"/>
          <w:szCs w:val="30"/>
          <w:highlight w:val="none"/>
          <w:lang w:val="en-US" w:eastAsia="zh-CN"/>
        </w:rPr>
      </w:pPr>
      <w:r>
        <w:rPr>
          <w:rFonts w:hint="eastAsia" w:hAnsi="仿宋"/>
          <w:szCs w:val="30"/>
          <w:highlight w:val="none"/>
          <w:lang w:val="en-US" w:eastAsia="zh-CN"/>
        </w:rPr>
        <w:t>6.项目质量可控性</w:t>
      </w:r>
    </w:p>
    <w:p w14:paraId="64637049">
      <w:pPr>
        <w:spacing w:line="579" w:lineRule="exact"/>
        <w:ind w:firstLine="630" w:firstLineChars="200"/>
        <w:rPr>
          <w:rFonts w:hint="eastAsia" w:hAnsi="仿宋"/>
          <w:szCs w:val="30"/>
          <w:highlight w:val="none"/>
          <w:lang w:val="en-US" w:eastAsia="zh-CN"/>
        </w:rPr>
      </w:pPr>
      <w:r>
        <w:rPr>
          <w:rFonts w:hint="eastAsia" w:hAnsi="仿宋"/>
          <w:szCs w:val="30"/>
          <w:highlight w:val="none"/>
          <w:lang w:val="en-US" w:eastAsia="zh-CN"/>
        </w:rPr>
        <w:t>各项目情况为：污水处理厂根据合同每月出具处理结算量确认及水质检测报告，进行质量控制；劳务派遣用工，有岗位和专业/学历等需求明细，根据名单、岗位花名册和到岗情况进行核对，并且明确列表及薪酬社保费用，按实际人员工作状况进行年度结算和调整。有基本的服务质量控制措施，但对绩效、考勤等人力资源管理内容缺乏相应的制度和管理措施；光学片区土地征转项目按照自然资源局通知组织付款，不存在质量控制管理事项。</w:t>
      </w:r>
    </w:p>
    <w:p w14:paraId="0D9213B7">
      <w:pPr>
        <w:spacing w:line="579" w:lineRule="exact"/>
        <w:ind w:firstLine="630" w:firstLineChars="200"/>
        <w:rPr>
          <w:rFonts w:hint="default" w:hAnsi="仿宋"/>
          <w:szCs w:val="30"/>
          <w:highlight w:val="none"/>
          <w:lang w:val="en-US" w:eastAsia="zh-CN"/>
        </w:rPr>
      </w:pPr>
      <w:r>
        <w:rPr>
          <w:rFonts w:hint="eastAsia" w:hAnsi="仿宋"/>
          <w:szCs w:val="30"/>
          <w:highlight w:val="none"/>
          <w:lang w:val="en-US" w:eastAsia="zh-CN"/>
        </w:rPr>
        <w:t>即：三个项目中，有一个缺乏相应完整的质量要求、检查和验收标准，有一个不存在质量控制管理事项，但资金跟进监控和检查验收需进一步跟进和完善风险控制，劳务派遣项目扣除5/3=1.67分，光学片区土地征转项目扣除5/3/2=0.83分，以上合计扣除1.67+0.83=2.50分。本项满分5.00分，得分2.50分。</w:t>
      </w:r>
    </w:p>
    <w:p w14:paraId="7B1531DF">
      <w:pPr>
        <w:spacing w:line="579" w:lineRule="exact"/>
        <w:ind w:firstLine="630" w:firstLineChars="200"/>
        <w:outlineLvl w:val="1"/>
        <w:rPr>
          <w:rFonts w:ascii="楷体" w:hAnsi="楷体" w:eastAsia="楷体"/>
          <w:szCs w:val="30"/>
        </w:rPr>
      </w:pPr>
      <w:bookmarkStart w:id="29" w:name="_Toc3207"/>
      <w:r>
        <w:rPr>
          <w:rFonts w:hint="eastAsia" w:ascii="楷体" w:hAnsi="楷体" w:eastAsia="楷体"/>
          <w:szCs w:val="30"/>
        </w:rPr>
        <w:t>（三）</w:t>
      </w:r>
      <w:r>
        <w:rPr>
          <w:rFonts w:hint="eastAsia" w:ascii="楷体" w:hAnsi="楷体" w:eastAsia="楷体"/>
          <w:szCs w:val="30"/>
          <w:lang w:val="en-US" w:eastAsia="zh-CN"/>
        </w:rPr>
        <w:t>项目</w:t>
      </w:r>
      <w:r>
        <w:rPr>
          <w:rFonts w:hint="eastAsia" w:ascii="楷体" w:hAnsi="楷体" w:eastAsia="楷体"/>
          <w:szCs w:val="30"/>
        </w:rPr>
        <w:t>产出情况</w:t>
      </w:r>
      <w:bookmarkEnd w:id="29"/>
    </w:p>
    <w:p w14:paraId="62197A1F">
      <w:pPr>
        <w:spacing w:line="579" w:lineRule="exact"/>
        <w:ind w:firstLine="630" w:firstLineChars="200"/>
        <w:rPr>
          <w:rFonts w:hint="eastAsia" w:hAnsi="仿宋"/>
          <w:szCs w:val="30"/>
          <w:highlight w:val="none"/>
          <w:lang w:val="en-US" w:eastAsia="zh-CN"/>
        </w:rPr>
      </w:pPr>
      <w:r>
        <w:rPr>
          <w:rFonts w:hint="eastAsia" w:hAnsi="仿宋"/>
          <w:szCs w:val="30"/>
          <w:highlight w:val="none"/>
          <w:lang w:val="en-US" w:eastAsia="zh-CN"/>
        </w:rPr>
        <w:t>项目产出</w:t>
      </w:r>
      <w:r>
        <w:rPr>
          <w:rFonts w:hint="eastAsia" w:hAnsi="仿宋"/>
          <w:szCs w:val="30"/>
          <w:highlight w:val="none"/>
        </w:rPr>
        <w:t>围绕产出数量（协调组织一般公共预算收入、规模以上工业总产值、规模以上固定资产投资、规模以上工业主营收入、土地供应亩数）、质量（质量达标率）、时效与成本进行核对并汇总，基准分30.00分，实际得分2</w:t>
      </w:r>
      <w:r>
        <w:rPr>
          <w:rFonts w:hint="eastAsia" w:hAnsi="仿宋"/>
          <w:szCs w:val="30"/>
          <w:highlight w:val="none"/>
          <w:lang w:val="en-US" w:eastAsia="zh-CN"/>
        </w:rPr>
        <w:t>7.93</w:t>
      </w:r>
      <w:r>
        <w:rPr>
          <w:rFonts w:hint="eastAsia" w:hAnsi="仿宋"/>
          <w:szCs w:val="30"/>
          <w:highlight w:val="none"/>
        </w:rPr>
        <w:t>分，得分率</w:t>
      </w:r>
      <w:r>
        <w:rPr>
          <w:rFonts w:hint="eastAsia" w:hAnsi="仿宋"/>
          <w:szCs w:val="30"/>
          <w:highlight w:val="none"/>
          <w:lang w:val="en-US" w:eastAsia="zh-CN"/>
        </w:rPr>
        <w:t>93.10</w:t>
      </w:r>
      <w:r>
        <w:rPr>
          <w:rFonts w:hint="eastAsia" w:hAnsi="仿宋"/>
          <w:szCs w:val="30"/>
          <w:highlight w:val="none"/>
        </w:rPr>
        <w:t>%。</w:t>
      </w:r>
    </w:p>
    <w:p w14:paraId="2A171224">
      <w:pPr>
        <w:numPr>
          <w:ilvl w:val="0"/>
          <w:numId w:val="2"/>
        </w:numPr>
        <w:spacing w:line="579" w:lineRule="exact"/>
        <w:ind w:firstLine="630" w:firstLineChars="200"/>
        <w:rPr>
          <w:rFonts w:hint="eastAsia"/>
          <w:lang w:val="en-US" w:eastAsia="zh-CN"/>
        </w:rPr>
      </w:pPr>
      <w:r>
        <w:rPr>
          <w:rFonts w:hint="eastAsia" w:hAnsi="仿宋"/>
          <w:szCs w:val="30"/>
          <w:highlight w:val="none"/>
          <w:lang w:val="en-US" w:eastAsia="zh-CN"/>
        </w:rPr>
        <w:t>产出数量</w:t>
      </w:r>
    </w:p>
    <w:p w14:paraId="283D291F">
      <w:pPr>
        <w:spacing w:line="579" w:lineRule="exact"/>
        <w:ind w:firstLine="630" w:firstLineChars="200"/>
        <w:rPr>
          <w:rFonts w:hint="eastAsia" w:hAnsi="仿宋"/>
          <w:szCs w:val="30"/>
          <w:highlight w:val="none"/>
          <w:lang w:val="en-US" w:eastAsia="zh-CN"/>
        </w:rPr>
      </w:pPr>
      <w:r>
        <w:rPr>
          <w:rFonts w:hint="eastAsia" w:hAnsi="仿宋"/>
          <w:szCs w:val="30"/>
          <w:highlight w:val="none"/>
          <w:lang w:val="en-US" w:eastAsia="zh-CN"/>
        </w:rPr>
        <w:t>海口街道（产业园）一般公共预算收入目标2.54亿元，2024年实际完成3.802亿元，达成率为149.69%，满分3.00分，得分3.00分；</w:t>
      </w:r>
    </w:p>
    <w:p w14:paraId="733AFA2D">
      <w:pPr>
        <w:spacing w:line="579" w:lineRule="exact"/>
        <w:ind w:firstLine="630" w:firstLineChars="200"/>
        <w:rPr>
          <w:rFonts w:hint="eastAsia" w:hAnsi="仿宋"/>
          <w:szCs w:val="30"/>
          <w:highlight w:val="none"/>
          <w:lang w:val="en-US" w:eastAsia="zh-CN"/>
        </w:rPr>
      </w:pPr>
      <w:r>
        <w:rPr>
          <w:rFonts w:hint="eastAsia" w:hAnsi="仿宋"/>
          <w:szCs w:val="30"/>
          <w:highlight w:val="none"/>
          <w:lang w:val="en-US" w:eastAsia="zh-CN"/>
        </w:rPr>
        <w:t>规模以上工业总产值以2023年基础情况，结合上级下达指标，设定目标为161.90亿元，2024年实际完成204.33亿元，达成率为126.21%，得分3.00分；</w:t>
      </w:r>
    </w:p>
    <w:p w14:paraId="0E41EA29">
      <w:pPr>
        <w:spacing w:line="579" w:lineRule="exact"/>
        <w:ind w:firstLine="630" w:firstLineChars="200"/>
        <w:rPr>
          <w:rFonts w:hint="eastAsia" w:hAnsi="仿宋"/>
          <w:szCs w:val="30"/>
          <w:highlight w:val="none"/>
          <w:lang w:val="en-US" w:eastAsia="zh-CN"/>
        </w:rPr>
      </w:pPr>
      <w:r>
        <w:rPr>
          <w:rFonts w:hint="eastAsia" w:hAnsi="仿宋"/>
          <w:szCs w:val="30"/>
          <w:highlight w:val="none"/>
          <w:lang w:val="en-US" w:eastAsia="zh-CN"/>
        </w:rPr>
        <w:t>规模以上固定资产投资目标14.60亿元，2024年实际完成9.215亿元，达成率为63.12%，不足90%，按评分规则折算，得分为2分*63.12%=1.26分。</w:t>
      </w:r>
    </w:p>
    <w:p w14:paraId="0EB8D52A">
      <w:pPr>
        <w:spacing w:line="579" w:lineRule="exact"/>
        <w:ind w:firstLine="630" w:firstLineChars="200"/>
        <w:rPr>
          <w:rFonts w:hint="eastAsia" w:hAnsi="仿宋"/>
          <w:szCs w:val="30"/>
          <w:highlight w:val="none"/>
          <w:lang w:val="en-US" w:eastAsia="zh-CN"/>
        </w:rPr>
      </w:pPr>
      <w:r>
        <w:rPr>
          <w:rFonts w:hint="eastAsia" w:hAnsi="仿宋"/>
          <w:szCs w:val="30"/>
          <w:highlight w:val="none"/>
          <w:lang w:val="en-US" w:eastAsia="zh-CN"/>
        </w:rPr>
        <w:t>规模以上工业主营收入目标167.47亿元，2024年实际完成236.23亿元，达成率为141.06%，按满分评价，得分2.00分。</w:t>
      </w:r>
    </w:p>
    <w:p w14:paraId="14E9B70F">
      <w:pPr>
        <w:spacing w:line="579" w:lineRule="exact"/>
        <w:ind w:firstLine="630" w:firstLineChars="200"/>
        <w:rPr>
          <w:rFonts w:hint="eastAsia" w:hAnsi="仿宋"/>
          <w:szCs w:val="30"/>
          <w:highlight w:val="none"/>
          <w:lang w:val="en-US" w:eastAsia="zh-CN"/>
        </w:rPr>
      </w:pPr>
      <w:r>
        <w:rPr>
          <w:rFonts w:hint="eastAsia" w:hAnsi="仿宋"/>
          <w:szCs w:val="30"/>
          <w:highlight w:val="none"/>
          <w:lang w:val="en-US" w:eastAsia="zh-CN"/>
        </w:rPr>
        <w:t>土地供应目标312亩，2024年已供地680亩，达成率为217.95%，按满分评价，得分2.00分。</w:t>
      </w:r>
    </w:p>
    <w:p w14:paraId="46259774">
      <w:pPr>
        <w:spacing w:line="579" w:lineRule="exact"/>
        <w:ind w:firstLine="630" w:firstLineChars="200"/>
        <w:rPr>
          <w:rFonts w:hint="eastAsia" w:hAnsi="仿宋"/>
          <w:szCs w:val="30"/>
          <w:highlight w:val="none"/>
          <w:lang w:val="en-US" w:eastAsia="zh-CN"/>
        </w:rPr>
      </w:pPr>
      <w:r>
        <w:rPr>
          <w:rFonts w:hint="eastAsia" w:hAnsi="仿宋"/>
          <w:color w:val="auto"/>
          <w:szCs w:val="30"/>
          <w:highlight w:val="none"/>
          <w:lang w:val="en-US" w:eastAsia="zh-CN"/>
        </w:rPr>
        <w:t>产出数量三个项目事先未申报，缺乏可比对目标，在指标上，保留原申报的园区总体带动产出。具体各项目实际可识别产出情况说明如下：</w:t>
      </w:r>
      <w:r>
        <w:rPr>
          <w:rFonts w:hint="eastAsia" w:hAnsi="仿宋"/>
          <w:color w:val="auto"/>
          <w:szCs w:val="30"/>
          <w:highlight w:val="none"/>
          <w:lang w:val="en-US" w:eastAsia="zh-CN"/>
        </w:rPr>
        <w:br w:type="textWrapping"/>
      </w:r>
      <w:r>
        <w:rPr>
          <w:rFonts w:hint="eastAsia" w:hAnsi="仿宋"/>
          <w:szCs w:val="30"/>
          <w:highlight w:val="none"/>
          <w:lang w:val="en-US" w:eastAsia="zh-CN"/>
        </w:rPr>
        <w:tab/>
      </w:r>
      <w:r>
        <w:rPr>
          <w:rFonts w:hint="eastAsia" w:hAnsi="仿宋"/>
          <w:szCs w:val="30"/>
          <w:highlight w:val="none"/>
          <w:lang w:val="en-US" w:eastAsia="zh-CN"/>
        </w:rPr>
        <w:t>（1）污水处理厂项目：</w:t>
      </w:r>
      <w:r>
        <w:rPr>
          <w:rFonts w:hint="eastAsia" w:hAnsi="仿宋"/>
          <w:b w:val="0"/>
          <w:bCs w:val="0"/>
          <w:szCs w:val="30"/>
          <w:highlight w:val="none"/>
          <w:lang w:val="en-US" w:eastAsia="zh-CN"/>
        </w:rPr>
        <w:t>2024年一季度实际处理量280334.91立方，计算处理量326182.08立方</w:t>
      </w:r>
      <w:r>
        <w:rPr>
          <w:rFonts w:hint="eastAsia" w:hAnsi="仿宋"/>
          <w:b/>
          <w:bCs/>
          <w:szCs w:val="30"/>
          <w:highlight w:val="none"/>
          <w:lang w:val="en-US" w:eastAsia="zh-CN"/>
        </w:rPr>
        <w:t>，</w:t>
      </w:r>
      <w:r>
        <w:rPr>
          <w:rFonts w:hint="eastAsia" w:hAnsi="仿宋"/>
          <w:szCs w:val="30"/>
          <w:highlight w:val="none"/>
          <w:lang w:val="en-US" w:eastAsia="zh-CN"/>
        </w:rPr>
        <w:t>截止2025年1月19日</w:t>
      </w:r>
      <w:r>
        <w:rPr>
          <w:rStyle w:val="24"/>
          <w:rFonts w:hint="eastAsia" w:hAnsi="仿宋"/>
          <w:szCs w:val="30"/>
          <w:highlight w:val="none"/>
          <w:lang w:val="en-US" w:eastAsia="zh-CN"/>
        </w:rPr>
        <w:footnoteReference w:id="3"/>
      </w:r>
      <w:r>
        <w:rPr>
          <w:rFonts w:hint="eastAsia" w:hAnsi="仿宋"/>
          <w:szCs w:val="30"/>
          <w:highlight w:val="none"/>
          <w:lang w:val="en-US" w:eastAsia="zh-CN"/>
        </w:rPr>
        <w:t>，累计处理量</w:t>
      </w:r>
      <w:r>
        <w:rPr>
          <w:rFonts w:hint="eastAsia" w:hAnsi="仿宋"/>
          <w:b/>
          <w:bCs/>
          <w:szCs w:val="30"/>
          <w:highlight w:val="none"/>
          <w:lang w:val="en-US" w:eastAsia="zh-CN"/>
        </w:rPr>
        <w:t>3439159.66立方</w:t>
      </w:r>
      <w:r>
        <w:rPr>
          <w:rFonts w:hint="eastAsia" w:hAnsi="仿宋"/>
          <w:szCs w:val="30"/>
          <w:highlight w:val="none"/>
          <w:lang w:val="en-US" w:eastAsia="zh-CN"/>
        </w:rPr>
        <w:t>，累计结算处理量</w:t>
      </w:r>
      <w:r>
        <w:rPr>
          <w:rFonts w:hint="eastAsia" w:hAnsi="仿宋"/>
          <w:b/>
          <w:bCs/>
          <w:szCs w:val="30"/>
          <w:highlight w:val="none"/>
          <w:lang w:val="en-US" w:eastAsia="zh-CN"/>
        </w:rPr>
        <w:t>3911759.90立方</w:t>
      </w:r>
      <w:r>
        <w:rPr>
          <w:rFonts w:hint="eastAsia" w:hAnsi="仿宋"/>
          <w:szCs w:val="30"/>
          <w:highlight w:val="none"/>
          <w:lang w:val="en-US" w:eastAsia="zh-CN"/>
        </w:rPr>
        <w:t>。污水处理厂正在制定污水处理收费管理办法，向受益单位进行市场化费用管理，以实现污水处理厂的可持续运营。</w:t>
      </w:r>
    </w:p>
    <w:p w14:paraId="395BB373">
      <w:pPr>
        <w:pStyle w:val="2"/>
        <w:ind w:firstLine="420" w:firstLineChars="0"/>
        <w:rPr>
          <w:rFonts w:hint="eastAsia" w:ascii="仿宋" w:hAnsi="仿宋" w:eastAsia="仿宋" w:cs="Times New Roman"/>
          <w:kern w:val="30"/>
          <w:sz w:val="30"/>
          <w:szCs w:val="30"/>
          <w:highlight w:val="none"/>
          <w:lang w:val="en-US" w:eastAsia="zh-CN" w:bidi="ar-SA"/>
        </w:rPr>
      </w:pPr>
      <w:r>
        <w:rPr>
          <w:rFonts w:hint="eastAsia" w:ascii="仿宋" w:hAnsi="仿宋" w:eastAsia="仿宋" w:cs="Times New Roman"/>
          <w:kern w:val="30"/>
          <w:sz w:val="30"/>
          <w:szCs w:val="30"/>
          <w:highlight w:val="none"/>
          <w:lang w:val="en-US" w:eastAsia="zh-CN" w:bidi="ar-SA"/>
        </w:rPr>
        <w:t>（2）劳务派遣项目：劳务派遣20人动态补充，如在人力资源使用过程中出现人员辞退、辞职、调动、长假等变动情况，由派遣单位按照岗位要求和人数补足，并且根据实际在岗人员数量和薪酬社保标准结算。</w:t>
      </w:r>
    </w:p>
    <w:p w14:paraId="57C9D3E5">
      <w:pPr>
        <w:keepNext w:val="0"/>
        <w:keepLines w:val="0"/>
        <w:pageBreakBefore w:val="0"/>
        <w:widowControl w:val="0"/>
        <w:kinsoku/>
        <w:wordWrap/>
        <w:overflowPunct/>
        <w:topLinePunct w:val="0"/>
        <w:autoSpaceDE/>
        <w:autoSpaceDN/>
        <w:bidi w:val="0"/>
        <w:adjustRightInd/>
        <w:snapToGrid/>
        <w:ind w:firstLine="630" w:firstLineChars="200"/>
        <w:textAlignment w:val="auto"/>
        <w:rPr>
          <w:rFonts w:hint="eastAsia"/>
          <w:lang w:val="en-US" w:eastAsia="zh-CN"/>
        </w:rPr>
      </w:pPr>
      <w:r>
        <w:rPr>
          <w:rFonts w:hint="eastAsia"/>
          <w:lang w:val="en-US" w:eastAsia="zh-CN"/>
        </w:rPr>
        <w:t>根据2024年派遣人员花名册统计，派遣人员服务部门主要包括综合管理部、党群工作部、经济发展部、规划建设部、安全生产和环境保护部及政商服务部。整体人员结构为：男性9人、女性11人，本科及以上学历14人（其中本科13人、硕士1人），专科及以下学历6人（含专科、大专、高中、普通高中）。从学历比例看，本科及以上占70%，专科及以下占30%；从性别比例看，女性略多，结构相对均衡。从部门分布看，规划建设部与经济发展部人员较集中，合计占比超过一半，安全与政商服务等部门配置适中，党群与综合管理部保持小规模架构。整体上，队伍学历层次较高、性别结构协调、岗位分布合理，为单位日常管理及项目推进提供了稳定支撑。</w:t>
      </w:r>
    </w:p>
    <w:p w14:paraId="689BBA84">
      <w:pPr>
        <w:pStyle w:val="2"/>
        <w:keepNext w:val="0"/>
        <w:keepLines w:val="0"/>
        <w:pageBreakBefore w:val="0"/>
        <w:widowControl w:val="0"/>
        <w:kinsoku/>
        <w:wordWrap/>
        <w:overflowPunct/>
        <w:topLinePunct w:val="0"/>
        <w:autoSpaceDE/>
        <w:autoSpaceDN/>
        <w:bidi w:val="0"/>
        <w:adjustRightInd/>
        <w:snapToGrid/>
        <w:ind w:firstLine="630" w:firstLineChars="200"/>
        <w:textAlignment w:val="auto"/>
        <w:rPr>
          <w:rFonts w:hint="eastAsia" w:ascii="仿宋" w:hAnsi="Times New Roman" w:eastAsia="仿宋" w:cs="Times New Roman"/>
          <w:kern w:val="30"/>
          <w:sz w:val="30"/>
          <w:szCs w:val="21"/>
          <w:lang w:val="en-US" w:eastAsia="zh-CN" w:bidi="ar-SA"/>
        </w:rPr>
      </w:pPr>
      <w:r>
        <w:rPr>
          <w:rFonts w:hint="eastAsia" w:ascii="仿宋" w:hAnsi="Times New Roman" w:eastAsia="仿宋" w:cs="Times New Roman"/>
          <w:kern w:val="30"/>
          <w:sz w:val="30"/>
          <w:szCs w:val="21"/>
          <w:lang w:val="en-US" w:eastAsia="zh-CN" w:bidi="ar-SA"/>
        </w:rPr>
        <w:t>人员工作服务提供上，因为缺乏岗位说明书、工作指引以及人员绩效的相应支持材料，仅能从归属部门上推断工作执行类型和范围，实际执行工作的工作内容、工作负荷、工作质量等缺乏精细化管理。</w:t>
      </w:r>
    </w:p>
    <w:p w14:paraId="1B6614FB">
      <w:pPr>
        <w:pStyle w:val="2"/>
        <w:ind w:firstLine="420" w:firstLineChars="0"/>
        <w:rPr>
          <w:rFonts w:hint="default"/>
          <w:lang w:val="en-US" w:eastAsia="zh-CN"/>
        </w:rPr>
      </w:pPr>
      <w:r>
        <w:rPr>
          <w:rFonts w:hint="eastAsia" w:ascii="仿宋" w:hAnsi="仿宋" w:eastAsia="仿宋" w:cs="Times New Roman"/>
          <w:kern w:val="30"/>
          <w:sz w:val="30"/>
          <w:szCs w:val="30"/>
          <w:highlight w:val="none"/>
          <w:lang w:val="en-US" w:eastAsia="zh-CN" w:bidi="ar-SA"/>
        </w:rPr>
        <w:t>（3）土地征转项目：向后核查可知截止至2025年4月，征转项目各项费用缴纳还在推进过程中，等待各主管部门通知。</w:t>
      </w:r>
    </w:p>
    <w:p w14:paraId="16BD68DD">
      <w:pPr>
        <w:spacing w:line="579" w:lineRule="exact"/>
        <w:ind w:firstLine="630" w:firstLineChars="200"/>
        <w:rPr>
          <w:rFonts w:hint="eastAsia" w:hAnsi="仿宋"/>
          <w:szCs w:val="30"/>
          <w:highlight w:val="none"/>
          <w:lang w:val="en-US" w:eastAsia="zh-CN"/>
        </w:rPr>
      </w:pPr>
      <w:r>
        <w:rPr>
          <w:rFonts w:hint="eastAsia" w:hAnsi="仿宋"/>
          <w:szCs w:val="30"/>
          <w:highlight w:val="none"/>
          <w:lang w:val="en-US" w:eastAsia="zh-CN"/>
        </w:rPr>
        <w:t>2.质量达标率</w:t>
      </w:r>
    </w:p>
    <w:p w14:paraId="23123039">
      <w:pPr>
        <w:spacing w:line="579" w:lineRule="exact"/>
        <w:ind w:firstLine="630" w:firstLineChars="200"/>
        <w:rPr>
          <w:rFonts w:hint="eastAsia" w:hAnsi="仿宋"/>
          <w:szCs w:val="30"/>
          <w:highlight w:val="none"/>
          <w:lang w:val="en-US" w:eastAsia="zh-CN"/>
        </w:rPr>
      </w:pPr>
      <w:r>
        <w:rPr>
          <w:rFonts w:hint="eastAsia" w:hAnsi="仿宋"/>
          <w:szCs w:val="30"/>
          <w:highlight w:val="none"/>
          <w:lang w:val="en-US" w:eastAsia="zh-CN"/>
        </w:rPr>
        <w:t>根据合同和通知文件可知：污水处理厂水质检测报告与处理量比对设计文件与合同，7个月水质检测报告（2023年7月至2024年2月，由昆明天倪检测有限公司出具）均符合废水处理标准，达标率7/7*100%=100%，确认符合合同和设计要求，具体如下：</w:t>
      </w:r>
    </w:p>
    <w:tbl>
      <w:tblPr>
        <w:tblStyle w:val="1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90"/>
        <w:gridCol w:w="1178"/>
        <w:gridCol w:w="1165"/>
        <w:gridCol w:w="982"/>
        <w:gridCol w:w="1017"/>
        <w:gridCol w:w="1462"/>
        <w:gridCol w:w="1165"/>
        <w:gridCol w:w="701"/>
      </w:tblGrid>
      <w:tr w14:paraId="0DF77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BF201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b/>
                <w:bCs/>
                <w:i w:val="0"/>
                <w:iCs w:val="0"/>
                <w:color w:val="000000"/>
                <w:sz w:val="22"/>
                <w:szCs w:val="22"/>
                <w:u w:val="none"/>
              </w:rPr>
            </w:pPr>
            <w:r>
              <w:rPr>
                <w:rFonts w:hint="default" w:ascii="仿宋" w:hAnsi="仿宋" w:eastAsia="仿宋" w:cs="仿宋"/>
                <w:b/>
                <w:bCs/>
                <w:i w:val="0"/>
                <w:iCs w:val="0"/>
                <w:color w:val="000000"/>
                <w:kern w:val="0"/>
                <w:sz w:val="22"/>
                <w:szCs w:val="22"/>
                <w:u w:val="none"/>
                <w:lang w:val="en-US" w:eastAsia="zh-CN" w:bidi="ar"/>
              </w:rPr>
              <w:t>采样日期</w:t>
            </w:r>
          </w:p>
        </w:tc>
        <w:tc>
          <w:tcPr>
            <w:tcW w:w="650" w:type="pct"/>
            <w:tcBorders>
              <w:top w:val="single" w:color="auto" w:sz="4" w:space="0"/>
              <w:left w:val="nil"/>
              <w:bottom w:val="single" w:color="auto" w:sz="4" w:space="0"/>
              <w:right w:val="single" w:color="auto" w:sz="4" w:space="0"/>
            </w:tcBorders>
            <w:shd w:val="clear" w:color="auto" w:fill="auto"/>
            <w:noWrap/>
            <w:vAlign w:val="center"/>
          </w:tcPr>
          <w:p w14:paraId="69933D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b/>
                <w:bCs/>
                <w:i w:val="0"/>
                <w:iCs w:val="0"/>
                <w:color w:val="000000"/>
                <w:kern w:val="0"/>
                <w:sz w:val="22"/>
                <w:szCs w:val="22"/>
                <w:u w:val="none"/>
                <w:lang w:val="en-US" w:eastAsia="zh-CN" w:bidi="ar"/>
              </w:rPr>
            </w:pPr>
            <w:r>
              <w:rPr>
                <w:rFonts w:hint="default" w:ascii="仿宋" w:hAnsi="仿宋" w:eastAsia="仿宋" w:cs="仿宋"/>
                <w:b/>
                <w:bCs/>
                <w:i w:val="0"/>
                <w:iCs w:val="0"/>
                <w:color w:val="000000"/>
                <w:kern w:val="0"/>
                <w:sz w:val="22"/>
                <w:szCs w:val="22"/>
                <w:u w:val="none"/>
                <w:lang w:val="en-US" w:eastAsia="zh-CN" w:bidi="ar"/>
              </w:rPr>
              <w:t>COD</w:t>
            </w:r>
          </w:p>
          <w:p w14:paraId="7794C5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b/>
                <w:bCs/>
                <w:i w:val="0"/>
                <w:iCs w:val="0"/>
                <w:color w:val="000000"/>
                <w:sz w:val="22"/>
                <w:szCs w:val="22"/>
                <w:u w:val="none"/>
              </w:rPr>
            </w:pPr>
            <w:r>
              <w:rPr>
                <w:rFonts w:hint="default" w:ascii="仿宋" w:hAnsi="仿宋" w:eastAsia="仿宋" w:cs="仿宋"/>
                <w:b/>
                <w:bCs/>
                <w:i w:val="0"/>
                <w:iCs w:val="0"/>
                <w:color w:val="000000"/>
                <w:kern w:val="0"/>
                <w:sz w:val="22"/>
                <w:szCs w:val="22"/>
                <w:u w:val="none"/>
                <w:lang w:val="en-US" w:eastAsia="zh-CN" w:bidi="ar"/>
              </w:rPr>
              <w:t>(mg/L)</w:t>
            </w:r>
          </w:p>
        </w:tc>
        <w:tc>
          <w:tcPr>
            <w:tcW w:w="642" w:type="pct"/>
            <w:tcBorders>
              <w:top w:val="single" w:color="auto" w:sz="4" w:space="0"/>
              <w:left w:val="nil"/>
              <w:bottom w:val="single" w:color="auto" w:sz="4" w:space="0"/>
              <w:right w:val="single" w:color="auto" w:sz="4" w:space="0"/>
            </w:tcBorders>
            <w:shd w:val="clear" w:color="auto" w:fill="auto"/>
            <w:noWrap/>
            <w:vAlign w:val="center"/>
          </w:tcPr>
          <w:p w14:paraId="40A1A3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b/>
                <w:bCs/>
                <w:i w:val="0"/>
                <w:iCs w:val="0"/>
                <w:color w:val="000000"/>
                <w:kern w:val="0"/>
                <w:sz w:val="22"/>
                <w:szCs w:val="22"/>
                <w:u w:val="none"/>
                <w:lang w:val="en-US" w:eastAsia="zh-CN" w:bidi="ar"/>
              </w:rPr>
            </w:pPr>
            <w:r>
              <w:rPr>
                <w:rFonts w:hint="default" w:ascii="仿宋" w:hAnsi="仿宋" w:eastAsia="仿宋" w:cs="仿宋"/>
                <w:b/>
                <w:bCs/>
                <w:i w:val="0"/>
                <w:iCs w:val="0"/>
                <w:color w:val="000000"/>
                <w:kern w:val="0"/>
                <w:sz w:val="22"/>
                <w:szCs w:val="22"/>
                <w:u w:val="none"/>
                <w:lang w:val="en-US" w:eastAsia="zh-CN" w:bidi="ar"/>
              </w:rPr>
              <w:t>BOD</w:t>
            </w:r>
          </w:p>
          <w:p w14:paraId="3A45AB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b/>
                <w:bCs/>
                <w:i w:val="0"/>
                <w:iCs w:val="0"/>
                <w:color w:val="000000"/>
                <w:sz w:val="22"/>
                <w:szCs w:val="22"/>
                <w:u w:val="none"/>
              </w:rPr>
            </w:pPr>
            <w:r>
              <w:rPr>
                <w:rFonts w:hint="default" w:ascii="仿宋" w:hAnsi="仿宋" w:eastAsia="仿宋" w:cs="仿宋"/>
                <w:b/>
                <w:bCs/>
                <w:i w:val="0"/>
                <w:iCs w:val="0"/>
                <w:color w:val="000000"/>
                <w:kern w:val="0"/>
                <w:sz w:val="22"/>
                <w:szCs w:val="22"/>
                <w:u w:val="none"/>
                <w:lang w:val="en-US" w:eastAsia="zh-CN" w:bidi="ar"/>
              </w:rPr>
              <w:t>(mg/L)</w:t>
            </w:r>
          </w:p>
        </w:tc>
        <w:tc>
          <w:tcPr>
            <w:tcW w:w="541" w:type="pct"/>
            <w:tcBorders>
              <w:top w:val="single" w:color="auto" w:sz="4" w:space="0"/>
              <w:left w:val="nil"/>
              <w:bottom w:val="single" w:color="auto" w:sz="4" w:space="0"/>
              <w:right w:val="single" w:color="auto" w:sz="4" w:space="0"/>
            </w:tcBorders>
            <w:shd w:val="clear" w:color="auto" w:fill="auto"/>
            <w:noWrap/>
            <w:vAlign w:val="center"/>
          </w:tcPr>
          <w:p w14:paraId="1F61BA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b/>
                <w:bCs/>
                <w:i w:val="0"/>
                <w:iCs w:val="0"/>
                <w:color w:val="000000"/>
                <w:kern w:val="0"/>
                <w:sz w:val="22"/>
                <w:szCs w:val="22"/>
                <w:u w:val="none"/>
                <w:lang w:val="en-US" w:eastAsia="zh-CN" w:bidi="ar"/>
              </w:rPr>
            </w:pPr>
            <w:r>
              <w:rPr>
                <w:rFonts w:hint="default" w:ascii="仿宋" w:hAnsi="仿宋" w:eastAsia="仿宋" w:cs="仿宋"/>
                <w:b/>
                <w:bCs/>
                <w:i w:val="0"/>
                <w:iCs w:val="0"/>
                <w:color w:val="000000"/>
                <w:kern w:val="0"/>
                <w:sz w:val="22"/>
                <w:szCs w:val="22"/>
                <w:u w:val="none"/>
                <w:lang w:val="en-US" w:eastAsia="zh-CN" w:bidi="ar"/>
              </w:rPr>
              <w:t>悬浮物SS</w:t>
            </w:r>
          </w:p>
          <w:p w14:paraId="605249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b/>
                <w:bCs/>
                <w:i w:val="0"/>
                <w:iCs w:val="0"/>
                <w:color w:val="000000"/>
                <w:sz w:val="22"/>
                <w:szCs w:val="22"/>
                <w:u w:val="none"/>
              </w:rPr>
            </w:pPr>
            <w:r>
              <w:rPr>
                <w:rFonts w:hint="default" w:ascii="仿宋" w:hAnsi="仿宋" w:eastAsia="仿宋" w:cs="仿宋"/>
                <w:b/>
                <w:bCs/>
                <w:i w:val="0"/>
                <w:iCs w:val="0"/>
                <w:color w:val="000000"/>
                <w:kern w:val="0"/>
                <w:sz w:val="22"/>
                <w:szCs w:val="22"/>
                <w:u w:val="none"/>
                <w:lang w:val="en-US" w:eastAsia="zh-CN" w:bidi="ar"/>
              </w:rPr>
              <w:t>(mg/L)</w:t>
            </w:r>
          </w:p>
        </w:tc>
        <w:tc>
          <w:tcPr>
            <w:tcW w:w="561" w:type="pct"/>
            <w:tcBorders>
              <w:top w:val="single" w:color="auto" w:sz="4" w:space="0"/>
              <w:left w:val="nil"/>
              <w:bottom w:val="single" w:color="auto" w:sz="4" w:space="0"/>
              <w:right w:val="single" w:color="auto" w:sz="4" w:space="0"/>
            </w:tcBorders>
            <w:shd w:val="clear" w:color="auto" w:fill="auto"/>
            <w:noWrap/>
            <w:vAlign w:val="center"/>
          </w:tcPr>
          <w:p w14:paraId="67BA4A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b/>
                <w:bCs/>
                <w:i w:val="0"/>
                <w:iCs w:val="0"/>
                <w:color w:val="000000"/>
                <w:sz w:val="22"/>
                <w:szCs w:val="22"/>
                <w:u w:val="none"/>
              </w:rPr>
            </w:pPr>
            <w:r>
              <w:rPr>
                <w:rFonts w:hint="default" w:ascii="仿宋" w:hAnsi="仿宋" w:eastAsia="仿宋" w:cs="仿宋"/>
                <w:b/>
                <w:bCs/>
                <w:i w:val="0"/>
                <w:iCs w:val="0"/>
                <w:color w:val="000000"/>
                <w:kern w:val="0"/>
                <w:sz w:val="22"/>
                <w:szCs w:val="22"/>
                <w:u w:val="none"/>
                <w:lang w:val="en-US" w:eastAsia="zh-CN" w:bidi="ar"/>
              </w:rPr>
              <w:t>氨氮NH</w:t>
            </w:r>
            <w:r>
              <w:rPr>
                <w:rStyle w:val="52"/>
                <w:rFonts w:hint="default"/>
                <w:lang w:val="en-US" w:eastAsia="zh-CN" w:bidi="ar"/>
              </w:rPr>
              <w:t>₃</w:t>
            </w:r>
            <w:r>
              <w:rPr>
                <w:rStyle w:val="53"/>
                <w:lang w:val="en-US" w:eastAsia="zh-CN" w:bidi="ar"/>
              </w:rPr>
              <w:t>-N(mg/L)</w:t>
            </w:r>
          </w:p>
        </w:tc>
        <w:tc>
          <w:tcPr>
            <w:tcW w:w="806" w:type="pct"/>
            <w:tcBorders>
              <w:top w:val="single" w:color="auto" w:sz="4" w:space="0"/>
              <w:left w:val="nil"/>
              <w:bottom w:val="single" w:color="auto" w:sz="4" w:space="0"/>
              <w:right w:val="single" w:color="auto" w:sz="4" w:space="0"/>
            </w:tcBorders>
            <w:shd w:val="clear" w:color="auto" w:fill="auto"/>
            <w:noWrap/>
            <w:vAlign w:val="center"/>
          </w:tcPr>
          <w:p w14:paraId="3115E4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b/>
                <w:bCs/>
                <w:i w:val="0"/>
                <w:iCs w:val="0"/>
                <w:color w:val="000000"/>
                <w:sz w:val="22"/>
                <w:szCs w:val="22"/>
                <w:u w:val="none"/>
              </w:rPr>
            </w:pPr>
            <w:r>
              <w:rPr>
                <w:rFonts w:hint="default" w:ascii="仿宋" w:hAnsi="仿宋" w:eastAsia="仿宋" w:cs="仿宋"/>
                <w:b/>
                <w:bCs/>
                <w:i w:val="0"/>
                <w:iCs w:val="0"/>
                <w:color w:val="000000"/>
                <w:kern w:val="0"/>
                <w:sz w:val="22"/>
                <w:szCs w:val="22"/>
                <w:u w:val="none"/>
                <w:lang w:val="en-US" w:eastAsia="zh-CN" w:bidi="ar"/>
              </w:rPr>
              <w:t>总氮TN(mg/L)</w:t>
            </w:r>
          </w:p>
        </w:tc>
        <w:tc>
          <w:tcPr>
            <w:tcW w:w="642" w:type="pct"/>
            <w:tcBorders>
              <w:top w:val="single" w:color="auto" w:sz="4" w:space="0"/>
              <w:left w:val="nil"/>
              <w:bottom w:val="single" w:color="auto" w:sz="4" w:space="0"/>
              <w:right w:val="single" w:color="auto" w:sz="4" w:space="0"/>
            </w:tcBorders>
            <w:shd w:val="clear" w:color="auto" w:fill="auto"/>
            <w:noWrap/>
            <w:vAlign w:val="center"/>
          </w:tcPr>
          <w:p w14:paraId="4D1A6F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b/>
                <w:bCs/>
                <w:i w:val="0"/>
                <w:iCs w:val="0"/>
                <w:color w:val="000000"/>
                <w:sz w:val="22"/>
                <w:szCs w:val="22"/>
                <w:u w:val="none"/>
              </w:rPr>
            </w:pPr>
            <w:r>
              <w:rPr>
                <w:rFonts w:hint="default" w:ascii="仿宋" w:hAnsi="仿宋" w:eastAsia="仿宋" w:cs="仿宋"/>
                <w:b/>
                <w:bCs/>
                <w:i w:val="0"/>
                <w:iCs w:val="0"/>
                <w:color w:val="000000"/>
                <w:kern w:val="0"/>
                <w:sz w:val="22"/>
                <w:szCs w:val="22"/>
                <w:u w:val="none"/>
                <w:lang w:val="en-US" w:eastAsia="zh-CN" w:bidi="ar"/>
              </w:rPr>
              <w:t>总磷TP(mg/L)</w:t>
            </w:r>
          </w:p>
        </w:tc>
        <w:tc>
          <w:tcPr>
            <w:tcW w:w="386" w:type="pct"/>
            <w:tcBorders>
              <w:top w:val="single" w:color="auto" w:sz="4" w:space="0"/>
              <w:left w:val="nil"/>
              <w:bottom w:val="single" w:color="auto" w:sz="4" w:space="0"/>
              <w:right w:val="single" w:color="auto" w:sz="4" w:space="0"/>
            </w:tcBorders>
            <w:shd w:val="clear" w:color="auto" w:fill="auto"/>
            <w:noWrap/>
            <w:vAlign w:val="center"/>
          </w:tcPr>
          <w:p w14:paraId="16BF9B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b/>
                <w:bCs/>
                <w:i w:val="0"/>
                <w:iCs w:val="0"/>
                <w:color w:val="000000"/>
                <w:kern w:val="0"/>
                <w:sz w:val="22"/>
                <w:szCs w:val="22"/>
                <w:u w:val="none"/>
                <w:lang w:val="en-US" w:eastAsia="zh-CN" w:bidi="ar"/>
              </w:rPr>
            </w:pPr>
            <w:r>
              <w:rPr>
                <w:rFonts w:hint="default" w:ascii="仿宋" w:hAnsi="仿宋" w:eastAsia="仿宋" w:cs="仿宋"/>
                <w:b/>
                <w:bCs/>
                <w:i w:val="0"/>
                <w:iCs w:val="0"/>
                <w:color w:val="000000"/>
                <w:kern w:val="0"/>
                <w:sz w:val="22"/>
                <w:szCs w:val="22"/>
                <w:u w:val="none"/>
                <w:lang w:val="en-US" w:eastAsia="zh-CN" w:bidi="ar"/>
              </w:rPr>
              <w:t>达标</w:t>
            </w:r>
          </w:p>
          <w:p w14:paraId="41B809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b/>
                <w:bCs/>
                <w:i w:val="0"/>
                <w:iCs w:val="0"/>
                <w:color w:val="000000"/>
                <w:sz w:val="22"/>
                <w:szCs w:val="22"/>
                <w:u w:val="none"/>
              </w:rPr>
            </w:pPr>
            <w:r>
              <w:rPr>
                <w:rFonts w:hint="default" w:ascii="仿宋" w:hAnsi="仿宋" w:eastAsia="仿宋" w:cs="仿宋"/>
                <w:b/>
                <w:bCs/>
                <w:i w:val="0"/>
                <w:iCs w:val="0"/>
                <w:color w:val="000000"/>
                <w:kern w:val="0"/>
                <w:sz w:val="22"/>
                <w:szCs w:val="22"/>
                <w:u w:val="none"/>
                <w:lang w:val="en-US" w:eastAsia="zh-CN" w:bidi="ar"/>
              </w:rPr>
              <w:t>情况</w:t>
            </w:r>
          </w:p>
        </w:tc>
      </w:tr>
      <w:tr w14:paraId="597E3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67" w:type="pct"/>
            <w:tcBorders>
              <w:top w:val="nil"/>
              <w:left w:val="single" w:color="auto" w:sz="4" w:space="0"/>
              <w:bottom w:val="single" w:color="auto" w:sz="4" w:space="0"/>
              <w:right w:val="single" w:color="auto" w:sz="4" w:space="0"/>
            </w:tcBorders>
            <w:shd w:val="clear" w:color="auto" w:fill="auto"/>
            <w:noWrap/>
            <w:vAlign w:val="center"/>
          </w:tcPr>
          <w:p w14:paraId="5C6AD2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hAnsi="仿宋" w:cs="仿宋"/>
                <w:i w:val="0"/>
                <w:iCs w:val="0"/>
                <w:color w:val="000000"/>
                <w:kern w:val="0"/>
                <w:sz w:val="22"/>
                <w:szCs w:val="22"/>
                <w:u w:val="none"/>
                <w:lang w:val="en-US" w:eastAsia="zh-CN" w:bidi="ar"/>
              </w:rPr>
            </w:pPr>
            <w:r>
              <w:rPr>
                <w:rFonts w:hint="eastAsia" w:hAnsi="仿宋" w:cs="仿宋"/>
                <w:i w:val="0"/>
                <w:iCs w:val="0"/>
                <w:color w:val="000000"/>
                <w:kern w:val="0"/>
                <w:sz w:val="22"/>
                <w:szCs w:val="22"/>
                <w:u w:val="none"/>
                <w:lang w:val="en-US" w:eastAsia="zh-CN" w:bidi="ar"/>
              </w:rPr>
              <w:t>2023年</w:t>
            </w:r>
          </w:p>
          <w:p w14:paraId="03FAB3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kern w:val="0"/>
                <w:sz w:val="22"/>
                <w:szCs w:val="22"/>
                <w:u w:val="none"/>
                <w:lang w:val="en-US" w:eastAsia="zh-CN" w:bidi="ar"/>
              </w:rPr>
              <w:t>7月12日</w:t>
            </w:r>
          </w:p>
        </w:tc>
        <w:tc>
          <w:tcPr>
            <w:tcW w:w="650" w:type="pct"/>
            <w:tcBorders>
              <w:top w:val="nil"/>
              <w:left w:val="nil"/>
              <w:bottom w:val="single" w:color="auto" w:sz="4" w:space="0"/>
              <w:right w:val="single" w:color="auto" w:sz="4" w:space="0"/>
            </w:tcBorders>
            <w:shd w:val="clear" w:color="auto" w:fill="auto"/>
            <w:noWrap/>
            <w:vAlign w:val="center"/>
          </w:tcPr>
          <w:p w14:paraId="52F1DF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kern w:val="0"/>
                <w:sz w:val="22"/>
                <w:szCs w:val="22"/>
                <w:u w:val="none"/>
                <w:lang w:val="en-US" w:eastAsia="zh-CN" w:bidi="ar"/>
              </w:rPr>
              <w:t>42</w:t>
            </w:r>
          </w:p>
        </w:tc>
        <w:tc>
          <w:tcPr>
            <w:tcW w:w="642" w:type="pct"/>
            <w:tcBorders>
              <w:top w:val="nil"/>
              <w:left w:val="nil"/>
              <w:bottom w:val="single" w:color="auto" w:sz="4" w:space="0"/>
              <w:right w:val="single" w:color="auto" w:sz="4" w:space="0"/>
            </w:tcBorders>
            <w:shd w:val="clear" w:color="auto" w:fill="auto"/>
            <w:noWrap/>
            <w:vAlign w:val="center"/>
          </w:tcPr>
          <w:p w14:paraId="5F134C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kern w:val="0"/>
                <w:sz w:val="22"/>
                <w:szCs w:val="22"/>
                <w:u w:val="none"/>
                <w:lang w:val="en-US" w:eastAsia="zh-CN" w:bidi="ar"/>
              </w:rPr>
              <w:t>8.8</w:t>
            </w:r>
          </w:p>
        </w:tc>
        <w:tc>
          <w:tcPr>
            <w:tcW w:w="541" w:type="pct"/>
            <w:tcBorders>
              <w:top w:val="nil"/>
              <w:left w:val="nil"/>
              <w:bottom w:val="single" w:color="auto" w:sz="4" w:space="0"/>
              <w:right w:val="single" w:color="auto" w:sz="4" w:space="0"/>
            </w:tcBorders>
            <w:shd w:val="clear" w:color="auto" w:fill="auto"/>
            <w:noWrap/>
            <w:vAlign w:val="center"/>
          </w:tcPr>
          <w:p w14:paraId="243422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kern w:val="0"/>
                <w:sz w:val="22"/>
                <w:szCs w:val="22"/>
                <w:u w:val="none"/>
                <w:lang w:val="en-US" w:eastAsia="zh-CN" w:bidi="ar"/>
              </w:rPr>
              <w:t>7</w:t>
            </w:r>
          </w:p>
        </w:tc>
        <w:tc>
          <w:tcPr>
            <w:tcW w:w="561" w:type="pct"/>
            <w:tcBorders>
              <w:top w:val="nil"/>
              <w:left w:val="nil"/>
              <w:bottom w:val="single" w:color="auto" w:sz="4" w:space="0"/>
              <w:right w:val="single" w:color="auto" w:sz="4" w:space="0"/>
            </w:tcBorders>
            <w:shd w:val="clear" w:color="auto" w:fill="auto"/>
            <w:noWrap/>
            <w:vAlign w:val="center"/>
          </w:tcPr>
          <w:p w14:paraId="11B982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kern w:val="0"/>
                <w:sz w:val="22"/>
                <w:szCs w:val="22"/>
                <w:u w:val="none"/>
                <w:lang w:val="en-US" w:eastAsia="zh-CN" w:bidi="ar"/>
              </w:rPr>
              <w:t>1.86</w:t>
            </w:r>
          </w:p>
        </w:tc>
        <w:tc>
          <w:tcPr>
            <w:tcW w:w="806" w:type="pct"/>
            <w:tcBorders>
              <w:top w:val="nil"/>
              <w:left w:val="nil"/>
              <w:bottom w:val="single" w:color="auto" w:sz="4" w:space="0"/>
              <w:right w:val="single" w:color="auto" w:sz="4" w:space="0"/>
            </w:tcBorders>
            <w:shd w:val="clear" w:color="auto" w:fill="auto"/>
            <w:noWrap/>
            <w:vAlign w:val="center"/>
          </w:tcPr>
          <w:p w14:paraId="5513B6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kern w:val="0"/>
                <w:sz w:val="22"/>
                <w:szCs w:val="22"/>
                <w:u w:val="none"/>
                <w:lang w:val="en-US" w:eastAsia="zh-CN" w:bidi="ar"/>
              </w:rPr>
              <w:t>11.6</w:t>
            </w:r>
          </w:p>
        </w:tc>
        <w:tc>
          <w:tcPr>
            <w:tcW w:w="642" w:type="pct"/>
            <w:tcBorders>
              <w:top w:val="nil"/>
              <w:left w:val="nil"/>
              <w:bottom w:val="single" w:color="auto" w:sz="4" w:space="0"/>
              <w:right w:val="single" w:color="auto" w:sz="4" w:space="0"/>
            </w:tcBorders>
            <w:shd w:val="clear" w:color="auto" w:fill="auto"/>
            <w:noWrap/>
            <w:vAlign w:val="center"/>
          </w:tcPr>
          <w:p w14:paraId="41871E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kern w:val="0"/>
                <w:sz w:val="22"/>
                <w:szCs w:val="22"/>
                <w:u w:val="none"/>
                <w:lang w:val="en-US" w:eastAsia="zh-CN" w:bidi="ar"/>
              </w:rPr>
              <w:t>0.03</w:t>
            </w:r>
          </w:p>
        </w:tc>
        <w:tc>
          <w:tcPr>
            <w:tcW w:w="386" w:type="pct"/>
            <w:tcBorders>
              <w:top w:val="nil"/>
              <w:left w:val="nil"/>
              <w:bottom w:val="single" w:color="auto" w:sz="4" w:space="0"/>
              <w:right w:val="single" w:color="auto" w:sz="4" w:space="0"/>
            </w:tcBorders>
            <w:shd w:val="clear" w:color="auto" w:fill="auto"/>
            <w:noWrap/>
            <w:vAlign w:val="center"/>
          </w:tcPr>
          <w:p w14:paraId="083B9E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kern w:val="0"/>
                <w:sz w:val="22"/>
                <w:szCs w:val="22"/>
                <w:u w:val="none"/>
                <w:lang w:val="en-US" w:eastAsia="zh-CN" w:bidi="ar"/>
              </w:rPr>
              <w:t>达标</w:t>
            </w:r>
          </w:p>
        </w:tc>
      </w:tr>
      <w:tr w14:paraId="07560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67" w:type="pct"/>
            <w:tcBorders>
              <w:top w:val="nil"/>
              <w:left w:val="single" w:color="auto" w:sz="4" w:space="0"/>
              <w:bottom w:val="single" w:color="auto" w:sz="4" w:space="0"/>
              <w:right w:val="single" w:color="auto" w:sz="4" w:space="0"/>
            </w:tcBorders>
            <w:shd w:val="clear" w:color="auto" w:fill="auto"/>
            <w:noWrap/>
            <w:vAlign w:val="center"/>
          </w:tcPr>
          <w:p w14:paraId="29815A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hAnsi="仿宋" w:cs="仿宋"/>
                <w:i w:val="0"/>
                <w:iCs w:val="0"/>
                <w:color w:val="000000"/>
                <w:kern w:val="0"/>
                <w:sz w:val="22"/>
                <w:szCs w:val="22"/>
                <w:u w:val="none"/>
                <w:lang w:val="en-US" w:eastAsia="zh-CN" w:bidi="ar"/>
              </w:rPr>
            </w:pPr>
            <w:r>
              <w:rPr>
                <w:rFonts w:hint="eastAsia" w:hAnsi="仿宋" w:cs="仿宋"/>
                <w:i w:val="0"/>
                <w:iCs w:val="0"/>
                <w:color w:val="000000"/>
                <w:kern w:val="0"/>
                <w:sz w:val="22"/>
                <w:szCs w:val="22"/>
                <w:u w:val="none"/>
                <w:lang w:val="en-US" w:eastAsia="zh-CN" w:bidi="ar"/>
              </w:rPr>
              <w:t>2023年</w:t>
            </w:r>
          </w:p>
          <w:p w14:paraId="321592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kern w:val="0"/>
                <w:sz w:val="22"/>
                <w:szCs w:val="22"/>
                <w:u w:val="none"/>
                <w:lang w:val="en-US" w:eastAsia="zh-CN" w:bidi="ar"/>
              </w:rPr>
              <w:t>8月24日</w:t>
            </w:r>
          </w:p>
        </w:tc>
        <w:tc>
          <w:tcPr>
            <w:tcW w:w="650" w:type="pct"/>
            <w:tcBorders>
              <w:top w:val="nil"/>
              <w:left w:val="nil"/>
              <w:bottom w:val="single" w:color="auto" w:sz="4" w:space="0"/>
              <w:right w:val="single" w:color="auto" w:sz="4" w:space="0"/>
            </w:tcBorders>
            <w:shd w:val="clear" w:color="auto" w:fill="auto"/>
            <w:noWrap/>
            <w:vAlign w:val="center"/>
          </w:tcPr>
          <w:p w14:paraId="26B7CB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kern w:val="0"/>
                <w:sz w:val="22"/>
                <w:szCs w:val="22"/>
                <w:u w:val="none"/>
                <w:lang w:val="en-US" w:eastAsia="zh-CN" w:bidi="ar"/>
              </w:rPr>
              <w:t>42</w:t>
            </w:r>
          </w:p>
        </w:tc>
        <w:tc>
          <w:tcPr>
            <w:tcW w:w="642" w:type="pct"/>
            <w:tcBorders>
              <w:top w:val="nil"/>
              <w:left w:val="nil"/>
              <w:bottom w:val="single" w:color="auto" w:sz="4" w:space="0"/>
              <w:right w:val="single" w:color="auto" w:sz="4" w:space="0"/>
            </w:tcBorders>
            <w:shd w:val="clear" w:color="auto" w:fill="auto"/>
            <w:noWrap/>
            <w:vAlign w:val="center"/>
          </w:tcPr>
          <w:p w14:paraId="1E0CF5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kern w:val="0"/>
                <w:sz w:val="22"/>
                <w:szCs w:val="22"/>
                <w:u w:val="none"/>
                <w:lang w:val="en-US" w:eastAsia="zh-CN" w:bidi="ar"/>
              </w:rPr>
              <w:t>9.5</w:t>
            </w:r>
          </w:p>
        </w:tc>
        <w:tc>
          <w:tcPr>
            <w:tcW w:w="541" w:type="pct"/>
            <w:tcBorders>
              <w:top w:val="nil"/>
              <w:left w:val="nil"/>
              <w:bottom w:val="single" w:color="auto" w:sz="4" w:space="0"/>
              <w:right w:val="single" w:color="auto" w:sz="4" w:space="0"/>
            </w:tcBorders>
            <w:shd w:val="clear" w:color="auto" w:fill="auto"/>
            <w:noWrap/>
            <w:vAlign w:val="center"/>
          </w:tcPr>
          <w:p w14:paraId="1F6119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kern w:val="0"/>
                <w:sz w:val="22"/>
                <w:szCs w:val="22"/>
                <w:u w:val="none"/>
                <w:lang w:val="en-US" w:eastAsia="zh-CN" w:bidi="ar"/>
              </w:rPr>
              <w:t>7</w:t>
            </w:r>
          </w:p>
        </w:tc>
        <w:tc>
          <w:tcPr>
            <w:tcW w:w="561" w:type="pct"/>
            <w:tcBorders>
              <w:top w:val="nil"/>
              <w:left w:val="nil"/>
              <w:bottom w:val="single" w:color="auto" w:sz="4" w:space="0"/>
              <w:right w:val="single" w:color="auto" w:sz="4" w:space="0"/>
            </w:tcBorders>
            <w:shd w:val="clear" w:color="auto" w:fill="auto"/>
            <w:noWrap/>
            <w:vAlign w:val="center"/>
          </w:tcPr>
          <w:p w14:paraId="79E596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kern w:val="0"/>
                <w:sz w:val="22"/>
                <w:szCs w:val="22"/>
                <w:u w:val="none"/>
                <w:lang w:val="en-US" w:eastAsia="zh-CN" w:bidi="ar"/>
              </w:rPr>
              <w:t>1.18</w:t>
            </w:r>
          </w:p>
        </w:tc>
        <w:tc>
          <w:tcPr>
            <w:tcW w:w="806" w:type="pct"/>
            <w:tcBorders>
              <w:top w:val="nil"/>
              <w:left w:val="nil"/>
              <w:bottom w:val="single" w:color="auto" w:sz="4" w:space="0"/>
              <w:right w:val="single" w:color="auto" w:sz="4" w:space="0"/>
            </w:tcBorders>
            <w:shd w:val="clear" w:color="auto" w:fill="auto"/>
            <w:noWrap/>
            <w:vAlign w:val="center"/>
          </w:tcPr>
          <w:p w14:paraId="45262B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kern w:val="0"/>
                <w:sz w:val="22"/>
                <w:szCs w:val="22"/>
                <w:u w:val="none"/>
                <w:lang w:val="en-US" w:eastAsia="zh-CN" w:bidi="ar"/>
              </w:rPr>
              <w:t>12</w:t>
            </w:r>
          </w:p>
        </w:tc>
        <w:tc>
          <w:tcPr>
            <w:tcW w:w="642" w:type="pct"/>
            <w:tcBorders>
              <w:top w:val="nil"/>
              <w:left w:val="nil"/>
              <w:bottom w:val="single" w:color="auto" w:sz="4" w:space="0"/>
              <w:right w:val="single" w:color="auto" w:sz="4" w:space="0"/>
            </w:tcBorders>
            <w:shd w:val="clear" w:color="auto" w:fill="auto"/>
            <w:noWrap/>
            <w:vAlign w:val="center"/>
          </w:tcPr>
          <w:p w14:paraId="0205A2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kern w:val="0"/>
                <w:sz w:val="22"/>
                <w:szCs w:val="22"/>
                <w:u w:val="none"/>
                <w:lang w:val="en-US" w:eastAsia="zh-CN" w:bidi="ar"/>
              </w:rPr>
              <w:t>0.02</w:t>
            </w:r>
          </w:p>
        </w:tc>
        <w:tc>
          <w:tcPr>
            <w:tcW w:w="386" w:type="pct"/>
            <w:tcBorders>
              <w:top w:val="nil"/>
              <w:left w:val="nil"/>
              <w:bottom w:val="single" w:color="auto" w:sz="4" w:space="0"/>
              <w:right w:val="single" w:color="auto" w:sz="4" w:space="0"/>
            </w:tcBorders>
            <w:shd w:val="clear" w:color="auto" w:fill="auto"/>
            <w:noWrap/>
            <w:vAlign w:val="center"/>
          </w:tcPr>
          <w:p w14:paraId="50B816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kern w:val="0"/>
                <w:sz w:val="22"/>
                <w:szCs w:val="22"/>
                <w:u w:val="none"/>
                <w:lang w:val="en-US" w:eastAsia="zh-CN" w:bidi="ar"/>
              </w:rPr>
              <w:t>达标</w:t>
            </w:r>
          </w:p>
        </w:tc>
      </w:tr>
      <w:tr w14:paraId="36663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67" w:type="pct"/>
            <w:tcBorders>
              <w:top w:val="nil"/>
              <w:left w:val="single" w:color="auto" w:sz="4" w:space="0"/>
              <w:bottom w:val="single" w:color="auto" w:sz="4" w:space="0"/>
              <w:right w:val="single" w:color="auto" w:sz="4" w:space="0"/>
            </w:tcBorders>
            <w:shd w:val="clear" w:color="auto" w:fill="auto"/>
            <w:noWrap/>
            <w:vAlign w:val="center"/>
          </w:tcPr>
          <w:p w14:paraId="25453A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hAnsi="仿宋" w:cs="仿宋"/>
                <w:i w:val="0"/>
                <w:iCs w:val="0"/>
                <w:color w:val="000000"/>
                <w:kern w:val="0"/>
                <w:sz w:val="22"/>
                <w:szCs w:val="22"/>
                <w:u w:val="none"/>
                <w:lang w:val="en-US" w:eastAsia="zh-CN" w:bidi="ar"/>
              </w:rPr>
            </w:pPr>
            <w:r>
              <w:rPr>
                <w:rFonts w:hint="eastAsia" w:hAnsi="仿宋" w:cs="仿宋"/>
                <w:i w:val="0"/>
                <w:iCs w:val="0"/>
                <w:color w:val="000000"/>
                <w:kern w:val="0"/>
                <w:sz w:val="22"/>
                <w:szCs w:val="22"/>
                <w:u w:val="none"/>
                <w:lang w:val="en-US" w:eastAsia="zh-CN" w:bidi="ar"/>
              </w:rPr>
              <w:t>2023年</w:t>
            </w:r>
          </w:p>
          <w:p w14:paraId="7024CF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kern w:val="0"/>
                <w:sz w:val="22"/>
                <w:szCs w:val="22"/>
                <w:u w:val="none"/>
                <w:lang w:val="en-US" w:eastAsia="zh-CN" w:bidi="ar"/>
              </w:rPr>
              <w:t>9月20日</w:t>
            </w:r>
          </w:p>
        </w:tc>
        <w:tc>
          <w:tcPr>
            <w:tcW w:w="650" w:type="pct"/>
            <w:tcBorders>
              <w:top w:val="nil"/>
              <w:left w:val="nil"/>
              <w:bottom w:val="single" w:color="auto" w:sz="4" w:space="0"/>
              <w:right w:val="single" w:color="auto" w:sz="4" w:space="0"/>
            </w:tcBorders>
            <w:shd w:val="clear" w:color="auto" w:fill="auto"/>
            <w:noWrap/>
            <w:vAlign w:val="center"/>
          </w:tcPr>
          <w:p w14:paraId="141649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kern w:val="0"/>
                <w:sz w:val="22"/>
                <w:szCs w:val="22"/>
                <w:u w:val="none"/>
                <w:lang w:val="en-US" w:eastAsia="zh-CN" w:bidi="ar"/>
              </w:rPr>
              <w:t>38</w:t>
            </w:r>
          </w:p>
        </w:tc>
        <w:tc>
          <w:tcPr>
            <w:tcW w:w="642" w:type="pct"/>
            <w:tcBorders>
              <w:top w:val="nil"/>
              <w:left w:val="nil"/>
              <w:bottom w:val="single" w:color="auto" w:sz="4" w:space="0"/>
              <w:right w:val="single" w:color="auto" w:sz="4" w:space="0"/>
            </w:tcBorders>
            <w:shd w:val="clear" w:color="auto" w:fill="auto"/>
            <w:noWrap/>
            <w:vAlign w:val="center"/>
          </w:tcPr>
          <w:p w14:paraId="12E4AB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kern w:val="0"/>
                <w:sz w:val="22"/>
                <w:szCs w:val="22"/>
                <w:u w:val="none"/>
                <w:lang w:val="en-US" w:eastAsia="zh-CN" w:bidi="ar"/>
              </w:rPr>
              <w:t>8.7</w:t>
            </w:r>
          </w:p>
        </w:tc>
        <w:tc>
          <w:tcPr>
            <w:tcW w:w="541" w:type="pct"/>
            <w:tcBorders>
              <w:top w:val="nil"/>
              <w:left w:val="nil"/>
              <w:bottom w:val="single" w:color="auto" w:sz="4" w:space="0"/>
              <w:right w:val="single" w:color="auto" w:sz="4" w:space="0"/>
            </w:tcBorders>
            <w:shd w:val="clear" w:color="auto" w:fill="auto"/>
            <w:noWrap/>
            <w:vAlign w:val="center"/>
          </w:tcPr>
          <w:p w14:paraId="367916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kern w:val="0"/>
                <w:sz w:val="22"/>
                <w:szCs w:val="22"/>
                <w:u w:val="none"/>
                <w:lang w:val="en-US" w:eastAsia="zh-CN" w:bidi="ar"/>
              </w:rPr>
              <w:t>6</w:t>
            </w:r>
          </w:p>
        </w:tc>
        <w:tc>
          <w:tcPr>
            <w:tcW w:w="561" w:type="pct"/>
            <w:tcBorders>
              <w:top w:val="nil"/>
              <w:left w:val="nil"/>
              <w:bottom w:val="single" w:color="auto" w:sz="4" w:space="0"/>
              <w:right w:val="single" w:color="auto" w:sz="4" w:space="0"/>
            </w:tcBorders>
            <w:shd w:val="clear" w:color="auto" w:fill="auto"/>
            <w:noWrap/>
            <w:vAlign w:val="center"/>
          </w:tcPr>
          <w:p w14:paraId="64484E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kern w:val="0"/>
                <w:sz w:val="22"/>
                <w:szCs w:val="22"/>
                <w:u w:val="none"/>
                <w:lang w:val="en-US" w:eastAsia="zh-CN" w:bidi="ar"/>
              </w:rPr>
              <w:t>0.832</w:t>
            </w:r>
          </w:p>
        </w:tc>
        <w:tc>
          <w:tcPr>
            <w:tcW w:w="806" w:type="pct"/>
            <w:tcBorders>
              <w:top w:val="nil"/>
              <w:left w:val="nil"/>
              <w:bottom w:val="single" w:color="auto" w:sz="4" w:space="0"/>
              <w:right w:val="single" w:color="auto" w:sz="4" w:space="0"/>
            </w:tcBorders>
            <w:shd w:val="clear" w:color="auto" w:fill="auto"/>
            <w:noWrap/>
            <w:vAlign w:val="center"/>
          </w:tcPr>
          <w:p w14:paraId="5470A7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kern w:val="0"/>
                <w:sz w:val="22"/>
                <w:szCs w:val="22"/>
                <w:u w:val="none"/>
                <w:lang w:val="en-US" w:eastAsia="zh-CN" w:bidi="ar"/>
              </w:rPr>
              <w:t>9.56</w:t>
            </w:r>
          </w:p>
        </w:tc>
        <w:tc>
          <w:tcPr>
            <w:tcW w:w="642" w:type="pct"/>
            <w:tcBorders>
              <w:top w:val="nil"/>
              <w:left w:val="nil"/>
              <w:bottom w:val="single" w:color="auto" w:sz="4" w:space="0"/>
              <w:right w:val="single" w:color="auto" w:sz="4" w:space="0"/>
            </w:tcBorders>
            <w:shd w:val="clear" w:color="auto" w:fill="auto"/>
            <w:noWrap/>
            <w:vAlign w:val="center"/>
          </w:tcPr>
          <w:p w14:paraId="7DA0C0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kern w:val="0"/>
                <w:sz w:val="22"/>
                <w:szCs w:val="22"/>
                <w:u w:val="none"/>
                <w:lang w:val="en-US" w:eastAsia="zh-CN" w:bidi="ar"/>
              </w:rPr>
              <w:t>0.03</w:t>
            </w:r>
          </w:p>
        </w:tc>
        <w:tc>
          <w:tcPr>
            <w:tcW w:w="386" w:type="pct"/>
            <w:tcBorders>
              <w:top w:val="nil"/>
              <w:left w:val="nil"/>
              <w:bottom w:val="single" w:color="auto" w:sz="4" w:space="0"/>
              <w:right w:val="single" w:color="auto" w:sz="4" w:space="0"/>
            </w:tcBorders>
            <w:shd w:val="clear" w:color="auto" w:fill="auto"/>
            <w:noWrap/>
            <w:vAlign w:val="center"/>
          </w:tcPr>
          <w:p w14:paraId="7E13A6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kern w:val="0"/>
                <w:sz w:val="22"/>
                <w:szCs w:val="22"/>
                <w:u w:val="none"/>
                <w:lang w:val="en-US" w:eastAsia="zh-CN" w:bidi="ar"/>
              </w:rPr>
              <w:t>达标</w:t>
            </w:r>
          </w:p>
        </w:tc>
      </w:tr>
      <w:tr w14:paraId="3F2BC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67" w:type="pct"/>
            <w:tcBorders>
              <w:top w:val="nil"/>
              <w:left w:val="single" w:color="auto" w:sz="4" w:space="0"/>
              <w:bottom w:val="single" w:color="auto" w:sz="4" w:space="0"/>
              <w:right w:val="single" w:color="auto" w:sz="4" w:space="0"/>
            </w:tcBorders>
            <w:shd w:val="clear" w:color="auto" w:fill="auto"/>
            <w:noWrap/>
            <w:vAlign w:val="center"/>
          </w:tcPr>
          <w:p w14:paraId="52C63B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hAnsi="仿宋" w:cs="仿宋"/>
                <w:i w:val="0"/>
                <w:iCs w:val="0"/>
                <w:color w:val="000000"/>
                <w:kern w:val="0"/>
                <w:sz w:val="22"/>
                <w:szCs w:val="22"/>
                <w:u w:val="none"/>
                <w:lang w:val="en-US" w:eastAsia="zh-CN" w:bidi="ar"/>
              </w:rPr>
            </w:pPr>
            <w:r>
              <w:rPr>
                <w:rFonts w:hint="eastAsia" w:hAnsi="仿宋" w:cs="仿宋"/>
                <w:i w:val="0"/>
                <w:iCs w:val="0"/>
                <w:color w:val="000000"/>
                <w:kern w:val="0"/>
                <w:sz w:val="22"/>
                <w:szCs w:val="22"/>
                <w:u w:val="none"/>
                <w:lang w:val="en-US" w:eastAsia="zh-CN" w:bidi="ar"/>
              </w:rPr>
              <w:t>2023年</w:t>
            </w:r>
          </w:p>
          <w:p w14:paraId="2600B1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kern w:val="0"/>
                <w:sz w:val="22"/>
                <w:szCs w:val="22"/>
                <w:u w:val="none"/>
                <w:lang w:val="en-US" w:eastAsia="zh-CN" w:bidi="ar"/>
              </w:rPr>
              <w:t>10月7日</w:t>
            </w:r>
          </w:p>
        </w:tc>
        <w:tc>
          <w:tcPr>
            <w:tcW w:w="650" w:type="pct"/>
            <w:tcBorders>
              <w:top w:val="nil"/>
              <w:left w:val="nil"/>
              <w:bottom w:val="single" w:color="auto" w:sz="4" w:space="0"/>
              <w:right w:val="single" w:color="auto" w:sz="4" w:space="0"/>
            </w:tcBorders>
            <w:shd w:val="clear" w:color="auto" w:fill="auto"/>
            <w:noWrap/>
            <w:vAlign w:val="center"/>
          </w:tcPr>
          <w:p w14:paraId="46F486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kern w:val="0"/>
                <w:sz w:val="22"/>
                <w:szCs w:val="22"/>
                <w:u w:val="none"/>
                <w:lang w:val="en-US" w:eastAsia="zh-CN" w:bidi="ar"/>
              </w:rPr>
              <w:t>30</w:t>
            </w:r>
          </w:p>
        </w:tc>
        <w:tc>
          <w:tcPr>
            <w:tcW w:w="642" w:type="pct"/>
            <w:tcBorders>
              <w:top w:val="nil"/>
              <w:left w:val="nil"/>
              <w:bottom w:val="single" w:color="auto" w:sz="4" w:space="0"/>
              <w:right w:val="single" w:color="auto" w:sz="4" w:space="0"/>
            </w:tcBorders>
            <w:shd w:val="clear" w:color="auto" w:fill="auto"/>
            <w:noWrap/>
            <w:vAlign w:val="center"/>
          </w:tcPr>
          <w:p w14:paraId="45CE1A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kern w:val="0"/>
                <w:sz w:val="22"/>
                <w:szCs w:val="22"/>
                <w:u w:val="none"/>
                <w:lang w:val="en-US" w:eastAsia="zh-CN" w:bidi="ar"/>
              </w:rPr>
              <w:t>8.4</w:t>
            </w:r>
          </w:p>
        </w:tc>
        <w:tc>
          <w:tcPr>
            <w:tcW w:w="541" w:type="pct"/>
            <w:tcBorders>
              <w:top w:val="nil"/>
              <w:left w:val="nil"/>
              <w:bottom w:val="single" w:color="auto" w:sz="4" w:space="0"/>
              <w:right w:val="single" w:color="auto" w:sz="4" w:space="0"/>
            </w:tcBorders>
            <w:shd w:val="clear" w:color="auto" w:fill="auto"/>
            <w:noWrap/>
            <w:vAlign w:val="center"/>
          </w:tcPr>
          <w:p w14:paraId="4AC98A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kern w:val="0"/>
                <w:sz w:val="22"/>
                <w:szCs w:val="22"/>
                <w:u w:val="none"/>
                <w:lang w:val="en-US" w:eastAsia="zh-CN" w:bidi="ar"/>
              </w:rPr>
              <w:t>9</w:t>
            </w:r>
          </w:p>
        </w:tc>
        <w:tc>
          <w:tcPr>
            <w:tcW w:w="561" w:type="pct"/>
            <w:tcBorders>
              <w:top w:val="nil"/>
              <w:left w:val="nil"/>
              <w:bottom w:val="single" w:color="auto" w:sz="4" w:space="0"/>
              <w:right w:val="single" w:color="auto" w:sz="4" w:space="0"/>
            </w:tcBorders>
            <w:shd w:val="clear" w:color="auto" w:fill="auto"/>
            <w:noWrap/>
            <w:vAlign w:val="center"/>
          </w:tcPr>
          <w:p w14:paraId="5A0B33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kern w:val="0"/>
                <w:sz w:val="22"/>
                <w:szCs w:val="22"/>
                <w:u w:val="none"/>
                <w:lang w:val="en-US" w:eastAsia="zh-CN" w:bidi="ar"/>
              </w:rPr>
              <w:t>1.01</w:t>
            </w:r>
          </w:p>
        </w:tc>
        <w:tc>
          <w:tcPr>
            <w:tcW w:w="806" w:type="pct"/>
            <w:tcBorders>
              <w:top w:val="nil"/>
              <w:left w:val="nil"/>
              <w:bottom w:val="single" w:color="auto" w:sz="4" w:space="0"/>
              <w:right w:val="single" w:color="auto" w:sz="4" w:space="0"/>
            </w:tcBorders>
            <w:shd w:val="clear" w:color="auto" w:fill="auto"/>
            <w:noWrap/>
            <w:vAlign w:val="center"/>
          </w:tcPr>
          <w:p w14:paraId="5DA3A3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kern w:val="0"/>
                <w:sz w:val="22"/>
                <w:szCs w:val="22"/>
                <w:u w:val="none"/>
                <w:lang w:val="en-US" w:eastAsia="zh-CN" w:bidi="ar"/>
              </w:rPr>
              <w:t>6.2</w:t>
            </w:r>
          </w:p>
        </w:tc>
        <w:tc>
          <w:tcPr>
            <w:tcW w:w="642" w:type="pct"/>
            <w:tcBorders>
              <w:top w:val="nil"/>
              <w:left w:val="nil"/>
              <w:bottom w:val="single" w:color="auto" w:sz="4" w:space="0"/>
              <w:right w:val="single" w:color="auto" w:sz="4" w:space="0"/>
            </w:tcBorders>
            <w:shd w:val="clear" w:color="auto" w:fill="auto"/>
            <w:noWrap/>
            <w:vAlign w:val="center"/>
          </w:tcPr>
          <w:p w14:paraId="3E7663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kern w:val="0"/>
                <w:sz w:val="22"/>
                <w:szCs w:val="22"/>
                <w:u w:val="none"/>
                <w:lang w:val="en-US" w:eastAsia="zh-CN" w:bidi="ar"/>
              </w:rPr>
              <w:t>0.02</w:t>
            </w:r>
          </w:p>
        </w:tc>
        <w:tc>
          <w:tcPr>
            <w:tcW w:w="386" w:type="pct"/>
            <w:tcBorders>
              <w:top w:val="nil"/>
              <w:left w:val="nil"/>
              <w:bottom w:val="single" w:color="auto" w:sz="4" w:space="0"/>
              <w:right w:val="single" w:color="auto" w:sz="4" w:space="0"/>
            </w:tcBorders>
            <w:shd w:val="clear" w:color="auto" w:fill="auto"/>
            <w:noWrap/>
            <w:vAlign w:val="center"/>
          </w:tcPr>
          <w:p w14:paraId="18D2D4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kern w:val="0"/>
                <w:sz w:val="22"/>
                <w:szCs w:val="22"/>
                <w:u w:val="none"/>
                <w:lang w:val="en-US" w:eastAsia="zh-CN" w:bidi="ar"/>
              </w:rPr>
              <w:t>达标</w:t>
            </w:r>
          </w:p>
        </w:tc>
      </w:tr>
      <w:tr w14:paraId="027AB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67" w:type="pct"/>
            <w:tcBorders>
              <w:top w:val="nil"/>
              <w:left w:val="single" w:color="auto" w:sz="4" w:space="0"/>
              <w:bottom w:val="single" w:color="auto" w:sz="4" w:space="0"/>
              <w:right w:val="single" w:color="auto" w:sz="4" w:space="0"/>
            </w:tcBorders>
            <w:shd w:val="clear" w:color="auto" w:fill="auto"/>
            <w:noWrap/>
            <w:vAlign w:val="center"/>
          </w:tcPr>
          <w:p w14:paraId="45841E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hAnsi="仿宋" w:cs="仿宋"/>
                <w:i w:val="0"/>
                <w:iCs w:val="0"/>
                <w:color w:val="000000"/>
                <w:kern w:val="0"/>
                <w:sz w:val="22"/>
                <w:szCs w:val="22"/>
                <w:u w:val="none"/>
                <w:lang w:val="en-US" w:eastAsia="zh-CN" w:bidi="ar"/>
              </w:rPr>
            </w:pPr>
            <w:r>
              <w:rPr>
                <w:rFonts w:hint="eastAsia" w:hAnsi="仿宋" w:cs="仿宋"/>
                <w:i w:val="0"/>
                <w:iCs w:val="0"/>
                <w:color w:val="000000"/>
                <w:kern w:val="0"/>
                <w:sz w:val="22"/>
                <w:szCs w:val="22"/>
                <w:u w:val="none"/>
                <w:lang w:val="en-US" w:eastAsia="zh-CN" w:bidi="ar"/>
              </w:rPr>
              <w:t>2023年</w:t>
            </w:r>
          </w:p>
          <w:p w14:paraId="5E696B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kern w:val="0"/>
                <w:sz w:val="22"/>
                <w:szCs w:val="22"/>
                <w:u w:val="none"/>
                <w:lang w:val="en-US" w:eastAsia="zh-CN" w:bidi="ar"/>
              </w:rPr>
              <w:t>11月22日</w:t>
            </w:r>
          </w:p>
        </w:tc>
        <w:tc>
          <w:tcPr>
            <w:tcW w:w="650" w:type="pct"/>
            <w:tcBorders>
              <w:top w:val="nil"/>
              <w:left w:val="nil"/>
              <w:bottom w:val="single" w:color="auto" w:sz="4" w:space="0"/>
              <w:right w:val="single" w:color="auto" w:sz="4" w:space="0"/>
            </w:tcBorders>
            <w:shd w:val="clear" w:color="auto" w:fill="auto"/>
            <w:noWrap/>
            <w:vAlign w:val="center"/>
          </w:tcPr>
          <w:p w14:paraId="7600B0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kern w:val="0"/>
                <w:sz w:val="22"/>
                <w:szCs w:val="22"/>
                <w:u w:val="none"/>
                <w:lang w:val="en-US" w:eastAsia="zh-CN" w:bidi="ar"/>
              </w:rPr>
              <w:t>18</w:t>
            </w:r>
          </w:p>
        </w:tc>
        <w:tc>
          <w:tcPr>
            <w:tcW w:w="642" w:type="pct"/>
            <w:tcBorders>
              <w:top w:val="nil"/>
              <w:left w:val="nil"/>
              <w:bottom w:val="single" w:color="auto" w:sz="4" w:space="0"/>
              <w:right w:val="single" w:color="auto" w:sz="4" w:space="0"/>
            </w:tcBorders>
            <w:shd w:val="clear" w:color="auto" w:fill="auto"/>
            <w:noWrap/>
            <w:vAlign w:val="center"/>
          </w:tcPr>
          <w:p w14:paraId="428678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kern w:val="0"/>
                <w:sz w:val="22"/>
                <w:szCs w:val="22"/>
                <w:u w:val="none"/>
                <w:lang w:val="en-US" w:eastAsia="zh-CN" w:bidi="ar"/>
              </w:rPr>
              <w:t>3.6</w:t>
            </w:r>
          </w:p>
        </w:tc>
        <w:tc>
          <w:tcPr>
            <w:tcW w:w="541" w:type="pct"/>
            <w:tcBorders>
              <w:top w:val="nil"/>
              <w:left w:val="nil"/>
              <w:bottom w:val="single" w:color="auto" w:sz="4" w:space="0"/>
              <w:right w:val="single" w:color="auto" w:sz="4" w:space="0"/>
            </w:tcBorders>
            <w:shd w:val="clear" w:color="auto" w:fill="auto"/>
            <w:noWrap/>
            <w:vAlign w:val="center"/>
          </w:tcPr>
          <w:p w14:paraId="3C3A51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kern w:val="0"/>
                <w:sz w:val="22"/>
                <w:szCs w:val="22"/>
                <w:u w:val="none"/>
                <w:lang w:val="en-US" w:eastAsia="zh-CN" w:bidi="ar"/>
              </w:rPr>
              <w:t>9</w:t>
            </w:r>
          </w:p>
        </w:tc>
        <w:tc>
          <w:tcPr>
            <w:tcW w:w="561" w:type="pct"/>
            <w:tcBorders>
              <w:top w:val="nil"/>
              <w:left w:val="nil"/>
              <w:bottom w:val="single" w:color="auto" w:sz="4" w:space="0"/>
              <w:right w:val="single" w:color="auto" w:sz="4" w:space="0"/>
            </w:tcBorders>
            <w:shd w:val="clear" w:color="auto" w:fill="auto"/>
            <w:noWrap/>
            <w:vAlign w:val="center"/>
          </w:tcPr>
          <w:p w14:paraId="2E5395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kern w:val="0"/>
                <w:sz w:val="22"/>
                <w:szCs w:val="22"/>
                <w:u w:val="none"/>
                <w:lang w:val="en-US" w:eastAsia="zh-CN" w:bidi="ar"/>
              </w:rPr>
              <w:t>1.35</w:t>
            </w:r>
          </w:p>
        </w:tc>
        <w:tc>
          <w:tcPr>
            <w:tcW w:w="806" w:type="pct"/>
            <w:tcBorders>
              <w:top w:val="nil"/>
              <w:left w:val="nil"/>
              <w:bottom w:val="single" w:color="auto" w:sz="4" w:space="0"/>
              <w:right w:val="single" w:color="auto" w:sz="4" w:space="0"/>
            </w:tcBorders>
            <w:shd w:val="clear" w:color="auto" w:fill="auto"/>
            <w:noWrap/>
            <w:vAlign w:val="center"/>
          </w:tcPr>
          <w:p w14:paraId="28F7B6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kern w:val="0"/>
                <w:sz w:val="22"/>
                <w:szCs w:val="22"/>
                <w:u w:val="none"/>
                <w:lang w:val="en-US" w:eastAsia="zh-CN" w:bidi="ar"/>
              </w:rPr>
              <w:t>9.05</w:t>
            </w:r>
          </w:p>
        </w:tc>
        <w:tc>
          <w:tcPr>
            <w:tcW w:w="642" w:type="pct"/>
            <w:tcBorders>
              <w:top w:val="nil"/>
              <w:left w:val="nil"/>
              <w:bottom w:val="single" w:color="auto" w:sz="4" w:space="0"/>
              <w:right w:val="single" w:color="auto" w:sz="4" w:space="0"/>
            </w:tcBorders>
            <w:shd w:val="clear" w:color="auto" w:fill="auto"/>
            <w:noWrap/>
            <w:vAlign w:val="center"/>
          </w:tcPr>
          <w:p w14:paraId="1BD20F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kern w:val="0"/>
                <w:sz w:val="22"/>
                <w:szCs w:val="22"/>
                <w:u w:val="none"/>
                <w:lang w:val="en-US" w:eastAsia="zh-CN" w:bidi="ar"/>
              </w:rPr>
              <w:t>0.02</w:t>
            </w:r>
          </w:p>
        </w:tc>
        <w:tc>
          <w:tcPr>
            <w:tcW w:w="386" w:type="pct"/>
            <w:tcBorders>
              <w:top w:val="nil"/>
              <w:left w:val="nil"/>
              <w:bottom w:val="single" w:color="auto" w:sz="4" w:space="0"/>
              <w:right w:val="single" w:color="auto" w:sz="4" w:space="0"/>
            </w:tcBorders>
            <w:shd w:val="clear" w:color="auto" w:fill="auto"/>
            <w:noWrap/>
            <w:vAlign w:val="center"/>
          </w:tcPr>
          <w:p w14:paraId="20394A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kern w:val="0"/>
                <w:sz w:val="22"/>
                <w:szCs w:val="22"/>
                <w:u w:val="none"/>
                <w:lang w:val="en-US" w:eastAsia="zh-CN" w:bidi="ar"/>
              </w:rPr>
              <w:t>达标</w:t>
            </w:r>
          </w:p>
        </w:tc>
      </w:tr>
      <w:tr w14:paraId="35FC3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67" w:type="pct"/>
            <w:tcBorders>
              <w:top w:val="nil"/>
              <w:left w:val="single" w:color="auto" w:sz="4" w:space="0"/>
              <w:bottom w:val="nil"/>
              <w:right w:val="single" w:color="auto" w:sz="4" w:space="0"/>
            </w:tcBorders>
            <w:shd w:val="clear" w:color="auto" w:fill="auto"/>
            <w:noWrap/>
            <w:vAlign w:val="center"/>
          </w:tcPr>
          <w:p w14:paraId="787E98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hAnsi="仿宋" w:cs="仿宋"/>
                <w:i w:val="0"/>
                <w:iCs w:val="0"/>
                <w:color w:val="000000"/>
                <w:kern w:val="0"/>
                <w:sz w:val="22"/>
                <w:szCs w:val="22"/>
                <w:u w:val="none"/>
                <w:lang w:val="en-US" w:eastAsia="zh-CN" w:bidi="ar"/>
              </w:rPr>
            </w:pPr>
            <w:r>
              <w:rPr>
                <w:rFonts w:hint="eastAsia" w:hAnsi="仿宋" w:cs="仿宋"/>
                <w:i w:val="0"/>
                <w:iCs w:val="0"/>
                <w:color w:val="000000"/>
                <w:kern w:val="0"/>
                <w:sz w:val="22"/>
                <w:szCs w:val="22"/>
                <w:u w:val="none"/>
                <w:lang w:val="en-US" w:eastAsia="zh-CN" w:bidi="ar"/>
              </w:rPr>
              <w:t>2023年</w:t>
            </w:r>
          </w:p>
          <w:p w14:paraId="44F668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kern w:val="0"/>
                <w:sz w:val="22"/>
                <w:szCs w:val="22"/>
                <w:u w:val="none"/>
                <w:lang w:val="en-US" w:eastAsia="zh-CN" w:bidi="ar"/>
              </w:rPr>
              <w:t>12月25日</w:t>
            </w:r>
          </w:p>
        </w:tc>
        <w:tc>
          <w:tcPr>
            <w:tcW w:w="650" w:type="pct"/>
            <w:tcBorders>
              <w:top w:val="nil"/>
              <w:left w:val="nil"/>
              <w:bottom w:val="nil"/>
              <w:right w:val="single" w:color="auto" w:sz="4" w:space="0"/>
            </w:tcBorders>
            <w:shd w:val="clear" w:color="auto" w:fill="auto"/>
            <w:noWrap/>
            <w:vAlign w:val="center"/>
          </w:tcPr>
          <w:p w14:paraId="51BA37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kern w:val="0"/>
                <w:sz w:val="22"/>
                <w:szCs w:val="22"/>
                <w:u w:val="none"/>
                <w:lang w:val="en-US" w:eastAsia="zh-CN" w:bidi="ar"/>
              </w:rPr>
              <w:t>34</w:t>
            </w:r>
          </w:p>
        </w:tc>
        <w:tc>
          <w:tcPr>
            <w:tcW w:w="642" w:type="pct"/>
            <w:tcBorders>
              <w:top w:val="nil"/>
              <w:left w:val="nil"/>
              <w:bottom w:val="nil"/>
              <w:right w:val="single" w:color="auto" w:sz="4" w:space="0"/>
            </w:tcBorders>
            <w:shd w:val="clear" w:color="auto" w:fill="auto"/>
            <w:noWrap/>
            <w:vAlign w:val="center"/>
          </w:tcPr>
          <w:p w14:paraId="16C20C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kern w:val="0"/>
                <w:sz w:val="22"/>
                <w:szCs w:val="22"/>
                <w:u w:val="none"/>
                <w:lang w:val="en-US" w:eastAsia="zh-CN" w:bidi="ar"/>
              </w:rPr>
              <w:t>7</w:t>
            </w:r>
          </w:p>
        </w:tc>
        <w:tc>
          <w:tcPr>
            <w:tcW w:w="541" w:type="pct"/>
            <w:tcBorders>
              <w:top w:val="nil"/>
              <w:left w:val="nil"/>
              <w:bottom w:val="nil"/>
              <w:right w:val="single" w:color="auto" w:sz="4" w:space="0"/>
            </w:tcBorders>
            <w:shd w:val="clear" w:color="auto" w:fill="auto"/>
            <w:noWrap/>
            <w:vAlign w:val="center"/>
          </w:tcPr>
          <w:p w14:paraId="38761D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kern w:val="0"/>
                <w:sz w:val="22"/>
                <w:szCs w:val="22"/>
                <w:u w:val="none"/>
                <w:lang w:val="en-US" w:eastAsia="zh-CN" w:bidi="ar"/>
              </w:rPr>
              <w:t>9</w:t>
            </w:r>
          </w:p>
        </w:tc>
        <w:tc>
          <w:tcPr>
            <w:tcW w:w="561" w:type="pct"/>
            <w:tcBorders>
              <w:top w:val="nil"/>
              <w:left w:val="nil"/>
              <w:bottom w:val="nil"/>
              <w:right w:val="single" w:color="auto" w:sz="4" w:space="0"/>
            </w:tcBorders>
            <w:shd w:val="clear" w:color="auto" w:fill="auto"/>
            <w:noWrap/>
            <w:vAlign w:val="center"/>
          </w:tcPr>
          <w:p w14:paraId="482A9D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kern w:val="0"/>
                <w:sz w:val="22"/>
                <w:szCs w:val="22"/>
                <w:u w:val="none"/>
                <w:lang w:val="en-US" w:eastAsia="zh-CN" w:bidi="ar"/>
              </w:rPr>
              <w:t>1.76</w:t>
            </w:r>
          </w:p>
        </w:tc>
        <w:tc>
          <w:tcPr>
            <w:tcW w:w="806" w:type="pct"/>
            <w:tcBorders>
              <w:top w:val="nil"/>
              <w:left w:val="nil"/>
              <w:bottom w:val="nil"/>
              <w:right w:val="single" w:color="auto" w:sz="4" w:space="0"/>
            </w:tcBorders>
            <w:shd w:val="clear" w:color="auto" w:fill="auto"/>
            <w:noWrap/>
            <w:vAlign w:val="center"/>
          </w:tcPr>
          <w:p w14:paraId="57B4D6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kern w:val="0"/>
                <w:sz w:val="22"/>
                <w:szCs w:val="22"/>
                <w:u w:val="none"/>
                <w:lang w:val="en-US" w:eastAsia="zh-CN" w:bidi="ar"/>
              </w:rPr>
              <w:t>10.4</w:t>
            </w:r>
          </w:p>
        </w:tc>
        <w:tc>
          <w:tcPr>
            <w:tcW w:w="642" w:type="pct"/>
            <w:tcBorders>
              <w:top w:val="nil"/>
              <w:left w:val="nil"/>
              <w:bottom w:val="nil"/>
              <w:right w:val="single" w:color="auto" w:sz="4" w:space="0"/>
            </w:tcBorders>
            <w:shd w:val="clear" w:color="auto" w:fill="auto"/>
            <w:noWrap/>
            <w:vAlign w:val="center"/>
          </w:tcPr>
          <w:p w14:paraId="4CB497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kern w:val="0"/>
                <w:sz w:val="22"/>
                <w:szCs w:val="22"/>
                <w:u w:val="none"/>
                <w:lang w:val="en-US" w:eastAsia="zh-CN" w:bidi="ar"/>
              </w:rPr>
              <w:t>0.04</w:t>
            </w:r>
          </w:p>
        </w:tc>
        <w:tc>
          <w:tcPr>
            <w:tcW w:w="386" w:type="pct"/>
            <w:tcBorders>
              <w:top w:val="nil"/>
              <w:left w:val="nil"/>
              <w:bottom w:val="nil"/>
              <w:right w:val="single" w:color="auto" w:sz="4" w:space="0"/>
            </w:tcBorders>
            <w:shd w:val="clear" w:color="auto" w:fill="auto"/>
            <w:noWrap/>
            <w:vAlign w:val="center"/>
          </w:tcPr>
          <w:p w14:paraId="5F8F7C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kern w:val="0"/>
                <w:sz w:val="22"/>
                <w:szCs w:val="22"/>
                <w:u w:val="none"/>
                <w:lang w:val="en-US" w:eastAsia="zh-CN" w:bidi="ar"/>
              </w:rPr>
              <w:t>达标</w:t>
            </w:r>
          </w:p>
        </w:tc>
      </w:tr>
      <w:tr w14:paraId="3A8FE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67" w:type="pct"/>
            <w:tcBorders>
              <w:top w:val="nil"/>
              <w:left w:val="single" w:color="auto" w:sz="4" w:space="0"/>
              <w:bottom w:val="single" w:color="auto" w:sz="4" w:space="0"/>
              <w:right w:val="single" w:color="auto" w:sz="4" w:space="0"/>
            </w:tcBorders>
            <w:shd w:val="clear" w:color="auto" w:fill="auto"/>
            <w:noWrap/>
            <w:vAlign w:val="center"/>
          </w:tcPr>
          <w:p w14:paraId="37E184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hAnsi="仿宋" w:cs="仿宋"/>
                <w:i w:val="0"/>
                <w:iCs w:val="0"/>
                <w:color w:val="000000"/>
                <w:kern w:val="0"/>
                <w:sz w:val="22"/>
                <w:szCs w:val="22"/>
                <w:u w:val="none"/>
                <w:lang w:val="en-US" w:eastAsia="zh-CN" w:bidi="ar"/>
              </w:rPr>
            </w:pPr>
            <w:r>
              <w:rPr>
                <w:rFonts w:hint="eastAsia" w:hAnsi="仿宋" w:cs="仿宋"/>
                <w:i w:val="0"/>
                <w:iCs w:val="0"/>
                <w:color w:val="000000"/>
                <w:kern w:val="0"/>
                <w:sz w:val="22"/>
                <w:szCs w:val="22"/>
                <w:u w:val="none"/>
                <w:lang w:val="en-US" w:eastAsia="zh-CN" w:bidi="ar"/>
              </w:rPr>
              <w:t>2024年</w:t>
            </w:r>
          </w:p>
          <w:p w14:paraId="684CEF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i w:val="0"/>
                <w:iCs w:val="0"/>
                <w:color w:val="000000"/>
                <w:kern w:val="0"/>
                <w:sz w:val="22"/>
                <w:szCs w:val="22"/>
                <w:u w:val="none"/>
                <w:lang w:val="en-US" w:eastAsia="zh-CN" w:bidi="ar"/>
              </w:rPr>
            </w:pPr>
            <w:r>
              <w:rPr>
                <w:rFonts w:hint="default" w:ascii="仿宋" w:hAnsi="仿宋" w:eastAsia="仿宋" w:cs="仿宋"/>
                <w:i w:val="0"/>
                <w:iCs w:val="0"/>
                <w:color w:val="000000"/>
                <w:kern w:val="0"/>
                <w:sz w:val="22"/>
                <w:szCs w:val="22"/>
                <w:u w:val="none"/>
                <w:lang w:val="en-US" w:eastAsia="zh-CN" w:bidi="ar"/>
              </w:rPr>
              <w:t>1月</w:t>
            </w:r>
            <w:r>
              <w:rPr>
                <w:rFonts w:hint="eastAsia" w:hAnsi="仿宋" w:cs="仿宋"/>
                <w:i w:val="0"/>
                <w:iCs w:val="0"/>
                <w:color w:val="000000"/>
                <w:kern w:val="0"/>
                <w:sz w:val="22"/>
                <w:szCs w:val="22"/>
                <w:u w:val="none"/>
                <w:lang w:val="en-US" w:eastAsia="zh-CN" w:bidi="ar"/>
              </w:rPr>
              <w:t>1</w:t>
            </w:r>
            <w:r>
              <w:rPr>
                <w:rFonts w:hint="default" w:ascii="仿宋" w:hAnsi="仿宋" w:eastAsia="仿宋" w:cs="仿宋"/>
                <w:i w:val="0"/>
                <w:iCs w:val="0"/>
                <w:color w:val="000000"/>
                <w:kern w:val="0"/>
                <w:sz w:val="22"/>
                <w:szCs w:val="22"/>
                <w:u w:val="none"/>
                <w:lang w:val="en-US" w:eastAsia="zh-CN" w:bidi="ar"/>
              </w:rPr>
              <w:t>日</w:t>
            </w:r>
          </w:p>
        </w:tc>
        <w:tc>
          <w:tcPr>
            <w:tcW w:w="3846" w:type="pct"/>
            <w:gridSpan w:val="6"/>
            <w:tcBorders>
              <w:top w:val="nil"/>
              <w:left w:val="nil"/>
              <w:bottom w:val="single" w:color="auto" w:sz="4" w:space="0"/>
              <w:right w:val="single" w:color="auto" w:sz="4" w:space="0"/>
            </w:tcBorders>
            <w:shd w:val="clear" w:color="auto" w:fill="auto"/>
            <w:noWrap/>
            <w:vAlign w:val="center"/>
          </w:tcPr>
          <w:p w14:paraId="27FDEC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kern w:val="0"/>
                <w:sz w:val="22"/>
                <w:szCs w:val="22"/>
                <w:u w:val="none"/>
                <w:lang w:val="en-US" w:eastAsia="zh-CN" w:bidi="ar"/>
              </w:rPr>
            </w:pPr>
            <w:r>
              <w:rPr>
                <w:rFonts w:hint="eastAsia" w:hAnsi="仿宋" w:cs="仿宋"/>
                <w:i w:val="0"/>
                <w:iCs w:val="0"/>
                <w:color w:val="000000"/>
                <w:kern w:val="0"/>
                <w:sz w:val="22"/>
                <w:szCs w:val="22"/>
                <w:u w:val="none"/>
                <w:lang w:val="en-US" w:eastAsia="zh-CN" w:bidi="ar"/>
              </w:rPr>
              <w:t>与12月25日</w:t>
            </w:r>
            <w:r>
              <w:rPr>
                <w:rFonts w:hint="default" w:ascii="仿宋" w:hAnsi="仿宋" w:eastAsia="仿宋" w:cs="仿宋"/>
                <w:i w:val="0"/>
                <w:iCs w:val="0"/>
                <w:color w:val="000000"/>
                <w:kern w:val="0"/>
                <w:sz w:val="22"/>
                <w:szCs w:val="22"/>
                <w:u w:val="none"/>
                <w:lang w:val="en-US" w:eastAsia="zh-CN" w:bidi="ar"/>
              </w:rPr>
              <w:t>同一批次</w:t>
            </w:r>
            <w:r>
              <w:rPr>
                <w:rFonts w:hint="eastAsia" w:hAnsi="仿宋" w:cs="仿宋"/>
                <w:i w:val="0"/>
                <w:iCs w:val="0"/>
                <w:color w:val="000000"/>
                <w:kern w:val="0"/>
                <w:sz w:val="22"/>
                <w:szCs w:val="22"/>
                <w:u w:val="none"/>
                <w:lang w:val="en-US" w:eastAsia="zh-CN" w:bidi="ar"/>
              </w:rPr>
              <w:t>采样</w:t>
            </w:r>
            <w:r>
              <w:rPr>
                <w:rFonts w:hint="default" w:ascii="仿宋" w:hAnsi="仿宋" w:eastAsia="仿宋" w:cs="仿宋"/>
                <w:i w:val="0"/>
                <w:iCs w:val="0"/>
                <w:color w:val="000000"/>
                <w:kern w:val="0"/>
                <w:sz w:val="22"/>
                <w:szCs w:val="22"/>
                <w:u w:val="none"/>
                <w:lang w:val="en-US" w:eastAsia="zh-CN" w:bidi="ar"/>
              </w:rPr>
              <w:t>监测，检测机构按监测类别分别出具两份报告：其一为厂内污水处理站排放口废水监测，其二为厂区周边环境水（地表水、地下水）监测。两者检测对象及指标体系不同</w:t>
            </w:r>
          </w:p>
        </w:tc>
        <w:tc>
          <w:tcPr>
            <w:tcW w:w="386" w:type="pct"/>
            <w:tcBorders>
              <w:top w:val="nil"/>
              <w:left w:val="nil"/>
              <w:bottom w:val="single" w:color="auto" w:sz="4" w:space="0"/>
              <w:right w:val="single" w:color="auto" w:sz="4" w:space="0"/>
            </w:tcBorders>
            <w:shd w:val="clear" w:color="auto" w:fill="auto"/>
            <w:noWrap/>
            <w:vAlign w:val="center"/>
          </w:tcPr>
          <w:p w14:paraId="0330DD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i w:val="0"/>
                <w:iCs w:val="0"/>
                <w:color w:val="000000"/>
                <w:kern w:val="0"/>
                <w:sz w:val="22"/>
                <w:szCs w:val="22"/>
                <w:u w:val="none"/>
                <w:lang w:val="en-US" w:eastAsia="zh-CN" w:bidi="ar"/>
              </w:rPr>
            </w:pPr>
            <w:r>
              <w:rPr>
                <w:rFonts w:hint="default" w:ascii="仿宋" w:hAnsi="仿宋" w:eastAsia="仿宋" w:cs="仿宋"/>
                <w:i w:val="0"/>
                <w:iCs w:val="0"/>
                <w:color w:val="000000"/>
                <w:kern w:val="0"/>
                <w:sz w:val="22"/>
                <w:szCs w:val="22"/>
                <w:u w:val="none"/>
                <w:lang w:val="en-US" w:eastAsia="zh-CN" w:bidi="ar"/>
              </w:rPr>
              <w:t>达</w:t>
            </w:r>
            <w:r>
              <w:rPr>
                <w:rFonts w:hint="eastAsia" w:hAnsi="仿宋" w:cs="仿宋"/>
                <w:i w:val="0"/>
                <w:iCs w:val="0"/>
                <w:color w:val="000000"/>
                <w:kern w:val="0"/>
                <w:sz w:val="22"/>
                <w:szCs w:val="22"/>
                <w:u w:val="none"/>
                <w:lang w:val="en-US" w:eastAsia="zh-CN" w:bidi="ar"/>
              </w:rPr>
              <w:t>标</w:t>
            </w:r>
          </w:p>
        </w:tc>
      </w:tr>
    </w:tbl>
    <w:p w14:paraId="62FCB3AB">
      <w:pPr>
        <w:spacing w:line="579" w:lineRule="exact"/>
        <w:ind w:firstLine="630" w:firstLineChars="200"/>
        <w:rPr>
          <w:rFonts w:hint="eastAsia" w:hAnsi="仿宋"/>
          <w:szCs w:val="30"/>
          <w:highlight w:val="none"/>
          <w:lang w:val="en-US" w:eastAsia="zh-CN"/>
        </w:rPr>
      </w:pPr>
    </w:p>
    <w:p w14:paraId="74C6161A">
      <w:pPr>
        <w:spacing w:line="579" w:lineRule="exact"/>
        <w:ind w:firstLine="630" w:firstLineChars="200"/>
        <w:rPr>
          <w:rFonts w:hint="eastAsia"/>
          <w:lang w:val="en-US" w:eastAsia="zh-CN"/>
        </w:rPr>
      </w:pPr>
      <w:r>
        <w:rPr>
          <w:rFonts w:hint="eastAsia" w:hAnsi="仿宋"/>
          <w:szCs w:val="30"/>
          <w:highlight w:val="none"/>
          <w:lang w:val="en-US" w:eastAsia="zh-CN"/>
        </w:rPr>
        <w:t>劳务派遣人员按专业、人数、时间到岗并经清单与费用明细核验，实际到岗人数（20人）及专业和申请要求符合，因未实施绩效评价，只是简单记录在岗情况，质量缺乏控制标准和控制动作，此项扣除8分/3个项目*0.5=1.33分；土地征转为统筹类事项，未发现质量性问题。综合评价为达标，满分8分，得分为6.67分。</w:t>
      </w:r>
    </w:p>
    <w:p w14:paraId="4899D1E0">
      <w:pPr>
        <w:spacing w:line="579" w:lineRule="exact"/>
        <w:ind w:firstLine="630" w:firstLineChars="200"/>
        <w:rPr>
          <w:rFonts w:hint="eastAsia" w:hAnsi="仿宋"/>
          <w:szCs w:val="30"/>
          <w:highlight w:val="none"/>
          <w:lang w:val="en-US" w:eastAsia="zh-CN"/>
        </w:rPr>
      </w:pPr>
      <w:r>
        <w:rPr>
          <w:rFonts w:hint="eastAsia" w:hAnsi="仿宋"/>
          <w:szCs w:val="30"/>
          <w:highlight w:val="none"/>
          <w:lang w:val="en-US" w:eastAsia="zh-CN"/>
        </w:rPr>
        <w:t>3.产出时效</w:t>
      </w:r>
    </w:p>
    <w:p w14:paraId="7451D298">
      <w:pPr>
        <w:spacing w:line="579" w:lineRule="exact"/>
        <w:ind w:firstLine="630" w:firstLineChars="200"/>
        <w:rPr>
          <w:rFonts w:hint="eastAsia" w:hAnsi="仿宋"/>
          <w:szCs w:val="30"/>
          <w:highlight w:val="none"/>
          <w:lang w:val="en-US" w:eastAsia="zh-CN"/>
        </w:rPr>
      </w:pPr>
      <w:r>
        <w:rPr>
          <w:rFonts w:hint="eastAsia" w:hAnsi="仿宋"/>
          <w:szCs w:val="30"/>
          <w:highlight w:val="none"/>
          <w:lang w:val="en-US" w:eastAsia="zh-CN"/>
        </w:rPr>
        <w:t>关键节点按计划推进，未出现影响目标实现的延误，完成及时性达标，其中污水处理厂水质评价报告和处理量核对工作，按照合同约定时间每月评价，每季度核对，及时完成，但费用未能按时支付。劳务派遣人员按照要求专业、人数和时间及时到位，并且提供了合同约定的服务；光学片区土地征转报批项目正常推进中，暂未出现需解决问题，满分5分，此项得分5.00分。</w:t>
      </w:r>
    </w:p>
    <w:p w14:paraId="0CBC000D">
      <w:pPr>
        <w:spacing w:line="579" w:lineRule="exact"/>
        <w:ind w:firstLine="630" w:firstLineChars="200"/>
        <w:rPr>
          <w:rFonts w:hint="eastAsia" w:hAnsi="仿宋"/>
          <w:szCs w:val="30"/>
          <w:highlight w:val="none"/>
          <w:lang w:val="en-US" w:eastAsia="zh-CN"/>
        </w:rPr>
      </w:pPr>
      <w:r>
        <w:rPr>
          <w:rFonts w:hint="eastAsia" w:hAnsi="仿宋"/>
          <w:szCs w:val="30"/>
          <w:highlight w:val="none"/>
          <w:lang w:val="en-US" w:eastAsia="zh-CN"/>
        </w:rPr>
        <w:t>4.成本节约率</w:t>
      </w:r>
    </w:p>
    <w:p w14:paraId="254C28CE">
      <w:pPr>
        <w:spacing w:line="579" w:lineRule="exact"/>
        <w:ind w:firstLine="630" w:firstLineChars="200"/>
        <w:rPr>
          <w:rFonts w:hint="default" w:hAnsi="仿宋"/>
          <w:szCs w:val="30"/>
          <w:highlight w:val="none"/>
          <w:lang w:val="en-US" w:eastAsia="zh-CN"/>
        </w:rPr>
      </w:pPr>
      <w:r>
        <w:rPr>
          <w:rFonts w:hint="eastAsia" w:hAnsi="仿宋"/>
          <w:szCs w:val="30"/>
          <w:highlight w:val="none"/>
          <w:lang w:val="en-US" w:eastAsia="zh-CN"/>
        </w:rPr>
        <w:t>专项资金支出与计划一致，成本节约率按零结论处理，满足预算—执行一致性，专项资金支出与计划一致，成本节约率按零结论处理，满足预算—执行一致性，满分5分，得分5.00分。</w:t>
      </w:r>
    </w:p>
    <w:p w14:paraId="41129FFF">
      <w:pPr>
        <w:spacing w:line="579" w:lineRule="exact"/>
        <w:ind w:firstLine="630" w:firstLineChars="200"/>
        <w:outlineLvl w:val="1"/>
        <w:rPr>
          <w:rFonts w:ascii="楷体" w:hAnsi="楷体" w:eastAsia="楷体"/>
          <w:szCs w:val="30"/>
        </w:rPr>
      </w:pPr>
      <w:bookmarkStart w:id="30" w:name="_Toc8841"/>
      <w:r>
        <w:rPr>
          <w:rFonts w:hint="eastAsia" w:ascii="楷体" w:hAnsi="楷体" w:eastAsia="楷体"/>
          <w:szCs w:val="30"/>
        </w:rPr>
        <w:t>（四）</w:t>
      </w:r>
      <w:r>
        <w:rPr>
          <w:rFonts w:hint="eastAsia" w:ascii="楷体" w:hAnsi="楷体" w:eastAsia="楷体"/>
          <w:szCs w:val="30"/>
          <w:lang w:val="en-US" w:eastAsia="zh-CN"/>
        </w:rPr>
        <w:t>项目效益</w:t>
      </w:r>
      <w:r>
        <w:rPr>
          <w:rFonts w:hint="eastAsia" w:ascii="楷体" w:hAnsi="楷体" w:eastAsia="楷体"/>
          <w:szCs w:val="30"/>
        </w:rPr>
        <w:t>情况</w:t>
      </w:r>
      <w:bookmarkEnd w:id="30"/>
    </w:p>
    <w:p w14:paraId="362622A7">
      <w:pPr>
        <w:spacing w:line="579" w:lineRule="exact"/>
        <w:ind w:firstLine="630" w:firstLineChars="200"/>
        <w:rPr>
          <w:rFonts w:hint="eastAsia" w:hAnsi="仿宋"/>
          <w:szCs w:val="30"/>
          <w:lang w:val="en-US" w:eastAsia="zh-CN"/>
        </w:rPr>
      </w:pPr>
      <w:r>
        <w:rPr>
          <w:rFonts w:hint="eastAsia" w:hAnsi="仿宋"/>
          <w:szCs w:val="30"/>
          <w:highlight w:val="none"/>
          <w:lang w:val="en-US" w:eastAsia="zh-CN"/>
        </w:rPr>
        <w:t>项目效益情况包括经济效益、社会效益、可持续影响与满意度四类指标进行评价。基准分30.00分，实际得分25.28分，得分率84.27%</w:t>
      </w:r>
      <w:r>
        <w:rPr>
          <w:rFonts w:hint="eastAsia" w:hAnsi="仿宋"/>
          <w:szCs w:val="30"/>
          <w:highlight w:val="none"/>
        </w:rPr>
        <w:t>。</w:t>
      </w:r>
    </w:p>
    <w:p w14:paraId="52BDE1A3">
      <w:pPr>
        <w:spacing w:line="579" w:lineRule="exact"/>
        <w:ind w:firstLine="630" w:firstLineChars="200"/>
        <w:rPr>
          <w:rFonts w:hint="eastAsia" w:hAnsi="仿宋"/>
          <w:szCs w:val="30"/>
          <w:highlight w:val="none"/>
        </w:rPr>
      </w:pPr>
      <w:r>
        <w:rPr>
          <w:rFonts w:hint="eastAsia" w:hAnsi="仿宋"/>
          <w:szCs w:val="30"/>
          <w:highlight w:val="none"/>
        </w:rPr>
        <w:t>1.经济效益情况</w:t>
      </w:r>
    </w:p>
    <w:p w14:paraId="36F7E5E8">
      <w:pPr>
        <w:spacing w:line="579" w:lineRule="exact"/>
        <w:ind w:firstLine="630" w:firstLineChars="200"/>
        <w:rPr>
          <w:rFonts w:hint="eastAsia" w:hAnsi="仿宋"/>
          <w:szCs w:val="30"/>
          <w:highlight w:val="none"/>
        </w:rPr>
      </w:pPr>
      <w:r>
        <w:rPr>
          <w:rFonts w:hint="eastAsia" w:hAnsi="仿宋"/>
          <w:szCs w:val="30"/>
          <w:highlight w:val="none"/>
        </w:rPr>
        <w:t>海口街道（产业园）一般公共预算收入目标3.02亿元，2024年实际完成3.802亿元，达成率为125.89%，</w:t>
      </w:r>
      <w:r>
        <w:rPr>
          <w:rFonts w:hint="eastAsia" w:hAnsi="仿宋"/>
          <w:szCs w:val="30"/>
          <w:highlight w:val="none"/>
          <w:lang w:val="en-US" w:eastAsia="zh-CN"/>
        </w:rPr>
        <w:t>满分3.00分，</w:t>
      </w:r>
      <w:r>
        <w:rPr>
          <w:rFonts w:hint="eastAsia" w:hAnsi="仿宋"/>
          <w:szCs w:val="30"/>
          <w:highlight w:val="none"/>
        </w:rPr>
        <w:t>得分3.00分。</w:t>
      </w:r>
    </w:p>
    <w:p w14:paraId="38CDA796">
      <w:pPr>
        <w:spacing w:line="579" w:lineRule="exact"/>
        <w:ind w:firstLine="630" w:firstLineChars="200"/>
        <w:rPr>
          <w:rFonts w:hint="eastAsia" w:hAnsi="仿宋"/>
          <w:szCs w:val="30"/>
          <w:highlight w:val="none"/>
        </w:rPr>
      </w:pPr>
      <w:r>
        <w:rPr>
          <w:rFonts w:hint="eastAsia" w:hAnsi="仿宋"/>
          <w:szCs w:val="30"/>
          <w:highlight w:val="none"/>
        </w:rPr>
        <w:t>规模以上工业总产值目标220.00亿元，2024年实际完成204.33亿元，达成率为92.88%，大于等于90%，按满分评价，得分3.00分。</w:t>
      </w:r>
    </w:p>
    <w:p w14:paraId="47D41B6A">
      <w:pPr>
        <w:spacing w:line="579" w:lineRule="exact"/>
        <w:ind w:firstLine="630" w:firstLineChars="200"/>
        <w:rPr>
          <w:rFonts w:hint="eastAsia" w:hAnsi="仿宋"/>
          <w:szCs w:val="30"/>
          <w:highlight w:val="none"/>
        </w:rPr>
      </w:pPr>
      <w:r>
        <w:rPr>
          <w:rFonts w:hint="eastAsia" w:hAnsi="仿宋"/>
          <w:szCs w:val="30"/>
          <w:highlight w:val="none"/>
        </w:rPr>
        <w:t>规模以上固定资产投资目标35.00亿元，2024年实际完成9.215亿元，达成率为26.33%，</w:t>
      </w:r>
      <w:r>
        <w:rPr>
          <w:rFonts w:hint="eastAsia" w:hAnsi="仿宋"/>
          <w:szCs w:val="30"/>
          <w:highlight w:val="none"/>
          <w:lang w:val="en-US" w:eastAsia="zh-CN"/>
        </w:rPr>
        <w:t>本项满分3.00分，</w:t>
      </w:r>
      <w:r>
        <w:rPr>
          <w:rFonts w:hint="eastAsia" w:hAnsi="仿宋"/>
          <w:szCs w:val="30"/>
          <w:highlight w:val="none"/>
        </w:rPr>
        <w:t>按评分规则折算，得分为3*26.33%=0.79分。</w:t>
      </w:r>
    </w:p>
    <w:p w14:paraId="05898096">
      <w:pPr>
        <w:spacing w:line="579" w:lineRule="exact"/>
        <w:ind w:firstLine="630" w:firstLineChars="200"/>
        <w:rPr>
          <w:rFonts w:hint="eastAsia" w:hAnsi="仿宋"/>
          <w:szCs w:val="30"/>
          <w:highlight w:val="none"/>
        </w:rPr>
      </w:pPr>
      <w:r>
        <w:rPr>
          <w:rFonts w:hint="eastAsia" w:hAnsi="仿宋"/>
          <w:szCs w:val="30"/>
          <w:highlight w:val="none"/>
        </w:rPr>
        <w:t>规模以上工业主营收入目标236.00亿元，2024年实际完成236.23亿元，达成率为100.</w:t>
      </w:r>
      <w:r>
        <w:rPr>
          <w:rFonts w:hint="eastAsia" w:hAnsi="仿宋"/>
          <w:szCs w:val="30"/>
          <w:highlight w:val="none"/>
          <w:lang w:val="en-US" w:eastAsia="zh-CN"/>
        </w:rPr>
        <w:t>1</w:t>
      </w:r>
      <w:r>
        <w:rPr>
          <w:rFonts w:hint="eastAsia" w:hAnsi="仿宋"/>
          <w:szCs w:val="30"/>
          <w:highlight w:val="none"/>
        </w:rPr>
        <w:t>0%，按满分评价，得分3.00分。</w:t>
      </w:r>
    </w:p>
    <w:p w14:paraId="07730518">
      <w:pPr>
        <w:spacing w:line="579" w:lineRule="exact"/>
        <w:ind w:firstLine="630" w:firstLineChars="200"/>
        <w:rPr>
          <w:rFonts w:hint="eastAsia" w:hAnsi="仿宋"/>
          <w:szCs w:val="30"/>
          <w:highlight w:val="none"/>
        </w:rPr>
      </w:pPr>
      <w:r>
        <w:rPr>
          <w:rFonts w:hint="eastAsia" w:hAnsi="仿宋"/>
          <w:szCs w:val="30"/>
          <w:highlight w:val="none"/>
        </w:rPr>
        <w:t>2.社会效益</w:t>
      </w:r>
    </w:p>
    <w:p w14:paraId="4C1E4D62">
      <w:pPr>
        <w:spacing w:line="579" w:lineRule="exact"/>
        <w:ind w:firstLine="630" w:firstLineChars="200"/>
        <w:rPr>
          <w:rFonts w:hint="eastAsia" w:hAnsi="仿宋"/>
          <w:szCs w:val="30"/>
          <w:highlight w:val="none"/>
        </w:rPr>
      </w:pPr>
      <w:r>
        <w:rPr>
          <w:rFonts w:hint="eastAsia" w:hAnsi="仿宋"/>
          <w:szCs w:val="30"/>
          <w:highlight w:val="none"/>
        </w:rPr>
        <w:t>新引进项目数目标不少于30—40个，2024年实际签约21个，按照最低值30个计算，达成率为70.00%，低于90%同比扣减，得分为3分*70%=2.10分。</w:t>
      </w:r>
    </w:p>
    <w:p w14:paraId="2AB48C1A">
      <w:pPr>
        <w:spacing w:line="579" w:lineRule="exact"/>
        <w:ind w:firstLine="630" w:firstLineChars="200"/>
        <w:rPr>
          <w:rFonts w:hint="eastAsia" w:hAnsi="仿宋"/>
          <w:szCs w:val="30"/>
          <w:highlight w:val="none"/>
        </w:rPr>
      </w:pPr>
      <w:r>
        <w:rPr>
          <w:rFonts w:hint="eastAsia" w:hAnsi="仿宋"/>
          <w:szCs w:val="30"/>
          <w:highlight w:val="none"/>
        </w:rPr>
        <w:t>当年形成投资额目标不少于45—60亿元，2024年实际形成23.30亿元，按照最低值45亿元计算，达成率为51.78%，低于90%同比扣减，得分为3分*51.78%=1.55分。</w:t>
      </w:r>
    </w:p>
    <w:p w14:paraId="22E57B94">
      <w:pPr>
        <w:spacing w:line="579" w:lineRule="exact"/>
        <w:ind w:firstLine="630" w:firstLineChars="200"/>
        <w:rPr>
          <w:rFonts w:hint="eastAsia" w:hAnsi="仿宋"/>
          <w:szCs w:val="30"/>
          <w:highlight w:val="none"/>
        </w:rPr>
      </w:pPr>
      <w:r>
        <w:rPr>
          <w:rFonts w:hint="eastAsia" w:hAnsi="仿宋"/>
          <w:szCs w:val="30"/>
          <w:highlight w:val="none"/>
        </w:rPr>
        <w:t>原设置指标还有达产后每年新增产值不少于</w:t>
      </w:r>
      <w:r>
        <w:rPr>
          <w:rFonts w:hint="eastAsia" w:hAnsi="仿宋"/>
          <w:szCs w:val="30"/>
          <w:highlight w:val="none"/>
          <w:lang w:eastAsia="zh-CN"/>
        </w:rPr>
        <w:t>135亿—180亿</w:t>
      </w:r>
      <w:r>
        <w:rPr>
          <w:rFonts w:hint="eastAsia" w:hAnsi="仿宋"/>
          <w:szCs w:val="30"/>
          <w:highlight w:val="none"/>
        </w:rPr>
        <w:t>元，访谈得知设置目标后本项因为统计口径无法清晰一致界定，为无效指标，不再纳入绩效评价总体指标体系框架中，做出事后调整。</w:t>
      </w:r>
    </w:p>
    <w:p w14:paraId="6BBB7B73">
      <w:pPr>
        <w:spacing w:line="579" w:lineRule="exact"/>
        <w:ind w:firstLine="630" w:firstLineChars="200"/>
        <w:rPr>
          <w:rFonts w:hint="eastAsia" w:hAnsi="仿宋"/>
          <w:szCs w:val="30"/>
          <w:highlight w:val="none"/>
        </w:rPr>
      </w:pPr>
      <w:r>
        <w:rPr>
          <w:rFonts w:hint="eastAsia" w:hAnsi="仿宋"/>
          <w:szCs w:val="30"/>
          <w:highlight w:val="none"/>
        </w:rPr>
        <w:t>3.可持续影响</w:t>
      </w:r>
    </w:p>
    <w:p w14:paraId="4E66D967">
      <w:pPr>
        <w:spacing w:line="579" w:lineRule="exact"/>
        <w:ind w:firstLine="630" w:firstLineChars="200"/>
        <w:rPr>
          <w:rFonts w:hint="eastAsia" w:hAnsi="仿宋"/>
          <w:szCs w:val="30"/>
          <w:highlight w:val="none"/>
        </w:rPr>
      </w:pPr>
      <w:r>
        <w:rPr>
          <w:rFonts w:hint="eastAsia" w:hAnsi="仿宋"/>
          <w:szCs w:val="30"/>
          <w:highlight w:val="none"/>
        </w:rPr>
        <w:t>原设置将评价深入推进园区体制、机制改革，提升后续服务企业和群众质量，评价阶段细化为园区专项资金建设项目和服务对招商引资、产业投资的</w:t>
      </w:r>
      <w:r>
        <w:rPr>
          <w:rFonts w:hint="eastAsia" w:hAnsi="仿宋"/>
          <w:szCs w:val="30"/>
          <w:highlight w:val="none"/>
          <w:lang w:eastAsia="zh-CN"/>
        </w:rPr>
        <w:t>吸引力和</w:t>
      </w:r>
      <w:r>
        <w:rPr>
          <w:rFonts w:hint="eastAsia" w:hAnsi="仿宋"/>
          <w:szCs w:val="30"/>
          <w:highlight w:val="none"/>
        </w:rPr>
        <w:t>实际需求满足情况。污水处理厂项目，调查问卷有需求答卷5份（有需求且得到满足），回答能够满足需求问卷5份，此项分数100%，污水处理项目占比50%；劳务派遣考察园区总体服务需求和满足效率和有效性，相关问题4个，反馈有效满足得分比</w:t>
      </w:r>
      <w:r>
        <w:rPr>
          <w:rFonts w:hint="eastAsia" w:hAnsi="仿宋"/>
          <w:szCs w:val="30"/>
          <w:highlight w:val="none"/>
          <w:lang w:val="en-US" w:eastAsia="zh-CN"/>
        </w:rPr>
        <w:t>91.67</w:t>
      </w:r>
      <w:r>
        <w:rPr>
          <w:rFonts w:hint="eastAsia" w:hAnsi="仿宋"/>
          <w:szCs w:val="30"/>
          <w:highlight w:val="none"/>
        </w:rPr>
        <w:t>%；土地征转为光学片区满足产能和区域扩大跟进项目，不纳入此次该评价计算中。</w:t>
      </w:r>
    </w:p>
    <w:p w14:paraId="027255CC">
      <w:pPr>
        <w:spacing w:line="579" w:lineRule="exact"/>
        <w:ind w:firstLine="630" w:firstLineChars="200"/>
        <w:rPr>
          <w:rFonts w:hint="eastAsia" w:hAnsi="仿宋"/>
          <w:szCs w:val="30"/>
          <w:highlight w:val="none"/>
        </w:rPr>
      </w:pPr>
      <w:r>
        <w:rPr>
          <w:rFonts w:hint="eastAsia" w:hAnsi="仿宋"/>
          <w:szCs w:val="30"/>
          <w:highlight w:val="none"/>
        </w:rPr>
        <w:t>综上合计得分比例为50</w:t>
      </w:r>
      <w:r>
        <w:rPr>
          <w:rFonts w:hint="eastAsia" w:hAnsi="仿宋"/>
          <w:szCs w:val="30"/>
          <w:highlight w:val="none"/>
          <w:lang w:val="en-US" w:eastAsia="zh-CN"/>
        </w:rPr>
        <w:t>%</w:t>
      </w:r>
      <w:r>
        <w:rPr>
          <w:rFonts w:hint="eastAsia" w:hAnsi="仿宋"/>
          <w:szCs w:val="30"/>
          <w:highlight w:val="none"/>
        </w:rPr>
        <w:t>+50</w:t>
      </w:r>
      <w:r>
        <w:rPr>
          <w:rFonts w:hint="eastAsia" w:hAnsi="仿宋"/>
          <w:szCs w:val="30"/>
          <w:highlight w:val="none"/>
          <w:lang w:val="en-US" w:eastAsia="zh-CN"/>
        </w:rPr>
        <w:t>%</w:t>
      </w:r>
      <w:r>
        <w:rPr>
          <w:rFonts w:hint="eastAsia" w:hAnsi="仿宋"/>
          <w:szCs w:val="30"/>
          <w:highlight w:val="none"/>
        </w:rPr>
        <w:t>*9</w:t>
      </w:r>
      <w:r>
        <w:rPr>
          <w:rFonts w:hint="eastAsia" w:hAnsi="仿宋"/>
          <w:szCs w:val="30"/>
          <w:highlight w:val="none"/>
          <w:lang w:val="en-US" w:eastAsia="zh-CN"/>
        </w:rPr>
        <w:t>1.67</w:t>
      </w:r>
      <w:r>
        <w:rPr>
          <w:rFonts w:hint="eastAsia" w:hAnsi="仿宋"/>
          <w:szCs w:val="30"/>
          <w:highlight w:val="none"/>
        </w:rPr>
        <w:t>%=</w:t>
      </w:r>
      <w:r>
        <w:rPr>
          <w:rFonts w:hint="eastAsia" w:hAnsi="仿宋"/>
          <w:szCs w:val="30"/>
          <w:highlight w:val="none"/>
          <w:lang w:val="en-US" w:eastAsia="zh-CN"/>
        </w:rPr>
        <w:t>95.84</w:t>
      </w:r>
      <w:r>
        <w:rPr>
          <w:rFonts w:hint="eastAsia" w:hAnsi="仿宋"/>
          <w:szCs w:val="30"/>
          <w:highlight w:val="none"/>
        </w:rPr>
        <w:t>%，实际得分</w:t>
      </w:r>
      <w:r>
        <w:rPr>
          <w:rFonts w:hint="eastAsia" w:hAnsi="仿宋"/>
          <w:szCs w:val="30"/>
          <w:highlight w:val="none"/>
          <w:lang w:val="en-US" w:eastAsia="zh-CN"/>
        </w:rPr>
        <w:t>3.83</w:t>
      </w:r>
      <w:r>
        <w:rPr>
          <w:rFonts w:hint="eastAsia" w:hAnsi="仿宋"/>
          <w:szCs w:val="30"/>
          <w:highlight w:val="none"/>
        </w:rPr>
        <w:t>分。</w:t>
      </w:r>
    </w:p>
    <w:p w14:paraId="7FF017A9">
      <w:pPr>
        <w:spacing w:line="579" w:lineRule="exact"/>
        <w:ind w:firstLine="630" w:firstLineChars="200"/>
        <w:rPr>
          <w:rFonts w:hint="eastAsia" w:hAnsi="仿宋"/>
          <w:szCs w:val="30"/>
          <w:highlight w:val="none"/>
        </w:rPr>
      </w:pPr>
      <w:r>
        <w:rPr>
          <w:rFonts w:hint="eastAsia" w:hAnsi="仿宋"/>
          <w:szCs w:val="30"/>
          <w:highlight w:val="none"/>
        </w:rPr>
        <w:t>3.满意度</w:t>
      </w:r>
    </w:p>
    <w:p w14:paraId="5564E919">
      <w:pPr>
        <w:spacing w:line="579" w:lineRule="exact"/>
        <w:ind w:firstLine="630" w:firstLineChars="200"/>
        <w:rPr>
          <w:rFonts w:hint="eastAsia" w:hAnsi="仿宋"/>
          <w:szCs w:val="30"/>
          <w:highlight w:val="none"/>
        </w:rPr>
      </w:pPr>
      <w:r>
        <w:rPr>
          <w:rFonts w:hint="eastAsia" w:hAnsi="仿宋"/>
          <w:szCs w:val="30"/>
          <w:highlight w:val="none"/>
        </w:rPr>
        <w:t>满意度设置了街道满意度（园处合一后，街道对园区项目实施工作配合和协同情况的满意程度）以及服务对象满意度（进驻产业园区企业</w:t>
      </w:r>
      <w:r>
        <w:rPr>
          <w:rFonts w:hint="eastAsia" w:hAnsi="仿宋"/>
          <w:szCs w:val="30"/>
          <w:highlight w:val="none"/>
          <w:lang w:eastAsia="zh-CN"/>
        </w:rPr>
        <w:t>－</w:t>
      </w:r>
      <w:r>
        <w:rPr>
          <w:rFonts w:hint="eastAsia" w:hAnsi="仿宋"/>
          <w:szCs w:val="30"/>
          <w:highlight w:val="none"/>
        </w:rPr>
        <w:t>服务对象对项目实施效果的满意程度）</w:t>
      </w:r>
      <w:r>
        <w:rPr>
          <w:rFonts w:hint="eastAsia" w:hAnsi="仿宋"/>
          <w:szCs w:val="30"/>
          <w:highlight w:val="none"/>
          <w:lang w:eastAsia="zh-CN"/>
        </w:rPr>
        <w:t>，</w:t>
      </w:r>
      <w:r>
        <w:rPr>
          <w:rFonts w:hint="eastAsia" w:hAnsi="仿宋"/>
          <w:szCs w:val="30"/>
          <w:highlight w:val="none"/>
          <w:lang w:val="en-US" w:eastAsia="zh-CN"/>
        </w:rPr>
        <w:t>本项设置分值8.00分，实际得分8.00分，得分率100%</w:t>
      </w:r>
      <w:r>
        <w:rPr>
          <w:rFonts w:hint="eastAsia" w:hAnsi="仿宋"/>
          <w:szCs w:val="30"/>
          <w:highlight w:val="none"/>
        </w:rPr>
        <w:t>。</w:t>
      </w:r>
    </w:p>
    <w:p w14:paraId="2422A8B8">
      <w:pPr>
        <w:spacing w:line="579" w:lineRule="exact"/>
        <w:ind w:firstLine="630" w:firstLineChars="200"/>
        <w:rPr>
          <w:rFonts w:hint="default" w:hAnsi="仿宋" w:eastAsia="仿宋"/>
          <w:szCs w:val="30"/>
          <w:highlight w:val="none"/>
          <w:lang w:val="en-US" w:eastAsia="zh-CN"/>
        </w:rPr>
      </w:pPr>
      <w:r>
        <w:rPr>
          <w:rFonts w:hint="eastAsia" w:hAnsi="仿宋"/>
          <w:szCs w:val="30"/>
          <w:highlight w:val="none"/>
        </w:rPr>
        <w:t>其中街道满意度本次回收问卷6份，其中有效问卷6份，其中对于“对园区与街道的工作配合和融合情况是否满意”回答满意问卷为6份，占比为100%</w:t>
      </w:r>
      <w:r>
        <w:rPr>
          <w:rFonts w:hint="eastAsia" w:hAnsi="仿宋"/>
          <w:szCs w:val="30"/>
          <w:highlight w:val="none"/>
          <w:lang w:eastAsia="zh-CN"/>
        </w:rPr>
        <w:t>，</w:t>
      </w:r>
      <w:r>
        <w:rPr>
          <w:rFonts w:hint="eastAsia" w:hAnsi="仿宋"/>
          <w:szCs w:val="30"/>
          <w:highlight w:val="none"/>
          <w:lang w:val="en-US" w:eastAsia="zh-CN"/>
        </w:rPr>
        <w:t>本项满分3.00分，得分3.00分。</w:t>
      </w:r>
    </w:p>
    <w:p w14:paraId="7553DFAD">
      <w:pPr>
        <w:spacing w:line="579" w:lineRule="exact"/>
        <w:ind w:firstLine="630" w:firstLineChars="200"/>
        <w:rPr>
          <w:rFonts w:hint="eastAsia" w:hAnsi="仿宋" w:eastAsia="仿宋"/>
          <w:szCs w:val="30"/>
          <w:highlight w:val="none"/>
          <w:lang w:val="en-US" w:eastAsia="zh-CN"/>
        </w:rPr>
      </w:pPr>
      <w:r>
        <w:rPr>
          <w:rFonts w:hint="eastAsia" w:hAnsi="仿宋"/>
          <w:szCs w:val="30"/>
          <w:highlight w:val="none"/>
        </w:rPr>
        <w:t>服务对象满意度问卷，本次回收问卷12份，其中有效问卷12份，其中对于“园区整体营商环境的满意度”回答满意问卷为12份，占比为100%</w:t>
      </w:r>
      <w:r>
        <w:rPr>
          <w:rFonts w:hint="eastAsia" w:hAnsi="仿宋"/>
          <w:szCs w:val="30"/>
          <w:highlight w:val="none"/>
          <w:lang w:eastAsia="zh-CN"/>
        </w:rPr>
        <w:t>，</w:t>
      </w:r>
      <w:r>
        <w:rPr>
          <w:rFonts w:hint="eastAsia" w:hAnsi="仿宋"/>
          <w:szCs w:val="30"/>
          <w:highlight w:val="none"/>
          <w:lang w:val="en-US" w:eastAsia="zh-CN"/>
        </w:rPr>
        <w:t>本项满分5.00分，得分5.00分。</w:t>
      </w:r>
    </w:p>
    <w:p w14:paraId="31100BA1">
      <w:pPr>
        <w:spacing w:line="579" w:lineRule="exact"/>
        <w:ind w:firstLine="630" w:firstLineChars="200"/>
        <w:outlineLvl w:val="0"/>
        <w:rPr>
          <w:rFonts w:ascii="黑体" w:hAnsi="宋体" w:eastAsia="黑体" w:cs="宋体"/>
          <w:szCs w:val="30"/>
          <w:highlight w:val="none"/>
        </w:rPr>
      </w:pPr>
      <w:bookmarkStart w:id="31" w:name="_Toc4118"/>
      <w:r>
        <w:rPr>
          <w:rFonts w:hint="eastAsia" w:ascii="黑体" w:hAnsi="宋体" w:eastAsia="黑体" w:cs="宋体"/>
          <w:szCs w:val="30"/>
          <w:highlight w:val="none"/>
          <w:lang w:val="en-US" w:eastAsia="zh-CN"/>
        </w:rPr>
        <w:t>五</w:t>
      </w:r>
      <w:r>
        <w:rPr>
          <w:rFonts w:hint="eastAsia" w:ascii="黑体" w:hAnsi="宋体" w:eastAsia="黑体" w:cs="宋体"/>
          <w:szCs w:val="30"/>
          <w:highlight w:val="none"/>
        </w:rPr>
        <w:t>、主要经验及做法</w:t>
      </w:r>
      <w:bookmarkEnd w:id="31"/>
    </w:p>
    <w:p w14:paraId="5B35E994">
      <w:pPr>
        <w:spacing w:line="579" w:lineRule="exact"/>
        <w:ind w:firstLine="630" w:firstLineChars="200"/>
        <w:rPr>
          <w:rFonts w:hint="default" w:hAnsi="仿宋"/>
          <w:szCs w:val="30"/>
          <w:lang w:val="en-US" w:eastAsia="zh-CN"/>
        </w:rPr>
      </w:pPr>
      <w:r>
        <w:rPr>
          <w:rFonts w:hint="eastAsia" w:hAnsi="仿宋"/>
          <w:szCs w:val="30"/>
          <w:lang w:val="en-US" w:eastAsia="zh-CN"/>
        </w:rPr>
        <w:t>本次绩效评价中，将经济发展统计数据（如工业总产值、固定资产投资、一般公共预算收入等）纳入绩效指标体系，使绩效结果更贴近区域发展实际。相较于一般以制度健全性或资料完备性为主的过程性考核，这类经济指标客观性强、可量化、可追溯，能够较真实地反映园区发展的带动效果，同时也是产业发展专项基金本身投放的目的性。</w:t>
      </w:r>
    </w:p>
    <w:p w14:paraId="6D53DB34">
      <w:pPr>
        <w:spacing w:line="579" w:lineRule="exact"/>
        <w:ind w:firstLine="630" w:firstLineChars="200"/>
        <w:rPr>
          <w:rFonts w:hint="eastAsia" w:hAnsi="仿宋"/>
          <w:szCs w:val="30"/>
          <w:lang w:val="en-US" w:eastAsia="zh-CN"/>
        </w:rPr>
      </w:pPr>
      <w:r>
        <w:rPr>
          <w:rFonts w:hint="eastAsia" w:hAnsi="仿宋"/>
          <w:szCs w:val="30"/>
          <w:lang w:val="en-US" w:eastAsia="zh-CN"/>
        </w:rPr>
        <w:t>对于同类以产业发展为导向的专项资金而言，该做法的意义在于引入了“不可人为调节”的结果性数据作为绩效约束，在经济效益的衡量上，具有一定参考意义。</w:t>
      </w:r>
    </w:p>
    <w:p w14:paraId="231C216C">
      <w:pPr>
        <w:keepNext/>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0"/>
        <w:rPr>
          <w:rFonts w:hint="eastAsia" w:ascii="楷体" w:hAnsi="楷体" w:eastAsia="楷体"/>
          <w:szCs w:val="30"/>
          <w:highlight w:val="none"/>
        </w:rPr>
      </w:pPr>
      <w:bookmarkStart w:id="32" w:name="_Toc24292"/>
      <w:r>
        <w:rPr>
          <w:rFonts w:hint="eastAsia" w:ascii="黑体" w:hAnsi="宋体" w:eastAsia="黑体" w:cs="宋体"/>
          <w:szCs w:val="30"/>
          <w:highlight w:val="none"/>
          <w:lang w:val="en-US" w:eastAsia="zh-CN"/>
        </w:rPr>
        <w:t>六</w:t>
      </w:r>
      <w:r>
        <w:rPr>
          <w:rFonts w:hint="eastAsia" w:ascii="黑体" w:hAnsi="宋体" w:eastAsia="黑体" w:cs="宋体"/>
          <w:szCs w:val="30"/>
          <w:highlight w:val="none"/>
        </w:rPr>
        <w:t>、存在问题及原因分析</w:t>
      </w:r>
      <w:bookmarkEnd w:id="32"/>
      <w:bookmarkStart w:id="33" w:name="_Toc19045"/>
      <w:bookmarkStart w:id="34" w:name="_Toc25742923"/>
      <w:bookmarkStart w:id="35" w:name="_Toc30571"/>
      <w:bookmarkStart w:id="36" w:name="_Toc6890"/>
    </w:p>
    <w:bookmarkEnd w:id="33"/>
    <w:bookmarkEnd w:id="34"/>
    <w:bookmarkEnd w:id="35"/>
    <w:bookmarkEnd w:id="36"/>
    <w:p w14:paraId="60832D73">
      <w:pPr>
        <w:pStyle w:val="8"/>
        <w:keepNext w:val="0"/>
        <w:keepLines w:val="0"/>
        <w:pageBreakBefore w:val="0"/>
        <w:widowControl w:val="0"/>
        <w:kinsoku/>
        <w:wordWrap/>
        <w:overflowPunct/>
        <w:topLinePunct w:val="0"/>
        <w:autoSpaceDE/>
        <w:autoSpaceDN/>
        <w:bidi w:val="0"/>
        <w:adjustRightInd/>
        <w:snapToGrid/>
        <w:spacing w:line="579" w:lineRule="exact"/>
        <w:ind w:left="0" w:firstLine="630" w:firstLineChars="200"/>
        <w:jc w:val="both"/>
        <w:textAlignment w:val="auto"/>
        <w:rPr>
          <w:rFonts w:hint="eastAsia" w:ascii="仿宋" w:hAnsi="仿宋" w:eastAsia="仿宋" w:cs="Times New Roman"/>
          <w:kern w:val="30"/>
          <w:sz w:val="30"/>
          <w:szCs w:val="30"/>
          <w:highlight w:val="none"/>
          <w:lang w:val="en-US" w:eastAsia="zh-CN" w:bidi="ar-SA"/>
        </w:rPr>
      </w:pPr>
      <w:r>
        <w:rPr>
          <w:rFonts w:hint="eastAsia" w:ascii="仿宋" w:hAnsi="仿宋" w:eastAsia="仿宋" w:cs="Times New Roman"/>
          <w:kern w:val="30"/>
          <w:sz w:val="30"/>
          <w:szCs w:val="30"/>
          <w:highlight w:val="none"/>
          <w:lang w:val="en-US" w:eastAsia="zh-CN" w:bidi="ar-SA"/>
        </w:rPr>
        <w:t>根据绩效评价情况，昆明市西山区海口街道产业发展专项资金项目整体执行较为规范，资金拨付及使用未发现截留、挤占、挪用等违规问题，绩效目标总体完成良好。但在资金管理、绩效目标设计、制度衔接及产出效益实现等方面，仍存在一定问题和薄弱环节，具体分析如下：</w:t>
      </w:r>
    </w:p>
    <w:p w14:paraId="63AEEB7E">
      <w:pPr>
        <w:pStyle w:val="8"/>
        <w:keepNext w:val="0"/>
        <w:keepLines w:val="0"/>
        <w:pageBreakBefore w:val="0"/>
        <w:widowControl w:val="0"/>
        <w:kinsoku/>
        <w:wordWrap/>
        <w:overflowPunct/>
        <w:topLinePunct w:val="0"/>
        <w:autoSpaceDE/>
        <w:autoSpaceDN/>
        <w:bidi w:val="0"/>
        <w:adjustRightInd/>
        <w:snapToGrid/>
        <w:spacing w:line="579" w:lineRule="exact"/>
        <w:ind w:left="0" w:firstLine="630" w:firstLineChars="200"/>
        <w:jc w:val="both"/>
        <w:textAlignment w:val="auto"/>
        <w:rPr>
          <w:rFonts w:hint="eastAsia" w:ascii="仿宋" w:hAnsi="仿宋" w:eastAsia="仿宋" w:cs="Times New Roman"/>
          <w:kern w:val="30"/>
          <w:sz w:val="30"/>
          <w:szCs w:val="30"/>
          <w:highlight w:val="none"/>
          <w:lang w:val="en-US" w:eastAsia="zh-CN" w:bidi="ar-SA"/>
        </w:rPr>
      </w:pPr>
      <w:r>
        <w:rPr>
          <w:rFonts w:hint="eastAsia" w:ascii="仿宋" w:hAnsi="仿宋" w:eastAsia="仿宋" w:cs="Times New Roman"/>
          <w:b/>
          <w:bCs/>
          <w:kern w:val="30"/>
          <w:sz w:val="30"/>
          <w:szCs w:val="30"/>
          <w:highlight w:val="none"/>
          <w:lang w:val="en-US" w:eastAsia="zh-CN" w:bidi="ar-SA"/>
        </w:rPr>
        <w:t>（一）绩效目标设置笼统，缺乏差异化与针对性</w:t>
      </w:r>
    </w:p>
    <w:p w14:paraId="2E2A0032">
      <w:pPr>
        <w:pStyle w:val="8"/>
        <w:keepNext w:val="0"/>
        <w:keepLines w:val="0"/>
        <w:pageBreakBefore w:val="0"/>
        <w:widowControl w:val="0"/>
        <w:kinsoku/>
        <w:wordWrap/>
        <w:overflowPunct/>
        <w:topLinePunct w:val="0"/>
        <w:autoSpaceDE/>
        <w:autoSpaceDN/>
        <w:bidi w:val="0"/>
        <w:adjustRightInd/>
        <w:snapToGrid/>
        <w:spacing w:line="579" w:lineRule="exact"/>
        <w:ind w:left="0" w:firstLine="630" w:firstLineChars="200"/>
        <w:jc w:val="both"/>
        <w:textAlignment w:val="auto"/>
        <w:rPr>
          <w:rFonts w:hint="default" w:ascii="仿宋" w:hAnsi="仿宋" w:eastAsia="仿宋" w:cs="Times New Roman"/>
          <w:kern w:val="30"/>
          <w:sz w:val="30"/>
          <w:szCs w:val="30"/>
          <w:highlight w:val="none"/>
          <w:lang w:val="en-US" w:eastAsia="zh-CN" w:bidi="ar-SA"/>
        </w:rPr>
      </w:pPr>
      <w:r>
        <w:rPr>
          <w:rFonts w:hint="eastAsia" w:ascii="仿宋" w:hAnsi="仿宋" w:eastAsia="仿宋" w:cs="Times New Roman"/>
          <w:kern w:val="30"/>
          <w:sz w:val="30"/>
          <w:szCs w:val="30"/>
          <w:highlight w:val="none"/>
          <w:lang w:val="en-US" w:eastAsia="zh-CN" w:bidi="ar-SA"/>
        </w:rPr>
        <w:t>项目绩效目标多直接援引上级部门下达的总体发展指标或园区年度工作目标，未能根据不同类型项目（如基础设施建设、劳务派遣、土地征转等）的实施特点进行分解与细化。绩效指标间存在“混合考核”现象，部分指标可衡量性、可验证性不足，难以全面反映专项资金在不同环节的真实绩效效果。</w:t>
      </w:r>
    </w:p>
    <w:p w14:paraId="08CDF76D">
      <w:pPr>
        <w:pStyle w:val="8"/>
        <w:keepNext w:val="0"/>
        <w:keepLines w:val="0"/>
        <w:pageBreakBefore w:val="0"/>
        <w:widowControl w:val="0"/>
        <w:kinsoku/>
        <w:wordWrap/>
        <w:overflowPunct/>
        <w:topLinePunct w:val="0"/>
        <w:autoSpaceDE/>
        <w:autoSpaceDN/>
        <w:bidi w:val="0"/>
        <w:adjustRightInd/>
        <w:snapToGrid/>
        <w:spacing w:line="579" w:lineRule="exact"/>
        <w:ind w:left="0" w:firstLine="630" w:firstLineChars="200"/>
        <w:jc w:val="both"/>
        <w:textAlignment w:val="auto"/>
        <w:rPr>
          <w:rFonts w:hint="eastAsia" w:ascii="仿宋" w:hAnsi="仿宋" w:eastAsia="仿宋" w:cs="Times New Roman"/>
          <w:kern w:val="30"/>
          <w:sz w:val="30"/>
          <w:szCs w:val="30"/>
          <w:highlight w:val="none"/>
          <w:lang w:val="en-US" w:eastAsia="zh-CN" w:bidi="ar-SA"/>
        </w:rPr>
      </w:pPr>
      <w:r>
        <w:rPr>
          <w:rFonts w:hint="eastAsia" w:ascii="仿宋" w:hAnsi="仿宋" w:eastAsia="仿宋" w:cs="Times New Roman"/>
          <w:kern w:val="30"/>
          <w:sz w:val="30"/>
          <w:szCs w:val="30"/>
          <w:highlight w:val="none"/>
          <w:lang w:val="en-US" w:eastAsia="zh-CN" w:bidi="ar-SA"/>
        </w:rPr>
        <w:t>原因分析：一方面，专项资金为框架性资金预算，在年初申报时，并未规划实际使用和投入方向，而是在项目推进过程中根据资金需要调度，因此对于资金与项目目标在年初设置的时候并未进行关联；另一方面，项目管理主体的绩效管理能力有限，尚未形成从项目立项、实施到评价全过程的绩效链条管理机制。</w:t>
      </w:r>
    </w:p>
    <w:p w14:paraId="67D936DF">
      <w:pPr>
        <w:pStyle w:val="8"/>
        <w:keepNext w:val="0"/>
        <w:keepLines w:val="0"/>
        <w:pageBreakBefore w:val="0"/>
        <w:widowControl w:val="0"/>
        <w:kinsoku/>
        <w:wordWrap/>
        <w:overflowPunct/>
        <w:topLinePunct w:val="0"/>
        <w:autoSpaceDE/>
        <w:autoSpaceDN/>
        <w:bidi w:val="0"/>
        <w:adjustRightInd/>
        <w:snapToGrid/>
        <w:spacing w:line="579" w:lineRule="exact"/>
        <w:ind w:left="0" w:firstLine="630" w:firstLineChars="200"/>
        <w:jc w:val="both"/>
        <w:textAlignment w:val="auto"/>
        <w:rPr>
          <w:rFonts w:hint="eastAsia" w:ascii="仿宋" w:hAnsi="仿宋" w:eastAsia="仿宋" w:cs="Times New Roman"/>
          <w:b/>
          <w:bCs/>
          <w:kern w:val="30"/>
          <w:sz w:val="30"/>
          <w:szCs w:val="30"/>
          <w:highlight w:val="none"/>
          <w:lang w:val="en-US" w:eastAsia="zh-CN" w:bidi="ar-SA"/>
        </w:rPr>
      </w:pPr>
      <w:r>
        <w:rPr>
          <w:rFonts w:hint="eastAsia" w:ascii="仿宋" w:hAnsi="仿宋" w:eastAsia="仿宋" w:cs="Times New Roman"/>
          <w:b/>
          <w:bCs/>
          <w:kern w:val="30"/>
          <w:sz w:val="30"/>
          <w:szCs w:val="30"/>
          <w:highlight w:val="none"/>
          <w:lang w:val="en-US" w:eastAsia="zh-CN" w:bidi="ar-SA"/>
        </w:rPr>
        <w:t>（二）具体项目管理制度不完善，制度执行层面仍有缺口</w:t>
      </w:r>
    </w:p>
    <w:p w14:paraId="0225CD71">
      <w:pPr>
        <w:pStyle w:val="8"/>
        <w:keepNext w:val="0"/>
        <w:keepLines w:val="0"/>
        <w:pageBreakBefore w:val="0"/>
        <w:widowControl w:val="0"/>
        <w:kinsoku/>
        <w:wordWrap/>
        <w:overflowPunct/>
        <w:topLinePunct w:val="0"/>
        <w:autoSpaceDE/>
        <w:autoSpaceDN/>
        <w:bidi w:val="0"/>
        <w:adjustRightInd/>
        <w:snapToGrid/>
        <w:spacing w:line="579" w:lineRule="exact"/>
        <w:ind w:left="0" w:firstLine="630" w:firstLineChars="200"/>
        <w:jc w:val="both"/>
        <w:textAlignment w:val="auto"/>
        <w:rPr>
          <w:rFonts w:hint="eastAsia" w:ascii="仿宋" w:hAnsi="仿宋" w:eastAsia="仿宋" w:cs="Times New Roman"/>
          <w:kern w:val="30"/>
          <w:sz w:val="30"/>
          <w:szCs w:val="30"/>
          <w:highlight w:val="none"/>
          <w:lang w:val="en-US" w:eastAsia="zh-CN" w:bidi="ar-SA"/>
        </w:rPr>
      </w:pPr>
      <w:r>
        <w:rPr>
          <w:rFonts w:hint="eastAsia" w:ascii="仿宋" w:hAnsi="仿宋" w:eastAsia="仿宋" w:cs="Times New Roman"/>
          <w:kern w:val="30"/>
          <w:sz w:val="30"/>
          <w:szCs w:val="30"/>
          <w:highlight w:val="none"/>
          <w:lang w:val="en-US" w:eastAsia="zh-CN" w:bidi="ar-SA"/>
        </w:rPr>
        <w:t>海口街道（园区）虽已建立“三重一大”事项集体决策制度，并依据区级及上级部门政策文件开展工作，但现行制度体系仍主要集中于宏观层面的指导与审批，对于具体项目运行特别是运营类事项缺乏配套的专项管理制度和可执行流程。在污水处理厂运营方面，相关收费制度、成本分摊机制及市场化运营规则虽已启动研究和讨论，但尚未形成正式制度性成果，收费主体、计价方式及责任边界等关键要素仍未明确，致使污水处理服务无法进入市场化运行路径，财政补助成为主要支撑来源，项目经济属性难以有效体现。在劳务派遣管理方面，人员使用虽已形成事实，但缺乏从岗位需求说明、人员配置标准到履职过程和绩效考核的制度体系，人力资源配置偏重事务性安排，制度化管理程度不足，难以通过规范流程实现成本可控和服务质量提升。</w:t>
      </w:r>
    </w:p>
    <w:p w14:paraId="3733FFBA">
      <w:pPr>
        <w:pStyle w:val="8"/>
        <w:keepNext w:val="0"/>
        <w:keepLines w:val="0"/>
        <w:pageBreakBefore w:val="0"/>
        <w:widowControl w:val="0"/>
        <w:kinsoku/>
        <w:wordWrap/>
        <w:overflowPunct/>
        <w:topLinePunct w:val="0"/>
        <w:autoSpaceDE/>
        <w:autoSpaceDN/>
        <w:bidi w:val="0"/>
        <w:adjustRightInd/>
        <w:snapToGrid/>
        <w:spacing w:line="579" w:lineRule="exact"/>
        <w:ind w:left="0" w:firstLine="630" w:firstLineChars="200"/>
        <w:jc w:val="both"/>
        <w:textAlignment w:val="auto"/>
        <w:rPr>
          <w:rFonts w:hint="eastAsia" w:ascii="仿宋" w:hAnsi="仿宋" w:eastAsia="仿宋" w:cs="Times New Roman"/>
          <w:kern w:val="30"/>
          <w:sz w:val="30"/>
          <w:szCs w:val="30"/>
          <w:highlight w:val="none"/>
          <w:lang w:val="en-US" w:eastAsia="zh-CN" w:bidi="ar-SA"/>
        </w:rPr>
      </w:pPr>
      <w:r>
        <w:rPr>
          <w:rFonts w:hint="eastAsia" w:ascii="仿宋" w:hAnsi="仿宋" w:eastAsia="仿宋" w:cs="Times New Roman"/>
          <w:kern w:val="30"/>
          <w:sz w:val="30"/>
          <w:szCs w:val="30"/>
          <w:highlight w:val="none"/>
          <w:lang w:val="en-US" w:eastAsia="zh-CN" w:bidi="ar-SA"/>
        </w:rPr>
        <w:t>上述制度未能及时落地，除制度设计本身涉及多部门协同、业务归口不够清晰等客观因素外，也反映出在运营类项目管理理念、制度转化进程与执行节奏之间尚未形成一致性，制度建设与实际运行存在一定时间差，使部分项目运行在制度框架与执行规范之间出现衔接空档，影响了管理闭环的形成。</w:t>
      </w:r>
    </w:p>
    <w:p w14:paraId="2A91F5A7">
      <w:pPr>
        <w:pStyle w:val="8"/>
        <w:keepNext w:val="0"/>
        <w:keepLines w:val="0"/>
        <w:pageBreakBefore w:val="0"/>
        <w:widowControl w:val="0"/>
        <w:kinsoku/>
        <w:wordWrap/>
        <w:overflowPunct/>
        <w:topLinePunct w:val="0"/>
        <w:autoSpaceDE/>
        <w:autoSpaceDN/>
        <w:bidi w:val="0"/>
        <w:adjustRightInd/>
        <w:snapToGrid/>
        <w:spacing w:line="579" w:lineRule="exact"/>
        <w:ind w:left="0" w:firstLine="630" w:firstLineChars="200"/>
        <w:jc w:val="both"/>
        <w:textAlignment w:val="auto"/>
        <w:rPr>
          <w:rFonts w:hint="eastAsia" w:ascii="仿宋" w:hAnsi="仿宋" w:eastAsia="仿宋" w:cs="Times New Roman"/>
          <w:kern w:val="30"/>
          <w:sz w:val="30"/>
          <w:szCs w:val="30"/>
          <w:highlight w:val="none"/>
          <w:lang w:val="en-US" w:eastAsia="zh-CN" w:bidi="ar-SA"/>
        </w:rPr>
      </w:pPr>
      <w:r>
        <w:rPr>
          <w:rFonts w:hint="eastAsia" w:ascii="仿宋" w:hAnsi="仿宋" w:eastAsia="仿宋" w:cs="Times New Roman"/>
          <w:b/>
          <w:bCs/>
          <w:kern w:val="30"/>
          <w:sz w:val="30"/>
          <w:szCs w:val="30"/>
          <w:highlight w:val="none"/>
          <w:lang w:val="en-US" w:eastAsia="zh-CN" w:bidi="ar-SA"/>
        </w:rPr>
        <w:t>（三）资金支付与绩效监控衔接不畅，绩效产出与资金投入相关性不明显</w:t>
      </w:r>
    </w:p>
    <w:p w14:paraId="1D280365">
      <w:pPr>
        <w:pStyle w:val="8"/>
        <w:keepNext w:val="0"/>
        <w:keepLines w:val="0"/>
        <w:pageBreakBefore w:val="0"/>
        <w:widowControl w:val="0"/>
        <w:kinsoku/>
        <w:wordWrap/>
        <w:overflowPunct/>
        <w:topLinePunct w:val="0"/>
        <w:autoSpaceDE/>
        <w:autoSpaceDN/>
        <w:bidi w:val="0"/>
        <w:adjustRightInd/>
        <w:snapToGrid/>
        <w:spacing w:line="579" w:lineRule="exact"/>
        <w:ind w:left="0" w:firstLine="630" w:firstLineChars="200"/>
        <w:jc w:val="left"/>
        <w:textAlignment w:val="auto"/>
        <w:rPr>
          <w:rFonts w:hint="eastAsia" w:ascii="仿宋" w:hAnsi="仿宋" w:eastAsia="仿宋" w:cs="Times New Roman"/>
          <w:kern w:val="30"/>
          <w:sz w:val="30"/>
          <w:szCs w:val="30"/>
          <w:highlight w:val="none"/>
          <w:lang w:val="en-US" w:eastAsia="zh-CN" w:bidi="ar-SA"/>
        </w:rPr>
      </w:pPr>
      <w:r>
        <w:rPr>
          <w:rFonts w:hint="eastAsia" w:ascii="仿宋" w:hAnsi="仿宋" w:eastAsia="仿宋" w:cs="Times New Roman"/>
          <w:kern w:val="30"/>
          <w:sz w:val="30"/>
          <w:szCs w:val="30"/>
          <w:highlight w:val="none"/>
          <w:lang w:val="en-US" w:eastAsia="zh-CN" w:bidi="ar-SA"/>
        </w:rPr>
        <w:t>专项资金支付主要依据合同、请示和批复进行，部分项目存在结算周期长、凭证整理不及时、数据来源分散的问题，绩效评价数据需依赖人工汇总。</w:t>
      </w:r>
    </w:p>
    <w:p w14:paraId="64B959F3">
      <w:pPr>
        <w:pStyle w:val="8"/>
        <w:keepNext w:val="0"/>
        <w:keepLines w:val="0"/>
        <w:pageBreakBefore w:val="0"/>
        <w:widowControl w:val="0"/>
        <w:kinsoku/>
        <w:wordWrap/>
        <w:overflowPunct/>
        <w:topLinePunct w:val="0"/>
        <w:autoSpaceDE/>
        <w:autoSpaceDN/>
        <w:bidi w:val="0"/>
        <w:adjustRightInd/>
        <w:snapToGrid/>
        <w:spacing w:line="579" w:lineRule="exact"/>
        <w:ind w:left="0" w:firstLine="630" w:firstLineChars="200"/>
        <w:jc w:val="both"/>
        <w:textAlignment w:val="auto"/>
        <w:rPr>
          <w:rFonts w:hint="eastAsia" w:ascii="仿宋" w:hAnsi="仿宋" w:eastAsia="仿宋" w:cs="Times New Roman"/>
          <w:kern w:val="30"/>
          <w:sz w:val="30"/>
          <w:szCs w:val="30"/>
          <w:highlight w:val="none"/>
          <w:lang w:val="en-US" w:eastAsia="zh-CN" w:bidi="ar-SA"/>
        </w:rPr>
      </w:pPr>
      <w:r>
        <w:rPr>
          <w:rFonts w:hint="eastAsia" w:ascii="仿宋" w:hAnsi="仿宋" w:eastAsia="仿宋" w:cs="Times New Roman"/>
          <w:kern w:val="30"/>
          <w:sz w:val="30"/>
          <w:szCs w:val="30"/>
          <w:highlight w:val="none"/>
          <w:lang w:val="en-US" w:eastAsia="zh-CN" w:bidi="ar-SA"/>
        </w:rPr>
        <w:t>原因分析：项目分布跨部门、多类型，且园区财务与街道财务系统尚未完全并行；由于部分项目尚在实施阶段，产出和效益未完全显现，且不同项目性质差异较大（如运营、派遣、征地），部分项目产出无法量化或短期内难以形成直接经济效益。</w:t>
      </w:r>
    </w:p>
    <w:p w14:paraId="4423099A">
      <w:pPr>
        <w:pStyle w:val="8"/>
        <w:keepNext w:val="0"/>
        <w:keepLines w:val="0"/>
        <w:pageBreakBefore w:val="0"/>
        <w:widowControl w:val="0"/>
        <w:kinsoku/>
        <w:wordWrap/>
        <w:overflowPunct/>
        <w:topLinePunct w:val="0"/>
        <w:autoSpaceDE/>
        <w:autoSpaceDN/>
        <w:bidi w:val="0"/>
        <w:adjustRightInd/>
        <w:snapToGrid/>
        <w:spacing w:line="579" w:lineRule="exact"/>
        <w:ind w:left="0" w:firstLine="630" w:firstLineChars="200"/>
        <w:jc w:val="both"/>
        <w:textAlignment w:val="auto"/>
        <w:rPr>
          <w:rFonts w:hint="eastAsia" w:ascii="仿宋" w:hAnsi="仿宋" w:eastAsia="仿宋" w:cs="Times New Roman"/>
          <w:kern w:val="30"/>
          <w:sz w:val="30"/>
          <w:szCs w:val="30"/>
          <w:highlight w:val="none"/>
          <w:lang w:val="en-US" w:eastAsia="zh-CN" w:bidi="ar-SA"/>
        </w:rPr>
      </w:pPr>
      <w:r>
        <w:rPr>
          <w:rFonts w:hint="eastAsia" w:ascii="仿宋" w:hAnsi="仿宋" w:eastAsia="仿宋" w:cs="Times New Roman"/>
          <w:kern w:val="30"/>
          <w:sz w:val="30"/>
          <w:szCs w:val="30"/>
          <w:highlight w:val="none"/>
          <w:lang w:val="en-US" w:eastAsia="zh-CN" w:bidi="ar-SA"/>
        </w:rPr>
        <w:t>涉及与投资公司、派遣企业等往来中，因对方为全资国有企业，信任度较高，对实际项目执行情况等未完全进行监督和监管；对各类型项目理解本身及项目管理经验，项目控制要点，资金实际支出目的，投入产出关联及如何量化和计算等管理要素上，还有提升空间。</w:t>
      </w:r>
    </w:p>
    <w:p w14:paraId="56CD0188">
      <w:pPr>
        <w:pStyle w:val="8"/>
        <w:keepNext w:val="0"/>
        <w:keepLines w:val="0"/>
        <w:pageBreakBefore w:val="0"/>
        <w:widowControl w:val="0"/>
        <w:kinsoku/>
        <w:wordWrap/>
        <w:overflowPunct/>
        <w:topLinePunct w:val="0"/>
        <w:autoSpaceDE/>
        <w:autoSpaceDN/>
        <w:bidi w:val="0"/>
        <w:adjustRightInd/>
        <w:snapToGrid/>
        <w:spacing w:line="579" w:lineRule="exact"/>
        <w:ind w:left="0" w:firstLine="630" w:firstLineChars="200"/>
        <w:jc w:val="both"/>
        <w:textAlignment w:val="auto"/>
        <w:rPr>
          <w:rFonts w:hint="eastAsia" w:ascii="仿宋" w:hAnsi="仿宋" w:eastAsia="仿宋" w:cs="Times New Roman"/>
          <w:b/>
          <w:bCs/>
          <w:kern w:val="30"/>
          <w:sz w:val="30"/>
          <w:szCs w:val="30"/>
          <w:highlight w:val="none"/>
          <w:lang w:val="en-US" w:eastAsia="zh-CN" w:bidi="ar-SA"/>
        </w:rPr>
      </w:pPr>
      <w:r>
        <w:rPr>
          <w:rFonts w:hint="eastAsia" w:ascii="仿宋" w:hAnsi="仿宋" w:eastAsia="仿宋" w:cs="Times New Roman"/>
          <w:b/>
          <w:bCs/>
          <w:kern w:val="30"/>
          <w:sz w:val="30"/>
          <w:szCs w:val="30"/>
          <w:highlight w:val="none"/>
          <w:lang w:val="en-US" w:eastAsia="zh-CN" w:bidi="ar-SA"/>
        </w:rPr>
        <w:t>（四）绩效管理机制仍处于起步阶段，缺乏系统性与闭环管理</w:t>
      </w:r>
    </w:p>
    <w:p w14:paraId="06DBEB74">
      <w:pPr>
        <w:pStyle w:val="8"/>
        <w:keepNext w:val="0"/>
        <w:keepLines w:val="0"/>
        <w:pageBreakBefore w:val="0"/>
        <w:widowControl w:val="0"/>
        <w:kinsoku/>
        <w:wordWrap/>
        <w:overflowPunct/>
        <w:topLinePunct w:val="0"/>
        <w:autoSpaceDE/>
        <w:autoSpaceDN/>
        <w:bidi w:val="0"/>
        <w:adjustRightInd/>
        <w:snapToGrid/>
        <w:spacing w:line="579" w:lineRule="exact"/>
        <w:ind w:left="0" w:firstLine="630" w:firstLineChars="200"/>
        <w:jc w:val="both"/>
        <w:textAlignment w:val="auto"/>
        <w:rPr>
          <w:rFonts w:hint="eastAsia" w:ascii="仿宋" w:hAnsi="仿宋" w:eastAsia="仿宋" w:cs="Times New Roman"/>
          <w:kern w:val="30"/>
          <w:sz w:val="30"/>
          <w:szCs w:val="30"/>
          <w:highlight w:val="none"/>
          <w:lang w:val="en-US" w:eastAsia="zh-CN" w:bidi="ar-SA"/>
        </w:rPr>
      </w:pPr>
      <w:r>
        <w:rPr>
          <w:rFonts w:hint="eastAsia" w:ascii="仿宋" w:hAnsi="仿宋" w:eastAsia="仿宋" w:cs="Times New Roman"/>
          <w:kern w:val="30"/>
          <w:sz w:val="30"/>
          <w:szCs w:val="30"/>
          <w:highlight w:val="none"/>
          <w:lang w:val="en-US" w:eastAsia="zh-CN" w:bidi="ar-SA"/>
        </w:rPr>
        <w:t>项目从立项到执行再到绩效自评，多由财务工作人员或办公室人员执行，项目实施部门参与度有限，绩效结果在项目再立项、预算安排中的反馈作用不明显。绩效评价结果主要作为年度考核资料使用，未形成“以绩效促管理、以评价促改进”的工作机制。</w:t>
      </w:r>
    </w:p>
    <w:p w14:paraId="4FF040A2">
      <w:pPr>
        <w:pStyle w:val="8"/>
        <w:keepNext w:val="0"/>
        <w:keepLines w:val="0"/>
        <w:pageBreakBefore w:val="0"/>
        <w:widowControl w:val="0"/>
        <w:kinsoku/>
        <w:wordWrap/>
        <w:overflowPunct/>
        <w:topLinePunct w:val="0"/>
        <w:autoSpaceDE/>
        <w:autoSpaceDN/>
        <w:bidi w:val="0"/>
        <w:adjustRightInd/>
        <w:snapToGrid/>
        <w:spacing w:line="579" w:lineRule="exact"/>
        <w:ind w:left="0" w:firstLine="630" w:firstLineChars="200"/>
        <w:jc w:val="both"/>
        <w:textAlignment w:val="auto"/>
        <w:rPr>
          <w:rFonts w:hint="eastAsia" w:ascii="仿宋" w:hAnsi="仿宋" w:eastAsia="仿宋" w:cs="Times New Roman"/>
          <w:kern w:val="30"/>
          <w:sz w:val="30"/>
          <w:szCs w:val="30"/>
          <w:highlight w:val="none"/>
          <w:lang w:val="en-US" w:eastAsia="zh-CN" w:bidi="ar-SA"/>
        </w:rPr>
      </w:pPr>
      <w:r>
        <w:rPr>
          <w:rFonts w:hint="eastAsia" w:ascii="仿宋" w:hAnsi="仿宋" w:eastAsia="仿宋" w:cs="Times New Roman"/>
          <w:kern w:val="30"/>
          <w:sz w:val="30"/>
          <w:szCs w:val="30"/>
          <w:highlight w:val="none"/>
          <w:lang w:val="en-US" w:eastAsia="zh-CN" w:bidi="ar-SA"/>
        </w:rPr>
        <w:t>原因分析：园区财政绩效管理尚处于探索阶段，缺乏系统化管理工具与专业人员支撑。绩效结果的使用路径不清晰，尚未建立评价结果与预算分配、责任追踪、制度修订等环节的有效衔接。</w:t>
      </w:r>
    </w:p>
    <w:p w14:paraId="124EAAEA">
      <w:pPr>
        <w:pStyle w:val="8"/>
        <w:keepNext w:val="0"/>
        <w:keepLines w:val="0"/>
        <w:pageBreakBefore w:val="0"/>
        <w:widowControl w:val="0"/>
        <w:kinsoku/>
        <w:wordWrap/>
        <w:overflowPunct/>
        <w:topLinePunct w:val="0"/>
        <w:autoSpaceDE/>
        <w:autoSpaceDN/>
        <w:bidi w:val="0"/>
        <w:adjustRightInd/>
        <w:snapToGrid/>
        <w:spacing w:line="579" w:lineRule="exact"/>
        <w:ind w:left="0" w:firstLine="630" w:firstLineChars="200"/>
        <w:jc w:val="both"/>
        <w:textAlignment w:val="auto"/>
        <w:rPr>
          <w:rFonts w:ascii="黑体" w:hAnsi="宋体" w:eastAsia="黑体" w:cs="宋体"/>
          <w:szCs w:val="30"/>
          <w:highlight w:val="none"/>
        </w:rPr>
      </w:pPr>
      <w:bookmarkStart w:id="37" w:name="_Toc27664"/>
      <w:r>
        <w:rPr>
          <w:rFonts w:hint="eastAsia" w:ascii="黑体" w:hAnsi="宋体" w:eastAsia="黑体" w:cs="宋体"/>
          <w:szCs w:val="30"/>
          <w:highlight w:val="none"/>
          <w:lang w:val="en-US" w:eastAsia="zh-CN"/>
        </w:rPr>
        <w:t>七</w:t>
      </w:r>
      <w:r>
        <w:rPr>
          <w:rFonts w:hint="eastAsia" w:ascii="黑体" w:hAnsi="宋体" w:eastAsia="黑体" w:cs="宋体"/>
          <w:szCs w:val="30"/>
          <w:highlight w:val="none"/>
        </w:rPr>
        <w:t>、建议</w:t>
      </w:r>
      <w:bookmarkEnd w:id="37"/>
    </w:p>
    <w:p w14:paraId="692809F1">
      <w:pPr>
        <w:spacing w:line="579" w:lineRule="exact"/>
        <w:ind w:firstLine="630" w:firstLineChars="200"/>
        <w:rPr>
          <w:rFonts w:hint="eastAsia" w:ascii="仿宋" w:hAnsi="仿宋" w:eastAsia="仿宋" w:cs="Times New Roman"/>
          <w:sz w:val="30"/>
          <w:szCs w:val="30"/>
          <w:highlight w:val="none"/>
          <w:lang w:val="en-US" w:eastAsia="zh-CN"/>
        </w:rPr>
      </w:pPr>
      <w:r>
        <w:rPr>
          <w:rFonts w:hint="eastAsia" w:ascii="仿宋" w:hAnsi="仿宋" w:eastAsia="仿宋" w:cs="Times New Roman"/>
          <w:sz w:val="30"/>
          <w:szCs w:val="30"/>
          <w:highlight w:val="none"/>
          <w:lang w:val="en-US" w:eastAsia="zh-CN"/>
        </w:rPr>
        <w:t>为进一步提升昆明市西山区海口街道产业发展专项资金的管理水平和绩效成效，促进财政资金规范、安全、高效使用，结合本次绩效评价发现的问题，提出如下建议：</w:t>
      </w:r>
    </w:p>
    <w:p w14:paraId="4DFBCCB3">
      <w:pPr>
        <w:spacing w:line="579" w:lineRule="exact"/>
        <w:ind w:firstLine="630" w:firstLineChars="200"/>
        <w:rPr>
          <w:rFonts w:hint="eastAsia" w:ascii="仿宋" w:hAnsi="仿宋" w:eastAsia="仿宋" w:cs="Times New Roman"/>
          <w:sz w:val="30"/>
          <w:szCs w:val="30"/>
          <w:highlight w:val="none"/>
          <w:lang w:val="en-US" w:eastAsia="zh-CN"/>
        </w:rPr>
      </w:pPr>
      <w:r>
        <w:rPr>
          <w:rFonts w:hint="eastAsia" w:ascii="仿宋" w:hAnsi="仿宋" w:eastAsia="仿宋" w:cs="Times New Roman"/>
          <w:b/>
          <w:bCs/>
          <w:sz w:val="30"/>
          <w:szCs w:val="30"/>
          <w:highlight w:val="none"/>
          <w:lang w:val="en-US" w:eastAsia="zh-CN"/>
        </w:rPr>
        <w:t>（一）完善绩效目标体系，强化项目分类与分级管理</w:t>
      </w:r>
    </w:p>
    <w:p w14:paraId="3B70D2D5">
      <w:pPr>
        <w:spacing w:line="579" w:lineRule="exact"/>
        <w:ind w:firstLine="630" w:firstLineChars="200"/>
        <w:rPr>
          <w:rFonts w:hint="eastAsia" w:ascii="仿宋" w:hAnsi="仿宋" w:eastAsia="仿宋" w:cs="Times New Roman"/>
          <w:sz w:val="30"/>
          <w:szCs w:val="30"/>
          <w:highlight w:val="none"/>
          <w:lang w:val="en-US" w:eastAsia="zh-CN"/>
        </w:rPr>
      </w:pPr>
      <w:r>
        <w:rPr>
          <w:rFonts w:hint="eastAsia" w:ascii="仿宋" w:hAnsi="仿宋" w:eastAsia="仿宋" w:cs="Times New Roman"/>
          <w:sz w:val="30"/>
          <w:szCs w:val="30"/>
          <w:highlight w:val="none"/>
          <w:lang w:val="en-US" w:eastAsia="zh-CN"/>
        </w:rPr>
        <w:t>建议在绩效目标设计阶段，依据产业发展专项资金支持项目的性质和周期，实行分类分级绩效管理。对基础设施类、运营类、服务类项目分别设置差异化绩效目标，细化产出指标与结果指标，明确可衡量标准。</w:t>
      </w:r>
    </w:p>
    <w:p w14:paraId="214C5843">
      <w:pPr>
        <w:spacing w:line="579" w:lineRule="exact"/>
        <w:ind w:firstLine="630" w:firstLineChars="200"/>
        <w:rPr>
          <w:rFonts w:hint="eastAsia" w:ascii="仿宋" w:hAnsi="仿宋" w:eastAsia="仿宋" w:cs="Times New Roman"/>
          <w:sz w:val="30"/>
          <w:szCs w:val="30"/>
          <w:highlight w:val="none"/>
          <w:lang w:val="en-US" w:eastAsia="zh-CN"/>
        </w:rPr>
      </w:pPr>
      <w:r>
        <w:rPr>
          <w:rFonts w:hint="eastAsia" w:ascii="仿宋" w:hAnsi="仿宋" w:eastAsia="仿宋" w:cs="Times New Roman"/>
          <w:sz w:val="30"/>
          <w:szCs w:val="30"/>
          <w:highlight w:val="none"/>
          <w:lang w:val="en-US" w:eastAsia="zh-CN"/>
        </w:rPr>
        <w:t>同时，应推动绩效目标与年度预算、工作计划实现同步编制、同步申报、同步调整，以项目和工作规划带动预算编制，实现“以项目论预算、以绩效促管理”。可结合政府全面推进零基预算的契机，逐步建立以项目清单和绩效目标为核心的预算编制体系，避免“预算一套、执行一套”的割裂现象。</w:t>
      </w:r>
    </w:p>
    <w:p w14:paraId="2E4039F3">
      <w:pPr>
        <w:spacing w:line="579" w:lineRule="exact"/>
        <w:ind w:firstLine="630" w:firstLineChars="200"/>
        <w:rPr>
          <w:rFonts w:hint="eastAsia" w:ascii="仿宋" w:hAnsi="仿宋" w:eastAsia="仿宋" w:cs="Times New Roman"/>
          <w:sz w:val="30"/>
          <w:szCs w:val="30"/>
          <w:highlight w:val="none"/>
          <w:lang w:val="en-US" w:eastAsia="zh-CN"/>
        </w:rPr>
      </w:pPr>
      <w:r>
        <w:rPr>
          <w:rFonts w:hint="eastAsia" w:ascii="仿宋" w:hAnsi="仿宋" w:eastAsia="仿宋" w:cs="Times New Roman"/>
          <w:b/>
          <w:bCs/>
          <w:sz w:val="30"/>
          <w:szCs w:val="30"/>
          <w:highlight w:val="none"/>
          <w:lang w:val="en-US" w:eastAsia="zh-CN"/>
        </w:rPr>
        <w:t>（二）完善项目管理制度体系，推进制度落地与执行闭环形成</w:t>
      </w:r>
    </w:p>
    <w:p w14:paraId="3C1D0174">
      <w:pPr>
        <w:spacing w:line="579" w:lineRule="exact"/>
        <w:ind w:firstLine="630" w:firstLineChars="200"/>
        <w:rPr>
          <w:rFonts w:hint="eastAsia" w:ascii="仿宋" w:hAnsi="仿宋" w:eastAsia="仿宋" w:cs="Times New Roman"/>
          <w:sz w:val="30"/>
          <w:szCs w:val="30"/>
          <w:highlight w:val="none"/>
          <w:lang w:val="en-US" w:eastAsia="zh-CN"/>
        </w:rPr>
      </w:pPr>
      <w:r>
        <w:rPr>
          <w:rFonts w:hint="eastAsia" w:ascii="仿宋" w:hAnsi="仿宋" w:eastAsia="仿宋" w:cs="Times New Roman"/>
          <w:sz w:val="30"/>
          <w:szCs w:val="30"/>
          <w:highlight w:val="none"/>
          <w:lang w:val="en-US" w:eastAsia="zh-CN"/>
        </w:rPr>
        <w:t>在现有“三重一大”事项集体决策制度及上级部门相关政策框架基础上，建议进一步细化项目管理制度体系，明确不同类型项目的管理边界、运行规范与执行流程，推动管理制度从宏观指引向可操作层面延伸。</w:t>
      </w:r>
    </w:p>
    <w:p w14:paraId="45324814">
      <w:pPr>
        <w:spacing w:line="579" w:lineRule="exact"/>
        <w:ind w:firstLine="630" w:firstLineChars="200"/>
        <w:rPr>
          <w:rFonts w:hint="eastAsia" w:ascii="仿宋" w:hAnsi="仿宋" w:eastAsia="仿宋" w:cs="Times New Roman"/>
          <w:sz w:val="30"/>
          <w:szCs w:val="30"/>
          <w:highlight w:val="none"/>
          <w:lang w:val="en-US" w:eastAsia="zh-CN"/>
        </w:rPr>
      </w:pPr>
      <w:r>
        <w:rPr>
          <w:rFonts w:hint="eastAsia" w:ascii="仿宋" w:hAnsi="仿宋" w:eastAsia="仿宋" w:cs="Times New Roman"/>
          <w:sz w:val="30"/>
          <w:szCs w:val="30"/>
          <w:highlight w:val="none"/>
          <w:lang w:val="en-US" w:eastAsia="zh-CN"/>
        </w:rPr>
        <w:t>一是针对污水处理厂运营类项目，尽快完善收费制度、成本分摊机制及服务定价规则，明确收费主体、责任边界和程序要求，逐步形成由财政补助向市场化回收成本转化的制度路径，为项目持续运行提供制度依据。二是对劳务派遣类项目，建议建立从岗位需求说明、人员配置标准到履职过程监督及绩效考核的管理制度，提升人力使用透明度与过程管控能力，避免“用人即付费、事后无评价”的执行方式。三是针对涉及垫付资金的事项，完善资金审核、拨付凭据、进度跟踪与支付核销机制，确保资金流向、用途及使用节奏可追溯、可核验。</w:t>
      </w:r>
    </w:p>
    <w:p w14:paraId="367283BB">
      <w:pPr>
        <w:spacing w:line="579" w:lineRule="exact"/>
        <w:ind w:firstLine="630" w:firstLineChars="200"/>
        <w:rPr>
          <w:rFonts w:hint="default" w:ascii="仿宋" w:hAnsi="仿宋" w:eastAsia="仿宋" w:cs="Times New Roman"/>
          <w:sz w:val="30"/>
          <w:szCs w:val="30"/>
          <w:highlight w:val="none"/>
          <w:lang w:val="en-US" w:eastAsia="zh-CN"/>
        </w:rPr>
      </w:pPr>
      <w:r>
        <w:rPr>
          <w:rFonts w:hint="eastAsia" w:ascii="仿宋" w:hAnsi="仿宋" w:eastAsia="仿宋" w:cs="Times New Roman"/>
          <w:sz w:val="30"/>
          <w:szCs w:val="30"/>
          <w:highlight w:val="none"/>
          <w:lang w:val="en-US" w:eastAsia="zh-CN"/>
        </w:rPr>
        <w:t>通过上述制度补充与细化，可逐步形成制度制定—执行落实—跟踪监督—结果反馈的项目管理闭环，增强制度执行的有效性与可持续性。</w:t>
      </w:r>
    </w:p>
    <w:p w14:paraId="0834ACFD">
      <w:pPr>
        <w:spacing w:line="579" w:lineRule="exact"/>
        <w:ind w:firstLine="630" w:firstLineChars="200"/>
        <w:rPr>
          <w:rFonts w:hint="eastAsia" w:ascii="仿宋" w:hAnsi="仿宋" w:eastAsia="仿宋" w:cs="Times New Roman"/>
          <w:b/>
          <w:bCs/>
          <w:sz w:val="30"/>
          <w:szCs w:val="30"/>
          <w:highlight w:val="none"/>
          <w:lang w:val="en-US" w:eastAsia="zh-CN"/>
        </w:rPr>
      </w:pPr>
      <w:r>
        <w:rPr>
          <w:rFonts w:hint="eastAsia" w:ascii="仿宋" w:hAnsi="仿宋" w:eastAsia="仿宋" w:cs="Times New Roman"/>
          <w:b/>
          <w:bCs/>
          <w:sz w:val="30"/>
          <w:szCs w:val="30"/>
          <w:highlight w:val="none"/>
          <w:lang w:val="en-US" w:eastAsia="zh-CN"/>
        </w:rPr>
        <w:t>（三）建立全过程绩效监控机制，强化绩效与支付衔接</w:t>
      </w:r>
    </w:p>
    <w:p w14:paraId="1C23B5A7">
      <w:pPr>
        <w:spacing w:line="579" w:lineRule="exact"/>
        <w:ind w:firstLine="630" w:firstLineChars="200"/>
        <w:rPr>
          <w:rFonts w:hint="eastAsia" w:ascii="仿宋" w:hAnsi="仿宋" w:eastAsia="仿宋" w:cs="Times New Roman"/>
          <w:sz w:val="30"/>
          <w:szCs w:val="30"/>
          <w:highlight w:val="none"/>
          <w:lang w:val="en-US" w:eastAsia="zh-CN"/>
        </w:rPr>
      </w:pPr>
      <w:r>
        <w:rPr>
          <w:rFonts w:hint="eastAsia" w:ascii="仿宋" w:hAnsi="仿宋" w:eastAsia="仿宋" w:cs="Times New Roman"/>
          <w:sz w:val="30"/>
          <w:szCs w:val="30"/>
          <w:highlight w:val="none"/>
          <w:lang w:val="en-US" w:eastAsia="zh-CN"/>
        </w:rPr>
        <w:t>建议将绩效监控贯穿预算执行全过程，建立“立项—执行—支付—评价”全链条跟踪机制。</w:t>
      </w:r>
      <w:r>
        <w:rPr>
          <w:rFonts w:hint="eastAsia" w:hAnsi="仿宋" w:cs="Times New Roman"/>
          <w:sz w:val="30"/>
          <w:szCs w:val="30"/>
          <w:highlight w:val="none"/>
          <w:lang w:val="en-US" w:eastAsia="zh-CN"/>
        </w:rPr>
        <w:t>随项目和园区管理成熟过程，</w:t>
      </w:r>
      <w:r>
        <w:rPr>
          <w:rFonts w:hint="eastAsia" w:ascii="仿宋" w:hAnsi="仿宋" w:eastAsia="仿宋" w:cs="Times New Roman"/>
          <w:sz w:val="30"/>
          <w:szCs w:val="30"/>
          <w:highlight w:val="none"/>
          <w:lang w:val="en-US" w:eastAsia="zh-CN"/>
        </w:rPr>
        <w:t>园区</w:t>
      </w:r>
      <w:r>
        <w:rPr>
          <w:rFonts w:hint="eastAsia" w:hAnsi="仿宋" w:cs="Times New Roman"/>
          <w:sz w:val="30"/>
          <w:szCs w:val="30"/>
          <w:highlight w:val="none"/>
          <w:lang w:val="en-US" w:eastAsia="zh-CN"/>
        </w:rPr>
        <w:t>可</w:t>
      </w:r>
      <w:r>
        <w:rPr>
          <w:rFonts w:hint="eastAsia" w:ascii="仿宋" w:hAnsi="仿宋" w:eastAsia="仿宋" w:cs="Times New Roman"/>
          <w:sz w:val="30"/>
          <w:szCs w:val="30"/>
          <w:highlight w:val="none"/>
          <w:lang w:val="en-US" w:eastAsia="zh-CN"/>
        </w:rPr>
        <w:t>建立统一的专项资金项目与绩效监控平台，形成动态监控和预警体系。</w:t>
      </w:r>
    </w:p>
    <w:p w14:paraId="22E40E91">
      <w:pPr>
        <w:spacing w:line="579" w:lineRule="exact"/>
        <w:ind w:firstLine="630" w:firstLineChars="200"/>
        <w:rPr>
          <w:rFonts w:hint="eastAsia" w:ascii="仿宋" w:hAnsi="仿宋" w:eastAsia="仿宋" w:cs="Times New Roman"/>
          <w:sz w:val="30"/>
          <w:szCs w:val="30"/>
          <w:highlight w:val="none"/>
          <w:lang w:val="en-US" w:eastAsia="zh-CN"/>
        </w:rPr>
      </w:pPr>
      <w:r>
        <w:rPr>
          <w:rFonts w:hint="eastAsia" w:ascii="仿宋" w:hAnsi="仿宋" w:eastAsia="仿宋" w:cs="Times New Roman"/>
          <w:sz w:val="30"/>
          <w:szCs w:val="30"/>
          <w:highlight w:val="none"/>
          <w:lang w:val="en-US" w:eastAsia="zh-CN"/>
        </w:rPr>
        <w:t>同时可探索将绩效执行情况与资金拨付进度挂钩，实行阶段性绩效复核制度，在合同履行或项目中期环节引入节点</w:t>
      </w:r>
      <w:r>
        <w:rPr>
          <w:rFonts w:hint="eastAsia" w:hAnsi="仿宋" w:cs="Times New Roman"/>
          <w:sz w:val="30"/>
          <w:szCs w:val="30"/>
          <w:highlight w:val="none"/>
          <w:lang w:val="en-US" w:eastAsia="zh-CN"/>
        </w:rPr>
        <w:t>跟踪控制</w:t>
      </w:r>
      <w:r>
        <w:rPr>
          <w:rFonts w:hint="eastAsia" w:ascii="仿宋" w:hAnsi="仿宋" w:eastAsia="仿宋" w:cs="Times New Roman"/>
          <w:sz w:val="30"/>
          <w:szCs w:val="30"/>
          <w:highlight w:val="none"/>
          <w:lang w:val="en-US" w:eastAsia="zh-CN"/>
        </w:rPr>
        <w:t>，确保资金拨付依据实际进度与绩效表现。</w:t>
      </w:r>
    </w:p>
    <w:p w14:paraId="4A2C56BB">
      <w:pPr>
        <w:spacing w:line="579" w:lineRule="exact"/>
        <w:ind w:firstLine="630" w:firstLineChars="200"/>
        <w:rPr>
          <w:rFonts w:hint="eastAsia" w:ascii="仿宋" w:hAnsi="仿宋" w:eastAsia="仿宋" w:cs="Times New Roman"/>
          <w:b/>
          <w:bCs/>
          <w:sz w:val="30"/>
          <w:szCs w:val="30"/>
          <w:highlight w:val="none"/>
          <w:lang w:val="en-US" w:eastAsia="zh-CN"/>
        </w:rPr>
      </w:pPr>
      <w:r>
        <w:rPr>
          <w:rFonts w:hint="eastAsia" w:ascii="仿宋" w:hAnsi="仿宋" w:eastAsia="仿宋" w:cs="Times New Roman"/>
          <w:b/>
          <w:bCs/>
          <w:sz w:val="30"/>
          <w:szCs w:val="30"/>
          <w:highlight w:val="none"/>
          <w:lang w:val="en-US" w:eastAsia="zh-CN"/>
        </w:rPr>
        <w:t>（四）优化绩效指标结构，明确绩效分层与管理边界</w:t>
      </w:r>
    </w:p>
    <w:p w14:paraId="7010A37E">
      <w:pPr>
        <w:spacing w:line="579" w:lineRule="exact"/>
        <w:ind w:firstLine="630" w:firstLineChars="200"/>
        <w:rPr>
          <w:rFonts w:hint="eastAsia" w:ascii="仿宋" w:hAnsi="仿宋" w:eastAsia="仿宋" w:cs="Times New Roman"/>
          <w:sz w:val="30"/>
          <w:szCs w:val="30"/>
          <w:highlight w:val="none"/>
          <w:lang w:val="en-US" w:eastAsia="zh-CN"/>
        </w:rPr>
      </w:pPr>
      <w:r>
        <w:rPr>
          <w:rFonts w:hint="eastAsia" w:ascii="仿宋" w:hAnsi="仿宋" w:eastAsia="仿宋" w:cs="Times New Roman"/>
          <w:sz w:val="30"/>
          <w:szCs w:val="30"/>
          <w:highlight w:val="none"/>
          <w:lang w:val="en-US" w:eastAsia="zh-CN"/>
        </w:rPr>
        <w:t>建议在绩效管理中区分项目绩效、部门绩效、员工绩效三个层次，分别设计指标体系和考核周期：</w:t>
      </w:r>
    </w:p>
    <w:p w14:paraId="6395AADA">
      <w:pPr>
        <w:spacing w:line="579" w:lineRule="exact"/>
        <w:ind w:firstLine="630" w:firstLineChars="200"/>
        <w:rPr>
          <w:rFonts w:hint="eastAsia" w:ascii="仿宋" w:hAnsi="仿宋" w:eastAsia="仿宋" w:cs="Times New Roman"/>
          <w:sz w:val="30"/>
          <w:szCs w:val="30"/>
          <w:highlight w:val="none"/>
          <w:lang w:val="en-US" w:eastAsia="zh-CN"/>
        </w:rPr>
      </w:pPr>
      <w:r>
        <w:rPr>
          <w:rFonts w:hint="eastAsia" w:ascii="仿宋" w:hAnsi="仿宋" w:eastAsia="仿宋" w:cs="Times New Roman"/>
          <w:sz w:val="30"/>
          <w:szCs w:val="30"/>
          <w:highlight w:val="none"/>
          <w:lang w:val="en-US" w:eastAsia="zh-CN"/>
        </w:rPr>
        <w:tab/>
      </w:r>
      <w:r>
        <w:rPr>
          <w:rFonts w:hint="eastAsia" w:ascii="仿宋" w:hAnsi="仿宋" w:eastAsia="仿宋" w:cs="Times New Roman"/>
          <w:sz w:val="30"/>
          <w:szCs w:val="30"/>
          <w:highlight w:val="none"/>
          <w:lang w:val="en-US" w:eastAsia="zh-CN"/>
        </w:rPr>
        <w:t>•</w:t>
      </w:r>
      <w:r>
        <w:rPr>
          <w:rFonts w:hint="eastAsia" w:ascii="仿宋" w:hAnsi="仿宋" w:eastAsia="仿宋" w:cs="Times New Roman"/>
          <w:sz w:val="30"/>
          <w:szCs w:val="30"/>
          <w:highlight w:val="none"/>
          <w:lang w:val="en-US" w:eastAsia="zh-CN"/>
        </w:rPr>
        <w:tab/>
      </w:r>
      <w:r>
        <w:rPr>
          <w:rFonts w:hint="eastAsia" w:ascii="仿宋" w:hAnsi="仿宋" w:eastAsia="仿宋" w:cs="Times New Roman"/>
          <w:sz w:val="30"/>
          <w:szCs w:val="30"/>
          <w:highlight w:val="none"/>
          <w:lang w:val="en-US" w:eastAsia="zh-CN"/>
        </w:rPr>
        <w:t>项目绩效侧重预算执行、目标</w:t>
      </w:r>
      <w:r>
        <w:rPr>
          <w:rFonts w:hint="eastAsia" w:hAnsi="仿宋" w:cs="Times New Roman"/>
          <w:sz w:val="30"/>
          <w:szCs w:val="30"/>
          <w:highlight w:val="none"/>
          <w:lang w:val="en-US" w:eastAsia="zh-CN"/>
        </w:rPr>
        <w:t>里程碑</w:t>
      </w:r>
      <w:r>
        <w:rPr>
          <w:rFonts w:hint="eastAsia" w:ascii="仿宋" w:hAnsi="仿宋" w:eastAsia="仿宋" w:cs="Times New Roman"/>
          <w:sz w:val="30"/>
          <w:szCs w:val="30"/>
          <w:highlight w:val="none"/>
          <w:lang w:val="en-US" w:eastAsia="zh-CN"/>
        </w:rPr>
        <w:t>达成和产出结果；</w:t>
      </w:r>
    </w:p>
    <w:p w14:paraId="53C95B61">
      <w:pPr>
        <w:spacing w:line="579" w:lineRule="exact"/>
        <w:ind w:firstLine="630" w:firstLineChars="200"/>
        <w:rPr>
          <w:rFonts w:hint="eastAsia" w:ascii="仿宋" w:hAnsi="仿宋" w:eastAsia="仿宋" w:cs="Times New Roman"/>
          <w:sz w:val="30"/>
          <w:szCs w:val="30"/>
          <w:highlight w:val="none"/>
          <w:lang w:val="en-US" w:eastAsia="zh-CN"/>
        </w:rPr>
      </w:pPr>
      <w:r>
        <w:rPr>
          <w:rFonts w:hint="eastAsia" w:ascii="仿宋" w:hAnsi="仿宋" w:eastAsia="仿宋" w:cs="Times New Roman"/>
          <w:sz w:val="30"/>
          <w:szCs w:val="30"/>
          <w:highlight w:val="none"/>
          <w:lang w:val="en-US" w:eastAsia="zh-CN"/>
        </w:rPr>
        <w:tab/>
      </w:r>
      <w:r>
        <w:rPr>
          <w:rFonts w:hint="eastAsia" w:ascii="仿宋" w:hAnsi="仿宋" w:eastAsia="仿宋" w:cs="Times New Roman"/>
          <w:sz w:val="30"/>
          <w:szCs w:val="30"/>
          <w:highlight w:val="none"/>
          <w:lang w:val="en-US" w:eastAsia="zh-CN"/>
        </w:rPr>
        <w:t>•</w:t>
      </w:r>
      <w:r>
        <w:rPr>
          <w:rFonts w:hint="eastAsia" w:ascii="仿宋" w:hAnsi="仿宋" w:eastAsia="仿宋" w:cs="Times New Roman"/>
          <w:sz w:val="30"/>
          <w:szCs w:val="30"/>
          <w:highlight w:val="none"/>
          <w:lang w:val="en-US" w:eastAsia="zh-CN"/>
        </w:rPr>
        <w:tab/>
      </w:r>
      <w:r>
        <w:rPr>
          <w:rFonts w:hint="eastAsia" w:ascii="仿宋" w:hAnsi="仿宋" w:eastAsia="仿宋" w:cs="Times New Roman"/>
          <w:sz w:val="30"/>
          <w:szCs w:val="30"/>
          <w:highlight w:val="none"/>
          <w:lang w:val="en-US" w:eastAsia="zh-CN"/>
        </w:rPr>
        <w:t>部门绩效侧重制度执行、工作协同与管理效率；</w:t>
      </w:r>
    </w:p>
    <w:p w14:paraId="0FBAB62F">
      <w:pPr>
        <w:spacing w:line="579" w:lineRule="exact"/>
        <w:ind w:firstLine="630" w:firstLineChars="200"/>
        <w:rPr>
          <w:rFonts w:hint="eastAsia" w:ascii="仿宋" w:hAnsi="仿宋" w:eastAsia="仿宋" w:cs="Times New Roman"/>
          <w:sz w:val="30"/>
          <w:szCs w:val="30"/>
          <w:highlight w:val="none"/>
          <w:lang w:val="en-US" w:eastAsia="zh-CN"/>
        </w:rPr>
      </w:pPr>
      <w:r>
        <w:rPr>
          <w:rFonts w:hint="eastAsia" w:ascii="仿宋" w:hAnsi="仿宋" w:eastAsia="仿宋" w:cs="Times New Roman"/>
          <w:sz w:val="30"/>
          <w:szCs w:val="30"/>
          <w:highlight w:val="none"/>
          <w:lang w:val="en-US" w:eastAsia="zh-CN"/>
        </w:rPr>
        <w:tab/>
      </w:r>
      <w:r>
        <w:rPr>
          <w:rFonts w:hint="eastAsia" w:ascii="仿宋" w:hAnsi="仿宋" w:eastAsia="仿宋" w:cs="Times New Roman"/>
          <w:sz w:val="30"/>
          <w:szCs w:val="30"/>
          <w:highlight w:val="none"/>
          <w:lang w:val="en-US" w:eastAsia="zh-CN"/>
        </w:rPr>
        <w:t>•</w:t>
      </w:r>
      <w:r>
        <w:rPr>
          <w:rFonts w:hint="eastAsia" w:ascii="仿宋" w:hAnsi="仿宋" w:eastAsia="仿宋" w:cs="Times New Roman"/>
          <w:sz w:val="30"/>
          <w:szCs w:val="30"/>
          <w:highlight w:val="none"/>
          <w:lang w:val="en-US" w:eastAsia="zh-CN"/>
        </w:rPr>
        <w:tab/>
      </w:r>
      <w:r>
        <w:rPr>
          <w:rFonts w:hint="eastAsia" w:ascii="仿宋" w:hAnsi="仿宋" w:eastAsia="仿宋" w:cs="Times New Roman"/>
          <w:sz w:val="30"/>
          <w:szCs w:val="30"/>
          <w:highlight w:val="none"/>
          <w:lang w:val="en-US" w:eastAsia="zh-CN"/>
        </w:rPr>
        <w:t>员工绩效侧重岗位职责履行与服务质量。</w:t>
      </w:r>
    </w:p>
    <w:p w14:paraId="1A64506A">
      <w:pPr>
        <w:spacing w:line="579" w:lineRule="exact"/>
        <w:ind w:firstLine="630" w:firstLineChars="200"/>
        <w:rPr>
          <w:rFonts w:hint="eastAsia" w:ascii="仿宋" w:hAnsi="仿宋" w:eastAsia="仿宋" w:cs="Times New Roman"/>
          <w:sz w:val="30"/>
          <w:szCs w:val="30"/>
          <w:highlight w:val="none"/>
          <w:lang w:val="en-US" w:eastAsia="zh-CN"/>
        </w:rPr>
      </w:pPr>
      <w:r>
        <w:rPr>
          <w:rFonts w:hint="eastAsia" w:ascii="仿宋" w:hAnsi="仿宋" w:eastAsia="仿宋" w:cs="Times New Roman"/>
          <w:sz w:val="30"/>
          <w:szCs w:val="30"/>
          <w:highlight w:val="none"/>
          <w:lang w:val="en-US" w:eastAsia="zh-CN"/>
        </w:rPr>
        <w:t>通过绩效分层管理，避免不同层次目标混用、权重重叠的情况，使绩效评价更具针对性和激励导向。</w:t>
      </w:r>
    </w:p>
    <w:p w14:paraId="3F2DCE6C">
      <w:pPr>
        <w:spacing w:line="579" w:lineRule="exact"/>
        <w:ind w:firstLine="630" w:firstLineChars="200"/>
        <w:rPr>
          <w:rFonts w:hint="eastAsia" w:ascii="仿宋" w:hAnsi="仿宋" w:eastAsia="仿宋" w:cs="Times New Roman"/>
          <w:sz w:val="30"/>
          <w:szCs w:val="30"/>
          <w:highlight w:val="none"/>
          <w:lang w:val="en-US" w:eastAsia="zh-CN"/>
        </w:rPr>
      </w:pPr>
      <w:r>
        <w:rPr>
          <w:rFonts w:hint="eastAsia" w:ascii="仿宋" w:hAnsi="仿宋" w:eastAsia="仿宋" w:cs="Times New Roman"/>
          <w:sz w:val="30"/>
          <w:szCs w:val="30"/>
          <w:highlight w:val="none"/>
          <w:lang w:val="en-US" w:eastAsia="zh-CN"/>
        </w:rPr>
        <w:t>此外，建议优化宏观经济指标在项目绩效中的权重，更多采用可控性强、可量化的产出与质量指标，以增强专项资金绩效的可解释性和管理价值。</w:t>
      </w:r>
    </w:p>
    <w:p w14:paraId="57E5A747">
      <w:pPr>
        <w:spacing w:line="579" w:lineRule="exact"/>
        <w:ind w:firstLine="630" w:firstLineChars="200"/>
        <w:outlineLvl w:val="0"/>
        <w:rPr>
          <w:rFonts w:hint="default" w:ascii="黑体" w:hAnsi="宋体" w:eastAsia="黑体" w:cs="宋体"/>
          <w:szCs w:val="30"/>
          <w:highlight w:val="none"/>
          <w:lang w:val="en-US" w:eastAsia="zh-CN"/>
        </w:rPr>
      </w:pPr>
      <w:bookmarkStart w:id="38" w:name="_Toc30921"/>
      <w:bookmarkStart w:id="39" w:name="_Hlk525314575"/>
      <w:r>
        <w:rPr>
          <w:rFonts w:hint="eastAsia" w:ascii="黑体" w:hAnsi="宋体" w:eastAsia="黑体" w:cs="宋体"/>
          <w:szCs w:val="30"/>
          <w:highlight w:val="none"/>
          <w:lang w:val="en-US" w:eastAsia="zh-CN"/>
        </w:rPr>
        <w:t>八、其他需说明的情况</w:t>
      </w:r>
      <w:bookmarkEnd w:id="38"/>
    </w:p>
    <w:p w14:paraId="721774EF">
      <w:pPr>
        <w:spacing w:line="579" w:lineRule="exact"/>
        <w:ind w:firstLine="630" w:firstLineChars="200"/>
        <w:outlineLvl w:val="9"/>
        <w:rPr>
          <w:rFonts w:hint="eastAsia" w:hAnsi="仿宋" w:cs="Times New Roman"/>
          <w:kern w:val="30"/>
          <w:sz w:val="30"/>
          <w:szCs w:val="30"/>
          <w:highlight w:val="none"/>
          <w:lang w:val="en-US" w:eastAsia="zh-CN" w:bidi="ar-SA"/>
        </w:rPr>
      </w:pPr>
      <w:r>
        <w:rPr>
          <w:rFonts w:hint="eastAsia" w:hAnsi="仿宋" w:cs="Times New Roman"/>
          <w:kern w:val="30"/>
          <w:sz w:val="30"/>
          <w:szCs w:val="30"/>
          <w:highlight w:val="none"/>
          <w:lang w:val="en-US" w:eastAsia="zh-CN" w:bidi="ar-SA"/>
        </w:rPr>
        <w:t>绩效目标主要援引上级文件或上一年度指标，部分指标缺乏统计口径和数据来源支撑，且同一指标在不同数据标准和不同一级分类下重复使用。在目标申报和结果填报过程中，多由财务人员独立完成，业务部门参与不足，导致绩效目标与实际工作脱节。部分指标因数据难以统计而在后期被调整或删除，说明绩效管理在基层尚未真正内化为日常管理手段，更多被视为年度报表任务。</w:t>
      </w:r>
    </w:p>
    <w:p w14:paraId="259F5958">
      <w:pPr>
        <w:spacing w:line="579" w:lineRule="exact"/>
        <w:rPr>
          <w:rFonts w:hint="eastAsia" w:hAnsi="仿宋"/>
          <w:szCs w:val="30"/>
        </w:rPr>
      </w:pPr>
    </w:p>
    <w:p w14:paraId="1B04616B">
      <w:pPr>
        <w:spacing w:line="579" w:lineRule="exact"/>
        <w:ind w:firstLine="630" w:firstLineChars="200"/>
        <w:rPr>
          <w:rFonts w:hAnsi="仿宋"/>
          <w:szCs w:val="30"/>
        </w:rPr>
      </w:pPr>
      <w:r>
        <w:rPr>
          <w:rFonts w:hint="eastAsia" w:hAnsi="仿宋"/>
          <w:szCs w:val="30"/>
        </w:rPr>
        <w:t>附件：1.绩效目标</w:t>
      </w:r>
      <w:r>
        <w:rPr>
          <w:rFonts w:hint="eastAsia" w:hAnsi="仿宋"/>
          <w:szCs w:val="30"/>
          <w:lang w:val="en-US" w:eastAsia="zh-CN"/>
        </w:rPr>
        <w:t>申报</w:t>
      </w:r>
      <w:r>
        <w:rPr>
          <w:rFonts w:hint="eastAsia" w:hAnsi="仿宋"/>
          <w:szCs w:val="30"/>
        </w:rPr>
        <w:t>表</w:t>
      </w:r>
    </w:p>
    <w:p w14:paraId="547566F6">
      <w:pPr>
        <w:spacing w:line="579" w:lineRule="exact"/>
        <w:ind w:left="1871" w:leftChars="500" w:hanging="296" w:hangingChars="94"/>
        <w:rPr>
          <w:rFonts w:hAnsi="仿宋"/>
          <w:szCs w:val="30"/>
        </w:rPr>
      </w:pPr>
      <w:r>
        <w:rPr>
          <w:rFonts w:hint="eastAsia" w:hAnsi="仿宋"/>
          <w:szCs w:val="30"/>
        </w:rPr>
        <w:t>2</w:t>
      </w:r>
      <w:r>
        <w:rPr>
          <w:rFonts w:hAnsi="仿宋"/>
          <w:szCs w:val="30"/>
        </w:rPr>
        <w:t>.</w:t>
      </w:r>
      <w:bookmarkStart w:id="40" w:name="_Hlk527019547"/>
      <w:r>
        <w:rPr>
          <w:rFonts w:hint="eastAsia" w:hAnsi="仿宋"/>
          <w:szCs w:val="30"/>
        </w:rPr>
        <w:t>绩效评价指标体系及评分表</w:t>
      </w:r>
      <w:bookmarkEnd w:id="40"/>
    </w:p>
    <w:p w14:paraId="44E93671">
      <w:pPr>
        <w:spacing w:line="579" w:lineRule="exact"/>
        <w:ind w:left="1871" w:leftChars="500" w:hanging="296" w:hangingChars="94"/>
        <w:rPr>
          <w:rFonts w:hAnsi="仿宋"/>
          <w:szCs w:val="30"/>
        </w:rPr>
      </w:pPr>
      <w:r>
        <w:rPr>
          <w:rFonts w:hint="eastAsia" w:hAnsi="仿宋"/>
          <w:szCs w:val="30"/>
        </w:rPr>
        <w:t>3.资金</w:t>
      </w:r>
      <w:r>
        <w:rPr>
          <w:rFonts w:hint="eastAsia" w:hAnsi="仿宋"/>
          <w:szCs w:val="30"/>
          <w:lang w:val="en-US" w:eastAsia="zh-CN"/>
        </w:rPr>
        <w:t>到位及</w:t>
      </w:r>
      <w:r>
        <w:rPr>
          <w:rFonts w:hint="eastAsia" w:hAnsi="仿宋"/>
          <w:szCs w:val="30"/>
        </w:rPr>
        <w:t>使用情况表</w:t>
      </w:r>
    </w:p>
    <w:p w14:paraId="4A68A4EA">
      <w:pPr>
        <w:spacing w:line="579" w:lineRule="exact"/>
        <w:ind w:firstLine="1575" w:firstLineChars="500"/>
        <w:rPr>
          <w:rFonts w:hint="eastAsia" w:hAnsi="仿宋"/>
          <w:szCs w:val="30"/>
          <w:lang w:val="en-US" w:eastAsia="zh-CN"/>
        </w:rPr>
      </w:pPr>
      <w:r>
        <w:rPr>
          <w:rFonts w:hint="eastAsia" w:hAnsi="仿宋"/>
          <w:szCs w:val="30"/>
        </w:rPr>
        <w:t>4</w:t>
      </w:r>
      <w:r>
        <w:rPr>
          <w:rFonts w:hAnsi="仿宋"/>
          <w:szCs w:val="30"/>
        </w:rPr>
        <w:t>.</w:t>
      </w:r>
      <w:bookmarkStart w:id="41" w:name="_Hlk527019673"/>
      <w:r>
        <w:rPr>
          <w:rFonts w:hint="eastAsia" w:hAnsi="仿宋"/>
          <w:szCs w:val="30"/>
        </w:rPr>
        <w:t>调查问卷</w:t>
      </w:r>
      <w:bookmarkEnd w:id="39"/>
      <w:bookmarkEnd w:id="41"/>
      <w:r>
        <w:rPr>
          <w:rFonts w:hint="eastAsia" w:hAnsi="仿宋"/>
          <w:szCs w:val="30"/>
          <w:lang w:val="en-US" w:eastAsia="zh-CN"/>
        </w:rPr>
        <w:t>结果</w:t>
      </w:r>
    </w:p>
    <w:p w14:paraId="11878544">
      <w:pPr>
        <w:spacing w:line="579" w:lineRule="exact"/>
        <w:ind w:firstLine="1575" w:firstLineChars="500"/>
        <w:rPr>
          <w:rFonts w:hint="default" w:hAnsi="仿宋" w:eastAsia="仿宋"/>
          <w:szCs w:val="30"/>
          <w:lang w:val="en-US" w:eastAsia="zh-CN"/>
        </w:rPr>
      </w:pPr>
      <w:r>
        <w:rPr>
          <w:rFonts w:hint="eastAsia" w:hAnsi="仿宋"/>
          <w:szCs w:val="30"/>
          <w:lang w:val="en-US" w:eastAsia="zh-CN"/>
        </w:rPr>
        <w:t>5</w:t>
      </w:r>
      <w:r>
        <w:rPr>
          <w:rFonts w:hAnsi="仿宋"/>
          <w:szCs w:val="30"/>
        </w:rPr>
        <w:t>.</w:t>
      </w:r>
      <w:r>
        <w:rPr>
          <w:rFonts w:hint="eastAsia" w:hAnsi="仿宋"/>
          <w:szCs w:val="30"/>
        </w:rPr>
        <w:t>绩效评价报告意见反馈表</w:t>
      </w:r>
      <w:r>
        <w:rPr>
          <w:rFonts w:hint="eastAsia" w:hAnsi="仿宋"/>
          <w:szCs w:val="30"/>
          <w:lang w:eastAsia="zh-CN"/>
        </w:rPr>
        <w:t>（</w:t>
      </w:r>
      <w:r>
        <w:rPr>
          <w:rFonts w:hint="eastAsia" w:hAnsi="仿宋"/>
          <w:szCs w:val="30"/>
          <w:lang w:val="en-US" w:eastAsia="zh-CN"/>
        </w:rPr>
        <w:t>财政部门）</w:t>
      </w:r>
    </w:p>
    <w:p w14:paraId="4F573846">
      <w:pPr>
        <w:spacing w:line="579" w:lineRule="exact"/>
        <w:ind w:firstLine="1575" w:firstLineChars="500"/>
        <w:rPr>
          <w:rFonts w:hint="default" w:hAnsi="仿宋" w:eastAsia="仿宋"/>
          <w:szCs w:val="30"/>
          <w:lang w:val="en-US" w:eastAsia="zh-CN"/>
        </w:rPr>
      </w:pPr>
      <w:r>
        <w:rPr>
          <w:rFonts w:hint="eastAsia" w:hAnsi="仿宋"/>
          <w:szCs w:val="30"/>
          <w:lang w:val="en-US" w:eastAsia="zh-CN"/>
        </w:rPr>
        <w:t>6</w:t>
      </w:r>
      <w:r>
        <w:rPr>
          <w:rFonts w:hAnsi="仿宋"/>
          <w:szCs w:val="30"/>
        </w:rPr>
        <w:t>.</w:t>
      </w:r>
      <w:r>
        <w:rPr>
          <w:rFonts w:hint="eastAsia" w:hAnsi="仿宋"/>
          <w:szCs w:val="30"/>
        </w:rPr>
        <w:t>绩效评价报告意见反馈表</w:t>
      </w:r>
      <w:r>
        <w:rPr>
          <w:rFonts w:hint="eastAsia" w:hAnsi="仿宋"/>
          <w:szCs w:val="30"/>
          <w:lang w:eastAsia="zh-CN"/>
        </w:rPr>
        <w:t>（</w:t>
      </w:r>
      <w:r>
        <w:rPr>
          <w:rFonts w:hint="eastAsia" w:hAnsi="仿宋"/>
          <w:szCs w:val="30"/>
          <w:lang w:val="en-US" w:eastAsia="zh-CN"/>
        </w:rPr>
        <w:t>项目实施单位）</w:t>
      </w:r>
    </w:p>
    <w:p w14:paraId="0B765729">
      <w:pPr>
        <w:pStyle w:val="2"/>
        <w:rPr>
          <w:rFonts w:hint="eastAsia"/>
          <w:lang w:val="en-US" w:eastAsia="zh-CN"/>
        </w:rPr>
      </w:pPr>
    </w:p>
    <w:p w14:paraId="7FB3E343">
      <w:pPr>
        <w:spacing w:line="579" w:lineRule="exact"/>
        <w:ind w:firstLine="1575" w:firstLineChars="500"/>
        <w:rPr>
          <w:rFonts w:hint="eastAsia" w:hAnsi="仿宋"/>
          <w:szCs w:val="30"/>
          <w:lang w:val="en-US" w:eastAsia="zh-CN"/>
        </w:rPr>
      </w:pPr>
    </w:p>
    <w:p w14:paraId="2E9BFABF">
      <w:pPr>
        <w:pStyle w:val="2"/>
        <w:rPr>
          <w:rFonts w:hint="eastAsia"/>
          <w:lang w:val="en-US" w:eastAsia="zh-CN"/>
        </w:rPr>
      </w:pPr>
    </w:p>
    <w:sectPr>
      <w:footerReference r:id="rId7" w:type="default"/>
      <w:footerReference r:id="rId8" w:type="even"/>
      <w:pgSz w:w="11906" w:h="16838"/>
      <w:pgMar w:top="2098" w:right="1474" w:bottom="1985" w:left="1588" w:header="851" w:footer="1474" w:gutter="0"/>
      <w:pgBorders>
        <w:top w:val="none" w:sz="0" w:space="0"/>
        <w:left w:val="none" w:sz="0" w:space="0"/>
        <w:bottom w:val="none" w:sz="0" w:space="0"/>
        <w:right w:val="none" w:sz="0" w:space="0"/>
      </w:pgBorders>
      <w:pgNumType w:fmt="decimal"/>
      <w:cols w:space="425" w:num="1"/>
      <w:docGrid w:type="linesAndChars" w:linePitch="579" w:charSpace="32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PingFang SC">
    <w:altName w:val="宋体"/>
    <w:panose1 w:val="020B0400000000000000"/>
    <w:charset w:val="86"/>
    <w:family w:val="auto"/>
    <w:pitch w:val="default"/>
    <w:sig w:usb0="00000000" w:usb1="00000000" w:usb2="00000017" w:usb3="00000000" w:csb0="00040001"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script"/>
    <w:pitch w:val="default"/>
    <w:sig w:usb0="00000001" w:usb1="080E0000" w:usb2="00000000" w:usb3="00000000" w:csb0="00040000" w:csb1="00000000"/>
  </w:font>
  <w:font w:name="宋体+FPEF">
    <w:altName w:val="宋体"/>
    <w:panose1 w:val="00000000000000000000"/>
    <w:charset w:val="86"/>
    <w:family w:val="auto"/>
    <w:pitch w:val="default"/>
    <w:sig w:usb0="00000000" w:usb1="00000000" w:usb2="00000010" w:usb3="00000000" w:csb0="00040000" w:csb1="00000000"/>
  </w:font>
  <w:font w:name="汉仪书宋二KW">
    <w:altName w:val="宋体"/>
    <w:panose1 w:val="00020600040101010101"/>
    <w:charset w:val="86"/>
    <w:family w:val="auto"/>
    <w:pitch w:val="default"/>
    <w:sig w:usb0="00000000" w:usb1="00000000" w:usb2="00000016"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D730D2">
    <w:pPr>
      <w:pStyle w:val="11"/>
      <w:jc w:val="center"/>
      <w:rPr>
        <w:rFonts w:ascii="仿宋" w:hAnsi="仿宋" w:eastAsia="仿宋"/>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0FADAF">
    <w:pPr>
      <w:pStyle w:val="11"/>
      <w:rPr>
        <w:rFonts w:ascii="仿宋" w:hAnsi="仿宋" w:eastAsia="仿宋"/>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E728E70">
                          <w:pPr>
                            <w:pStyle w:val="11"/>
                          </w:pPr>
                          <w:r>
                            <w:fldChar w:fldCharType="begin"/>
                          </w:r>
                          <w:r>
                            <w:instrText xml:space="preserve"> PAGE  \* MERGEFORMAT </w:instrText>
                          </w:r>
                          <w:r>
                            <w:fldChar w:fldCharType="separate"/>
                          </w:r>
                          <w:r>
                            <w:t>i</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14:paraId="3E728E70">
                    <w:pPr>
                      <w:pStyle w:val="11"/>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7951DD">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1641C03">
                          <w:pPr>
                            <w:pStyle w:val="11"/>
                          </w:pPr>
                          <w:r>
                            <w:fldChar w:fldCharType="begin"/>
                          </w:r>
                          <w:r>
                            <w:instrText xml:space="preserve"> PAGE  \* MERGEFORMAT </w:instrText>
                          </w:r>
                          <w:r>
                            <w:fldChar w:fldCharType="separate"/>
                          </w:r>
                          <w:r>
                            <w:t>ii</w:t>
                          </w:r>
                          <w:r>
                            <w:fldChar w:fldCharType="end"/>
                          </w:r>
                        </w:p>
                      </w:txbxContent>
                    </wps:txbx>
                    <wps:bodyPr wrap="none" lIns="0" tIns="0" rIns="0" bIns="0" upright="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FWH/vPLAQAAnAMAAA4AAAAAAAAAAQAgAAAAHgEAAGRycy9lMm9E&#10;b2MueG1sUEsFBgAAAAAGAAYAWQEAAFsFAAAAAA==&#10;">
              <v:fill on="f" focussize="0,0"/>
              <v:stroke on="f"/>
              <v:imagedata o:title=""/>
              <o:lock v:ext="edit" aspectratio="f"/>
              <v:textbox inset="0mm,0mm,0mm,0mm" style="mso-fit-shape-to-text:t;">
                <w:txbxContent>
                  <w:p w14:paraId="11641C03">
                    <w:pPr>
                      <w:pStyle w:val="11"/>
                    </w:pPr>
                    <w:r>
                      <w:fldChar w:fldCharType="begin"/>
                    </w:r>
                    <w:r>
                      <w:instrText xml:space="preserve"> PAGE  \* MERGEFORMAT </w:instrText>
                    </w:r>
                    <w:r>
                      <w:fldChar w:fldCharType="separate"/>
                    </w:r>
                    <w:r>
                      <w:t>ii</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2F7715">
    <w:pPr>
      <w:pStyle w:val="11"/>
      <w:rPr>
        <w:rFonts w:ascii="仿宋" w:hAnsi="仿宋" w:eastAsia="仿宋"/>
        <w:sz w:val="28"/>
        <w:szCs w:val="2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64C6E2">
    <w:pPr>
      <w:pStyle w:val="11"/>
      <w:rPr>
        <w:rFonts w:ascii="仿宋" w:hAnsi="仿宋" w:eastAsia="仿宋"/>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8">
    <w:p>
      <w:r>
        <w:separator/>
      </w:r>
    </w:p>
  </w:footnote>
  <w:footnote w:type="continuationSeparator" w:id="9">
    <w:p>
      <w:r>
        <w:continuationSeparator/>
      </w:r>
    </w:p>
  </w:footnote>
  <w:footnote w:id="0">
    <w:p w14:paraId="7613A79B">
      <w:pPr>
        <w:pStyle w:val="14"/>
        <w:snapToGrid w:val="0"/>
      </w:pPr>
      <w:r>
        <w:rPr>
          <w:rStyle w:val="24"/>
        </w:rPr>
        <w:footnoteRef/>
      </w:r>
      <w:r>
        <w:t xml:space="preserve"> </w:t>
      </w:r>
      <w:r>
        <w:rPr>
          <w:rStyle w:val="24"/>
        </w:rPr>
        <w:footnoteRef/>
      </w:r>
      <w:r>
        <w:t xml:space="preserve"> </w:t>
      </w:r>
      <w:r>
        <w:rPr>
          <w:rFonts w:hint="eastAsia"/>
          <w:lang w:val="en-US" w:eastAsia="zh-CN"/>
        </w:rPr>
        <w:t>总体评分为各分项得分完全汇总后四舍五入，各单项得分在本报告分项说明中为保持报告整洁和一致性，统一按照小数点后两位保留，可能产生尾差。</w:t>
      </w:r>
    </w:p>
  </w:footnote>
  <w:footnote w:id="1">
    <w:p w14:paraId="3EB36B88">
      <w:pPr>
        <w:pStyle w:val="14"/>
        <w:snapToGrid w:val="0"/>
        <w:rPr>
          <w:rFonts w:hint="default" w:eastAsia="仿宋"/>
          <w:lang w:val="en-US" w:eastAsia="zh-CN"/>
        </w:rPr>
      </w:pPr>
      <w:r>
        <w:rPr>
          <w:rStyle w:val="24"/>
        </w:rPr>
        <w:footnoteRef/>
      </w:r>
      <w:r>
        <w:t xml:space="preserve"> </w:t>
      </w:r>
      <w:r>
        <w:rPr>
          <w:rFonts w:hint="eastAsia"/>
          <w:lang w:val="en-US" w:eastAsia="zh-CN"/>
        </w:rPr>
        <w:t>2024年4月19日</w:t>
      </w:r>
      <w:r>
        <w:rPr>
          <w:rFonts w:hint="eastAsia"/>
        </w:rPr>
        <w:t>在省补充耕地指标市场化交易平台完成竞价交易</w:t>
      </w:r>
      <w:r>
        <w:rPr>
          <w:rFonts w:hint="eastAsia"/>
          <w:lang w:eastAsia="zh-CN"/>
        </w:rPr>
        <w:t>，</w:t>
      </w:r>
      <w:r>
        <w:rPr>
          <w:rFonts w:hint="eastAsia"/>
          <w:lang w:val="en-US" w:eastAsia="zh-CN"/>
        </w:rPr>
        <w:t>由昆明市西山区政府与红河州屏边县自然资源局签订《云南省补充耕地指标市场化交易合同》，由屏边县将补充耕地数量指标0.6924公顷，以单价240万元/公顷，流转给昆明市西山区政府使用。</w:t>
      </w:r>
    </w:p>
  </w:footnote>
  <w:footnote w:id="2">
    <w:p w14:paraId="50B626AB">
      <w:pPr>
        <w:pStyle w:val="14"/>
        <w:snapToGrid w:val="0"/>
        <w:rPr>
          <w:rFonts w:hint="default" w:eastAsia="仿宋"/>
          <w:lang w:val="en-US" w:eastAsia="zh-CN"/>
        </w:rPr>
      </w:pPr>
      <w:r>
        <w:rPr>
          <w:rStyle w:val="24"/>
        </w:rPr>
        <w:footnoteRef/>
      </w:r>
      <w:r>
        <w:t xml:space="preserve"> </w:t>
      </w:r>
      <w:r>
        <w:rPr>
          <w:rFonts w:hint="eastAsia"/>
        </w:rPr>
        <w:t>2023年11月24日在省补充耕地指标市场化交易平台完成竞价交易</w:t>
      </w:r>
      <w:r>
        <w:rPr>
          <w:rFonts w:hint="eastAsia"/>
          <w:lang w:eastAsia="zh-CN"/>
        </w:rPr>
        <w:t>，</w:t>
      </w:r>
      <w:r>
        <w:rPr>
          <w:rFonts w:hint="eastAsia"/>
          <w:lang w:val="en-US" w:eastAsia="zh-CN"/>
        </w:rPr>
        <w:t>由昆明市西山区政府与普洱市自然资源和规划局签订《云南省补充耕地指标市场化交易合同》，普洱市将粮食产能5664.3公斤，流转给昆明市西山区政府使用;单价为0.0157万元/公斤。</w:t>
      </w:r>
    </w:p>
  </w:footnote>
  <w:footnote w:id="3">
    <w:p w14:paraId="2431FBA3">
      <w:pPr>
        <w:pStyle w:val="14"/>
        <w:snapToGrid w:val="0"/>
        <w:rPr>
          <w:rFonts w:hint="default" w:eastAsia="仿宋"/>
          <w:lang w:val="en-US" w:eastAsia="zh-CN"/>
        </w:rPr>
      </w:pPr>
      <w:r>
        <w:rPr>
          <w:rStyle w:val="24"/>
        </w:rPr>
        <w:footnoteRef/>
      </w:r>
      <w:r>
        <w:t xml:space="preserve"> </w:t>
      </w:r>
      <w:r>
        <w:rPr>
          <w:rFonts w:hint="eastAsia"/>
          <w:lang w:val="en-US" w:eastAsia="zh-CN"/>
        </w:rPr>
        <w:t>结算和取数按照季度进行，以20日至三个月后19日为周期，不按照日历月/年度计算。</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DB7949"/>
    <w:multiLevelType w:val="singleLevel"/>
    <w:tmpl w:val="CFDB7949"/>
    <w:lvl w:ilvl="0" w:tentative="0">
      <w:start w:val="1"/>
      <w:numFmt w:val="decimal"/>
      <w:lvlText w:val="%1."/>
      <w:lvlJc w:val="left"/>
      <w:pPr>
        <w:tabs>
          <w:tab w:val="left" w:pos="312"/>
        </w:tabs>
      </w:pPr>
    </w:lvl>
  </w:abstractNum>
  <w:abstractNum w:abstractNumId="1">
    <w:nsid w:val="F7F7A07E"/>
    <w:multiLevelType w:val="singleLevel"/>
    <w:tmpl w:val="F7F7A07E"/>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removePersonalInformation/>
  <w:embedSystemFonts/>
  <w:bordersDoNotSurroundHeader w:val="0"/>
  <w:bordersDoNotSurroundFooter w:val="0"/>
  <w:documentProtection w:enforcement="0"/>
  <w:defaultTabStop w:val="420"/>
  <w:evenAndOddHeaders w:val="1"/>
  <w:drawingGridHorizontalSpacing w:val="158"/>
  <w:drawingGridVerticalSpacing w:val="579"/>
  <w:displayHorizontalDrawingGridEvery w:val="1"/>
  <w:displayVerticalDrawingGridEvery w:val="1"/>
  <w:noPunctuationKerning w:val="1"/>
  <w:characterSpacingControl w:val="compressPunctuation"/>
  <w:hdrShapeDefaults>
    <o:shapelayout v:ext="edit">
      <o:idmap v:ext="edit" data="3,4"/>
    </o:shapelayout>
  </w:hdrShapeDefaults>
  <w:footnotePr>
    <w:footnote w:id="8"/>
    <w:footnote w:id="9"/>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wMjk5ZGE0ZmY2ODE0NGE0ZTE4NzVkYTVjYTE3YWEifQ=="/>
  </w:docVars>
  <w:rsids>
    <w:rsidRoot w:val="00763D8D"/>
    <w:rsid w:val="000027B8"/>
    <w:rsid w:val="00003457"/>
    <w:rsid w:val="000053D4"/>
    <w:rsid w:val="00007F56"/>
    <w:rsid w:val="000101DC"/>
    <w:rsid w:val="000109E6"/>
    <w:rsid w:val="00011162"/>
    <w:rsid w:val="000163D2"/>
    <w:rsid w:val="00017395"/>
    <w:rsid w:val="00020A87"/>
    <w:rsid w:val="00021B6D"/>
    <w:rsid w:val="00022FFA"/>
    <w:rsid w:val="00023438"/>
    <w:rsid w:val="00023D70"/>
    <w:rsid w:val="00023FF0"/>
    <w:rsid w:val="000267F0"/>
    <w:rsid w:val="000302F4"/>
    <w:rsid w:val="00030BA6"/>
    <w:rsid w:val="00032A27"/>
    <w:rsid w:val="00032BAE"/>
    <w:rsid w:val="000377E6"/>
    <w:rsid w:val="00037F46"/>
    <w:rsid w:val="0004014B"/>
    <w:rsid w:val="00043A7F"/>
    <w:rsid w:val="00044EEC"/>
    <w:rsid w:val="00046291"/>
    <w:rsid w:val="00046463"/>
    <w:rsid w:val="00050813"/>
    <w:rsid w:val="000563A3"/>
    <w:rsid w:val="00062BA9"/>
    <w:rsid w:val="00067604"/>
    <w:rsid w:val="00073C73"/>
    <w:rsid w:val="00075831"/>
    <w:rsid w:val="000761D2"/>
    <w:rsid w:val="00077515"/>
    <w:rsid w:val="0008006D"/>
    <w:rsid w:val="0008270C"/>
    <w:rsid w:val="00082DC6"/>
    <w:rsid w:val="000910C9"/>
    <w:rsid w:val="0009125B"/>
    <w:rsid w:val="000913F5"/>
    <w:rsid w:val="000926D7"/>
    <w:rsid w:val="00093656"/>
    <w:rsid w:val="00094C11"/>
    <w:rsid w:val="00095539"/>
    <w:rsid w:val="000A2576"/>
    <w:rsid w:val="000A3ED9"/>
    <w:rsid w:val="000A4562"/>
    <w:rsid w:val="000A60AC"/>
    <w:rsid w:val="000C04DE"/>
    <w:rsid w:val="000C0984"/>
    <w:rsid w:val="000C1909"/>
    <w:rsid w:val="000C29DC"/>
    <w:rsid w:val="000C3CE0"/>
    <w:rsid w:val="000C5033"/>
    <w:rsid w:val="000D71DD"/>
    <w:rsid w:val="000E21D8"/>
    <w:rsid w:val="000E6F75"/>
    <w:rsid w:val="000F1534"/>
    <w:rsid w:val="000F3E60"/>
    <w:rsid w:val="000F46ED"/>
    <w:rsid w:val="000F5FA5"/>
    <w:rsid w:val="000F6595"/>
    <w:rsid w:val="00106A8B"/>
    <w:rsid w:val="001075E2"/>
    <w:rsid w:val="001114F0"/>
    <w:rsid w:val="00114580"/>
    <w:rsid w:val="001146BA"/>
    <w:rsid w:val="00116445"/>
    <w:rsid w:val="00122361"/>
    <w:rsid w:val="0012393D"/>
    <w:rsid w:val="00124FFE"/>
    <w:rsid w:val="00125D9C"/>
    <w:rsid w:val="001308E4"/>
    <w:rsid w:val="00134DC9"/>
    <w:rsid w:val="00142242"/>
    <w:rsid w:val="001439E1"/>
    <w:rsid w:val="001473A6"/>
    <w:rsid w:val="00147856"/>
    <w:rsid w:val="00147F84"/>
    <w:rsid w:val="00150F3E"/>
    <w:rsid w:val="001513E5"/>
    <w:rsid w:val="00152B2B"/>
    <w:rsid w:val="001537D8"/>
    <w:rsid w:val="00153BC6"/>
    <w:rsid w:val="001556BF"/>
    <w:rsid w:val="00155A7C"/>
    <w:rsid w:val="00157E96"/>
    <w:rsid w:val="0016290B"/>
    <w:rsid w:val="00162B90"/>
    <w:rsid w:val="00167E57"/>
    <w:rsid w:val="001702EB"/>
    <w:rsid w:val="001722F7"/>
    <w:rsid w:val="00173C14"/>
    <w:rsid w:val="00175976"/>
    <w:rsid w:val="00177059"/>
    <w:rsid w:val="00180B66"/>
    <w:rsid w:val="00182613"/>
    <w:rsid w:val="001836BB"/>
    <w:rsid w:val="00183D89"/>
    <w:rsid w:val="001844AE"/>
    <w:rsid w:val="00184577"/>
    <w:rsid w:val="00184C8F"/>
    <w:rsid w:val="0018788E"/>
    <w:rsid w:val="001905A5"/>
    <w:rsid w:val="001A2410"/>
    <w:rsid w:val="001A2D6F"/>
    <w:rsid w:val="001A644B"/>
    <w:rsid w:val="001A77EE"/>
    <w:rsid w:val="001A7B0F"/>
    <w:rsid w:val="001B1BDE"/>
    <w:rsid w:val="001B4784"/>
    <w:rsid w:val="001B5EDA"/>
    <w:rsid w:val="001D4E03"/>
    <w:rsid w:val="001D58D7"/>
    <w:rsid w:val="001E07CC"/>
    <w:rsid w:val="001E3BF6"/>
    <w:rsid w:val="001E410D"/>
    <w:rsid w:val="001E6E29"/>
    <w:rsid w:val="001E713D"/>
    <w:rsid w:val="001F1285"/>
    <w:rsid w:val="001F1844"/>
    <w:rsid w:val="001F1E4B"/>
    <w:rsid w:val="001F3638"/>
    <w:rsid w:val="001F46E7"/>
    <w:rsid w:val="001F566D"/>
    <w:rsid w:val="00200263"/>
    <w:rsid w:val="00201C2D"/>
    <w:rsid w:val="002115B2"/>
    <w:rsid w:val="00212FA7"/>
    <w:rsid w:val="00217869"/>
    <w:rsid w:val="0021797F"/>
    <w:rsid w:val="00217AA8"/>
    <w:rsid w:val="00220DFC"/>
    <w:rsid w:val="002229E2"/>
    <w:rsid w:val="0022365E"/>
    <w:rsid w:val="002260C9"/>
    <w:rsid w:val="00226E95"/>
    <w:rsid w:val="00227678"/>
    <w:rsid w:val="00227A48"/>
    <w:rsid w:val="00227EAF"/>
    <w:rsid w:val="00230719"/>
    <w:rsid w:val="00230C67"/>
    <w:rsid w:val="002335C1"/>
    <w:rsid w:val="00235C5D"/>
    <w:rsid w:val="002422DC"/>
    <w:rsid w:val="00243F53"/>
    <w:rsid w:val="00246276"/>
    <w:rsid w:val="00251346"/>
    <w:rsid w:val="00252898"/>
    <w:rsid w:val="002532A4"/>
    <w:rsid w:val="0025396D"/>
    <w:rsid w:val="00254804"/>
    <w:rsid w:val="00254B91"/>
    <w:rsid w:val="002554E5"/>
    <w:rsid w:val="002567E0"/>
    <w:rsid w:val="00256D4E"/>
    <w:rsid w:val="002606F4"/>
    <w:rsid w:val="0026498A"/>
    <w:rsid w:val="00265F34"/>
    <w:rsid w:val="00274648"/>
    <w:rsid w:val="00277ACC"/>
    <w:rsid w:val="00282CC8"/>
    <w:rsid w:val="0028388B"/>
    <w:rsid w:val="00283F38"/>
    <w:rsid w:val="00285265"/>
    <w:rsid w:val="00290595"/>
    <w:rsid w:val="002917E5"/>
    <w:rsid w:val="002920DF"/>
    <w:rsid w:val="0029356B"/>
    <w:rsid w:val="002957FB"/>
    <w:rsid w:val="002A020A"/>
    <w:rsid w:val="002A1DF7"/>
    <w:rsid w:val="002A5AD2"/>
    <w:rsid w:val="002A6EAA"/>
    <w:rsid w:val="002B2CEA"/>
    <w:rsid w:val="002B3F00"/>
    <w:rsid w:val="002B7B5E"/>
    <w:rsid w:val="002C46F4"/>
    <w:rsid w:val="002C555C"/>
    <w:rsid w:val="002D1D67"/>
    <w:rsid w:val="002D3C45"/>
    <w:rsid w:val="002D498A"/>
    <w:rsid w:val="002D55A2"/>
    <w:rsid w:val="002E06C9"/>
    <w:rsid w:val="002E1041"/>
    <w:rsid w:val="002E1500"/>
    <w:rsid w:val="002E280F"/>
    <w:rsid w:val="002E5BDD"/>
    <w:rsid w:val="002E60CA"/>
    <w:rsid w:val="002F4221"/>
    <w:rsid w:val="002F516E"/>
    <w:rsid w:val="002F59F0"/>
    <w:rsid w:val="002F7BE7"/>
    <w:rsid w:val="00301F5D"/>
    <w:rsid w:val="003020B9"/>
    <w:rsid w:val="00307963"/>
    <w:rsid w:val="00307B63"/>
    <w:rsid w:val="003116BB"/>
    <w:rsid w:val="00313C52"/>
    <w:rsid w:val="00321FF5"/>
    <w:rsid w:val="003221CF"/>
    <w:rsid w:val="003270CD"/>
    <w:rsid w:val="003305B8"/>
    <w:rsid w:val="0033130B"/>
    <w:rsid w:val="0033489A"/>
    <w:rsid w:val="0033762E"/>
    <w:rsid w:val="00337718"/>
    <w:rsid w:val="003427D3"/>
    <w:rsid w:val="0034304B"/>
    <w:rsid w:val="00347579"/>
    <w:rsid w:val="00347950"/>
    <w:rsid w:val="00353796"/>
    <w:rsid w:val="003568A8"/>
    <w:rsid w:val="00357576"/>
    <w:rsid w:val="0036565B"/>
    <w:rsid w:val="00365B28"/>
    <w:rsid w:val="00371BB6"/>
    <w:rsid w:val="00371CAA"/>
    <w:rsid w:val="00375AF4"/>
    <w:rsid w:val="003761AE"/>
    <w:rsid w:val="00376534"/>
    <w:rsid w:val="00376A60"/>
    <w:rsid w:val="00377A2E"/>
    <w:rsid w:val="00380118"/>
    <w:rsid w:val="003807BD"/>
    <w:rsid w:val="00381F0D"/>
    <w:rsid w:val="0038336A"/>
    <w:rsid w:val="00384495"/>
    <w:rsid w:val="0038465D"/>
    <w:rsid w:val="003875C8"/>
    <w:rsid w:val="00392745"/>
    <w:rsid w:val="00393295"/>
    <w:rsid w:val="003948E5"/>
    <w:rsid w:val="003A3987"/>
    <w:rsid w:val="003A5711"/>
    <w:rsid w:val="003A6AB4"/>
    <w:rsid w:val="003B2170"/>
    <w:rsid w:val="003B2603"/>
    <w:rsid w:val="003B355C"/>
    <w:rsid w:val="003B5FE1"/>
    <w:rsid w:val="003B643A"/>
    <w:rsid w:val="003B74B5"/>
    <w:rsid w:val="003D112A"/>
    <w:rsid w:val="003D12B5"/>
    <w:rsid w:val="003D2104"/>
    <w:rsid w:val="003D35C0"/>
    <w:rsid w:val="003D6830"/>
    <w:rsid w:val="003E0E49"/>
    <w:rsid w:val="003E28AB"/>
    <w:rsid w:val="003E37CD"/>
    <w:rsid w:val="003F11BD"/>
    <w:rsid w:val="003F1515"/>
    <w:rsid w:val="003F16E7"/>
    <w:rsid w:val="003F1FDD"/>
    <w:rsid w:val="003F402E"/>
    <w:rsid w:val="003F6354"/>
    <w:rsid w:val="00400D06"/>
    <w:rsid w:val="0040199E"/>
    <w:rsid w:val="0040239B"/>
    <w:rsid w:val="00402CE7"/>
    <w:rsid w:val="00405226"/>
    <w:rsid w:val="00405C75"/>
    <w:rsid w:val="00406D6A"/>
    <w:rsid w:val="00407218"/>
    <w:rsid w:val="004107CB"/>
    <w:rsid w:val="00420BEC"/>
    <w:rsid w:val="0042251D"/>
    <w:rsid w:val="00426FE5"/>
    <w:rsid w:val="004272A6"/>
    <w:rsid w:val="0043119F"/>
    <w:rsid w:val="00433CAA"/>
    <w:rsid w:val="00436B3B"/>
    <w:rsid w:val="00437980"/>
    <w:rsid w:val="004401ED"/>
    <w:rsid w:val="00440843"/>
    <w:rsid w:val="00440F20"/>
    <w:rsid w:val="0044349C"/>
    <w:rsid w:val="00452585"/>
    <w:rsid w:val="00452895"/>
    <w:rsid w:val="00453319"/>
    <w:rsid w:val="004542C8"/>
    <w:rsid w:val="004549D1"/>
    <w:rsid w:val="00457099"/>
    <w:rsid w:val="00460E4C"/>
    <w:rsid w:val="00462343"/>
    <w:rsid w:val="00464A91"/>
    <w:rsid w:val="00465B8C"/>
    <w:rsid w:val="00466165"/>
    <w:rsid w:val="004671F2"/>
    <w:rsid w:val="00472258"/>
    <w:rsid w:val="00474787"/>
    <w:rsid w:val="00474A62"/>
    <w:rsid w:val="0048081D"/>
    <w:rsid w:val="0048089A"/>
    <w:rsid w:val="004811D4"/>
    <w:rsid w:val="004839EA"/>
    <w:rsid w:val="00484612"/>
    <w:rsid w:val="004860CD"/>
    <w:rsid w:val="004866EA"/>
    <w:rsid w:val="00490547"/>
    <w:rsid w:val="00493698"/>
    <w:rsid w:val="004949AC"/>
    <w:rsid w:val="00495FB3"/>
    <w:rsid w:val="004A0A75"/>
    <w:rsid w:val="004A3AAE"/>
    <w:rsid w:val="004A3DDB"/>
    <w:rsid w:val="004A4700"/>
    <w:rsid w:val="004A52B5"/>
    <w:rsid w:val="004A711A"/>
    <w:rsid w:val="004B34FB"/>
    <w:rsid w:val="004B448D"/>
    <w:rsid w:val="004C0BC9"/>
    <w:rsid w:val="004C1CCF"/>
    <w:rsid w:val="004C51F5"/>
    <w:rsid w:val="004C5D7B"/>
    <w:rsid w:val="004C5F17"/>
    <w:rsid w:val="004C6BF0"/>
    <w:rsid w:val="004D0D4D"/>
    <w:rsid w:val="004D2649"/>
    <w:rsid w:val="004D31B0"/>
    <w:rsid w:val="004D34AD"/>
    <w:rsid w:val="004D5F2D"/>
    <w:rsid w:val="004D678B"/>
    <w:rsid w:val="004E013B"/>
    <w:rsid w:val="004E0646"/>
    <w:rsid w:val="004E0906"/>
    <w:rsid w:val="004E5E85"/>
    <w:rsid w:val="004F0288"/>
    <w:rsid w:val="004F0B47"/>
    <w:rsid w:val="004F43AA"/>
    <w:rsid w:val="004F47FC"/>
    <w:rsid w:val="004F5DE3"/>
    <w:rsid w:val="004F6CCC"/>
    <w:rsid w:val="00501100"/>
    <w:rsid w:val="005102A2"/>
    <w:rsid w:val="00510BAB"/>
    <w:rsid w:val="00513B3D"/>
    <w:rsid w:val="00514671"/>
    <w:rsid w:val="00515734"/>
    <w:rsid w:val="00522A6C"/>
    <w:rsid w:val="00526431"/>
    <w:rsid w:val="0053063F"/>
    <w:rsid w:val="00532714"/>
    <w:rsid w:val="005344A8"/>
    <w:rsid w:val="00536F5B"/>
    <w:rsid w:val="00542670"/>
    <w:rsid w:val="00545001"/>
    <w:rsid w:val="00550937"/>
    <w:rsid w:val="0055330D"/>
    <w:rsid w:val="005578D6"/>
    <w:rsid w:val="00561795"/>
    <w:rsid w:val="0056186F"/>
    <w:rsid w:val="00562BA8"/>
    <w:rsid w:val="0056376A"/>
    <w:rsid w:val="00564552"/>
    <w:rsid w:val="00566921"/>
    <w:rsid w:val="005671E8"/>
    <w:rsid w:val="00570BF9"/>
    <w:rsid w:val="005750C4"/>
    <w:rsid w:val="00576CB6"/>
    <w:rsid w:val="00576FBF"/>
    <w:rsid w:val="00577548"/>
    <w:rsid w:val="00577FAD"/>
    <w:rsid w:val="00585784"/>
    <w:rsid w:val="00587462"/>
    <w:rsid w:val="00587C8D"/>
    <w:rsid w:val="00591EF2"/>
    <w:rsid w:val="00592198"/>
    <w:rsid w:val="0059320E"/>
    <w:rsid w:val="005953FB"/>
    <w:rsid w:val="00597B52"/>
    <w:rsid w:val="005A2E6F"/>
    <w:rsid w:val="005A3998"/>
    <w:rsid w:val="005A50E5"/>
    <w:rsid w:val="005A7959"/>
    <w:rsid w:val="005B0482"/>
    <w:rsid w:val="005B6066"/>
    <w:rsid w:val="005B70F0"/>
    <w:rsid w:val="005B74AE"/>
    <w:rsid w:val="005C19D7"/>
    <w:rsid w:val="005C2473"/>
    <w:rsid w:val="005C40D3"/>
    <w:rsid w:val="005D06E4"/>
    <w:rsid w:val="005E0F3C"/>
    <w:rsid w:val="005E4ABD"/>
    <w:rsid w:val="005E6172"/>
    <w:rsid w:val="005E718D"/>
    <w:rsid w:val="005F1102"/>
    <w:rsid w:val="006026DD"/>
    <w:rsid w:val="00613763"/>
    <w:rsid w:val="00620526"/>
    <w:rsid w:val="00621602"/>
    <w:rsid w:val="00623AF9"/>
    <w:rsid w:val="006251E6"/>
    <w:rsid w:val="00626208"/>
    <w:rsid w:val="00627439"/>
    <w:rsid w:val="006323C6"/>
    <w:rsid w:val="00634466"/>
    <w:rsid w:val="00636016"/>
    <w:rsid w:val="00643CC5"/>
    <w:rsid w:val="0064402F"/>
    <w:rsid w:val="0064527F"/>
    <w:rsid w:val="0065445B"/>
    <w:rsid w:val="00655674"/>
    <w:rsid w:val="00656020"/>
    <w:rsid w:val="00656A9A"/>
    <w:rsid w:val="00656F7D"/>
    <w:rsid w:val="006571CA"/>
    <w:rsid w:val="00657FEB"/>
    <w:rsid w:val="0066192E"/>
    <w:rsid w:val="006633E2"/>
    <w:rsid w:val="00663BBB"/>
    <w:rsid w:val="00664AE8"/>
    <w:rsid w:val="0066531C"/>
    <w:rsid w:val="00667C12"/>
    <w:rsid w:val="00671269"/>
    <w:rsid w:val="00674DB5"/>
    <w:rsid w:val="00682BA0"/>
    <w:rsid w:val="0068495B"/>
    <w:rsid w:val="00687D46"/>
    <w:rsid w:val="00693295"/>
    <w:rsid w:val="00694B78"/>
    <w:rsid w:val="00694EAF"/>
    <w:rsid w:val="006960BB"/>
    <w:rsid w:val="006A28E5"/>
    <w:rsid w:val="006A2942"/>
    <w:rsid w:val="006A2A32"/>
    <w:rsid w:val="006A5995"/>
    <w:rsid w:val="006A5FFB"/>
    <w:rsid w:val="006A6752"/>
    <w:rsid w:val="006B510D"/>
    <w:rsid w:val="006B5BCF"/>
    <w:rsid w:val="006B610A"/>
    <w:rsid w:val="006B70DE"/>
    <w:rsid w:val="006C0244"/>
    <w:rsid w:val="006C0E35"/>
    <w:rsid w:val="006D012E"/>
    <w:rsid w:val="006D2836"/>
    <w:rsid w:val="006E342B"/>
    <w:rsid w:val="006E36CF"/>
    <w:rsid w:val="006E3A23"/>
    <w:rsid w:val="006E4449"/>
    <w:rsid w:val="006E76CA"/>
    <w:rsid w:val="006E79B8"/>
    <w:rsid w:val="006E7FBA"/>
    <w:rsid w:val="006F09DA"/>
    <w:rsid w:val="006F38A5"/>
    <w:rsid w:val="00701599"/>
    <w:rsid w:val="00703419"/>
    <w:rsid w:val="00704906"/>
    <w:rsid w:val="00704B20"/>
    <w:rsid w:val="0070532D"/>
    <w:rsid w:val="007061AB"/>
    <w:rsid w:val="00706C0E"/>
    <w:rsid w:val="00707272"/>
    <w:rsid w:val="0070727C"/>
    <w:rsid w:val="00711BD6"/>
    <w:rsid w:val="0071646D"/>
    <w:rsid w:val="00723885"/>
    <w:rsid w:val="007258CC"/>
    <w:rsid w:val="0072647A"/>
    <w:rsid w:val="00727017"/>
    <w:rsid w:val="007319A2"/>
    <w:rsid w:val="00733D12"/>
    <w:rsid w:val="00733E02"/>
    <w:rsid w:val="0073677A"/>
    <w:rsid w:val="007412B5"/>
    <w:rsid w:val="00741C0D"/>
    <w:rsid w:val="007431B7"/>
    <w:rsid w:val="00744DB6"/>
    <w:rsid w:val="00746DEF"/>
    <w:rsid w:val="007474F3"/>
    <w:rsid w:val="0075085D"/>
    <w:rsid w:val="00751985"/>
    <w:rsid w:val="00752CA1"/>
    <w:rsid w:val="00753514"/>
    <w:rsid w:val="00754346"/>
    <w:rsid w:val="007622C7"/>
    <w:rsid w:val="00763D8D"/>
    <w:rsid w:val="00763F0B"/>
    <w:rsid w:val="00766A2A"/>
    <w:rsid w:val="00771DBA"/>
    <w:rsid w:val="00774178"/>
    <w:rsid w:val="00774689"/>
    <w:rsid w:val="00775421"/>
    <w:rsid w:val="00780354"/>
    <w:rsid w:val="00780EAF"/>
    <w:rsid w:val="00780F68"/>
    <w:rsid w:val="00783983"/>
    <w:rsid w:val="007854FB"/>
    <w:rsid w:val="00786B54"/>
    <w:rsid w:val="00795893"/>
    <w:rsid w:val="00796558"/>
    <w:rsid w:val="007A0D31"/>
    <w:rsid w:val="007A157F"/>
    <w:rsid w:val="007A1C7C"/>
    <w:rsid w:val="007A2BCD"/>
    <w:rsid w:val="007A58C0"/>
    <w:rsid w:val="007A6474"/>
    <w:rsid w:val="007A7277"/>
    <w:rsid w:val="007B064B"/>
    <w:rsid w:val="007B2D33"/>
    <w:rsid w:val="007B72C4"/>
    <w:rsid w:val="007C023F"/>
    <w:rsid w:val="007C1423"/>
    <w:rsid w:val="007C18CF"/>
    <w:rsid w:val="007C2CA2"/>
    <w:rsid w:val="007C38FA"/>
    <w:rsid w:val="007C3BD4"/>
    <w:rsid w:val="007C3CB2"/>
    <w:rsid w:val="007C7E73"/>
    <w:rsid w:val="007D051F"/>
    <w:rsid w:val="007D0BBA"/>
    <w:rsid w:val="007D2550"/>
    <w:rsid w:val="007D3332"/>
    <w:rsid w:val="007D333C"/>
    <w:rsid w:val="007D360D"/>
    <w:rsid w:val="007D5E47"/>
    <w:rsid w:val="007D6583"/>
    <w:rsid w:val="007D778F"/>
    <w:rsid w:val="007E0FFD"/>
    <w:rsid w:val="007E18FC"/>
    <w:rsid w:val="007E494F"/>
    <w:rsid w:val="007E5BBF"/>
    <w:rsid w:val="007E68BF"/>
    <w:rsid w:val="007F0B94"/>
    <w:rsid w:val="007F26DD"/>
    <w:rsid w:val="007F2884"/>
    <w:rsid w:val="007F2CFD"/>
    <w:rsid w:val="007F3CED"/>
    <w:rsid w:val="008012F3"/>
    <w:rsid w:val="00801696"/>
    <w:rsid w:val="008035C2"/>
    <w:rsid w:val="00803F6D"/>
    <w:rsid w:val="00803FFB"/>
    <w:rsid w:val="00805C6A"/>
    <w:rsid w:val="00807246"/>
    <w:rsid w:val="00812AFF"/>
    <w:rsid w:val="00814803"/>
    <w:rsid w:val="00814C48"/>
    <w:rsid w:val="008162D6"/>
    <w:rsid w:val="008207F7"/>
    <w:rsid w:val="00821495"/>
    <w:rsid w:val="00822129"/>
    <w:rsid w:val="00827365"/>
    <w:rsid w:val="0083033C"/>
    <w:rsid w:val="00832C5F"/>
    <w:rsid w:val="00833991"/>
    <w:rsid w:val="00834B6A"/>
    <w:rsid w:val="008369B8"/>
    <w:rsid w:val="00837E6A"/>
    <w:rsid w:val="0084288D"/>
    <w:rsid w:val="008429AF"/>
    <w:rsid w:val="008444BD"/>
    <w:rsid w:val="00846B79"/>
    <w:rsid w:val="00847259"/>
    <w:rsid w:val="008476D2"/>
    <w:rsid w:val="00851B24"/>
    <w:rsid w:val="00851F54"/>
    <w:rsid w:val="00854621"/>
    <w:rsid w:val="0086105D"/>
    <w:rsid w:val="008625ED"/>
    <w:rsid w:val="00864A1B"/>
    <w:rsid w:val="00866AB0"/>
    <w:rsid w:val="00867F1E"/>
    <w:rsid w:val="008704E6"/>
    <w:rsid w:val="00870D8D"/>
    <w:rsid w:val="008735D5"/>
    <w:rsid w:val="00873D83"/>
    <w:rsid w:val="00873EA1"/>
    <w:rsid w:val="0087571E"/>
    <w:rsid w:val="00877854"/>
    <w:rsid w:val="00882E11"/>
    <w:rsid w:val="00884635"/>
    <w:rsid w:val="00885EF1"/>
    <w:rsid w:val="00886215"/>
    <w:rsid w:val="00890F31"/>
    <w:rsid w:val="008929D8"/>
    <w:rsid w:val="00894CB7"/>
    <w:rsid w:val="00896267"/>
    <w:rsid w:val="00896DBE"/>
    <w:rsid w:val="008A096F"/>
    <w:rsid w:val="008A2CA9"/>
    <w:rsid w:val="008A3471"/>
    <w:rsid w:val="008A5EF0"/>
    <w:rsid w:val="008A658D"/>
    <w:rsid w:val="008B035B"/>
    <w:rsid w:val="008B4790"/>
    <w:rsid w:val="008C134F"/>
    <w:rsid w:val="008C1413"/>
    <w:rsid w:val="008C33C4"/>
    <w:rsid w:val="008C3699"/>
    <w:rsid w:val="008D007F"/>
    <w:rsid w:val="008D4DB3"/>
    <w:rsid w:val="008D5ECA"/>
    <w:rsid w:val="008D6C00"/>
    <w:rsid w:val="008D7D2E"/>
    <w:rsid w:val="008E077D"/>
    <w:rsid w:val="008E0FBB"/>
    <w:rsid w:val="008E30EF"/>
    <w:rsid w:val="008E70EF"/>
    <w:rsid w:val="008F0F5E"/>
    <w:rsid w:val="008F2D6C"/>
    <w:rsid w:val="008F2F92"/>
    <w:rsid w:val="008F689B"/>
    <w:rsid w:val="00901D0E"/>
    <w:rsid w:val="009034E6"/>
    <w:rsid w:val="00903C2E"/>
    <w:rsid w:val="009041C2"/>
    <w:rsid w:val="0090678C"/>
    <w:rsid w:val="00910CE3"/>
    <w:rsid w:val="00914E87"/>
    <w:rsid w:val="00915956"/>
    <w:rsid w:val="00920E07"/>
    <w:rsid w:val="0092374D"/>
    <w:rsid w:val="00923BAA"/>
    <w:rsid w:val="00924970"/>
    <w:rsid w:val="009267F6"/>
    <w:rsid w:val="009317C0"/>
    <w:rsid w:val="009326BF"/>
    <w:rsid w:val="00936024"/>
    <w:rsid w:val="0093787B"/>
    <w:rsid w:val="00937BC1"/>
    <w:rsid w:val="00942C8E"/>
    <w:rsid w:val="0095111A"/>
    <w:rsid w:val="009546AB"/>
    <w:rsid w:val="00954A89"/>
    <w:rsid w:val="00954F31"/>
    <w:rsid w:val="009607A3"/>
    <w:rsid w:val="00961330"/>
    <w:rsid w:val="00961BEE"/>
    <w:rsid w:val="00963095"/>
    <w:rsid w:val="00964F1C"/>
    <w:rsid w:val="00965869"/>
    <w:rsid w:val="0096633E"/>
    <w:rsid w:val="009669C6"/>
    <w:rsid w:val="009672A4"/>
    <w:rsid w:val="00973859"/>
    <w:rsid w:val="00974A70"/>
    <w:rsid w:val="00976E34"/>
    <w:rsid w:val="00982ABB"/>
    <w:rsid w:val="00983C33"/>
    <w:rsid w:val="00983EB5"/>
    <w:rsid w:val="009900E6"/>
    <w:rsid w:val="00990F17"/>
    <w:rsid w:val="009912B5"/>
    <w:rsid w:val="00991437"/>
    <w:rsid w:val="009914DC"/>
    <w:rsid w:val="00993E30"/>
    <w:rsid w:val="009A3DA3"/>
    <w:rsid w:val="009A3DE0"/>
    <w:rsid w:val="009B0758"/>
    <w:rsid w:val="009B2564"/>
    <w:rsid w:val="009B4C1C"/>
    <w:rsid w:val="009C07AA"/>
    <w:rsid w:val="009C3ECB"/>
    <w:rsid w:val="009C5FAB"/>
    <w:rsid w:val="009C6BDC"/>
    <w:rsid w:val="009C6D8D"/>
    <w:rsid w:val="009D25F6"/>
    <w:rsid w:val="009D3B4B"/>
    <w:rsid w:val="009D4D5E"/>
    <w:rsid w:val="009E56D5"/>
    <w:rsid w:val="009E662A"/>
    <w:rsid w:val="009E7A09"/>
    <w:rsid w:val="009F0910"/>
    <w:rsid w:val="009F17BE"/>
    <w:rsid w:val="009F2679"/>
    <w:rsid w:val="009F41F3"/>
    <w:rsid w:val="009F6719"/>
    <w:rsid w:val="00A000D9"/>
    <w:rsid w:val="00A00612"/>
    <w:rsid w:val="00A01AD8"/>
    <w:rsid w:val="00A02D03"/>
    <w:rsid w:val="00A02E94"/>
    <w:rsid w:val="00A057DC"/>
    <w:rsid w:val="00A0725B"/>
    <w:rsid w:val="00A10153"/>
    <w:rsid w:val="00A11EC9"/>
    <w:rsid w:val="00A121FB"/>
    <w:rsid w:val="00A12F69"/>
    <w:rsid w:val="00A17A74"/>
    <w:rsid w:val="00A22A04"/>
    <w:rsid w:val="00A23FCD"/>
    <w:rsid w:val="00A24BDC"/>
    <w:rsid w:val="00A24E49"/>
    <w:rsid w:val="00A25F38"/>
    <w:rsid w:val="00A27411"/>
    <w:rsid w:val="00A27C51"/>
    <w:rsid w:val="00A31048"/>
    <w:rsid w:val="00A33005"/>
    <w:rsid w:val="00A34C99"/>
    <w:rsid w:val="00A36910"/>
    <w:rsid w:val="00A370A6"/>
    <w:rsid w:val="00A375F1"/>
    <w:rsid w:val="00A41B24"/>
    <w:rsid w:val="00A43DC7"/>
    <w:rsid w:val="00A444BF"/>
    <w:rsid w:val="00A47A9A"/>
    <w:rsid w:val="00A5152D"/>
    <w:rsid w:val="00A5630B"/>
    <w:rsid w:val="00A57205"/>
    <w:rsid w:val="00A57436"/>
    <w:rsid w:val="00A605F9"/>
    <w:rsid w:val="00A60E45"/>
    <w:rsid w:val="00A63BA5"/>
    <w:rsid w:val="00A66EE9"/>
    <w:rsid w:val="00A6714F"/>
    <w:rsid w:val="00A7047C"/>
    <w:rsid w:val="00A7287F"/>
    <w:rsid w:val="00A73844"/>
    <w:rsid w:val="00A76165"/>
    <w:rsid w:val="00A77E6F"/>
    <w:rsid w:val="00A80D20"/>
    <w:rsid w:val="00A83F2E"/>
    <w:rsid w:val="00A84FF4"/>
    <w:rsid w:val="00A8504E"/>
    <w:rsid w:val="00A86EA4"/>
    <w:rsid w:val="00A91A3E"/>
    <w:rsid w:val="00A92139"/>
    <w:rsid w:val="00A92FCE"/>
    <w:rsid w:val="00A95E98"/>
    <w:rsid w:val="00AA01D4"/>
    <w:rsid w:val="00AA2D96"/>
    <w:rsid w:val="00AB0EEC"/>
    <w:rsid w:val="00AB312A"/>
    <w:rsid w:val="00AB5B2F"/>
    <w:rsid w:val="00AB738C"/>
    <w:rsid w:val="00AC1118"/>
    <w:rsid w:val="00AC240E"/>
    <w:rsid w:val="00AC318C"/>
    <w:rsid w:val="00AC3F10"/>
    <w:rsid w:val="00AC42D0"/>
    <w:rsid w:val="00AC5A44"/>
    <w:rsid w:val="00AC66C5"/>
    <w:rsid w:val="00AD619D"/>
    <w:rsid w:val="00AD6AB3"/>
    <w:rsid w:val="00AD6DA0"/>
    <w:rsid w:val="00AD712B"/>
    <w:rsid w:val="00AE0A63"/>
    <w:rsid w:val="00AE1D02"/>
    <w:rsid w:val="00AE1EF8"/>
    <w:rsid w:val="00AE4EBF"/>
    <w:rsid w:val="00AF0B62"/>
    <w:rsid w:val="00B020FB"/>
    <w:rsid w:val="00B0556F"/>
    <w:rsid w:val="00B06A9C"/>
    <w:rsid w:val="00B07B88"/>
    <w:rsid w:val="00B10C1D"/>
    <w:rsid w:val="00B16986"/>
    <w:rsid w:val="00B20A9D"/>
    <w:rsid w:val="00B21437"/>
    <w:rsid w:val="00B2516C"/>
    <w:rsid w:val="00B2587E"/>
    <w:rsid w:val="00B300AD"/>
    <w:rsid w:val="00B3120A"/>
    <w:rsid w:val="00B327D2"/>
    <w:rsid w:val="00B35B22"/>
    <w:rsid w:val="00B36265"/>
    <w:rsid w:val="00B45B74"/>
    <w:rsid w:val="00B53412"/>
    <w:rsid w:val="00B54DC6"/>
    <w:rsid w:val="00B55B57"/>
    <w:rsid w:val="00B567D7"/>
    <w:rsid w:val="00B57693"/>
    <w:rsid w:val="00B61B4E"/>
    <w:rsid w:val="00B63EAD"/>
    <w:rsid w:val="00B70DE9"/>
    <w:rsid w:val="00B74E74"/>
    <w:rsid w:val="00B87192"/>
    <w:rsid w:val="00B873B5"/>
    <w:rsid w:val="00B93260"/>
    <w:rsid w:val="00B93F28"/>
    <w:rsid w:val="00B972CB"/>
    <w:rsid w:val="00BA0FD9"/>
    <w:rsid w:val="00BA40D9"/>
    <w:rsid w:val="00BA75F2"/>
    <w:rsid w:val="00BB0BA8"/>
    <w:rsid w:val="00BB2CA7"/>
    <w:rsid w:val="00BB37A8"/>
    <w:rsid w:val="00BB6206"/>
    <w:rsid w:val="00BC66F9"/>
    <w:rsid w:val="00BC6820"/>
    <w:rsid w:val="00BC6C03"/>
    <w:rsid w:val="00BC6F02"/>
    <w:rsid w:val="00BC6F77"/>
    <w:rsid w:val="00BD1031"/>
    <w:rsid w:val="00BD455D"/>
    <w:rsid w:val="00BE1D81"/>
    <w:rsid w:val="00BE2CD8"/>
    <w:rsid w:val="00BE2E79"/>
    <w:rsid w:val="00BE36D4"/>
    <w:rsid w:val="00BF212F"/>
    <w:rsid w:val="00BF373E"/>
    <w:rsid w:val="00BF43FA"/>
    <w:rsid w:val="00BF62F2"/>
    <w:rsid w:val="00BF652B"/>
    <w:rsid w:val="00C02FA4"/>
    <w:rsid w:val="00C045BB"/>
    <w:rsid w:val="00C06CB9"/>
    <w:rsid w:val="00C12325"/>
    <w:rsid w:val="00C12472"/>
    <w:rsid w:val="00C127E3"/>
    <w:rsid w:val="00C12993"/>
    <w:rsid w:val="00C14194"/>
    <w:rsid w:val="00C1562E"/>
    <w:rsid w:val="00C15C47"/>
    <w:rsid w:val="00C1769E"/>
    <w:rsid w:val="00C20FD7"/>
    <w:rsid w:val="00C21C6A"/>
    <w:rsid w:val="00C226BA"/>
    <w:rsid w:val="00C25D38"/>
    <w:rsid w:val="00C30655"/>
    <w:rsid w:val="00C3203F"/>
    <w:rsid w:val="00C322A8"/>
    <w:rsid w:val="00C342E1"/>
    <w:rsid w:val="00C349B8"/>
    <w:rsid w:val="00C377A0"/>
    <w:rsid w:val="00C40B0E"/>
    <w:rsid w:val="00C40B4E"/>
    <w:rsid w:val="00C40CCE"/>
    <w:rsid w:val="00C41346"/>
    <w:rsid w:val="00C4210A"/>
    <w:rsid w:val="00C43BD6"/>
    <w:rsid w:val="00C45B16"/>
    <w:rsid w:val="00C45EBD"/>
    <w:rsid w:val="00C466DC"/>
    <w:rsid w:val="00C468DC"/>
    <w:rsid w:val="00C47B12"/>
    <w:rsid w:val="00C534CE"/>
    <w:rsid w:val="00C5415C"/>
    <w:rsid w:val="00C541D9"/>
    <w:rsid w:val="00C60313"/>
    <w:rsid w:val="00C62615"/>
    <w:rsid w:val="00C6335B"/>
    <w:rsid w:val="00C63F3D"/>
    <w:rsid w:val="00C645D0"/>
    <w:rsid w:val="00C65119"/>
    <w:rsid w:val="00C67B4F"/>
    <w:rsid w:val="00C71AC0"/>
    <w:rsid w:val="00C72787"/>
    <w:rsid w:val="00C74EDF"/>
    <w:rsid w:val="00C80468"/>
    <w:rsid w:val="00C82335"/>
    <w:rsid w:val="00C82510"/>
    <w:rsid w:val="00C83288"/>
    <w:rsid w:val="00C83A49"/>
    <w:rsid w:val="00C846E1"/>
    <w:rsid w:val="00C85B33"/>
    <w:rsid w:val="00C87F34"/>
    <w:rsid w:val="00C90211"/>
    <w:rsid w:val="00C90783"/>
    <w:rsid w:val="00C95C0B"/>
    <w:rsid w:val="00CA0927"/>
    <w:rsid w:val="00CA0E05"/>
    <w:rsid w:val="00CA4623"/>
    <w:rsid w:val="00CA4B6A"/>
    <w:rsid w:val="00CA54F1"/>
    <w:rsid w:val="00CA7A9C"/>
    <w:rsid w:val="00CB007D"/>
    <w:rsid w:val="00CB0544"/>
    <w:rsid w:val="00CB140F"/>
    <w:rsid w:val="00CB545A"/>
    <w:rsid w:val="00CB7BE6"/>
    <w:rsid w:val="00CC1977"/>
    <w:rsid w:val="00CC1F56"/>
    <w:rsid w:val="00CC2185"/>
    <w:rsid w:val="00CC28DD"/>
    <w:rsid w:val="00CC32D9"/>
    <w:rsid w:val="00CC390A"/>
    <w:rsid w:val="00CC4601"/>
    <w:rsid w:val="00CC75A2"/>
    <w:rsid w:val="00CD2162"/>
    <w:rsid w:val="00CD49EF"/>
    <w:rsid w:val="00CE0348"/>
    <w:rsid w:val="00CE423E"/>
    <w:rsid w:val="00CE67AF"/>
    <w:rsid w:val="00D02747"/>
    <w:rsid w:val="00D029A4"/>
    <w:rsid w:val="00D03FFF"/>
    <w:rsid w:val="00D107B7"/>
    <w:rsid w:val="00D1120B"/>
    <w:rsid w:val="00D11B8A"/>
    <w:rsid w:val="00D14664"/>
    <w:rsid w:val="00D175D4"/>
    <w:rsid w:val="00D21782"/>
    <w:rsid w:val="00D226A0"/>
    <w:rsid w:val="00D27175"/>
    <w:rsid w:val="00D304CE"/>
    <w:rsid w:val="00D3157C"/>
    <w:rsid w:val="00D32626"/>
    <w:rsid w:val="00D33323"/>
    <w:rsid w:val="00D33D96"/>
    <w:rsid w:val="00D35671"/>
    <w:rsid w:val="00D364E5"/>
    <w:rsid w:val="00D37658"/>
    <w:rsid w:val="00D41184"/>
    <w:rsid w:val="00D42666"/>
    <w:rsid w:val="00D428E9"/>
    <w:rsid w:val="00D429FE"/>
    <w:rsid w:val="00D434B3"/>
    <w:rsid w:val="00D47CF4"/>
    <w:rsid w:val="00D517DB"/>
    <w:rsid w:val="00D520F7"/>
    <w:rsid w:val="00D5212F"/>
    <w:rsid w:val="00D52D57"/>
    <w:rsid w:val="00D52EB8"/>
    <w:rsid w:val="00D53012"/>
    <w:rsid w:val="00D543E3"/>
    <w:rsid w:val="00D557FA"/>
    <w:rsid w:val="00D56D8A"/>
    <w:rsid w:val="00D60D81"/>
    <w:rsid w:val="00D6208B"/>
    <w:rsid w:val="00D6323D"/>
    <w:rsid w:val="00D65736"/>
    <w:rsid w:val="00D67916"/>
    <w:rsid w:val="00D70277"/>
    <w:rsid w:val="00D7082A"/>
    <w:rsid w:val="00D76498"/>
    <w:rsid w:val="00D84828"/>
    <w:rsid w:val="00D86780"/>
    <w:rsid w:val="00D86E4E"/>
    <w:rsid w:val="00D878B0"/>
    <w:rsid w:val="00D94156"/>
    <w:rsid w:val="00D94439"/>
    <w:rsid w:val="00DA105E"/>
    <w:rsid w:val="00DA15E3"/>
    <w:rsid w:val="00DB2AE7"/>
    <w:rsid w:val="00DB4813"/>
    <w:rsid w:val="00DB6228"/>
    <w:rsid w:val="00DB6967"/>
    <w:rsid w:val="00DB7A9F"/>
    <w:rsid w:val="00DC5F49"/>
    <w:rsid w:val="00DC77D8"/>
    <w:rsid w:val="00DC7BEC"/>
    <w:rsid w:val="00DE073C"/>
    <w:rsid w:val="00DE16E9"/>
    <w:rsid w:val="00DE4365"/>
    <w:rsid w:val="00DE4C6F"/>
    <w:rsid w:val="00E01B46"/>
    <w:rsid w:val="00E05F95"/>
    <w:rsid w:val="00E06324"/>
    <w:rsid w:val="00E109B2"/>
    <w:rsid w:val="00E11C47"/>
    <w:rsid w:val="00E125EB"/>
    <w:rsid w:val="00E1400B"/>
    <w:rsid w:val="00E15547"/>
    <w:rsid w:val="00E17B51"/>
    <w:rsid w:val="00E2082F"/>
    <w:rsid w:val="00E2249A"/>
    <w:rsid w:val="00E2474A"/>
    <w:rsid w:val="00E271BE"/>
    <w:rsid w:val="00E30C20"/>
    <w:rsid w:val="00E30E91"/>
    <w:rsid w:val="00E30EBB"/>
    <w:rsid w:val="00E32B5E"/>
    <w:rsid w:val="00E33420"/>
    <w:rsid w:val="00E33D2F"/>
    <w:rsid w:val="00E35D4E"/>
    <w:rsid w:val="00E363D3"/>
    <w:rsid w:val="00E41E7A"/>
    <w:rsid w:val="00E4272F"/>
    <w:rsid w:val="00E42FD5"/>
    <w:rsid w:val="00E503CA"/>
    <w:rsid w:val="00E51774"/>
    <w:rsid w:val="00E57717"/>
    <w:rsid w:val="00E6040B"/>
    <w:rsid w:val="00E610C7"/>
    <w:rsid w:val="00E63F8C"/>
    <w:rsid w:val="00E664E3"/>
    <w:rsid w:val="00E66C39"/>
    <w:rsid w:val="00E67AC7"/>
    <w:rsid w:val="00E70CC7"/>
    <w:rsid w:val="00E727B4"/>
    <w:rsid w:val="00E733CB"/>
    <w:rsid w:val="00E758B8"/>
    <w:rsid w:val="00E75A4F"/>
    <w:rsid w:val="00E75D25"/>
    <w:rsid w:val="00E773A0"/>
    <w:rsid w:val="00E77F0E"/>
    <w:rsid w:val="00E82285"/>
    <w:rsid w:val="00E85022"/>
    <w:rsid w:val="00E85235"/>
    <w:rsid w:val="00E91702"/>
    <w:rsid w:val="00E9493D"/>
    <w:rsid w:val="00EA48FC"/>
    <w:rsid w:val="00EA69C3"/>
    <w:rsid w:val="00EB0D59"/>
    <w:rsid w:val="00EB2203"/>
    <w:rsid w:val="00EB3CD1"/>
    <w:rsid w:val="00EB3FD4"/>
    <w:rsid w:val="00EB5501"/>
    <w:rsid w:val="00EB75FE"/>
    <w:rsid w:val="00EC031D"/>
    <w:rsid w:val="00EC2985"/>
    <w:rsid w:val="00EC33B7"/>
    <w:rsid w:val="00EC366B"/>
    <w:rsid w:val="00EC5738"/>
    <w:rsid w:val="00EC5BA4"/>
    <w:rsid w:val="00EC62D7"/>
    <w:rsid w:val="00ED063F"/>
    <w:rsid w:val="00ED7CDD"/>
    <w:rsid w:val="00ED7FF2"/>
    <w:rsid w:val="00EE72CF"/>
    <w:rsid w:val="00EE7F07"/>
    <w:rsid w:val="00EF18F6"/>
    <w:rsid w:val="00EF51B8"/>
    <w:rsid w:val="00EF6E58"/>
    <w:rsid w:val="00F00DC9"/>
    <w:rsid w:val="00F03A6F"/>
    <w:rsid w:val="00F078B5"/>
    <w:rsid w:val="00F12E05"/>
    <w:rsid w:val="00F1540B"/>
    <w:rsid w:val="00F15CE1"/>
    <w:rsid w:val="00F15F42"/>
    <w:rsid w:val="00F1642E"/>
    <w:rsid w:val="00F1677C"/>
    <w:rsid w:val="00F22E84"/>
    <w:rsid w:val="00F24F9C"/>
    <w:rsid w:val="00F30AB9"/>
    <w:rsid w:val="00F30ADA"/>
    <w:rsid w:val="00F361CB"/>
    <w:rsid w:val="00F36F88"/>
    <w:rsid w:val="00F3751F"/>
    <w:rsid w:val="00F448F4"/>
    <w:rsid w:val="00F50CF8"/>
    <w:rsid w:val="00F50FEA"/>
    <w:rsid w:val="00F51A53"/>
    <w:rsid w:val="00F52C04"/>
    <w:rsid w:val="00F53597"/>
    <w:rsid w:val="00F56C74"/>
    <w:rsid w:val="00F57207"/>
    <w:rsid w:val="00F5747F"/>
    <w:rsid w:val="00F606DB"/>
    <w:rsid w:val="00F63A66"/>
    <w:rsid w:val="00F644D9"/>
    <w:rsid w:val="00F64B31"/>
    <w:rsid w:val="00F656A9"/>
    <w:rsid w:val="00F65A75"/>
    <w:rsid w:val="00F66DF8"/>
    <w:rsid w:val="00F67ECF"/>
    <w:rsid w:val="00F70081"/>
    <w:rsid w:val="00F70120"/>
    <w:rsid w:val="00F72138"/>
    <w:rsid w:val="00F72321"/>
    <w:rsid w:val="00F73E58"/>
    <w:rsid w:val="00F74539"/>
    <w:rsid w:val="00F75E34"/>
    <w:rsid w:val="00F80DE2"/>
    <w:rsid w:val="00F8246D"/>
    <w:rsid w:val="00F842CC"/>
    <w:rsid w:val="00F8543D"/>
    <w:rsid w:val="00F86C2F"/>
    <w:rsid w:val="00F9086D"/>
    <w:rsid w:val="00F908C4"/>
    <w:rsid w:val="00F90B56"/>
    <w:rsid w:val="00F9496E"/>
    <w:rsid w:val="00F96741"/>
    <w:rsid w:val="00FA0419"/>
    <w:rsid w:val="00FA211A"/>
    <w:rsid w:val="00FA215F"/>
    <w:rsid w:val="00FA390E"/>
    <w:rsid w:val="00FA3A5D"/>
    <w:rsid w:val="00FA4A3D"/>
    <w:rsid w:val="00FA5054"/>
    <w:rsid w:val="00FA6159"/>
    <w:rsid w:val="00FA6FA2"/>
    <w:rsid w:val="00FB1764"/>
    <w:rsid w:val="00FB2D5E"/>
    <w:rsid w:val="00FB5172"/>
    <w:rsid w:val="00FB664F"/>
    <w:rsid w:val="00FB698D"/>
    <w:rsid w:val="00FC0283"/>
    <w:rsid w:val="00FC076E"/>
    <w:rsid w:val="00FC11EF"/>
    <w:rsid w:val="00FC24B4"/>
    <w:rsid w:val="00FC27A0"/>
    <w:rsid w:val="00FC2B68"/>
    <w:rsid w:val="00FC49E1"/>
    <w:rsid w:val="00FD1537"/>
    <w:rsid w:val="00FD4B91"/>
    <w:rsid w:val="00FD65F4"/>
    <w:rsid w:val="00FD7AFE"/>
    <w:rsid w:val="00FE0ABD"/>
    <w:rsid w:val="00FE0BF8"/>
    <w:rsid w:val="00FE12EB"/>
    <w:rsid w:val="00FE1A58"/>
    <w:rsid w:val="00FE2D4E"/>
    <w:rsid w:val="00FE3AFA"/>
    <w:rsid w:val="00FE6D8D"/>
    <w:rsid w:val="00FE7045"/>
    <w:rsid w:val="00FF362B"/>
    <w:rsid w:val="00FF5F8D"/>
    <w:rsid w:val="01295B51"/>
    <w:rsid w:val="019F7472"/>
    <w:rsid w:val="01F37685"/>
    <w:rsid w:val="021D0A31"/>
    <w:rsid w:val="02512666"/>
    <w:rsid w:val="026076C2"/>
    <w:rsid w:val="02ED03C9"/>
    <w:rsid w:val="03544F93"/>
    <w:rsid w:val="03F607AD"/>
    <w:rsid w:val="05097E4F"/>
    <w:rsid w:val="05D75216"/>
    <w:rsid w:val="08057A5A"/>
    <w:rsid w:val="082603F6"/>
    <w:rsid w:val="08D60932"/>
    <w:rsid w:val="095F690B"/>
    <w:rsid w:val="09F36369"/>
    <w:rsid w:val="0A422001"/>
    <w:rsid w:val="0AF97041"/>
    <w:rsid w:val="0B5120F4"/>
    <w:rsid w:val="0B5C5332"/>
    <w:rsid w:val="0B670C36"/>
    <w:rsid w:val="0BBD34B5"/>
    <w:rsid w:val="0BC76E15"/>
    <w:rsid w:val="0C192996"/>
    <w:rsid w:val="0C726DE1"/>
    <w:rsid w:val="0CE85C83"/>
    <w:rsid w:val="0D4D675A"/>
    <w:rsid w:val="0D6A51E7"/>
    <w:rsid w:val="0D706A8C"/>
    <w:rsid w:val="0DA158CF"/>
    <w:rsid w:val="0DC02ACC"/>
    <w:rsid w:val="0DE52F3D"/>
    <w:rsid w:val="0DF40736"/>
    <w:rsid w:val="0E087302"/>
    <w:rsid w:val="0E467005"/>
    <w:rsid w:val="0E5935E8"/>
    <w:rsid w:val="0E5C065A"/>
    <w:rsid w:val="0E95550D"/>
    <w:rsid w:val="0EAF74F2"/>
    <w:rsid w:val="0EB712F3"/>
    <w:rsid w:val="0EC10829"/>
    <w:rsid w:val="0EC66D9E"/>
    <w:rsid w:val="0FB51E18"/>
    <w:rsid w:val="0FBD1D31"/>
    <w:rsid w:val="1025415A"/>
    <w:rsid w:val="103E459E"/>
    <w:rsid w:val="106E7982"/>
    <w:rsid w:val="10F90CDB"/>
    <w:rsid w:val="11560662"/>
    <w:rsid w:val="119005E6"/>
    <w:rsid w:val="122818C5"/>
    <w:rsid w:val="134F75DC"/>
    <w:rsid w:val="13A31C6C"/>
    <w:rsid w:val="14057954"/>
    <w:rsid w:val="141F2BB8"/>
    <w:rsid w:val="14B13E06"/>
    <w:rsid w:val="14C8300A"/>
    <w:rsid w:val="14D02784"/>
    <w:rsid w:val="15126879"/>
    <w:rsid w:val="151429BA"/>
    <w:rsid w:val="15351FDD"/>
    <w:rsid w:val="156B12DC"/>
    <w:rsid w:val="167101BC"/>
    <w:rsid w:val="16C52E71"/>
    <w:rsid w:val="16E52514"/>
    <w:rsid w:val="16F5263F"/>
    <w:rsid w:val="16FA7CA6"/>
    <w:rsid w:val="182716B9"/>
    <w:rsid w:val="18E84DF2"/>
    <w:rsid w:val="1A821473"/>
    <w:rsid w:val="1B7C140E"/>
    <w:rsid w:val="1DB23C8B"/>
    <w:rsid w:val="1DF54FD5"/>
    <w:rsid w:val="1EF693DF"/>
    <w:rsid w:val="1F3C07EF"/>
    <w:rsid w:val="1FEF4FE6"/>
    <w:rsid w:val="1FF51002"/>
    <w:rsid w:val="200B35B9"/>
    <w:rsid w:val="20AA5A04"/>
    <w:rsid w:val="20D43CCC"/>
    <w:rsid w:val="20D86C9F"/>
    <w:rsid w:val="21693ADA"/>
    <w:rsid w:val="21912EA5"/>
    <w:rsid w:val="21923936"/>
    <w:rsid w:val="225F5AA9"/>
    <w:rsid w:val="22786B5D"/>
    <w:rsid w:val="245103DE"/>
    <w:rsid w:val="25A36113"/>
    <w:rsid w:val="25DC10B1"/>
    <w:rsid w:val="264406EA"/>
    <w:rsid w:val="27027879"/>
    <w:rsid w:val="28324905"/>
    <w:rsid w:val="289406E2"/>
    <w:rsid w:val="28A1097E"/>
    <w:rsid w:val="28A56626"/>
    <w:rsid w:val="28C707A9"/>
    <w:rsid w:val="28E55678"/>
    <w:rsid w:val="297162B9"/>
    <w:rsid w:val="29B16CB0"/>
    <w:rsid w:val="29F30A01"/>
    <w:rsid w:val="2A215643"/>
    <w:rsid w:val="2A282887"/>
    <w:rsid w:val="2A983DED"/>
    <w:rsid w:val="2AB816D3"/>
    <w:rsid w:val="2AE12FF4"/>
    <w:rsid w:val="2B1C189B"/>
    <w:rsid w:val="2B331A1C"/>
    <w:rsid w:val="2BCC30F7"/>
    <w:rsid w:val="2C286EC2"/>
    <w:rsid w:val="2C4A2BDB"/>
    <w:rsid w:val="2CCB4AF9"/>
    <w:rsid w:val="2CD81EA7"/>
    <w:rsid w:val="2D087B88"/>
    <w:rsid w:val="2D0C07DF"/>
    <w:rsid w:val="2D516D18"/>
    <w:rsid w:val="2D575D26"/>
    <w:rsid w:val="2E550FF1"/>
    <w:rsid w:val="2EA1576A"/>
    <w:rsid w:val="2EFE6EB8"/>
    <w:rsid w:val="2F1E2FC7"/>
    <w:rsid w:val="2FFA4D14"/>
    <w:rsid w:val="306847AE"/>
    <w:rsid w:val="31036A33"/>
    <w:rsid w:val="310476ED"/>
    <w:rsid w:val="315356A2"/>
    <w:rsid w:val="31882664"/>
    <w:rsid w:val="322002DD"/>
    <w:rsid w:val="344B0FEE"/>
    <w:rsid w:val="345B3EFC"/>
    <w:rsid w:val="34AE2066"/>
    <w:rsid w:val="34D87802"/>
    <w:rsid w:val="350D0C42"/>
    <w:rsid w:val="350D3B23"/>
    <w:rsid w:val="358E73B8"/>
    <w:rsid w:val="363675DE"/>
    <w:rsid w:val="364F109D"/>
    <w:rsid w:val="36E309B3"/>
    <w:rsid w:val="36EB57D1"/>
    <w:rsid w:val="37405446"/>
    <w:rsid w:val="374E43A0"/>
    <w:rsid w:val="37BD0431"/>
    <w:rsid w:val="37CC6E4F"/>
    <w:rsid w:val="37ED5336"/>
    <w:rsid w:val="38011941"/>
    <w:rsid w:val="380A11C8"/>
    <w:rsid w:val="3818153F"/>
    <w:rsid w:val="38485A4B"/>
    <w:rsid w:val="385E0B43"/>
    <w:rsid w:val="38A8411D"/>
    <w:rsid w:val="390A4563"/>
    <w:rsid w:val="39CD505D"/>
    <w:rsid w:val="39FB592A"/>
    <w:rsid w:val="3A305B92"/>
    <w:rsid w:val="3A9026A1"/>
    <w:rsid w:val="3B89766A"/>
    <w:rsid w:val="3BB3118E"/>
    <w:rsid w:val="3BF30A69"/>
    <w:rsid w:val="3C312507"/>
    <w:rsid w:val="3C5B2BF6"/>
    <w:rsid w:val="3C821C6F"/>
    <w:rsid w:val="3CA80C67"/>
    <w:rsid w:val="3DEBF926"/>
    <w:rsid w:val="3E770908"/>
    <w:rsid w:val="3E7E1596"/>
    <w:rsid w:val="3E8A40C6"/>
    <w:rsid w:val="3F8D6A60"/>
    <w:rsid w:val="3FF64E7A"/>
    <w:rsid w:val="3FFDF830"/>
    <w:rsid w:val="41535978"/>
    <w:rsid w:val="421F75A4"/>
    <w:rsid w:val="425125A4"/>
    <w:rsid w:val="425B2DC4"/>
    <w:rsid w:val="425E348A"/>
    <w:rsid w:val="43D84F35"/>
    <w:rsid w:val="440E56A0"/>
    <w:rsid w:val="44A02C93"/>
    <w:rsid w:val="44AB6CB7"/>
    <w:rsid w:val="45BD2587"/>
    <w:rsid w:val="45E91D27"/>
    <w:rsid w:val="47045BFA"/>
    <w:rsid w:val="485B7D62"/>
    <w:rsid w:val="48B672F5"/>
    <w:rsid w:val="48D161BE"/>
    <w:rsid w:val="490714E3"/>
    <w:rsid w:val="49E94869"/>
    <w:rsid w:val="4A211A6D"/>
    <w:rsid w:val="4AD2369D"/>
    <w:rsid w:val="4AF864E8"/>
    <w:rsid w:val="4B277059"/>
    <w:rsid w:val="4B485858"/>
    <w:rsid w:val="4B614187"/>
    <w:rsid w:val="4C000B94"/>
    <w:rsid w:val="4C2C6EC5"/>
    <w:rsid w:val="4C8670D9"/>
    <w:rsid w:val="4C981FB8"/>
    <w:rsid w:val="4D2C63CD"/>
    <w:rsid w:val="4DB34E33"/>
    <w:rsid w:val="4E8A612C"/>
    <w:rsid w:val="4F172905"/>
    <w:rsid w:val="4F557A83"/>
    <w:rsid w:val="4F885CEB"/>
    <w:rsid w:val="502A2F08"/>
    <w:rsid w:val="50406E4E"/>
    <w:rsid w:val="51465B86"/>
    <w:rsid w:val="516960CC"/>
    <w:rsid w:val="517F1F96"/>
    <w:rsid w:val="5235570C"/>
    <w:rsid w:val="53304295"/>
    <w:rsid w:val="53F73779"/>
    <w:rsid w:val="5449480B"/>
    <w:rsid w:val="54B57697"/>
    <w:rsid w:val="54C47110"/>
    <w:rsid w:val="569A78CF"/>
    <w:rsid w:val="56C8FC93"/>
    <w:rsid w:val="578775D4"/>
    <w:rsid w:val="57B34775"/>
    <w:rsid w:val="57CB09C0"/>
    <w:rsid w:val="57F07E88"/>
    <w:rsid w:val="57F34266"/>
    <w:rsid w:val="58BB684A"/>
    <w:rsid w:val="590B7C5F"/>
    <w:rsid w:val="5A32415D"/>
    <w:rsid w:val="5AB441AC"/>
    <w:rsid w:val="5AC17932"/>
    <w:rsid w:val="5AE66FE3"/>
    <w:rsid w:val="5BB7CE54"/>
    <w:rsid w:val="5BCA39C3"/>
    <w:rsid w:val="5BD43965"/>
    <w:rsid w:val="5BDC31D7"/>
    <w:rsid w:val="5BF9320A"/>
    <w:rsid w:val="5C2A604B"/>
    <w:rsid w:val="5C857487"/>
    <w:rsid w:val="5E193160"/>
    <w:rsid w:val="5E88747F"/>
    <w:rsid w:val="5E94525B"/>
    <w:rsid w:val="5EF003DA"/>
    <w:rsid w:val="60574CEF"/>
    <w:rsid w:val="60D37950"/>
    <w:rsid w:val="613A7416"/>
    <w:rsid w:val="61987E77"/>
    <w:rsid w:val="61C579C1"/>
    <w:rsid w:val="62353290"/>
    <w:rsid w:val="62EE2739"/>
    <w:rsid w:val="639E52DB"/>
    <w:rsid w:val="63E543CF"/>
    <w:rsid w:val="63EC08F9"/>
    <w:rsid w:val="63F2580D"/>
    <w:rsid w:val="642C250E"/>
    <w:rsid w:val="643839B5"/>
    <w:rsid w:val="647E1E99"/>
    <w:rsid w:val="649607F0"/>
    <w:rsid w:val="64B22597"/>
    <w:rsid w:val="64BF6DED"/>
    <w:rsid w:val="6502797D"/>
    <w:rsid w:val="659F203C"/>
    <w:rsid w:val="65EF12F6"/>
    <w:rsid w:val="65FDC57A"/>
    <w:rsid w:val="667B3089"/>
    <w:rsid w:val="67125407"/>
    <w:rsid w:val="6780039A"/>
    <w:rsid w:val="67824A12"/>
    <w:rsid w:val="67832EF6"/>
    <w:rsid w:val="678A5FCA"/>
    <w:rsid w:val="67FA3486"/>
    <w:rsid w:val="68146A3F"/>
    <w:rsid w:val="68C01144"/>
    <w:rsid w:val="691A5502"/>
    <w:rsid w:val="6A100FD1"/>
    <w:rsid w:val="6B2E1807"/>
    <w:rsid w:val="6B505657"/>
    <w:rsid w:val="6B851FF7"/>
    <w:rsid w:val="6BE141F3"/>
    <w:rsid w:val="6BF6D7C7"/>
    <w:rsid w:val="6CEC000A"/>
    <w:rsid w:val="6D516D25"/>
    <w:rsid w:val="6D716B35"/>
    <w:rsid w:val="6DFE24BB"/>
    <w:rsid w:val="6E0A5FBD"/>
    <w:rsid w:val="6E9311AE"/>
    <w:rsid w:val="6E933C40"/>
    <w:rsid w:val="6E9F82C8"/>
    <w:rsid w:val="6EAE1559"/>
    <w:rsid w:val="6EE104BA"/>
    <w:rsid w:val="6EFC5484"/>
    <w:rsid w:val="6F061516"/>
    <w:rsid w:val="6F3B7A35"/>
    <w:rsid w:val="6F513E19"/>
    <w:rsid w:val="6FC02188"/>
    <w:rsid w:val="6FE46603"/>
    <w:rsid w:val="6FFB12AF"/>
    <w:rsid w:val="6FFF6613"/>
    <w:rsid w:val="703C4491"/>
    <w:rsid w:val="708D7E89"/>
    <w:rsid w:val="709637C1"/>
    <w:rsid w:val="716D761B"/>
    <w:rsid w:val="71A76928"/>
    <w:rsid w:val="72D3722F"/>
    <w:rsid w:val="731F1983"/>
    <w:rsid w:val="739E7073"/>
    <w:rsid w:val="744D64A9"/>
    <w:rsid w:val="74A206D3"/>
    <w:rsid w:val="756A0A3D"/>
    <w:rsid w:val="75922929"/>
    <w:rsid w:val="75EF5F42"/>
    <w:rsid w:val="763444AF"/>
    <w:rsid w:val="76D6D607"/>
    <w:rsid w:val="76DE6F80"/>
    <w:rsid w:val="7709607D"/>
    <w:rsid w:val="77445D2C"/>
    <w:rsid w:val="78877820"/>
    <w:rsid w:val="78E70A2D"/>
    <w:rsid w:val="79331D62"/>
    <w:rsid w:val="796061A5"/>
    <w:rsid w:val="7A635A80"/>
    <w:rsid w:val="7B0A1790"/>
    <w:rsid w:val="7B6B9653"/>
    <w:rsid w:val="7BB8788F"/>
    <w:rsid w:val="7BDF50E3"/>
    <w:rsid w:val="7C3005DF"/>
    <w:rsid w:val="7C71247C"/>
    <w:rsid w:val="7C97151A"/>
    <w:rsid w:val="7CE22776"/>
    <w:rsid w:val="7D04082D"/>
    <w:rsid w:val="7D471B43"/>
    <w:rsid w:val="7D5B58E8"/>
    <w:rsid w:val="7DFF4E5B"/>
    <w:rsid w:val="7EB3493A"/>
    <w:rsid w:val="7EDF4DC2"/>
    <w:rsid w:val="7EE4243A"/>
    <w:rsid w:val="7EFA151F"/>
    <w:rsid w:val="7EFE8C3B"/>
    <w:rsid w:val="7F5FB1DA"/>
    <w:rsid w:val="7F7B5DF4"/>
    <w:rsid w:val="7F7D2854"/>
    <w:rsid w:val="7F7D87BC"/>
    <w:rsid w:val="7F934D61"/>
    <w:rsid w:val="7FB761D6"/>
    <w:rsid w:val="7FDEBE4C"/>
    <w:rsid w:val="7FFB7783"/>
    <w:rsid w:val="7FFD7914"/>
    <w:rsid w:val="7FFDA737"/>
    <w:rsid w:val="7FFE142B"/>
    <w:rsid w:val="93971695"/>
    <w:rsid w:val="9FFB9FF9"/>
    <w:rsid w:val="AFF98232"/>
    <w:rsid w:val="B9E533EF"/>
    <w:rsid w:val="BBB2C5B4"/>
    <w:rsid w:val="D7FF7E47"/>
    <w:rsid w:val="DEC9251D"/>
    <w:rsid w:val="DF5B86F2"/>
    <w:rsid w:val="DFF34FB0"/>
    <w:rsid w:val="E2EF3E5F"/>
    <w:rsid w:val="E7D691BF"/>
    <w:rsid w:val="E7FA97D4"/>
    <w:rsid w:val="EFFFB733"/>
    <w:rsid w:val="F5FA998C"/>
    <w:rsid w:val="F66B56AD"/>
    <w:rsid w:val="F72D4456"/>
    <w:rsid w:val="FA25EC32"/>
    <w:rsid w:val="FA3DB9A4"/>
    <w:rsid w:val="FBBD021D"/>
    <w:rsid w:val="FFE74C00"/>
    <w:rsid w:val="FFEE034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semiHidden="0" w:name="annotation text"/>
    <w:lsdException w:qFormat="1" w:uiPriority="99" w:semiHidden="0" w:name="header"/>
    <w:lsdException w:qFormat="1"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 w:hAnsi="Times New Roman" w:eastAsia="仿宋" w:cs="Times New Roman"/>
      <w:kern w:val="30"/>
      <w:sz w:val="30"/>
      <w:szCs w:val="21"/>
      <w:lang w:val="en-US" w:eastAsia="zh-CN" w:bidi="ar-SA"/>
    </w:rPr>
  </w:style>
  <w:style w:type="paragraph" w:styleId="3">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6"/>
    <w:qFormat/>
    <w:uiPriority w:val="99"/>
    <w:pPr>
      <w:keepNext/>
      <w:keepLines/>
      <w:spacing w:before="260" w:after="260" w:line="416" w:lineRule="auto"/>
      <w:outlineLvl w:val="1"/>
    </w:pPr>
    <w:rPr>
      <w:rFonts w:ascii="Cambria" w:hAnsi="Cambria"/>
      <w:b/>
      <w:bCs/>
      <w:kern w:val="0"/>
      <w:sz w:val="32"/>
      <w:szCs w:val="32"/>
    </w:rPr>
  </w:style>
  <w:style w:type="paragraph" w:styleId="5">
    <w:name w:val="heading 3"/>
    <w:basedOn w:val="1"/>
    <w:next w:val="1"/>
    <w:link w:val="27"/>
    <w:qFormat/>
    <w:uiPriority w:val="99"/>
    <w:pPr>
      <w:keepNext/>
      <w:keepLines/>
      <w:spacing w:before="260" w:after="260" w:line="416" w:lineRule="auto"/>
      <w:outlineLvl w:val="2"/>
    </w:pPr>
    <w:rPr>
      <w:b/>
      <w:bCs/>
      <w:kern w:val="0"/>
      <w:sz w:val="32"/>
      <w:szCs w:val="32"/>
    </w:rPr>
  </w:style>
  <w:style w:type="character" w:default="1" w:styleId="20">
    <w:name w:val="Default Paragraph Font"/>
    <w:semiHidden/>
    <w:unhideWhenUsed/>
    <w:qFormat/>
    <w:uiPriority w:val="1"/>
  </w:style>
  <w:style w:type="table" w:default="1" w:styleId="18">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caption"/>
    <w:basedOn w:val="1"/>
    <w:next w:val="1"/>
    <w:qFormat/>
    <w:uiPriority w:val="0"/>
    <w:pPr>
      <w:spacing w:before="152" w:after="160"/>
    </w:pPr>
    <w:rPr>
      <w:rFonts w:ascii="Arial" w:hAnsi="Arial" w:eastAsia="黑体" w:cs="Arial"/>
      <w:sz w:val="20"/>
    </w:rPr>
  </w:style>
  <w:style w:type="paragraph" w:styleId="6">
    <w:name w:val="Document Map"/>
    <w:basedOn w:val="1"/>
    <w:link w:val="33"/>
    <w:unhideWhenUsed/>
    <w:qFormat/>
    <w:uiPriority w:val="99"/>
    <w:rPr>
      <w:rFonts w:ascii="宋体"/>
      <w:sz w:val="18"/>
      <w:szCs w:val="18"/>
    </w:rPr>
  </w:style>
  <w:style w:type="paragraph" w:styleId="7">
    <w:name w:val="annotation text"/>
    <w:basedOn w:val="1"/>
    <w:link w:val="31"/>
    <w:unhideWhenUsed/>
    <w:qFormat/>
    <w:uiPriority w:val="99"/>
    <w:pPr>
      <w:jc w:val="left"/>
    </w:pPr>
  </w:style>
  <w:style w:type="paragraph" w:styleId="8">
    <w:name w:val="Body Text"/>
    <w:basedOn w:val="1"/>
    <w:link w:val="38"/>
    <w:qFormat/>
    <w:uiPriority w:val="1"/>
    <w:pPr>
      <w:ind w:left="119"/>
      <w:jc w:val="left"/>
    </w:pPr>
    <w:rPr>
      <w:rFonts w:ascii="仿宋_GB2312" w:hAnsi="仿宋_GB2312" w:eastAsia="仿宋_GB2312" w:cstheme="minorBidi"/>
      <w:kern w:val="0"/>
      <w:szCs w:val="30"/>
      <w:lang w:eastAsia="en-US"/>
    </w:rPr>
  </w:style>
  <w:style w:type="paragraph" w:styleId="9">
    <w:name w:val="toc 3"/>
    <w:basedOn w:val="1"/>
    <w:next w:val="1"/>
    <w:unhideWhenUsed/>
    <w:qFormat/>
    <w:uiPriority w:val="39"/>
    <w:pPr>
      <w:widowControl/>
      <w:spacing w:after="100" w:line="259" w:lineRule="auto"/>
      <w:ind w:left="440"/>
      <w:jc w:val="left"/>
    </w:pPr>
    <w:rPr>
      <w:rFonts w:asciiTheme="minorHAnsi" w:hAnsiTheme="minorHAnsi" w:eastAsiaTheme="minorEastAsia"/>
      <w:kern w:val="0"/>
      <w:sz w:val="22"/>
      <w:szCs w:val="22"/>
    </w:rPr>
  </w:style>
  <w:style w:type="paragraph" w:styleId="10">
    <w:name w:val="Balloon Text"/>
    <w:basedOn w:val="1"/>
    <w:link w:val="30"/>
    <w:unhideWhenUsed/>
    <w:qFormat/>
    <w:uiPriority w:val="99"/>
    <w:rPr>
      <w:sz w:val="18"/>
      <w:szCs w:val="18"/>
    </w:rPr>
  </w:style>
  <w:style w:type="paragraph" w:styleId="11">
    <w:name w:val="footer"/>
    <w:basedOn w:val="1"/>
    <w:link w:val="29"/>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12">
    <w:name w:val="header"/>
    <w:basedOn w:val="1"/>
    <w:link w:val="2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3">
    <w:name w:val="toc 1"/>
    <w:basedOn w:val="1"/>
    <w:next w:val="1"/>
    <w:unhideWhenUsed/>
    <w:qFormat/>
    <w:uiPriority w:val="39"/>
    <w:pPr>
      <w:widowControl/>
      <w:tabs>
        <w:tab w:val="right" w:leader="dot" w:pos="8931"/>
      </w:tabs>
      <w:spacing w:line="420" w:lineRule="exact"/>
      <w:ind w:right="25" w:rightChars="12"/>
      <w:jc w:val="left"/>
    </w:pPr>
    <w:rPr>
      <w:rFonts w:asciiTheme="minorHAnsi" w:hAnsiTheme="minorHAnsi" w:eastAsiaTheme="minorEastAsia"/>
      <w:kern w:val="0"/>
      <w:sz w:val="22"/>
      <w:szCs w:val="22"/>
    </w:rPr>
  </w:style>
  <w:style w:type="paragraph" w:styleId="14">
    <w:name w:val="footnote text"/>
    <w:basedOn w:val="1"/>
    <w:semiHidden/>
    <w:unhideWhenUsed/>
    <w:qFormat/>
    <w:uiPriority w:val="99"/>
    <w:pPr>
      <w:snapToGrid w:val="0"/>
      <w:jc w:val="left"/>
    </w:pPr>
    <w:rPr>
      <w:sz w:val="18"/>
    </w:rPr>
  </w:style>
  <w:style w:type="paragraph" w:styleId="15">
    <w:name w:val="toc 2"/>
    <w:basedOn w:val="1"/>
    <w:next w:val="1"/>
    <w:unhideWhenUsed/>
    <w:qFormat/>
    <w:uiPriority w:val="39"/>
    <w:pPr>
      <w:widowControl/>
      <w:tabs>
        <w:tab w:val="right" w:leader="dot" w:pos="8789"/>
      </w:tabs>
      <w:spacing w:line="400" w:lineRule="exact"/>
      <w:jc w:val="left"/>
    </w:pPr>
    <w:rPr>
      <w:rFonts w:ascii="仿宋_GB2312" w:eastAsia="仿宋_GB2312" w:hAnsiTheme="minorHAnsi"/>
      <w:b/>
      <w:bCs/>
      <w:kern w:val="0"/>
      <w:sz w:val="24"/>
      <w:szCs w:val="24"/>
      <w:lang w:val="zh-CN"/>
    </w:rPr>
  </w:style>
  <w:style w:type="paragraph" w:styleId="16">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7">
    <w:name w:val="annotation subject"/>
    <w:basedOn w:val="7"/>
    <w:next w:val="7"/>
    <w:link w:val="32"/>
    <w:unhideWhenUsed/>
    <w:qFormat/>
    <w:uiPriority w:val="99"/>
    <w:rPr>
      <w:b/>
      <w:bCs/>
    </w:rPr>
  </w:style>
  <w:style w:type="table" w:styleId="19">
    <w:name w:val="Table Grid"/>
    <w:basedOn w:val="18"/>
    <w:qFormat/>
    <w:uiPriority w:val="3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1">
    <w:name w:val="page number"/>
    <w:basedOn w:val="20"/>
    <w:qFormat/>
    <w:uiPriority w:val="0"/>
  </w:style>
  <w:style w:type="character" w:styleId="22">
    <w:name w:val="Hyperlink"/>
    <w:basedOn w:val="20"/>
    <w:unhideWhenUsed/>
    <w:qFormat/>
    <w:uiPriority w:val="99"/>
    <w:rPr>
      <w:color w:val="0000FF" w:themeColor="hyperlink"/>
      <w:u w:val="single"/>
      <w14:textFill>
        <w14:solidFill>
          <w14:schemeClr w14:val="hlink"/>
        </w14:solidFill>
      </w14:textFill>
    </w:rPr>
  </w:style>
  <w:style w:type="character" w:styleId="23">
    <w:name w:val="annotation reference"/>
    <w:basedOn w:val="20"/>
    <w:unhideWhenUsed/>
    <w:qFormat/>
    <w:uiPriority w:val="99"/>
    <w:rPr>
      <w:sz w:val="21"/>
      <w:szCs w:val="21"/>
    </w:rPr>
  </w:style>
  <w:style w:type="character" w:styleId="24">
    <w:name w:val="footnote reference"/>
    <w:basedOn w:val="20"/>
    <w:semiHidden/>
    <w:unhideWhenUsed/>
    <w:qFormat/>
    <w:uiPriority w:val="99"/>
    <w:rPr>
      <w:vertAlign w:val="superscript"/>
    </w:rPr>
  </w:style>
  <w:style w:type="character" w:customStyle="1" w:styleId="25">
    <w:name w:val="标题 1 字符"/>
    <w:basedOn w:val="20"/>
    <w:link w:val="3"/>
    <w:qFormat/>
    <w:uiPriority w:val="9"/>
    <w:rPr>
      <w:rFonts w:ascii="Times New Roman" w:hAnsi="Times New Roman" w:eastAsia="宋体" w:cs="Times New Roman"/>
      <w:b/>
      <w:bCs/>
      <w:kern w:val="44"/>
      <w:sz w:val="44"/>
      <w:szCs w:val="44"/>
    </w:rPr>
  </w:style>
  <w:style w:type="character" w:customStyle="1" w:styleId="26">
    <w:name w:val="标题 2 字符"/>
    <w:basedOn w:val="20"/>
    <w:link w:val="4"/>
    <w:qFormat/>
    <w:uiPriority w:val="99"/>
    <w:rPr>
      <w:rFonts w:ascii="Cambria" w:hAnsi="Cambria" w:eastAsia="宋体" w:cs="Times New Roman"/>
      <w:b/>
      <w:bCs/>
      <w:kern w:val="0"/>
      <w:sz w:val="32"/>
      <w:szCs w:val="32"/>
    </w:rPr>
  </w:style>
  <w:style w:type="character" w:customStyle="1" w:styleId="27">
    <w:name w:val="标题 3 字符"/>
    <w:basedOn w:val="20"/>
    <w:link w:val="5"/>
    <w:qFormat/>
    <w:uiPriority w:val="99"/>
    <w:rPr>
      <w:rFonts w:ascii="Times New Roman" w:hAnsi="Times New Roman" w:eastAsia="宋体" w:cs="Times New Roman"/>
      <w:b/>
      <w:bCs/>
      <w:kern w:val="0"/>
      <w:sz w:val="32"/>
      <w:szCs w:val="32"/>
    </w:rPr>
  </w:style>
  <w:style w:type="character" w:customStyle="1" w:styleId="28">
    <w:name w:val="页眉 字符"/>
    <w:basedOn w:val="20"/>
    <w:link w:val="12"/>
    <w:qFormat/>
    <w:uiPriority w:val="99"/>
    <w:rPr>
      <w:sz w:val="18"/>
      <w:szCs w:val="18"/>
    </w:rPr>
  </w:style>
  <w:style w:type="character" w:customStyle="1" w:styleId="29">
    <w:name w:val="页脚 字符"/>
    <w:basedOn w:val="20"/>
    <w:link w:val="11"/>
    <w:qFormat/>
    <w:uiPriority w:val="0"/>
    <w:rPr>
      <w:sz w:val="18"/>
      <w:szCs w:val="18"/>
    </w:rPr>
  </w:style>
  <w:style w:type="character" w:customStyle="1" w:styleId="30">
    <w:name w:val="批注框文本 字符"/>
    <w:basedOn w:val="20"/>
    <w:link w:val="10"/>
    <w:semiHidden/>
    <w:qFormat/>
    <w:uiPriority w:val="99"/>
    <w:rPr>
      <w:rFonts w:ascii="Times New Roman" w:hAnsi="Times New Roman" w:eastAsia="宋体" w:cs="Times New Roman"/>
      <w:sz w:val="18"/>
      <w:szCs w:val="18"/>
    </w:rPr>
  </w:style>
  <w:style w:type="character" w:customStyle="1" w:styleId="31">
    <w:name w:val="批注文字 字符"/>
    <w:basedOn w:val="20"/>
    <w:link w:val="7"/>
    <w:qFormat/>
    <w:uiPriority w:val="99"/>
    <w:rPr>
      <w:rFonts w:ascii="Times New Roman" w:hAnsi="Times New Roman" w:eastAsia="宋体" w:cs="Times New Roman"/>
      <w:szCs w:val="21"/>
    </w:rPr>
  </w:style>
  <w:style w:type="character" w:customStyle="1" w:styleId="32">
    <w:name w:val="批注主题 字符"/>
    <w:basedOn w:val="31"/>
    <w:link w:val="17"/>
    <w:semiHidden/>
    <w:qFormat/>
    <w:uiPriority w:val="99"/>
    <w:rPr>
      <w:rFonts w:ascii="Times New Roman" w:hAnsi="Times New Roman" w:eastAsia="宋体" w:cs="Times New Roman"/>
      <w:b/>
      <w:bCs/>
      <w:szCs w:val="21"/>
    </w:rPr>
  </w:style>
  <w:style w:type="character" w:customStyle="1" w:styleId="33">
    <w:name w:val="文档结构图 字符"/>
    <w:basedOn w:val="20"/>
    <w:link w:val="6"/>
    <w:semiHidden/>
    <w:qFormat/>
    <w:uiPriority w:val="99"/>
    <w:rPr>
      <w:rFonts w:ascii="宋体" w:hAnsi="Times New Roman" w:eastAsia="宋体" w:cs="Times New Roman"/>
      <w:sz w:val="18"/>
      <w:szCs w:val="18"/>
    </w:rPr>
  </w:style>
  <w:style w:type="paragraph" w:customStyle="1" w:styleId="34">
    <w:name w:val="TOC 标题1"/>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paragraph" w:customStyle="1" w:styleId="35">
    <w:name w:val="修订1"/>
    <w:hidden/>
    <w:semiHidden/>
    <w:qFormat/>
    <w:uiPriority w:val="99"/>
    <w:rPr>
      <w:rFonts w:ascii="Times New Roman" w:hAnsi="Times New Roman" w:eastAsia="宋体" w:cs="Times New Roman"/>
      <w:kern w:val="2"/>
      <w:sz w:val="21"/>
      <w:szCs w:val="21"/>
      <w:lang w:val="en-US" w:eastAsia="zh-CN" w:bidi="ar-SA"/>
    </w:rPr>
  </w:style>
  <w:style w:type="character" w:customStyle="1" w:styleId="36">
    <w:name w:val="页码 New New"/>
    <w:basedOn w:val="20"/>
    <w:qFormat/>
    <w:uiPriority w:val="0"/>
  </w:style>
  <w:style w:type="paragraph" w:customStyle="1" w:styleId="37">
    <w:name w:val="列表段落1"/>
    <w:basedOn w:val="1"/>
    <w:qFormat/>
    <w:uiPriority w:val="34"/>
    <w:pPr>
      <w:ind w:firstLine="420" w:firstLineChars="200"/>
    </w:pPr>
  </w:style>
  <w:style w:type="character" w:customStyle="1" w:styleId="38">
    <w:name w:val="正文文本 字符"/>
    <w:basedOn w:val="20"/>
    <w:link w:val="8"/>
    <w:qFormat/>
    <w:uiPriority w:val="1"/>
    <w:rPr>
      <w:rFonts w:ascii="仿宋_GB2312" w:hAnsi="仿宋_GB2312" w:eastAsia="仿宋_GB2312"/>
      <w:kern w:val="0"/>
      <w:sz w:val="30"/>
      <w:szCs w:val="30"/>
      <w:lang w:eastAsia="en-US"/>
    </w:rPr>
  </w:style>
  <w:style w:type="character" w:customStyle="1" w:styleId="39">
    <w:name w:val="未处理的提及1"/>
    <w:basedOn w:val="20"/>
    <w:unhideWhenUsed/>
    <w:qFormat/>
    <w:uiPriority w:val="99"/>
    <w:rPr>
      <w:color w:val="605E5C"/>
      <w:shd w:val="clear" w:color="auto" w:fill="E1DFDD"/>
    </w:rPr>
  </w:style>
  <w:style w:type="character" w:customStyle="1" w:styleId="40">
    <w:name w:val="占位符文本1"/>
    <w:basedOn w:val="20"/>
    <w:semiHidden/>
    <w:qFormat/>
    <w:uiPriority w:val="99"/>
    <w:rPr>
      <w:color w:val="808080"/>
    </w:rPr>
  </w:style>
  <w:style w:type="character" w:customStyle="1" w:styleId="41">
    <w:name w:val="font21"/>
    <w:basedOn w:val="20"/>
    <w:qFormat/>
    <w:uiPriority w:val="0"/>
    <w:rPr>
      <w:rFonts w:hint="default" w:ascii="Times New Roman" w:hAnsi="Times New Roman" w:cs="Times New Roman"/>
      <w:color w:val="000000"/>
      <w:sz w:val="20"/>
      <w:szCs w:val="20"/>
      <w:u w:val="none"/>
    </w:rPr>
  </w:style>
  <w:style w:type="character" w:customStyle="1" w:styleId="42">
    <w:name w:val="font41"/>
    <w:basedOn w:val="20"/>
    <w:qFormat/>
    <w:uiPriority w:val="0"/>
    <w:rPr>
      <w:rFonts w:hint="eastAsia" w:ascii="宋体" w:hAnsi="宋体" w:eastAsia="宋体" w:cs="宋体"/>
      <w:color w:val="000000"/>
      <w:sz w:val="20"/>
      <w:szCs w:val="20"/>
      <w:u w:val="none"/>
    </w:rPr>
  </w:style>
  <w:style w:type="character" w:customStyle="1" w:styleId="43">
    <w:name w:val="font31"/>
    <w:basedOn w:val="20"/>
    <w:qFormat/>
    <w:uiPriority w:val="0"/>
    <w:rPr>
      <w:rFonts w:hint="eastAsia" w:ascii="宋体" w:hAnsi="宋体" w:eastAsia="宋体" w:cs="宋体"/>
      <w:color w:val="000000"/>
      <w:sz w:val="20"/>
      <w:szCs w:val="20"/>
      <w:u w:val="none"/>
    </w:rPr>
  </w:style>
  <w:style w:type="character" w:customStyle="1" w:styleId="44">
    <w:name w:val="font11"/>
    <w:basedOn w:val="20"/>
    <w:qFormat/>
    <w:uiPriority w:val="0"/>
    <w:rPr>
      <w:rFonts w:hint="eastAsia" w:ascii="宋体" w:hAnsi="宋体" w:eastAsia="宋体" w:cs="宋体"/>
      <w:color w:val="000000"/>
      <w:sz w:val="20"/>
      <w:szCs w:val="20"/>
      <w:u w:val="none"/>
    </w:rPr>
  </w:style>
  <w:style w:type="paragraph" w:customStyle="1" w:styleId="45">
    <w:name w:val="实施方案正文"/>
    <w:basedOn w:val="1"/>
    <w:qFormat/>
    <w:uiPriority w:val="0"/>
    <w:pPr>
      <w:ind w:firstLine="566" w:firstLineChars="202"/>
    </w:pPr>
    <w:rPr>
      <w:rFonts w:ascii="Calibri" w:hAnsi="Calibri" w:eastAsia="宋体" w:cs="Times New Roman"/>
      <w:sz w:val="21"/>
    </w:rPr>
  </w:style>
  <w:style w:type="character" w:customStyle="1" w:styleId="46">
    <w:name w:val="font01"/>
    <w:basedOn w:val="20"/>
    <w:qFormat/>
    <w:uiPriority w:val="0"/>
    <w:rPr>
      <w:rFonts w:hint="eastAsia" w:ascii="仿宋" w:hAnsi="仿宋" w:eastAsia="仿宋" w:cs="仿宋"/>
      <w:b/>
      <w:bCs/>
      <w:color w:val="000000"/>
      <w:sz w:val="21"/>
      <w:szCs w:val="21"/>
      <w:u w:val="none"/>
    </w:rPr>
  </w:style>
  <w:style w:type="character" w:customStyle="1" w:styleId="47">
    <w:name w:val="公文正文"/>
    <w:basedOn w:val="48"/>
    <w:qFormat/>
    <w:uiPriority w:val="0"/>
    <w:rPr>
      <w:rFonts w:eastAsia="仿宋_GB2312"/>
      <w:sz w:val="32"/>
    </w:rPr>
  </w:style>
  <w:style w:type="character" w:customStyle="1" w:styleId="48">
    <w:name w:val="默认段落字体1"/>
    <w:qFormat/>
    <w:uiPriority w:val="0"/>
  </w:style>
  <w:style w:type="paragraph" w:customStyle="1" w:styleId="49">
    <w:name w:val="图表目录1"/>
    <w:basedOn w:val="50"/>
    <w:next w:val="50"/>
    <w:qFormat/>
    <w:uiPriority w:val="0"/>
    <w:pPr>
      <w:ind w:left="200" w:leftChars="200" w:hanging="200" w:hangingChars="200"/>
    </w:pPr>
    <w:rPr>
      <w:rFonts w:ascii="Calibri" w:hAnsi="Calibri" w:cs="黑体"/>
    </w:rPr>
  </w:style>
  <w:style w:type="paragraph" w:customStyle="1" w:styleId="50">
    <w:name w:val="正文 New New New New New New New New New New New New New New New New New New New New New New New New New New New New New New New New New New New New New New New New New New New New New New New New New New New New New New New New New New New New New New Ne"/>
    <w:next w:val="49"/>
    <w:qFormat/>
    <w:uiPriority w:val="0"/>
    <w:pPr>
      <w:widowControl w:val="0"/>
      <w:jc w:val="both"/>
    </w:pPr>
    <w:rPr>
      <w:rFonts w:ascii="Calibri" w:hAnsi="Calibri" w:eastAsia="宋体" w:cs="黑体"/>
      <w:kern w:val="2"/>
      <w:sz w:val="21"/>
      <w:szCs w:val="24"/>
      <w:lang w:val="en-US" w:eastAsia="zh-CN" w:bidi="ar-SA"/>
    </w:rPr>
  </w:style>
  <w:style w:type="paragraph" w:customStyle="1" w:styleId="51">
    <w:name w:val="p1"/>
    <w:basedOn w:val="1"/>
    <w:qFormat/>
    <w:uiPriority w:val="0"/>
    <w:pPr>
      <w:spacing w:before="0" w:beforeAutospacing="0" w:after="0" w:afterAutospacing="0"/>
      <w:ind w:left="0" w:right="0"/>
      <w:jc w:val="left"/>
    </w:pPr>
    <w:rPr>
      <w:rFonts w:ascii="PingFang SC" w:hAnsi="PingFang SC" w:eastAsia="PingFang SC" w:cs="PingFang SC"/>
      <w:color w:val="000000"/>
      <w:kern w:val="0"/>
      <w:sz w:val="22"/>
      <w:szCs w:val="22"/>
      <w:lang w:val="en-US" w:eastAsia="zh-CN" w:bidi="ar"/>
    </w:rPr>
  </w:style>
  <w:style w:type="character" w:customStyle="1" w:styleId="52">
    <w:name w:val="font61"/>
    <w:basedOn w:val="20"/>
    <w:qFormat/>
    <w:uiPriority w:val="0"/>
    <w:rPr>
      <w:rFonts w:ascii="等线" w:hAnsi="等线" w:eastAsia="等线" w:cs="等线"/>
      <w:b/>
      <w:bCs/>
      <w:color w:val="000000"/>
      <w:sz w:val="22"/>
      <w:szCs w:val="22"/>
      <w:u w:val="none"/>
    </w:rPr>
  </w:style>
  <w:style w:type="character" w:customStyle="1" w:styleId="53">
    <w:name w:val="font51"/>
    <w:basedOn w:val="20"/>
    <w:qFormat/>
    <w:uiPriority w:val="0"/>
    <w:rPr>
      <w:rFonts w:hint="default" w:ascii="仿宋" w:hAnsi="仿宋" w:eastAsia="仿宋" w:cs="仿宋"/>
      <w:b/>
      <w:bCs/>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58</Pages>
  <Words>385</Words>
  <Characters>414</Characters>
  <Lines>167</Lines>
  <Paragraphs>47</Paragraphs>
  <TotalTime>0</TotalTime>
  <ScaleCrop>false</ScaleCrop>
  <LinksUpToDate>false</LinksUpToDate>
  <CharactersWithSpaces>501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2017-11-05T15:15:00Z</dcterms:created>
  <cp:lastPrinted>2024-05-13T16:20:00Z</cp:lastPrinted>
  <dcterms:modified xsi:type="dcterms:W3CDTF">2026-02-02T03:39:54Z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CB074606895D378926530869282D25B5_43</vt:lpwstr>
  </property>
  <property fmtid="{D5CDD505-2E9C-101B-9397-08002B2CF9AE}" pid="4" name="KSOTemplateDocerSaveRecord">
    <vt:lpwstr>eyJoZGlkIjoiOGQ2YzJiYTM5M2U1MDRhZDA4YWIzMDRkZTNiOTgzNjUiLCJ1c2VySWQiOiIyNDM4MTE4NzUifQ==</vt:lpwstr>
  </property>
</Properties>
</file>