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bottom w:val="none" w:color="auto" w:sz="0" w:space="0"/>
        </w:pBdr>
        <w:spacing w:line="240" w:lineRule="auto"/>
        <w:rPr>
          <w:rFonts w:hint="default" w:ascii="Times New Roman" w:hAnsi="Times New Roman" w:eastAsia="黑体"/>
          <w:sz w:val="30"/>
          <w:szCs w:val="30"/>
          <w:highlight w:val="none"/>
          <w:lang w:val="en" w:eastAsia="zh-CN"/>
        </w:rPr>
      </w:pPr>
      <w:r>
        <w:rPr>
          <w:rFonts w:ascii="Times New Roman" w:hAnsi="Times New Roman" w:eastAsia="黑体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黑体"/>
          <w:sz w:val="30"/>
          <w:szCs w:val="30"/>
          <w:highlight w:val="none"/>
          <w:lang w:val="en-US" w:eastAsia="zh-CN"/>
        </w:rPr>
        <w:t>2-</w:t>
      </w:r>
      <w:r>
        <w:rPr>
          <w:rFonts w:hint="default" w:ascii="Times New Roman" w:hAnsi="Times New Roman" w:eastAsia="黑体"/>
          <w:sz w:val="30"/>
          <w:szCs w:val="30"/>
          <w:highlight w:val="none"/>
          <w:lang w:val="en-US" w:eastAsia="zh-CN"/>
        </w:rPr>
        <w:t>3</w:t>
      </w:r>
    </w:p>
    <w:p>
      <w:pPr>
        <w:pBdr>
          <w:top w:val="none" w:color="auto" w:sz="0" w:space="0"/>
          <w:bottom w:val="none" w:color="auto" w:sz="0" w:space="0"/>
        </w:pBdr>
        <w:spacing w:before="0" w:after="0" w:line="240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20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年度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支出绩效自评表</w:t>
      </w:r>
    </w:p>
    <w:tbl>
      <w:tblPr>
        <w:tblStyle w:val="4"/>
        <w:tblW w:w="93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29"/>
        <w:gridCol w:w="878"/>
        <w:gridCol w:w="878"/>
        <w:gridCol w:w="878"/>
        <w:gridCol w:w="705"/>
        <w:gridCol w:w="876"/>
        <w:gridCol w:w="680"/>
        <w:gridCol w:w="649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2024年十八幼运转补助经费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昆明市西山区教育体育局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昆明市第十八幼儿园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91.14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91.14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91.14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当年财政拨款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91.14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91.14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91.14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非财政拨款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完成教育教学活动，保障幼儿园运转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度量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完成值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分值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得分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保障幼儿人数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聘用人员工资发放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计划完成率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91.14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幼儿入园率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解决家长后顾之忧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解决社会就业问题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家长满意度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96%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6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备注：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.一级指标包含产出指标、效益指标、满意度指标，二级指标和三级指标根据项目实际情况设置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.当年财政拨款指一般公共预算、国有资本经营预算、政府性基金预算安排的资金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.上年结转资金指上一年一般公共预算、国有资本经营预算、政府性基金预算安排的结转资金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非财政拨款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含财政专户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管理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资金和单位资金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等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widowControl w:val="0"/>
        <w:numPr>
          <w:ilvl w:val="0"/>
          <w:numId w:val="0"/>
        </w:numPr>
        <w:tabs>
          <w:tab w:val="right" w:pos="8645"/>
        </w:tabs>
        <w:spacing w:after="0" w:line="320" w:lineRule="exact"/>
        <w:ind w:right="0" w:rightChars="0" w:firstLine="540" w:firstLineChars="300"/>
        <w:jc w:val="both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.全年预算数=年初预算数+调整预算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（年度新增项目）</w:t>
      </w:r>
    </w:p>
    <w:p>
      <w:pPr>
        <w:pBdr>
          <w:top w:val="none" w:color="auto" w:sz="0" w:space="0"/>
          <w:bottom w:val="none" w:color="auto" w:sz="0" w:space="0"/>
        </w:pBdr>
        <w:spacing w:line="240" w:lineRule="auto"/>
        <w:rPr>
          <w:rFonts w:hint="default" w:ascii="Times New Roman" w:hAnsi="Times New Roman" w:eastAsia="黑体"/>
          <w:sz w:val="30"/>
          <w:szCs w:val="30"/>
          <w:highlight w:val="none"/>
          <w:lang w:val="en" w:eastAsia="zh-CN"/>
        </w:rPr>
      </w:pPr>
      <w:r>
        <w:rPr>
          <w:rFonts w:ascii="Times New Roman" w:hAnsi="Times New Roman" w:eastAsia="黑体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黑体"/>
          <w:sz w:val="30"/>
          <w:szCs w:val="30"/>
          <w:highlight w:val="none"/>
          <w:lang w:val="en-US" w:eastAsia="zh-CN"/>
        </w:rPr>
        <w:t>2-</w:t>
      </w:r>
      <w:r>
        <w:rPr>
          <w:rFonts w:hint="default" w:ascii="Times New Roman" w:hAnsi="Times New Roman" w:eastAsia="黑体"/>
          <w:sz w:val="30"/>
          <w:szCs w:val="30"/>
          <w:highlight w:val="none"/>
          <w:lang w:val="en-US" w:eastAsia="zh-CN"/>
        </w:rPr>
        <w:t>3</w:t>
      </w:r>
    </w:p>
    <w:p>
      <w:pPr>
        <w:pBdr>
          <w:top w:val="none" w:color="auto" w:sz="0" w:space="0"/>
          <w:bottom w:val="none" w:color="auto" w:sz="0" w:space="0"/>
        </w:pBdr>
        <w:spacing w:before="0" w:after="0" w:line="240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20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年度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支出绩效自评表</w:t>
      </w:r>
    </w:p>
    <w:tbl>
      <w:tblPr>
        <w:tblStyle w:val="4"/>
        <w:tblW w:w="93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29"/>
        <w:gridCol w:w="878"/>
        <w:gridCol w:w="878"/>
        <w:gridCol w:w="878"/>
        <w:gridCol w:w="705"/>
        <w:gridCol w:w="876"/>
        <w:gridCol w:w="680"/>
        <w:gridCol w:w="649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2024年校舍安全保障长效机制专项经费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昆明市西山区教育体育局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昆明市第十八幼儿园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234.37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234.37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234.37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当年财政拨款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234.37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234.37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234.37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非财政拨款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完成校舍安全，保障幼儿在园安全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度量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完成值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分值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得分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保障幼儿人数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保障园所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计划完成率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234.37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幼儿入园率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解决家长后顾之忧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安全保障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家长满意度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96%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6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备注：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.一级指标包含产出指标、效益指标、满意度指标，二级指标和三级指标根据项目实际情况设置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2.当年财政拨款指一般公共预算、国有资本经营预算、政府性基金预算安排的资金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3.上年结转资金指上一年一般公共预算、国有资本经营预算、政府性基金预算安排的结转资金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4.非财政拨款含财政专户管理资金和单位资金等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5.全年预算数=年初预算数+调整预算（年度新增项目）</w:t>
      </w:r>
    </w:p>
    <w:p>
      <w:pPr>
        <w:pBdr>
          <w:top w:val="none" w:color="auto" w:sz="0" w:space="0"/>
          <w:bottom w:val="none" w:color="auto" w:sz="0" w:space="0"/>
        </w:pBdr>
        <w:spacing w:before="0" w:after="0" w:line="240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20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年度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支出绩效自评表</w:t>
      </w:r>
    </w:p>
    <w:tbl>
      <w:tblPr>
        <w:tblStyle w:val="4"/>
        <w:tblW w:w="93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29"/>
        <w:gridCol w:w="878"/>
        <w:gridCol w:w="878"/>
        <w:gridCol w:w="878"/>
        <w:gridCol w:w="705"/>
        <w:gridCol w:w="876"/>
        <w:gridCol w:w="680"/>
        <w:gridCol w:w="649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2024年学前教育家庭经济困难学生资助省级资金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昆明市西山区教育体育局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昆明市第十八幼儿园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0.0036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0.0036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0.0036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当年财政拨款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0.0036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0.0036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0.0036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非财政拨款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关注困难幼儿，并根据相关文件发放资金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度量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完成值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分值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得分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资助幼儿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资金到位率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计划完成率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0.0036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幼儿入园率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解决家长后顾之忧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贫困资助到情况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家长满意度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6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备注：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.一级指标包含产出指标、效益指标、满意度指标，二级指标和三级指标根据项目实际情况设置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2.当年财政拨款指一般公共预算、国有资本经营预算、政府性基金预算安排的资金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3.上年结转资金指上一年一般公共预算、国有资本经营预算、政府性基金预算安排的结转资金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4.非财政拨款含财政专户管理资金和单位资金等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5.全年预算数=年初预算数+调整预算（年度新增项目）</w:t>
      </w:r>
    </w:p>
    <w:p>
      <w:pPr>
        <w:pStyle w:val="2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p>
      <w:pPr>
        <w:pBdr>
          <w:top w:val="none" w:color="auto" w:sz="0" w:space="0"/>
          <w:bottom w:val="none" w:color="auto" w:sz="0" w:space="0"/>
        </w:pBdr>
        <w:spacing w:before="0" w:after="0" w:line="240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20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年度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支出绩效自评表</w:t>
      </w:r>
    </w:p>
    <w:tbl>
      <w:tblPr>
        <w:tblStyle w:val="4"/>
        <w:tblW w:w="93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29"/>
        <w:gridCol w:w="878"/>
        <w:gridCol w:w="878"/>
        <w:gridCol w:w="1085"/>
        <w:gridCol w:w="498"/>
        <w:gridCol w:w="876"/>
        <w:gridCol w:w="680"/>
        <w:gridCol w:w="649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2024年学前教育家庭经济困难学生资助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昆明市西山区教育体育局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昆明市第十八幼儿园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0.00288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0.00288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0.00288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当年财政拨款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0.00288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0.00288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0.00288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非财政拨款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关注困难幼儿，并根据相关文件发放资金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度量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完成值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分值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得分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资助幼儿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资金到位率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计划完成率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0.00288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幼儿入园率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解决家长后顾之忧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贫困资助到情况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家长满意度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6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备注：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.一级指标包含产出指标、效益指标、满意度指标，二级指标和三级指标根据项目实际情况设置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60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.当年财政拨款指一般公共预算、国有资本经营预算、政府性基金预算安排的资金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60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.上年结转资金指上一年一般公共预算、国有资本经营预算、政府性基金预算安排的结转资金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 w:firstLine="60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非财政拨款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含财政专户</w:t>
      </w:r>
      <w:r>
        <w:rPr>
          <w:rFonts w:hint="default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管理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资金和单位资金</w:t>
      </w:r>
      <w:r>
        <w:rPr>
          <w:rFonts w:hint="default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等</w:t>
      </w:r>
      <w:r>
        <w:rPr>
          <w:rFonts w:hint="eastAsia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；</w:t>
      </w:r>
    </w:p>
    <w:p>
      <w:pPr>
        <w:widowControl w:val="0"/>
        <w:numPr>
          <w:ilvl w:val="0"/>
          <w:numId w:val="0"/>
        </w:numPr>
        <w:tabs>
          <w:tab w:val="right" w:pos="8645"/>
        </w:tabs>
        <w:spacing w:after="0" w:line="320" w:lineRule="exact"/>
        <w:ind w:right="0" w:rightChars="0" w:firstLine="600" w:firstLineChars="300"/>
        <w:jc w:val="both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.全年预算数=年初预算数+调整预算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（年度新增项目）</w:t>
      </w:r>
    </w:p>
    <w:p>
      <w:pPr>
        <w:rPr>
          <w:highlight w:val="none"/>
        </w:rPr>
      </w:pPr>
    </w:p>
    <w:p>
      <w:pPr>
        <w:pBdr>
          <w:top w:val="none" w:color="auto" w:sz="0" w:space="0"/>
          <w:bottom w:val="none" w:color="auto" w:sz="0" w:space="0"/>
        </w:pBdr>
        <w:spacing w:before="0" w:after="0" w:line="240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20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年度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支出绩效自评表</w:t>
      </w:r>
    </w:p>
    <w:tbl>
      <w:tblPr>
        <w:tblStyle w:val="4"/>
        <w:tblW w:w="93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29"/>
        <w:gridCol w:w="878"/>
        <w:gridCol w:w="878"/>
        <w:gridCol w:w="1085"/>
        <w:gridCol w:w="498"/>
        <w:gridCol w:w="876"/>
        <w:gridCol w:w="680"/>
        <w:gridCol w:w="649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2024年学前教育家庭经济困难学生资助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昆明市西山区教育体育局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昆明市第十八幼儿园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0.07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当年财政拨款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0.07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非财政拨款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关注困难幼儿，并根据相关文件发放资金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度量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完成值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分值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得分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资助幼儿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资金到位率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计划完成率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0.07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幼儿入园率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解决家长后顾之忧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贫困资助到情况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家长满意度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6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备注：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.一级指标包含产出指标、效益指标、满意度指标，二级指标和三级指标根据项目实际情况设置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.当年财政拨款指一般公共预算、国有资本经营预算、政府性基金预算安排的资金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.上年结转资金指上一年一般公共预算、国有资本经营预算、政府性基金预算安排的结转资金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非财政拨款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含财政专户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管理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资金和单位资金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等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widowControl w:val="0"/>
        <w:numPr>
          <w:ilvl w:val="0"/>
          <w:numId w:val="0"/>
        </w:numPr>
        <w:tabs>
          <w:tab w:val="right" w:pos="8645"/>
        </w:tabs>
        <w:spacing w:after="0" w:line="320" w:lineRule="exact"/>
        <w:ind w:right="0" w:rightChars="0" w:firstLine="540" w:firstLineChars="300"/>
        <w:jc w:val="both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.全年预算数=年初预算数+调整预算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（年度新增项目）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Bdr>
          <w:top w:val="none" w:color="auto" w:sz="0" w:space="0"/>
          <w:bottom w:val="none" w:color="auto" w:sz="0" w:space="0"/>
        </w:pBdr>
        <w:spacing w:before="0" w:after="0" w:line="240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20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年度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支出绩效自评表</w:t>
      </w:r>
    </w:p>
    <w:tbl>
      <w:tblPr>
        <w:tblStyle w:val="4"/>
        <w:tblW w:w="93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29"/>
        <w:gridCol w:w="878"/>
        <w:gridCol w:w="878"/>
        <w:gridCol w:w="1085"/>
        <w:gridCol w:w="498"/>
        <w:gridCol w:w="876"/>
        <w:gridCol w:w="680"/>
        <w:gridCol w:w="649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学前教育发展专项对口帮扶市级资金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昆明市西山区教育体育局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昆明市第十八幼儿园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4.9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当年财政拨款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4.9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非财政拨款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关注困难幼儿，并根据相关文件发放资金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度量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完成值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分值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得分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帮扶园所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资金到位率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计划完成率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4.90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帮扶到位率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解决帮助园所教学问题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园所教育教学质量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家长满意度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6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备注：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.一级指标包含产出指标、效益指标、满意度指标，二级指标和三级指标根据项目实际情况设置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.当年财政拨款指一般公共预算、国有资本经营预算、政府性基金预算安排的资金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.上年结转资金指上一年一般公共预算、国有资本经营预算、政府性基金预算安排的结转资金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非财政拨款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含财政专户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管理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资金和单位资金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等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widowControl w:val="0"/>
        <w:numPr>
          <w:ilvl w:val="0"/>
          <w:numId w:val="0"/>
        </w:numPr>
        <w:tabs>
          <w:tab w:val="right" w:pos="8645"/>
        </w:tabs>
        <w:spacing w:after="0" w:line="320" w:lineRule="exact"/>
        <w:ind w:right="0" w:rightChars="0" w:firstLine="540" w:firstLineChars="300"/>
        <w:jc w:val="both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.全年预算数=年初预算数+调整预算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（年度新增项目）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Bdr>
          <w:top w:val="none" w:color="auto" w:sz="0" w:space="0"/>
          <w:bottom w:val="none" w:color="auto" w:sz="0" w:space="0"/>
        </w:pBdr>
        <w:spacing w:before="0" w:after="0" w:line="240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20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年度</w:t>
      </w:r>
      <w:r>
        <w:rPr>
          <w:rFonts w:hint="default" w:ascii="方正小标宋简体" w:hAnsi="方正小标宋简体" w:eastAsia="方正小标宋简体" w:cs="方正小标宋简体"/>
          <w:sz w:val="38"/>
          <w:szCs w:val="38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  <w:highlight w:val="none"/>
          <w:lang w:val="en-US"/>
        </w:rPr>
        <w:t>支出绩效自评表</w:t>
      </w:r>
    </w:p>
    <w:tbl>
      <w:tblPr>
        <w:tblStyle w:val="4"/>
        <w:tblW w:w="93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29"/>
        <w:gridCol w:w="878"/>
        <w:gridCol w:w="878"/>
        <w:gridCol w:w="1085"/>
        <w:gridCol w:w="498"/>
        <w:gridCol w:w="876"/>
        <w:gridCol w:w="680"/>
        <w:gridCol w:w="649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学前教育专项发展基建类项目资金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昆明市西山区教育体育局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昆明市第十八幼儿园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158.4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158.4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158.4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当年财政拨款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158.4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158.4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158.4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非财政拨款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完成永昌园区基建类项目的开展，保障幼儿顺利入园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指标值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度量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完成值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分值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得分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园所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资金到位率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计划完成率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总额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158.4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幼儿入园率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解决家长后顾之忧问题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幼儿园正常运转效率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%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满意度指标等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家长满意度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&gt;=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100%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其他需要说明的事项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6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备注：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.一级指标包含产出指标、效益指标、满意度指标，二级指标和三级指标根据项目实际情况设置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.当年财政拨款指一般公共预算、国有资本经营预算、政府性基金预算安排的资金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.上年结转资金指上一年一般公共预算、国有资本经营预算、政府性基金预算安排的结转资金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tabs>
          <w:tab w:val="right" w:pos="8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right="0" w:rightChars="0" w:firstLine="540" w:firstLineChars="300"/>
        <w:jc w:val="both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非财政拨款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含财政专户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管理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资金和单位资金</w:t>
      </w: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等</w:t>
      </w:r>
      <w:r>
        <w:rPr>
          <w:rFonts w:hint="eastAsia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；</w:t>
      </w:r>
    </w:p>
    <w:p>
      <w:pPr>
        <w:widowControl w:val="0"/>
        <w:numPr>
          <w:ilvl w:val="0"/>
          <w:numId w:val="0"/>
        </w:numPr>
        <w:tabs>
          <w:tab w:val="right" w:pos="8645"/>
        </w:tabs>
        <w:spacing w:after="0" w:line="320" w:lineRule="exact"/>
        <w:ind w:right="0" w:rightChars="0" w:firstLine="540" w:firstLineChars="300"/>
        <w:jc w:val="both"/>
        <w:rPr>
          <w:highlight w:val="none"/>
        </w:rPr>
      </w:pPr>
      <w:r>
        <w:rPr>
          <w:rFonts w:hint="default" w:ascii="Times New Roman" w:hAnsi="Times New Roman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.全年预算数=年初预算数+调整预算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（年度新增项目）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95425"/>
    <w:rsid w:val="061E76CB"/>
    <w:rsid w:val="10C95425"/>
    <w:rsid w:val="5B0012D4"/>
    <w:rsid w:val="7E43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 w:cs="Times New Roman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7</Pages>
  <Words>1546</Words>
  <Characters>1835</Characters>
  <Lines>0</Lines>
  <Paragraphs>0</Paragraphs>
  <TotalTime>8</TotalTime>
  <ScaleCrop>false</ScaleCrop>
  <LinksUpToDate>false</LinksUpToDate>
  <CharactersWithSpaces>1838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2025-08-01T07:07:00Z</dcterms:created>
  <dc:creator>ooo</dc:creator>
  <cp:lastModifiedBy>Lenovo</cp:lastModifiedBy>
  <dcterms:modified xsi:type="dcterms:W3CDTF">2025-10-23T02:34:29Z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C728D434614647639C674CEF80C832D5</vt:lpwstr>
  </property>
  <property fmtid="{D5CDD505-2E9C-101B-9397-08002B2CF9AE}" pid="4" name="KSOTemplateDocerSaveRecord">
    <vt:lpwstr>eyJoZGlkIjoiZjIxNWI0ZjNjYTIwZWE2ZTRmNWEzODdlNDllZjM4NmQiLCJ1c2VySWQiOiIxMzY1NjEyOTk4In0=</vt:lpwstr>
  </property>
</Properties>
</file>