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2024年西山区转移支付安排情况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hd w:val="pct10" w:color="auto" w:fill="FFFFFF"/>
        </w:rPr>
      </w:pPr>
      <w:r>
        <w:rPr>
          <w:rFonts w:hint="default" w:ascii="Times New Roman" w:hAnsi="Times New Roman" w:eastAsia="仿宋_GB2312" w:cs="Times New Roman"/>
          <w:sz w:val="32"/>
        </w:rPr>
        <w:t>2024年，共收到上级补助收入253,182万元，增长13.75%。其中，返还性收入45,339万元，增长7.99%、占17.89%；一般性转移支付130,797万元，下降6.38%、占51.66%；专项转移支付77,046万元，增长88.36%、占30.45%。上解上级支出86,162万元，下降3.69%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shd w:val="pct10" w:color="auto" w:fill="FFFFFF"/>
        </w:rPr>
      </w:pPr>
      <w:r>
        <w:rPr>
          <w:rFonts w:hint="default" w:ascii="Times New Roman" w:hAnsi="Times New Roman" w:eastAsia="仿宋_GB2312" w:cs="Times New Roman"/>
          <w:sz w:val="32"/>
        </w:rPr>
        <w:t>2024年，共收到政府性基金转移支付收入13,215万元，增长219.43%。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 w:eastAsia="仿宋_GB2312" w:cs="Cambria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2025-10-11T06:46:55Z</dcterms:created>
  <dc:creator>lenovo</dc:creator>
  <cp:lastModifiedBy>lenovo</cp:lastModifiedBy>
  <dcterms:modified xsi:type="dcterms:W3CDTF">2025-10-11T06:47:32Z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