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spacing w:line="620" w:lineRule="exact"/>
        <w:jc w:val="both"/>
        <w:rPr>
          <w:rFonts w:asciiTheme="minorEastAsia" w:hAnsiTheme="minorEastAsia"/>
          <w:sz w:val="44"/>
          <w:szCs w:val="44"/>
        </w:rPr>
      </w:pPr>
    </w:p>
    <w:p>
      <w:pPr>
        <w:spacing w:line="620" w:lineRule="exact"/>
        <w:jc w:val="center"/>
        <w:rPr>
          <w:rFonts w:hint="eastAsia" w:asciiTheme="minorEastAsia" w:hAnsiTheme="minorEastAsia"/>
          <w:sz w:val="44"/>
          <w:szCs w:val="44"/>
        </w:rPr>
      </w:pPr>
      <w:bookmarkStart w:id="0" w:name="OLE_LINK2"/>
      <w:bookmarkStart w:id="5" w:name="_GoBack"/>
      <w:r>
        <w:rPr>
          <w:rFonts w:hint="eastAsia" w:asciiTheme="minorEastAsia" w:hAnsiTheme="minorEastAsia"/>
          <w:sz w:val="44"/>
          <w:szCs w:val="44"/>
        </w:rPr>
        <w:t>云南海口产业园区管理委员会</w:t>
      </w:r>
    </w:p>
    <w:p>
      <w:pPr>
        <w:spacing w:line="620" w:lineRule="exact"/>
        <w:jc w:val="center"/>
        <w:rPr>
          <w:rFonts w:asciiTheme="minorEastAsia" w:hAnsiTheme="minorEastAsia"/>
          <w:sz w:val="44"/>
          <w:szCs w:val="44"/>
        </w:rPr>
      </w:pPr>
      <w:r>
        <w:rPr>
          <w:rFonts w:hint="eastAsia" w:asciiTheme="minorEastAsia" w:hAnsiTheme="minorEastAsia"/>
          <w:sz w:val="44"/>
          <w:szCs w:val="44"/>
        </w:rPr>
        <w:t>关于印发《云南海口产业园区污水处理费收取使用管理规定》的通知</w:t>
      </w:r>
    </w:p>
    <w:p>
      <w:pPr>
        <w:spacing w:line="590" w:lineRule="exact"/>
        <w:jc w:val="center"/>
        <w:rPr>
          <w:rFonts w:hint="eastAsia" w:ascii="楷体_GB2312" w:hAnsi="楷体_GB2312" w:eastAsia="楷体_GB2312" w:cs="楷体_GB2312"/>
          <w:color w:val="000000" w:themeColor="text1"/>
          <w:sz w:val="32"/>
        </w:rPr>
      </w:pPr>
      <w:r>
        <w:rPr>
          <w:rFonts w:hint="eastAsia" w:ascii="楷体_GB2312" w:hAnsi="楷体_GB2312" w:eastAsia="楷体_GB2312" w:cs="楷体_GB2312"/>
          <w:sz w:val="32"/>
          <w:szCs w:val="32"/>
        </w:rPr>
        <w:t>海管通</w:t>
      </w:r>
      <w:r>
        <w:rPr>
          <w:rFonts w:hint="default" w:ascii="Times New Roman" w:hAnsi="Times New Roman" w:eastAsia="楷体_GB2312" w:cs="Times New Roman"/>
          <w:sz w:val="32"/>
          <w:szCs w:val="32"/>
        </w:rPr>
        <w:t>〔2025〕</w:t>
      </w:r>
      <w:r>
        <w:rPr>
          <w:rFonts w:hint="default" w:ascii="Times New Roman" w:hAnsi="Times New Roman" w:eastAsia="楷体_GB2312" w:cs="Times New Roman"/>
          <w:sz w:val="32"/>
          <w:szCs w:val="32"/>
          <w:lang w:val="en-US" w:eastAsia="zh-CN"/>
        </w:rPr>
        <w:t>7</w:t>
      </w:r>
      <w:r>
        <w:rPr>
          <w:rFonts w:hint="eastAsia" w:ascii="楷体_GB2312" w:hAnsi="楷体_GB2312" w:eastAsia="楷体_GB2312" w:cs="楷体_GB2312"/>
          <w:sz w:val="32"/>
          <w:szCs w:val="32"/>
        </w:rPr>
        <w:t>号</w:t>
      </w:r>
    </w:p>
    <w:p>
      <w:pPr>
        <w:jc w:val="center"/>
        <w:rPr>
          <w:rFonts w:ascii="楷体_GB2312" w:hAnsi="楷体_GB2312" w:eastAsia="楷体_GB2312" w:cs="楷体_GB2312"/>
          <w:color w:val="333333"/>
          <w:sz w:val="32"/>
          <w:szCs w:val="32"/>
          <w:shd w:val="clear" w:color="auto" w:fill="FFFFFF"/>
        </w:rPr>
      </w:pPr>
    </w:p>
    <w:p>
      <w:pPr>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园区各部门（中心），各相关企业：</w:t>
      </w:r>
    </w:p>
    <w:p>
      <w:pPr>
        <w:keepNext w:val="0"/>
        <w:keepLines w:val="0"/>
        <w:pageBreakBefore w:val="0"/>
        <w:widowControl w:val="0"/>
        <w:kinsoku/>
        <w:overflowPunct/>
        <w:topLinePunct w:val="0"/>
        <w:autoSpaceDE/>
        <w:autoSpaceDN/>
        <w:bidi w:val="0"/>
        <w:adjustRightInd/>
        <w:snapToGrid/>
        <w:spacing w:line="560" w:lineRule="exact"/>
        <w:ind w:left="-2" w:leftChars="-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环境保护法》（主席令第二十二号）、《中华人民共和国水污染防治法》（主席令第七十号）等法律法规，为规范园区污水处理费用的收取、使用和管理，现将《云南海口产业园区污水处理费收取使用管理规定》印发给你们，请认真贯彻落实。</w:t>
      </w:r>
    </w:p>
    <w:p>
      <w:pPr>
        <w:keepNext w:val="0"/>
        <w:keepLines w:val="0"/>
        <w:pageBreakBefore w:val="0"/>
        <w:widowControl w:val="0"/>
        <w:kinsoku/>
        <w:overflowPunct/>
        <w:topLinePunct w:val="0"/>
        <w:autoSpaceDE/>
        <w:autoSpaceDN/>
        <w:bidi w:val="0"/>
        <w:adjustRightInd/>
        <w:snapToGrid/>
        <w:spacing w:line="560" w:lineRule="exact"/>
        <w:ind w:left="1915" w:leftChars="912" w:firstLine="1280" w:firstLineChars="400"/>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left="1915" w:leftChars="912" w:firstLine="1280" w:firstLineChars="4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云南海口产业园区管理委员会    </w:t>
      </w:r>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32"/>
          <w:szCs w:val="32"/>
        </w:rPr>
        <w:t xml:space="preserve">                     2025年5月14日  </w:t>
      </w:r>
    </w:p>
    <w:p>
      <w:pPr>
        <w:spacing w:line="560" w:lineRule="exact"/>
        <w:ind w:right="640" w:firstLine="4960" w:firstLineChars="1550"/>
        <w:rPr>
          <w:rFonts w:eastAsia="仿宋_GB2312" w:asciiTheme="majorBidi" w:hAnsiTheme="majorBidi" w:cstheme="majorBidi"/>
          <w:color w:val="000000" w:themeColor="text1"/>
          <w:sz w:val="32"/>
          <w:szCs w:val="32"/>
        </w:rPr>
      </w:pPr>
      <w:r>
        <w:rPr>
          <w:rFonts w:eastAsia="仿宋_GB2312" w:asciiTheme="majorBidi" w:hAnsiTheme="majorBidi" w:cstheme="majorBidi"/>
          <w:color w:val="000000" w:themeColor="text1"/>
          <w:sz w:val="32"/>
          <w:szCs w:val="32"/>
        </w:rPr>
        <w:t xml:space="preserve">        </w:t>
      </w:r>
    </w:p>
    <w:p>
      <w:pPr>
        <w:jc w:val="both"/>
        <w:rPr>
          <w:rFonts w:ascii="楷体_GB2312" w:hAnsi="楷体_GB2312" w:eastAsia="楷体_GB2312" w:cs="楷体_GB2312"/>
          <w:color w:val="333333"/>
          <w:sz w:val="32"/>
          <w:szCs w:val="32"/>
          <w:shd w:val="clear" w:color="auto" w:fill="FFFFFF"/>
        </w:rPr>
      </w:pPr>
      <w:r>
        <w:rPr>
          <w:rFonts w:eastAsia="仿宋_GB2312" w:asciiTheme="majorBidi" w:cstheme="majorBidi"/>
          <w:color w:val="000000" w:themeColor="text1"/>
          <w:sz w:val="32"/>
          <w:szCs w:val="84"/>
        </w:rPr>
        <w:t>（此件公开发布）</w:t>
      </w:r>
      <w:r>
        <w:rPr>
          <w:rFonts w:eastAsia="仿宋_GB2312" w:asciiTheme="majorBidi" w:hAnsiTheme="majorBidi" w:cstheme="majorBidi"/>
          <w:color w:val="000000" w:themeColor="text1"/>
          <w:sz w:val="32"/>
          <w:szCs w:val="84"/>
        </w:rPr>
        <w:br w:type="page"/>
      </w:r>
    </w:p>
    <w:p>
      <w:pPr>
        <w:jc w:val="left"/>
        <w:rPr>
          <w:rFonts w:ascii="黑体" w:hAnsi="黑体" w:eastAsia="黑体" w:cs="黑体"/>
          <w:color w:val="333333"/>
          <w:sz w:val="32"/>
          <w:szCs w:val="32"/>
          <w:shd w:val="clear" w:color="auto" w:fill="FFFFFF"/>
        </w:rPr>
      </w:pPr>
    </w:p>
    <w:p>
      <w:pPr>
        <w:keepNext w:val="0"/>
        <w:keepLines w:val="0"/>
        <w:pageBreakBefore w:val="0"/>
        <w:widowControl w:val="0"/>
        <w:kinsoku/>
        <w:overflowPunct/>
        <w:topLinePunct w:val="0"/>
        <w:autoSpaceDE/>
        <w:autoSpaceDN/>
        <w:bidi w:val="0"/>
        <w:adjustRightInd/>
        <w:snapToGrid/>
        <w:spacing w:line="56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云南海口产业园区</w:t>
      </w:r>
    </w:p>
    <w:p>
      <w:pPr>
        <w:keepNext w:val="0"/>
        <w:keepLines w:val="0"/>
        <w:pageBreakBefore w:val="0"/>
        <w:widowControl w:val="0"/>
        <w:kinsoku/>
        <w:overflowPunct/>
        <w:topLinePunct w:val="0"/>
        <w:autoSpaceDE/>
        <w:autoSpaceDN/>
        <w:bidi w:val="0"/>
        <w:adjustRightInd/>
        <w:snapToGrid/>
        <w:spacing w:line="56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 xml:space="preserve">  污水处理费收取使用管理</w:t>
      </w:r>
      <w:bookmarkStart w:id="1" w:name="OLE_LINK5"/>
      <w:r>
        <w:rPr>
          <w:rFonts w:hint="eastAsia" w:asciiTheme="majorEastAsia" w:hAnsiTheme="majorEastAsia" w:eastAsiaTheme="majorEastAsia" w:cstheme="majorEastAsia"/>
          <w:sz w:val="44"/>
          <w:szCs w:val="44"/>
        </w:rPr>
        <w:t>规定</w:t>
      </w:r>
      <w:bookmarkEnd w:id="1"/>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为规范园区污水处理费用的</w:t>
      </w:r>
      <w:bookmarkStart w:id="2" w:name="OLE_LINK1"/>
      <w:r>
        <w:rPr>
          <w:rFonts w:hint="default" w:ascii="Times New Roman" w:hAnsi="Times New Roman" w:eastAsia="仿宋_GB2312" w:cs="Times New Roman"/>
          <w:sz w:val="32"/>
          <w:szCs w:val="32"/>
        </w:rPr>
        <w:t>收取</w:t>
      </w:r>
      <w:bookmarkEnd w:id="2"/>
      <w:r>
        <w:rPr>
          <w:rFonts w:hint="default" w:ascii="Times New Roman" w:hAnsi="Times New Roman" w:eastAsia="仿宋_GB2312" w:cs="Times New Roman"/>
          <w:sz w:val="32"/>
          <w:szCs w:val="32"/>
        </w:rPr>
        <w:t>、使用和管理，根据《中华人民共和国环境保护法》（主席令第二十二号）、《中华人民共和国水污染防治法》（主席令第七十号）、《污水处理费征收使用管理办法》（财税〔2014〕151号）、《城镇排水与污水处理条例》（国务院令第641号）、《国家发展改革委、财政部、住房城乡建设部关于制定和调整污水处理费标准等有关问题的通知》（发改价格〔2015〕119号）、《国家发展改革委关于完善长江经济带污水处理收费机制有关政策的指导意见》（发改价格〔2020〕561号）、《昆明市人民政府办公室转发市发展改革委等部门关于加快推进城镇环境基础设施工作方案的通知》（昆政办函〔2022〕30号）等相关法律法规规定，结合园区实际，制定本</w:t>
      </w:r>
      <w:bookmarkStart w:id="3" w:name="OLE_LINK4"/>
      <w:r>
        <w:rPr>
          <w:rFonts w:hint="default" w:ascii="Times New Roman" w:hAnsi="Times New Roman" w:eastAsia="仿宋_GB2312" w:cs="Times New Roman"/>
          <w:sz w:val="32"/>
          <w:szCs w:val="32"/>
        </w:rPr>
        <w:t>规定</w:t>
      </w:r>
      <w:bookmarkEnd w:id="3"/>
      <w:r>
        <w:rPr>
          <w:rFonts w:hint="default" w:ascii="Times New Roman" w:hAnsi="Times New Roman" w:eastAsia="仿宋_GB2312" w:cs="Times New Roman"/>
          <w:sz w:val="32"/>
          <w:szCs w:val="32"/>
        </w:rPr>
        <w:t>。</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3" w:firstLineChars="200"/>
        <w:jc w:val="left"/>
        <w:rPr>
          <w:rFonts w:hint="default" w:ascii="Times New Roman" w:hAnsi="Times New Roman" w:eastAsia="仿宋_GB2312" w:cs="Times New Roman"/>
          <w:sz w:val="32"/>
          <w:szCs w:val="32"/>
          <w:lang w:bidi="ar"/>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bidi="ar"/>
        </w:rPr>
        <w:t>本规定适用于园区内企业所排放的工业污（废）水处理费的收取、使用和管理工作。</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rPr>
        <w:t>本办法所称</w:t>
      </w:r>
      <w:r>
        <w:rPr>
          <w:rFonts w:hint="default" w:ascii="Times New Roman" w:hAnsi="Times New Roman" w:eastAsia="仿宋_GB2312" w:cs="Times New Roman"/>
          <w:sz w:val="32"/>
          <w:szCs w:val="32"/>
          <w:lang w:bidi="ar"/>
        </w:rPr>
        <w:t>园区污水处理设施</w:t>
      </w:r>
      <w:r>
        <w:rPr>
          <w:rFonts w:hint="default" w:ascii="Times New Roman" w:hAnsi="Times New Roman" w:eastAsia="仿宋_GB2312" w:cs="Times New Roman"/>
          <w:sz w:val="32"/>
          <w:szCs w:val="32"/>
        </w:rPr>
        <w:t>，是指由海口产业园区管理委员会出资建设的海口产业园区新区污水处理厂（含配套管网）。</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rPr>
        <w:t>本办法所称污水处理单位，是指由海口产业园区管理委员会委托的</w:t>
      </w:r>
      <w:r>
        <w:rPr>
          <w:rFonts w:hint="default" w:ascii="Times New Roman" w:hAnsi="Times New Roman" w:eastAsia="仿宋_GB2312" w:cs="Times New Roman"/>
          <w:sz w:val="32"/>
          <w:szCs w:val="32"/>
          <w:lang w:bidi="ar"/>
        </w:rPr>
        <w:t>污水处理设施运维单位。</w:t>
      </w:r>
    </w:p>
    <w:p>
      <w:pPr>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cs="Times New Roman"/>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云南海口产业园区范围内排放污水且进入产业园区污水处理厂进行处理的排污单位均为本《规定》明确的收费管理对象。</w:t>
      </w:r>
    </w:p>
    <w:p>
      <w:pPr>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本规定所称</w:t>
      </w:r>
      <w:r>
        <w:rPr>
          <w:rFonts w:hint="default" w:ascii="Times New Roman" w:hAnsi="Times New Roman" w:eastAsia="仿宋_GB2312" w:cs="Times New Roman"/>
          <w:sz w:val="32"/>
          <w:szCs w:val="32"/>
          <w:lang w:bidi="ar"/>
        </w:rPr>
        <w:t>工业污水处理费是指按照“污染付费、公平负担、补偿成本、合理盈利”的原则，由园区管委会向园区范围内所有排放污（废）水的生产企业和其他排污单位收取的费用。污水处理费用专项用于园区污水处理设施的运营、维护及管理等支出。</w:t>
      </w:r>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仿宋_GB2312" w:cs="Times New Roman"/>
          <w:b/>
          <w:bCs/>
          <w:sz w:val="32"/>
          <w:szCs w:val="32"/>
        </w:rPr>
      </w:pPr>
      <w:r>
        <w:rPr>
          <w:rFonts w:hint="default" w:ascii="Times New Roman" w:hAnsi="Times New Roman" w:eastAsia="黑体" w:cs="Times New Roman"/>
          <w:sz w:val="32"/>
          <w:szCs w:val="32"/>
        </w:rPr>
        <w:t>第二章 污水纳管标准和要求</w:t>
      </w:r>
    </w:p>
    <w:p>
      <w:pPr>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符合《固定污染源排污许可分类管理名录》（2019版）规定，实行排污许可重点管理及简化管理的企业事业单位和其他生产经营者，需依法向生态环境部门提出排污许可证申请；向园区提供排污单位内部雨污水管网资料、签订排水隐蔽工程质量合格和排水水质合格承诺书，并与园区管委会签订《污水处理协议书》明确纳管污水水质、水量、价格、双方权利义务。</w:t>
      </w:r>
    </w:p>
    <w:p>
      <w:pPr>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排污单位排放污水必须遵照《中华人民共和国水污染防治法》及行业排水相关规范、标准、规定，必须符合《污水处理协议书》中双方约定的污水纳管标准，且不得损害污水处理单位相应的污水收纳设施。</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污水处理单位受纳排污单位污（废）水后，必须按照《污水处理协议书》及时接纳处理，并达到国家标准和地方环保主管部门的要求后排放。</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rPr>
          <w:rFonts w:hint="default" w:ascii="Times New Roman" w:hAnsi="Times New Roman" w:cs="Times New Roman"/>
        </w:rPr>
      </w:pPr>
      <w:r>
        <w:rPr>
          <w:rFonts w:hint="default" w:ascii="Times New Roman" w:hAnsi="Times New Roman" w:eastAsia="仿宋_GB2312" w:cs="Times New Roman"/>
          <w:b/>
          <w:bCs/>
          <w:sz w:val="32"/>
          <w:szCs w:val="32"/>
        </w:rPr>
        <w:t>第八条</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sz w:val="32"/>
          <w:szCs w:val="32"/>
          <w:lang w:bidi="ar"/>
        </w:rPr>
        <w:t>排污单位排放的污染物指标，不得超过环保部门批准的环评文件规定标准和相关要求。对超标准排放污染物或超出《污水处理协议书》约定水质标准排放污水的排污企业，由生态环境部门按照《中华人民共和国环境保护法》《水污染防治法》等法律、法规、规章规定处罚。</w:t>
      </w:r>
    </w:p>
    <w:p>
      <w:pPr>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污水排放量和水质的确定</w:t>
      </w:r>
    </w:p>
    <w:p>
      <w:pPr>
        <w:pStyle w:val="3"/>
        <w:keepNext w:val="0"/>
        <w:keepLines w:val="0"/>
        <w:pageBreakBefore w:val="0"/>
        <w:widowControl w:val="0"/>
        <w:kinsoku/>
        <w:overflowPunct/>
        <w:topLinePunct w:val="0"/>
        <w:autoSpaceDE/>
        <w:autoSpaceDN/>
        <w:bidi w:val="0"/>
        <w:adjustRightInd/>
        <w:snapToGrid/>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排污单位必须实行雨污分流，并按照规范要求设置纳管排污口，原则上一个排污单位只能设置一个纳管排污口。</w:t>
      </w:r>
    </w:p>
    <w:p>
      <w:pPr>
        <w:pStyle w:val="3"/>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strike/>
          <w:color w:val="0000FF"/>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各排污单位应当规范安装污水流量计量装置；有关单位需按照排污许可证要求安装水质在线监测装置；未安装水质在线监测装置的排污单位，按照排污许可证要求提交第三方水质检测报告和排污量报告，园区主管部门按照职责进行监督和核量，行业主管部门依法依规进行监管。污水水量、水质在线监测数据作为差异化收费的依据。</w:t>
      </w:r>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污水处理费的收取</w:t>
      </w:r>
    </w:p>
    <w:p>
      <w:pPr>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第十一条 </w:t>
      </w:r>
      <w:r>
        <w:rPr>
          <w:rFonts w:hint="default" w:ascii="Times New Roman" w:hAnsi="Times New Roman" w:eastAsia="仿宋_GB2312" w:cs="Times New Roman"/>
          <w:sz w:val="32"/>
          <w:szCs w:val="32"/>
        </w:rPr>
        <w:t>按照多排污多付费原则，执行差异化收费。结合海口产业园区实际情况，根据排污单位排放污染物的种类、浓度、污水数量不同，实施阶梯式差异化收费。具体为：</w:t>
      </w:r>
      <w:r>
        <w:rPr>
          <w:rFonts w:hint="default" w:ascii="Times New Roman" w:hAnsi="Times New Roman" w:eastAsia="仿宋_GB2312" w:cs="Times New Roman"/>
          <w:sz w:val="32"/>
          <w:szCs w:val="32"/>
        </w:rPr>
        <w:tab/>
      </w:r>
    </w:p>
    <w:p>
      <w:pPr>
        <w:pStyle w:val="2"/>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rPr>
      </w:pPr>
    </w:p>
    <w:tbl>
      <w:tblPr>
        <w:tblStyle w:val="8"/>
        <w:tblW w:w="5407" w:type="pct"/>
        <w:jc w:val="center"/>
        <w:tblLayout w:type="fixed"/>
        <w:tblCellMar>
          <w:top w:w="0" w:type="dxa"/>
          <w:left w:w="108" w:type="dxa"/>
          <w:bottom w:w="0" w:type="dxa"/>
          <w:right w:w="108" w:type="dxa"/>
        </w:tblCellMar>
      </w:tblPr>
      <w:tblGrid>
        <w:gridCol w:w="679"/>
        <w:gridCol w:w="985"/>
        <w:gridCol w:w="935"/>
        <w:gridCol w:w="935"/>
        <w:gridCol w:w="815"/>
        <w:gridCol w:w="702"/>
        <w:gridCol w:w="1014"/>
        <w:gridCol w:w="815"/>
        <w:gridCol w:w="1085"/>
        <w:gridCol w:w="1833"/>
      </w:tblGrid>
      <w:tr>
        <w:tblPrEx>
          <w:tblCellMar>
            <w:top w:w="0" w:type="dxa"/>
            <w:left w:w="108" w:type="dxa"/>
            <w:bottom w:w="0" w:type="dxa"/>
            <w:right w:w="108" w:type="dxa"/>
          </w:tblCellMar>
        </w:tblPrEx>
        <w:trPr>
          <w:jc w:val="center"/>
        </w:trPr>
        <w:tc>
          <w:tcPr>
            <w:tcW w:w="346" w:type="pct"/>
            <w:vMerge w:val="restart"/>
            <w:tcBorders>
              <w:top w:val="single" w:color="000000" w:sz="12" w:space="0"/>
              <w:left w:val="single" w:color="000000" w:sz="12"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类别 </w:t>
            </w:r>
          </w:p>
        </w:tc>
        <w:tc>
          <w:tcPr>
            <w:tcW w:w="502" w:type="pct"/>
            <w:tcBorders>
              <w:top w:val="single" w:color="000000" w:sz="12" w:space="0"/>
              <w:left w:val="single" w:color="000000" w:sz="8" w:space="0"/>
              <w:bottom w:val="nil"/>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CODcr</w:t>
            </w:r>
          </w:p>
        </w:tc>
        <w:tc>
          <w:tcPr>
            <w:tcW w:w="477" w:type="pct"/>
            <w:tcBorders>
              <w:top w:val="single" w:color="000000" w:sz="12" w:space="0"/>
              <w:left w:val="single" w:color="000000" w:sz="8" w:space="0"/>
              <w:bottom w:val="nil"/>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BOD5</w:t>
            </w:r>
          </w:p>
        </w:tc>
        <w:tc>
          <w:tcPr>
            <w:tcW w:w="477" w:type="pct"/>
            <w:tcBorders>
              <w:top w:val="single" w:color="000000" w:sz="12" w:space="0"/>
              <w:left w:val="single" w:color="000000" w:sz="8" w:space="0"/>
              <w:bottom w:val="nil"/>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SS</w:t>
            </w:r>
          </w:p>
        </w:tc>
        <w:tc>
          <w:tcPr>
            <w:tcW w:w="416" w:type="pct"/>
            <w:tcBorders>
              <w:top w:val="single" w:color="000000" w:sz="12" w:space="0"/>
              <w:left w:val="single" w:color="000000" w:sz="8" w:space="0"/>
              <w:bottom w:val="nil"/>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TN</w:t>
            </w:r>
          </w:p>
        </w:tc>
        <w:tc>
          <w:tcPr>
            <w:tcW w:w="358" w:type="pct"/>
            <w:tcBorders>
              <w:top w:val="single" w:color="000000" w:sz="12" w:space="0"/>
              <w:left w:val="single" w:color="000000" w:sz="8" w:space="0"/>
              <w:bottom w:val="nil"/>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TP</w:t>
            </w:r>
          </w:p>
        </w:tc>
        <w:tc>
          <w:tcPr>
            <w:tcW w:w="517" w:type="pct"/>
            <w:tcBorders>
              <w:top w:val="single" w:color="000000" w:sz="12" w:space="0"/>
              <w:left w:val="single" w:color="000000" w:sz="8" w:space="0"/>
              <w:bottom w:val="nil"/>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NH3-N</w:t>
            </w:r>
          </w:p>
        </w:tc>
        <w:tc>
          <w:tcPr>
            <w:tcW w:w="416" w:type="pct"/>
            <w:tcBorders>
              <w:top w:val="single" w:color="000000" w:sz="12" w:space="0"/>
              <w:left w:val="single" w:color="000000" w:sz="8" w:space="0"/>
              <w:bottom w:val="nil"/>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色度</w:t>
            </w:r>
          </w:p>
        </w:tc>
        <w:tc>
          <w:tcPr>
            <w:tcW w:w="552" w:type="pct"/>
            <w:vMerge w:val="restart"/>
            <w:tcBorders>
              <w:top w:val="single" w:color="000000" w:sz="12" w:space="0"/>
              <w:left w:val="single" w:color="000000" w:sz="8"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PH</w:t>
            </w:r>
          </w:p>
        </w:tc>
        <w:tc>
          <w:tcPr>
            <w:tcW w:w="935" w:type="pct"/>
            <w:vMerge w:val="restart"/>
            <w:tcBorders>
              <w:top w:val="single" w:color="000000" w:sz="12" w:space="0"/>
              <w:left w:val="single" w:color="000000" w:sz="8"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标准（元/m³）</w:t>
            </w:r>
          </w:p>
        </w:tc>
      </w:tr>
      <w:tr>
        <w:tblPrEx>
          <w:tblCellMar>
            <w:top w:w="0" w:type="dxa"/>
            <w:left w:w="108" w:type="dxa"/>
            <w:bottom w:w="0" w:type="dxa"/>
            <w:right w:w="108" w:type="dxa"/>
          </w:tblCellMar>
        </w:tblPrEx>
        <w:trPr>
          <w:jc w:val="center"/>
        </w:trPr>
        <w:tc>
          <w:tcPr>
            <w:tcW w:w="346" w:type="pct"/>
            <w:vMerge w:val="continue"/>
            <w:tcBorders>
              <w:left w:val="single" w:color="000000" w:sz="12"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8"/>
                <w:szCs w:val="28"/>
              </w:rPr>
            </w:pP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mg/L</w:t>
            </w:r>
          </w:p>
        </w:tc>
        <w:tc>
          <w:tcPr>
            <w:tcW w:w="47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mg/L</w:t>
            </w:r>
          </w:p>
        </w:tc>
        <w:tc>
          <w:tcPr>
            <w:tcW w:w="47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mg/L</w:t>
            </w:r>
          </w:p>
        </w:tc>
        <w:tc>
          <w:tcPr>
            <w:tcW w:w="41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mg/L</w:t>
            </w:r>
          </w:p>
        </w:tc>
        <w:tc>
          <w:tcPr>
            <w:tcW w:w="35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mg/L</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mg/L</w:t>
            </w:r>
          </w:p>
        </w:tc>
        <w:tc>
          <w:tcPr>
            <w:tcW w:w="41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倍</w:t>
            </w:r>
          </w:p>
        </w:tc>
        <w:tc>
          <w:tcPr>
            <w:tcW w:w="552" w:type="pct"/>
            <w:vMerge w:val="continue"/>
            <w:tcBorders>
              <w:left w:val="single" w:color="000000" w:sz="8" w:space="0"/>
              <w:bottom w:val="single" w:color="000000" w:sz="8"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p>
        </w:tc>
        <w:tc>
          <w:tcPr>
            <w:tcW w:w="935" w:type="pct"/>
            <w:vMerge w:val="continue"/>
            <w:tcBorders>
              <w:left w:val="single" w:color="000000" w:sz="8" w:space="0"/>
              <w:bottom w:val="single" w:color="000000" w:sz="8"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p>
        </w:tc>
      </w:tr>
      <w:tr>
        <w:tblPrEx>
          <w:tblCellMar>
            <w:top w:w="0" w:type="dxa"/>
            <w:left w:w="108" w:type="dxa"/>
            <w:bottom w:w="0" w:type="dxa"/>
            <w:right w:w="108" w:type="dxa"/>
          </w:tblCellMar>
        </w:tblPrEx>
        <w:trPr>
          <w:jc w:val="center"/>
        </w:trPr>
        <w:tc>
          <w:tcPr>
            <w:tcW w:w="346" w:type="pct"/>
            <w:tcBorders>
              <w:top w:val="single" w:color="000000" w:sz="8" w:space="0"/>
              <w:left w:val="single" w:color="000000" w:sz="12"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≤300</w:t>
            </w:r>
          </w:p>
        </w:tc>
        <w:tc>
          <w:tcPr>
            <w:tcW w:w="47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≤150</w:t>
            </w:r>
          </w:p>
        </w:tc>
        <w:tc>
          <w:tcPr>
            <w:tcW w:w="47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≤100</w:t>
            </w:r>
          </w:p>
        </w:tc>
        <w:tc>
          <w:tcPr>
            <w:tcW w:w="41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≤25</w:t>
            </w:r>
          </w:p>
        </w:tc>
        <w:tc>
          <w:tcPr>
            <w:tcW w:w="35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≤5</w:t>
            </w:r>
          </w:p>
        </w:tc>
        <w:tc>
          <w:tcPr>
            <w:tcW w:w="41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≤32</w:t>
            </w:r>
          </w:p>
        </w:tc>
        <w:tc>
          <w:tcPr>
            <w:tcW w:w="552" w:type="pct"/>
            <w:tcBorders>
              <w:top w:val="single" w:color="000000" w:sz="8" w:space="0"/>
              <w:left w:val="single" w:color="000000" w:sz="8" w:space="0"/>
              <w:bottom w:val="single" w:color="000000" w:sz="8"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6~9</w:t>
            </w:r>
          </w:p>
        </w:tc>
        <w:tc>
          <w:tcPr>
            <w:tcW w:w="935" w:type="pct"/>
            <w:tcBorders>
              <w:top w:val="single" w:color="000000" w:sz="8" w:space="0"/>
              <w:left w:val="single" w:color="000000" w:sz="8" w:space="0"/>
              <w:bottom w:val="single" w:color="000000" w:sz="8"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6.10</w:t>
            </w:r>
          </w:p>
        </w:tc>
      </w:tr>
      <w:tr>
        <w:tblPrEx>
          <w:tblCellMar>
            <w:top w:w="0" w:type="dxa"/>
            <w:left w:w="108" w:type="dxa"/>
            <w:bottom w:w="0" w:type="dxa"/>
            <w:right w:w="108" w:type="dxa"/>
          </w:tblCellMar>
        </w:tblPrEx>
        <w:trPr>
          <w:trHeight w:val="689" w:hRule="atLeast"/>
          <w:jc w:val="center"/>
        </w:trPr>
        <w:tc>
          <w:tcPr>
            <w:tcW w:w="346" w:type="pct"/>
            <w:tcBorders>
              <w:top w:val="single" w:color="000000" w:sz="8" w:space="0"/>
              <w:left w:val="single" w:color="000000" w:sz="12"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&gt;300、</w:t>
            </w:r>
          </w:p>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≤400</w:t>
            </w:r>
          </w:p>
        </w:tc>
        <w:tc>
          <w:tcPr>
            <w:tcW w:w="47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&gt;150、</w:t>
            </w:r>
          </w:p>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≤250</w:t>
            </w:r>
          </w:p>
        </w:tc>
        <w:tc>
          <w:tcPr>
            <w:tcW w:w="47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&gt;100、≤250</w:t>
            </w:r>
          </w:p>
        </w:tc>
        <w:tc>
          <w:tcPr>
            <w:tcW w:w="41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&gt;25、</w:t>
            </w:r>
          </w:p>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≤40</w:t>
            </w:r>
          </w:p>
        </w:tc>
        <w:tc>
          <w:tcPr>
            <w:tcW w:w="35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&gt;1、≤4</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&gt;5、</w:t>
            </w:r>
          </w:p>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≤20</w:t>
            </w:r>
          </w:p>
        </w:tc>
        <w:tc>
          <w:tcPr>
            <w:tcW w:w="41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&gt;32、≤64</w:t>
            </w:r>
          </w:p>
        </w:tc>
        <w:tc>
          <w:tcPr>
            <w:tcW w:w="552" w:type="pct"/>
            <w:tcBorders>
              <w:top w:val="single" w:color="000000" w:sz="8" w:space="0"/>
              <w:left w:val="single" w:color="000000" w:sz="8" w:space="0"/>
              <w:bottom w:val="single" w:color="000000" w:sz="8"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6~9</w:t>
            </w:r>
          </w:p>
        </w:tc>
        <w:tc>
          <w:tcPr>
            <w:tcW w:w="935" w:type="pct"/>
            <w:tcBorders>
              <w:top w:val="single" w:color="000000" w:sz="8" w:space="0"/>
              <w:left w:val="single" w:color="000000" w:sz="8" w:space="0"/>
              <w:bottom w:val="single" w:color="000000" w:sz="8"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6.71</w:t>
            </w:r>
          </w:p>
        </w:tc>
      </w:tr>
      <w:tr>
        <w:tblPrEx>
          <w:tblCellMar>
            <w:top w:w="0" w:type="dxa"/>
            <w:left w:w="108" w:type="dxa"/>
            <w:bottom w:w="0" w:type="dxa"/>
            <w:right w:w="108" w:type="dxa"/>
          </w:tblCellMar>
        </w:tblPrEx>
        <w:trPr>
          <w:jc w:val="center"/>
        </w:trPr>
        <w:tc>
          <w:tcPr>
            <w:tcW w:w="346" w:type="pct"/>
            <w:tcBorders>
              <w:top w:val="single" w:color="000000" w:sz="8" w:space="0"/>
              <w:left w:val="single" w:color="000000" w:sz="12"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&gt;400、≤500</w:t>
            </w:r>
          </w:p>
        </w:tc>
        <w:tc>
          <w:tcPr>
            <w:tcW w:w="47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&gt;250、≤300</w:t>
            </w:r>
          </w:p>
        </w:tc>
        <w:tc>
          <w:tcPr>
            <w:tcW w:w="47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&gt;250、≤400</w:t>
            </w:r>
          </w:p>
        </w:tc>
        <w:tc>
          <w:tcPr>
            <w:tcW w:w="41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&gt;40、≤70</w:t>
            </w:r>
          </w:p>
        </w:tc>
        <w:tc>
          <w:tcPr>
            <w:tcW w:w="35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&gt;4、≤8</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&gt;20、</w:t>
            </w:r>
          </w:p>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≤45</w:t>
            </w:r>
          </w:p>
        </w:tc>
        <w:tc>
          <w:tcPr>
            <w:tcW w:w="41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&gt;64、≤128</w:t>
            </w:r>
          </w:p>
        </w:tc>
        <w:tc>
          <w:tcPr>
            <w:tcW w:w="552" w:type="pct"/>
            <w:tcBorders>
              <w:top w:val="single" w:color="000000" w:sz="8" w:space="0"/>
              <w:left w:val="single" w:color="000000" w:sz="8" w:space="0"/>
              <w:bottom w:val="single" w:color="000000" w:sz="8"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6~9</w:t>
            </w:r>
          </w:p>
        </w:tc>
        <w:tc>
          <w:tcPr>
            <w:tcW w:w="935" w:type="pct"/>
            <w:tcBorders>
              <w:top w:val="single" w:color="000000" w:sz="8" w:space="0"/>
              <w:left w:val="single" w:color="000000" w:sz="8" w:space="0"/>
              <w:bottom w:val="single" w:color="000000" w:sz="8"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7.87</w:t>
            </w:r>
          </w:p>
        </w:tc>
      </w:tr>
      <w:tr>
        <w:tblPrEx>
          <w:tblCellMar>
            <w:top w:w="0" w:type="dxa"/>
            <w:left w:w="108" w:type="dxa"/>
            <w:bottom w:w="0" w:type="dxa"/>
            <w:right w:w="108" w:type="dxa"/>
          </w:tblCellMar>
        </w:tblPrEx>
        <w:trPr>
          <w:jc w:val="center"/>
        </w:trPr>
        <w:tc>
          <w:tcPr>
            <w:tcW w:w="346" w:type="pct"/>
            <w:tcBorders>
              <w:top w:val="single" w:color="000000" w:sz="8" w:space="0"/>
              <w:left w:val="single" w:color="000000" w:sz="12" w:space="0"/>
              <w:bottom w:val="single" w:color="000000" w:sz="12"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w:t>
            </w:r>
          </w:p>
        </w:tc>
        <w:tc>
          <w:tcPr>
            <w:tcW w:w="3717" w:type="pct"/>
            <w:gridSpan w:val="8"/>
            <w:tcBorders>
              <w:top w:val="single" w:color="000000" w:sz="8" w:space="0"/>
              <w:left w:val="single" w:color="000000" w:sz="8" w:space="0"/>
              <w:bottom w:val="single" w:color="000000" w:sz="12"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8"/>
                <w:szCs w:val="28"/>
              </w:rPr>
            </w:pPr>
            <w:r>
              <w:rPr>
                <w:rFonts w:hint="default" w:ascii="Times New Roman" w:hAnsi="Times New Roman" w:eastAsia="仿宋_GB2312" w:cs="Times New Roman"/>
                <w:color w:val="auto"/>
                <w:sz w:val="28"/>
                <w:szCs w:val="28"/>
              </w:rPr>
              <w:t>污染物种类、浓度超出上述范围</w:t>
            </w:r>
          </w:p>
        </w:tc>
        <w:tc>
          <w:tcPr>
            <w:tcW w:w="935" w:type="pct"/>
            <w:tcBorders>
              <w:top w:val="single" w:color="000000" w:sz="8" w:space="0"/>
              <w:left w:val="single" w:color="000000" w:sz="8" w:space="0"/>
              <w:bottom w:val="single" w:color="000000" w:sz="12"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一企一策另行议价</w:t>
            </w:r>
          </w:p>
        </w:tc>
      </w:tr>
    </w:tbl>
    <w:p>
      <w:pPr>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有污染物均符合1类标准的，则按1类标准收费，若任一污染物超出1类标准的，则按最高超标项对应的类别收费，污染物浓度达到4类的，由污水处理单位进行技术评估，在污水处理设施设计处理能力内确定允许排放的限值，实行“一企一策”协商议定收费标准。</w:t>
      </w:r>
    </w:p>
    <w:p>
      <w:pPr>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xml:space="preserve"> 对于污染物种类、浓度超过污水处理设施设计处理能力的排放企业，按以下规定处理：</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1.暂停污水排放。</w:t>
      </w: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sz w:val="32"/>
          <w:szCs w:val="32"/>
        </w:rPr>
        <w:t>2.相关企业应立即采取整改措施，自行安装或完善污水处理设备，经处理后的污水水质须达到协议约定的纳管标准，并经由云南海口产业园区管委会委托的具有环境监测资质的第三方检测单位确认符合《污水处理协议书》约定纳管标准后，方可恢复污水排放。</w:t>
      </w:r>
    </w:p>
    <w:p>
      <w:pPr>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xml:space="preserve"> 污水处理费原则按月计收，排污企业应当按《污水处理协议书》的约定向</w:t>
      </w:r>
      <w:r>
        <w:rPr>
          <w:rFonts w:hint="default" w:ascii="Times New Roman" w:hAnsi="Times New Roman" w:eastAsia="仿宋_GB2312" w:cs="Times New Roman"/>
          <w:sz w:val="32"/>
          <w:szCs w:val="32"/>
          <w:lang w:bidi="ar"/>
        </w:rPr>
        <w:t>园区管委会</w:t>
      </w:r>
      <w:r>
        <w:rPr>
          <w:rFonts w:hint="default" w:ascii="Times New Roman" w:hAnsi="Times New Roman" w:eastAsia="仿宋_GB2312" w:cs="Times New Roman"/>
          <w:sz w:val="32"/>
          <w:szCs w:val="32"/>
        </w:rPr>
        <w:t>缴纳污水处理费用。</w:t>
      </w:r>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管理与保障</w:t>
      </w:r>
    </w:p>
    <w:p>
      <w:pPr>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污水处理费属于政府非税收入，全额上缴地方国库，纳入地方政府性基金预算“收支两条线”管理，实行专款专用，专项用于园区污水处理设施的建设、运营、维护及管理等支出。由园区管委会或者委托的国有平台公司进行收取。排污单位携带开户许可证、统一社会信用代码证书复印件，到园区管委会或者受委托方开具云南省非税收入一般缴款书，进行缴费入库。</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排污企业因产能调整、设备检修等可预见因素造成所排污水（废水）的数量、污染物种类、浓度发生较大变化时，排污单位需提前7天向海口产业园区管委会及污水处理单位报告；因意外事故等不可预见因素造成所排污水（废水）的数量、污染物种类、浓度发生较大变化，或者致使含有其他有害物质污水排入污水管网的，排污单位应当立即采取措施排除妨碍、消除危害，第一时间向园区管委会、污水处理单位报告并取样留存，污水处理单位及时做好应急处置。排污企业若因上述原因造成损失的，依法承担赔偿责任，构成违法犯罪的，依法追究法律责任。</w:t>
      </w:r>
    </w:p>
    <w:p>
      <w:pPr>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eastAsia="黑体"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xml:space="preserve"> 区级相关行业主管部门要加强协作，齐抓共管，形成合力。市生态环境局西山区分局应加强对排污企业的监督和管理；区财政局、区审计局应加强对污水处理费收取使用情况的监督，其他相关部门要各司其职，主动协调配合。</w:t>
      </w:r>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附则</w:t>
      </w:r>
    </w:p>
    <w:p>
      <w:pPr>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rPr>
        <w:t xml:space="preserve"> 本</w:t>
      </w:r>
      <w:bookmarkStart w:id="4" w:name="OLE_LINK3"/>
      <w:r>
        <w:rPr>
          <w:rFonts w:hint="default" w:ascii="Times New Roman" w:hAnsi="Times New Roman" w:eastAsia="仿宋_GB2312" w:cs="Times New Roman"/>
          <w:sz w:val="32"/>
          <w:szCs w:val="32"/>
        </w:rPr>
        <w:t>《规定》</w:t>
      </w:r>
      <w:bookmarkEnd w:id="4"/>
      <w:r>
        <w:rPr>
          <w:rFonts w:hint="default" w:ascii="Times New Roman" w:hAnsi="Times New Roman" w:eastAsia="仿宋_GB2312" w:cs="Times New Roman"/>
          <w:sz w:val="32"/>
          <w:szCs w:val="32"/>
        </w:rPr>
        <w:t>由海口产业园区管委会负责解释。</w:t>
      </w:r>
    </w:p>
    <w:p>
      <w:pPr>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第十八条 </w:t>
      </w:r>
      <w:r>
        <w:rPr>
          <w:rFonts w:hint="default" w:ascii="Times New Roman" w:hAnsi="Times New Roman" w:eastAsia="仿宋_GB2312" w:cs="Times New Roman"/>
          <w:sz w:val="32"/>
          <w:szCs w:val="32"/>
        </w:rPr>
        <w:t>本《规定》自发布之日起施行。执行前企业欠缴的污水处理费，可参照本《规定》执行。</w:t>
      </w:r>
      <w:bookmarkEnd w:id="5"/>
    </w:p>
    <w:bookmarkEnd w:id="0"/>
    <w:p>
      <w:pPr>
        <w:ind w:firstLine="4640" w:firstLineChars="1450"/>
        <w:rPr>
          <w:rFonts w:eastAsia="仿宋_GB2312" w:asciiTheme="majorBidi" w:hAnsiTheme="majorBidi" w:cstheme="majorBidi"/>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金山简标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昆明市西山区人民政府发布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昆明市西山区人民政府行政规范性文件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BmZGEzYjFmMWI4OGZlYjgzZGNjZmIwOTgzZmI4MjIifQ=="/>
  </w:docVars>
  <w:rsids>
    <w:rsidRoot w:val="00172A27"/>
    <w:rsid w:val="00090CB5"/>
    <w:rsid w:val="00172A27"/>
    <w:rsid w:val="00185567"/>
    <w:rsid w:val="001C5B5A"/>
    <w:rsid w:val="001C66D4"/>
    <w:rsid w:val="00272098"/>
    <w:rsid w:val="002821F4"/>
    <w:rsid w:val="002B252B"/>
    <w:rsid w:val="00352952"/>
    <w:rsid w:val="0037413E"/>
    <w:rsid w:val="004A5CF6"/>
    <w:rsid w:val="005421CC"/>
    <w:rsid w:val="005A42C2"/>
    <w:rsid w:val="005D2544"/>
    <w:rsid w:val="00665C9C"/>
    <w:rsid w:val="007818EF"/>
    <w:rsid w:val="007D212E"/>
    <w:rsid w:val="00873BC0"/>
    <w:rsid w:val="009424BF"/>
    <w:rsid w:val="009A37EC"/>
    <w:rsid w:val="00A40E9F"/>
    <w:rsid w:val="00B04F81"/>
    <w:rsid w:val="00B317ED"/>
    <w:rsid w:val="00C40FAB"/>
    <w:rsid w:val="00C80CD3"/>
    <w:rsid w:val="00CE3504"/>
    <w:rsid w:val="00D42414"/>
    <w:rsid w:val="00DA2E06"/>
    <w:rsid w:val="00DA53C9"/>
    <w:rsid w:val="00DE00E3"/>
    <w:rsid w:val="00F26CD5"/>
    <w:rsid w:val="00FB405C"/>
    <w:rsid w:val="019E71BD"/>
    <w:rsid w:val="04B679C3"/>
    <w:rsid w:val="080F63D8"/>
    <w:rsid w:val="09341458"/>
    <w:rsid w:val="0B0912D7"/>
    <w:rsid w:val="152D2DCA"/>
    <w:rsid w:val="1DD71CB3"/>
    <w:rsid w:val="1DEC284C"/>
    <w:rsid w:val="1E6523AC"/>
    <w:rsid w:val="22440422"/>
    <w:rsid w:val="31364972"/>
    <w:rsid w:val="31A15F24"/>
    <w:rsid w:val="395347B5"/>
    <w:rsid w:val="39A232A0"/>
    <w:rsid w:val="39E745AA"/>
    <w:rsid w:val="3B5A6BBB"/>
    <w:rsid w:val="3EDA13A6"/>
    <w:rsid w:val="424D3628"/>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FAE0DE5"/>
    <w:rsid w:val="76847DE8"/>
    <w:rsid w:val="7C9011D9"/>
    <w:rsid w:val="7DC651C5"/>
    <w:rsid w:val="7FCC2834"/>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libri Light" w:hAnsi="Calibri Light"/>
      <w:sz w:val="24"/>
    </w:rPr>
  </w:style>
  <w:style w:type="paragraph" w:styleId="3">
    <w:name w:val="annotation text"/>
    <w:basedOn w:val="1"/>
    <w:qFormat/>
    <w:uiPriority w:val="0"/>
    <w:pPr>
      <w:jc w:val="left"/>
    </w:pPr>
  </w:style>
  <w:style w:type="paragraph" w:styleId="4">
    <w:name w:val="Date"/>
    <w:basedOn w:val="1"/>
    <w:next w:val="1"/>
    <w:link w:val="11"/>
    <w:qFormat/>
    <w:uiPriority w:val="0"/>
    <w:pPr>
      <w:ind w:left="100" w:leftChars="2500"/>
    </w:pPr>
  </w:style>
  <w:style w:type="paragraph" w:styleId="5">
    <w:name w:val="Balloon Text"/>
    <w:basedOn w:val="1"/>
    <w:link w:val="1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批注框文本 Char"/>
    <w:basedOn w:val="9"/>
    <w:link w:val="5"/>
    <w:qFormat/>
    <w:uiPriority w:val="0"/>
    <w:rPr>
      <w:rFonts w:asciiTheme="minorHAnsi" w:hAnsiTheme="minorHAnsi" w:eastAsiaTheme="minorEastAsia" w:cstheme="minorBidi"/>
      <w:kern w:val="2"/>
      <w:sz w:val="18"/>
      <w:szCs w:val="18"/>
    </w:rPr>
  </w:style>
  <w:style w:type="character" w:customStyle="1" w:styleId="11">
    <w:name w:val="日期 Char"/>
    <w:basedOn w:val="9"/>
    <w:link w:val="4"/>
    <w:qFormat/>
    <w:uiPriority w:val="0"/>
    <w:rPr>
      <w:rFonts w:asciiTheme="minorHAnsi" w:hAnsiTheme="minorHAnsi" w:eastAsiaTheme="minorEastAsia" w:cstheme="minorBidi"/>
      <w:kern w:val="2"/>
      <w:sz w:val="21"/>
      <w:szCs w:val="24"/>
    </w:rPr>
  </w:style>
  <w:style w:type="character" w:customStyle="1" w:styleId="12">
    <w:name w:val="公文标题"/>
    <w:basedOn w:val="9"/>
    <w:qFormat/>
    <w:uiPriority w:val="99"/>
    <w:rPr>
      <w:rFonts w:hint="eastAsia" w:ascii="金山简标宋" w:eastAsia="金山简标宋"/>
      <w:sz w:val="44"/>
    </w:rPr>
  </w:style>
  <w:style w:type="paragraph" w:customStyle="1" w:styleId="13">
    <w:name w:val="表格"/>
    <w:basedOn w:val="1"/>
    <w:qFormat/>
    <w:uiPriority w:val="0"/>
    <w:pPr>
      <w:widowControl/>
      <w:spacing w:line="400" w:lineRule="exact"/>
      <w:jc w:val="center"/>
      <w:textAlignment w:val="center"/>
    </w:pPr>
    <w:rPr>
      <w:rFonts w:ascii="黑体" w:hAnsi="黑体" w:eastAsia="黑体"/>
      <w:color w:val="000000"/>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2637</Words>
  <Characters>2799</Characters>
  <Lines>1</Lines>
  <Paragraphs>1</Paragraphs>
  <TotalTime>22</TotalTime>
  <ScaleCrop>false</ScaleCrop>
  <LinksUpToDate>false</LinksUpToDate>
  <CharactersWithSpaces>2873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2021-12-06T05:47:00Z</dcterms:created>
  <dc:creator>t</dc:creator>
  <cp:lastModifiedBy>何超富</cp:lastModifiedBy>
  <cp:lastPrinted>2021-10-26T03:30:00Z</cp:lastPrinted>
  <dcterms:modified xsi:type="dcterms:W3CDTF">2025-05-15T03:36:15Z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48C61CB29D3F4D9384F5922CF0F7FFB4</vt:lpwstr>
  </property>
</Properties>
</file>