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8900">
      <w:pPr>
        <w:keepNext w:val="0"/>
        <w:keepLines w:val="0"/>
        <w:pageBreakBefore w:val="0"/>
        <w:widowControl/>
        <w:kinsoku/>
        <w:wordWrap/>
        <w:overflowPunct/>
        <w:topLinePunct w:val="0"/>
        <w:autoSpaceDE/>
        <w:autoSpaceDN/>
        <w:bidi w:val="0"/>
        <w:adjustRightInd/>
        <w:snapToGrid w:val="0"/>
        <w:spacing w:line="520" w:lineRule="exact"/>
        <w:ind w:left="420" w:leftChars="0" w:firstLine="420" w:firstLineChars="0"/>
        <w:jc w:val="center"/>
        <w:textAlignment w:val="auto"/>
        <w:rPr>
          <w:rFonts w:hint="default" w:ascii="Times New Roman" w:hAnsi="Times New Roman" w:eastAsia="黑体" w:cs="Times New Roman"/>
          <w:b/>
          <w:sz w:val="44"/>
          <w:szCs w:val="44"/>
          <w:lang w:val="zh-CN"/>
        </w:rPr>
      </w:pPr>
      <w:r>
        <w:rPr>
          <w:rFonts w:hint="default" w:ascii="Times New Roman" w:hAnsi="Times New Roman" w:eastAsia="黑体" w:cs="Times New Roman"/>
          <w:b/>
          <w:sz w:val="44"/>
          <w:szCs w:val="44"/>
          <w:lang w:val="zh-CN"/>
        </w:rPr>
        <w:t>目  录</w:t>
      </w:r>
    </w:p>
    <w:p w14:paraId="464D2A57">
      <w:pPr>
        <w:widowControl/>
        <w:tabs>
          <w:tab w:val="left" w:pos="2151"/>
        </w:tabs>
        <w:spacing w:line="400" w:lineRule="exact"/>
        <w:jc w:val="left"/>
        <w:rPr>
          <w:rFonts w:hint="default" w:ascii="Times New Roman" w:hAnsi="Times New Roman" w:cs="Times New Roman" w:eastAsiaTheme="minorEastAsia"/>
          <w:b/>
          <w:sz w:val="36"/>
          <w:szCs w:val="36"/>
          <w:lang w:eastAsia="zh-CN"/>
        </w:rPr>
      </w:pPr>
      <w:r>
        <w:rPr>
          <w:rFonts w:hint="default" w:ascii="Times New Roman" w:hAnsi="Times New Roman" w:cs="Times New Roman" w:eastAsiaTheme="minorEastAsia"/>
          <w:b/>
          <w:sz w:val="36"/>
          <w:szCs w:val="36"/>
          <w:lang w:eastAsia="zh-CN"/>
        </w:rPr>
        <w:tab/>
      </w:r>
    </w:p>
    <w:p w14:paraId="34322C09">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TOC \o "1-3" \h \z \u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_Toc6600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摘  要</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_Toc6600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I</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364A316">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_Toc28791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一、基本情况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_Toc28791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AF2E544">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_Toc25077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（一）项目概况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_Toc25077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BAB9847">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_Toc32168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（二）项目资金安排情况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_Toc32168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D1F4621">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_Toc2556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（三）项目实施内容</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_Toc2556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C29E256">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_Toc30438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（四）项目绩效目标设立情况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_Toc30438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16</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A5EFB48">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_Toc10728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（五）组织管理情况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_Toc10728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F4A261A">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_Toc21840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二、绩效评价工作开展情况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_Toc21840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A1D8BE5">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_Toc12478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（一）绩效评价目的、对象和范围</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_Toc12478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87D3B44">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_Toc17587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（二）绩效评价原则、评价指标体系和等级、评价方法、评价抽样</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_Toc17587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9B13232">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_Toc6281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（三）绩效评价工作过程</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_Toc6281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20</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B744994">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_Toc9878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_Toc9878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7C6372A">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_Toc30136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（一）绩效评价综合结论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_Toc30136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14B67A6">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_Toc14934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（二）绩效目标实现情况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_Toc14934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D9A69A7">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_Toc8074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四、绩效评价情况分析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_Toc8074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E3DCA44">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_Toc5127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（一）决策情况分析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_Toc5127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37F7CFD">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_Toc14196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（二）过程情况分析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_Toc14196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26</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8CA1FBC">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_Toc17139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（三）产出情况分析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_Toc17139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F1F1D09">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_Toc5588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w:t>
      </w:r>
      <w:r>
        <w:rPr>
          <w:rFonts w:hint="eastAsia" w:ascii="Times New Roman" w:hAnsi="Times New Roman" w:eastAsia="仿宋" w:cs="Times New Roman"/>
          <w:b w:val="0"/>
          <w:bCs w:val="0"/>
          <w:sz w:val="30"/>
          <w:szCs w:val="30"/>
          <w:lang w:val="en-US" w:eastAsia="zh-CN"/>
        </w:rPr>
        <w:t>效益</w:t>
      </w:r>
      <w:r>
        <w:rPr>
          <w:rFonts w:hint="default" w:ascii="Times New Roman" w:hAnsi="Times New Roman" w:eastAsia="仿宋" w:cs="Times New Roman"/>
          <w:b w:val="0"/>
          <w:bCs w:val="0"/>
          <w:sz w:val="30"/>
          <w:szCs w:val="30"/>
          <w:lang w:val="en-US" w:eastAsia="zh-CN"/>
        </w:rPr>
        <w:t>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_Toc5588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AED2785">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_Toc30981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五</w:t>
      </w:r>
      <w:r>
        <w:rPr>
          <w:rFonts w:hint="default" w:ascii="Times New Roman" w:hAnsi="Times New Roman" w:eastAsia="仿宋" w:cs="Times New Roman"/>
          <w:b w:val="0"/>
          <w:bCs w:val="0"/>
          <w:sz w:val="30"/>
          <w:szCs w:val="30"/>
          <w:lang w:val="en-US" w:eastAsia="zh-CN"/>
        </w:rPr>
        <w:t>、存在问题及原因分析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_Toc30981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31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0E5827E">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_Toc18467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（一）绩效目标编制不</w:t>
      </w:r>
      <w:r>
        <w:rPr>
          <w:rFonts w:hint="eastAsia" w:ascii="Times New Roman" w:hAnsi="Times New Roman" w:eastAsia="仿宋" w:cs="Times New Roman"/>
          <w:b w:val="0"/>
          <w:bCs w:val="0"/>
          <w:sz w:val="30"/>
          <w:szCs w:val="30"/>
          <w:lang w:val="en-US" w:eastAsia="zh-CN"/>
        </w:rPr>
        <w:t>合理</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_Toc18467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31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72195A8">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_Toc3114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（二）项目进度</w:t>
      </w:r>
      <w:r>
        <w:rPr>
          <w:rFonts w:hint="eastAsia" w:ascii="Times New Roman" w:hAnsi="Times New Roman" w:eastAsia="仿宋" w:cs="Times New Roman"/>
          <w:b w:val="0"/>
          <w:bCs w:val="0"/>
          <w:sz w:val="30"/>
          <w:szCs w:val="30"/>
          <w:lang w:val="en-US" w:eastAsia="zh-CN"/>
        </w:rPr>
        <w:t>未按计划完成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_Toc3114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31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F3090B5">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_Toc6566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六</w:t>
      </w:r>
      <w:r>
        <w:rPr>
          <w:rFonts w:hint="default" w:ascii="Times New Roman" w:hAnsi="Times New Roman" w:eastAsia="仿宋" w:cs="Times New Roman"/>
          <w:b w:val="0"/>
          <w:bCs w:val="0"/>
          <w:sz w:val="30"/>
          <w:szCs w:val="30"/>
          <w:lang w:val="en-US" w:eastAsia="zh-CN"/>
        </w:rPr>
        <w:t>、建议</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_Toc6566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31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D21EA46">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_Toc23406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（一）加强</w:t>
      </w:r>
      <w:r>
        <w:rPr>
          <w:rFonts w:hint="eastAsia" w:ascii="Times New Roman" w:hAnsi="Times New Roman" w:eastAsia="仿宋" w:cs="Times New Roman"/>
          <w:b w:val="0"/>
          <w:bCs w:val="0"/>
          <w:sz w:val="30"/>
          <w:szCs w:val="30"/>
          <w:lang w:val="en-US" w:eastAsia="zh-CN"/>
        </w:rPr>
        <w:t>指标编制的合理性，进一步提升绩效目标的可评性</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_Toc23406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31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6AB0412">
      <w:pPr>
        <w:pStyle w:val="14"/>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_Toc12943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（二）强化项目进度管理</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_Toc12943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32</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E84EB8C">
      <w:pPr>
        <w:pStyle w:val="14"/>
        <w:tabs>
          <w:tab w:val="right" w:leader="dot" w:pos="8844"/>
          <w:tab w:val="clear" w:pos="8931"/>
        </w:tabs>
        <w:spacing w:line="240" w:lineRule="auto"/>
        <w:rPr>
          <w:rFonts w:hint="default" w:ascii="Times New Roman" w:hAnsi="Times New Roman" w:eastAsia="仿宋" w:cs="Times New Roman"/>
          <w:b w:val="0"/>
          <w:bCs w:val="0"/>
          <w:kern w:val="0"/>
          <w:sz w:val="30"/>
          <w:szCs w:val="30"/>
          <w:lang w:val="en-US" w:eastAsia="zh-CN" w:bidi="ar-SA"/>
        </w:rPr>
      </w:pPr>
      <w:r>
        <w:rPr>
          <w:rFonts w:hint="default" w:ascii="Times New Roman" w:hAnsi="Times New Roman" w:eastAsia="仿宋" w:cs="Times New Roman"/>
          <w:b w:val="0"/>
          <w:bCs w:val="0"/>
          <w:sz w:val="30"/>
          <w:szCs w:val="30"/>
          <w:lang w:val="en-US" w:eastAsia="zh-CN"/>
        </w:rPr>
        <w:fldChar w:fldCharType="end"/>
      </w:r>
    </w:p>
    <w:p w14:paraId="6ECD8BA1">
      <w:pPr>
        <w:pStyle w:val="14"/>
        <w:keepNext w:val="0"/>
        <w:keepLines w:val="0"/>
        <w:pageBreakBefore w:val="0"/>
        <w:widowControl/>
        <w:tabs>
          <w:tab w:val="right" w:leader="dot" w:pos="8789"/>
          <w:tab w:val="clear" w:pos="8931"/>
        </w:tabs>
        <w:kinsoku/>
        <w:wordWrap/>
        <w:overflowPunct/>
        <w:topLinePunct w:val="0"/>
        <w:autoSpaceDE/>
        <w:autoSpaceDN/>
        <w:bidi w:val="0"/>
        <w:adjustRightInd w:val="0"/>
        <w:snapToGrid w:val="0"/>
        <w:spacing w:line="240" w:lineRule="auto"/>
        <w:ind w:right="0" w:rightChars="0"/>
        <w:jc w:val="distribute"/>
        <w:textAlignment w:val="auto"/>
        <w:rPr>
          <w:rFonts w:hint="default" w:ascii="Times New Roman" w:hAnsi="Times New Roman" w:eastAsia="仿宋" w:cs="Times New Roman"/>
          <w:b w:val="0"/>
          <w:bCs w:val="0"/>
          <w:kern w:val="0"/>
          <w:sz w:val="30"/>
          <w:szCs w:val="30"/>
          <w:lang w:val="en-US" w:eastAsia="zh-CN" w:bidi="ar-SA"/>
        </w:rPr>
        <w:sectPr>
          <w:headerReference r:id="rId3" w:type="default"/>
          <w:footerReference r:id="rId5" w:type="default"/>
          <w:headerReference r:id="rId4" w:type="even"/>
          <w:type w:val="oddPage"/>
          <w:pgSz w:w="11906" w:h="16838"/>
          <w:pgMar w:top="2098" w:right="1474" w:bottom="1985" w:left="1588" w:header="851" w:footer="1474" w:gutter="0"/>
          <w:pgNumType w:fmt="decimal" w:start="1"/>
          <w:cols w:space="425" w:num="1"/>
          <w:docGrid w:type="linesAndChars" w:linePitch="579" w:charSpace="3247"/>
        </w:sectPr>
      </w:pPr>
    </w:p>
    <w:p w14:paraId="024C6A9B">
      <w:pPr>
        <w:overflowPunct w:val="0"/>
        <w:spacing w:line="579" w:lineRule="exact"/>
        <w:jc w:val="center"/>
        <w:outlineLvl w:val="0"/>
        <w:rPr>
          <w:rFonts w:hint="default" w:ascii="Times New Roman" w:hAnsi="Times New Roman" w:eastAsia="方正小标宋简体" w:cs="Times New Roman"/>
          <w:sz w:val="44"/>
          <w:szCs w:val="44"/>
        </w:rPr>
      </w:pPr>
      <w:bookmarkStart w:id="0" w:name="_Toc6600"/>
      <w:bookmarkStart w:id="1" w:name="_Hlk525313924"/>
      <w:r>
        <w:rPr>
          <w:rFonts w:hint="default" w:ascii="Times New Roman" w:hAnsi="Times New Roman" w:eastAsia="方正小标宋简体" w:cs="Times New Roman"/>
          <w:sz w:val="44"/>
          <w:szCs w:val="44"/>
        </w:rPr>
        <w:t>摘  要</w:t>
      </w:r>
      <w:bookmarkEnd w:id="0"/>
    </w:p>
    <w:p w14:paraId="0DB3960C">
      <w:pPr>
        <w:overflowPunct w:val="0"/>
        <w:spacing w:line="579" w:lineRule="exact"/>
        <w:ind w:firstLine="632"/>
        <w:rPr>
          <w:rFonts w:hint="default" w:ascii="Times New Roman" w:hAnsi="Times New Roman" w:cs="Times New Roman"/>
          <w:szCs w:val="30"/>
        </w:rPr>
      </w:pPr>
    </w:p>
    <w:p w14:paraId="68E1771D">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bookmarkStart w:id="2" w:name="_Toc6821"/>
      <w:bookmarkStart w:id="3" w:name="_Toc24668"/>
      <w:bookmarkStart w:id="4" w:name="_Toc12842"/>
      <w:r>
        <w:rPr>
          <w:rFonts w:hint="default" w:ascii="Times New Roman" w:hAnsi="Times New Roman" w:cs="Times New Roman"/>
          <w:lang w:val="en-US" w:eastAsia="zh-CN"/>
        </w:rPr>
        <w:t>一、基本情况</w:t>
      </w:r>
      <w:bookmarkEnd w:id="2"/>
      <w:bookmarkEnd w:id="3"/>
      <w:bookmarkEnd w:id="4"/>
    </w:p>
    <w:p w14:paraId="0B2855A5">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（一）项目概况</w:t>
      </w:r>
    </w:p>
    <w:p w14:paraId="0DD3F379">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kern w:val="30"/>
          <w:sz w:val="30"/>
          <w:szCs w:val="30"/>
          <w:lang w:val="en-US" w:eastAsia="zh-CN" w:bidi="ar-SA"/>
        </w:rPr>
      </w:pPr>
      <w:r>
        <w:rPr>
          <w:rFonts w:hint="default" w:ascii="Times New Roman" w:hAnsi="Times New Roman" w:cs="Times New Roman"/>
          <w:kern w:val="30"/>
          <w:sz w:val="30"/>
          <w:szCs w:val="30"/>
          <w:lang w:val="en-US" w:eastAsia="zh-CN" w:bidi="ar-SA"/>
        </w:rPr>
        <w:t>2015年，云南省加快建设成为我国民族团结进步示范区、生态文明建设的先锋和面向南亚东南亚的辐射中心。2020年，云南再次被强调要以大开放促进发展，加快与周边国家的互联互通。在这一背景下，云南省迎来了经济转型升级的关键期，</w:t>
      </w:r>
      <w:r>
        <w:rPr>
          <w:rFonts w:hint="eastAsia" w:ascii="Times New Roman" w:cs="Times New Roman"/>
          <w:kern w:val="30"/>
          <w:sz w:val="30"/>
          <w:szCs w:val="30"/>
          <w:lang w:val="en-US" w:eastAsia="zh-CN" w:bidi="ar-SA"/>
        </w:rPr>
        <w:t>云南省人民政府</w:t>
      </w:r>
      <w:r>
        <w:rPr>
          <w:rFonts w:hint="default" w:ascii="Times New Roman" w:hAnsi="Times New Roman" w:cs="Times New Roman"/>
          <w:kern w:val="30"/>
          <w:sz w:val="30"/>
          <w:szCs w:val="30"/>
          <w:lang w:val="en-US" w:eastAsia="zh-CN" w:bidi="ar-SA"/>
        </w:rPr>
        <w:t>高度重视现代化基础设施建设，积极推进“数字云南”战略，推动信息产业在“十三五”期间实现了超过20%的增速。</w:t>
      </w:r>
    </w:p>
    <w:p w14:paraId="46C2600F">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kern w:val="30"/>
          <w:sz w:val="30"/>
          <w:szCs w:val="30"/>
          <w:lang w:val="en-US" w:eastAsia="zh-CN" w:bidi="ar-SA"/>
        </w:rPr>
      </w:pPr>
      <w:r>
        <w:rPr>
          <w:rFonts w:hint="default" w:ascii="Times New Roman" w:hAnsi="Times New Roman" w:cs="Times New Roman"/>
          <w:kern w:val="30"/>
          <w:sz w:val="30"/>
          <w:szCs w:val="30"/>
          <w:lang w:val="en-US" w:eastAsia="zh-CN" w:bidi="ar-SA"/>
        </w:rPr>
        <w:t>尽管云南省网间流量年均增长超过40%，但网间性能相对滞后，2021年时延排名全国第26位，成为影响经济高质量发展的短板。互联网骨干直联点是重要基础设施，增设昆明国家级互联网骨干直联点将有效提升全省网间流量疏导效率，并改善整体互联网基础设施水平。</w:t>
      </w:r>
    </w:p>
    <w:p w14:paraId="42FB206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kern w:val="30"/>
          <w:sz w:val="30"/>
          <w:szCs w:val="30"/>
          <w:lang w:val="en-US" w:eastAsia="zh-CN" w:bidi="ar-SA"/>
        </w:rPr>
        <w:t>2022年，</w:t>
      </w:r>
      <w:r>
        <w:rPr>
          <w:rFonts w:hint="default" w:ascii="Times New Roman" w:hAnsi="Times New Roman" w:cs="Times New Roman"/>
          <w:szCs w:val="30"/>
          <w:highlight w:val="none"/>
          <w:lang w:val="en-US" w:eastAsia="zh-CN"/>
        </w:rPr>
        <w:t>工信部批复同意云南省建设昆明国家级骨干直联点</w:t>
      </w:r>
      <w:r>
        <w:rPr>
          <w:rFonts w:hint="default" w:ascii="Times New Roman" w:hAnsi="Times New Roman" w:cs="Times New Roman"/>
          <w:kern w:val="30"/>
          <w:sz w:val="30"/>
          <w:szCs w:val="30"/>
          <w:lang w:val="en-US" w:eastAsia="zh-CN" w:bidi="ar-SA"/>
        </w:rPr>
        <w:t>，</w:t>
      </w:r>
      <w:r>
        <w:rPr>
          <w:rFonts w:hint="eastAsia" w:ascii="Times New Roman" w:cs="Times New Roman"/>
          <w:kern w:val="30"/>
          <w:sz w:val="30"/>
          <w:szCs w:val="30"/>
          <w:lang w:val="en-US" w:eastAsia="zh-CN" w:bidi="ar-SA"/>
        </w:rPr>
        <w:t>由</w:t>
      </w:r>
      <w:r>
        <w:rPr>
          <w:rFonts w:hint="default" w:ascii="Times New Roman" w:hAnsi="Times New Roman" w:cs="Times New Roman"/>
          <w:kern w:val="30"/>
          <w:sz w:val="30"/>
          <w:szCs w:val="30"/>
          <w:lang w:val="en-US" w:eastAsia="zh-CN" w:bidi="ar-SA"/>
        </w:rPr>
        <w:t>昆明市西山区发展和改革局</w:t>
      </w:r>
      <w:r>
        <w:rPr>
          <w:rFonts w:hint="eastAsia" w:ascii="Times New Roman" w:cs="Times New Roman"/>
          <w:kern w:val="30"/>
          <w:sz w:val="30"/>
          <w:szCs w:val="30"/>
          <w:lang w:val="en-US" w:eastAsia="zh-CN" w:bidi="ar-SA"/>
        </w:rPr>
        <w:t>（以下简称“区发改局”）作为主管部门，由</w:t>
      </w:r>
      <w:r>
        <w:rPr>
          <w:rFonts w:hint="default" w:ascii="Times New Roman" w:hAnsi="Times New Roman" w:cs="Times New Roman"/>
          <w:szCs w:val="30"/>
          <w:highlight w:val="none"/>
          <w:lang w:val="en-US" w:eastAsia="zh-CN"/>
        </w:rPr>
        <w:t>中国移动通信集团有限公司云南分公司（以下简称“项目实施单位 ”）</w:t>
      </w:r>
      <w:r>
        <w:rPr>
          <w:rFonts w:hint="eastAsia" w:ascii="Times New Roman" w:cs="Times New Roman"/>
          <w:szCs w:val="30"/>
          <w:highlight w:val="none"/>
          <w:lang w:val="en-US" w:eastAsia="zh-CN"/>
        </w:rPr>
        <w:t>作为项目实施方</w:t>
      </w:r>
      <w:r>
        <w:rPr>
          <w:rFonts w:hint="default" w:ascii="Times New Roman" w:hAnsi="Times New Roman" w:cs="Times New Roman"/>
          <w:kern w:val="30"/>
          <w:sz w:val="30"/>
          <w:szCs w:val="30"/>
          <w:lang w:val="en-US" w:eastAsia="zh-CN" w:bidi="ar-SA"/>
        </w:rPr>
        <w:t>开展相关工作，启动了网间IP设备、传输网络等多项工程。通过该建设，</w:t>
      </w:r>
      <w:r>
        <w:rPr>
          <w:rFonts w:hint="eastAsia" w:ascii="Times New Roman" w:cs="Times New Roman"/>
          <w:kern w:val="30"/>
          <w:sz w:val="30"/>
          <w:szCs w:val="30"/>
          <w:lang w:val="en-US" w:eastAsia="zh-CN" w:bidi="ar-SA"/>
        </w:rPr>
        <w:t>西山区</w:t>
      </w:r>
      <w:r>
        <w:rPr>
          <w:rFonts w:hint="default" w:ascii="Times New Roman" w:hAnsi="Times New Roman" w:cs="Times New Roman"/>
          <w:kern w:val="30"/>
          <w:sz w:val="30"/>
          <w:szCs w:val="30"/>
          <w:lang w:val="en-US" w:eastAsia="zh-CN" w:bidi="ar-SA"/>
        </w:rPr>
        <w:t>将实现省内网间流量交换，减轻现有网络负担，降低用户访问延迟，提升用户体验。</w:t>
      </w:r>
    </w:p>
    <w:p w14:paraId="444B4AFC">
      <w:pPr>
        <w:pStyle w:val="33"/>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（二）项目资金安排情</w:t>
      </w:r>
      <w:r>
        <w:rPr>
          <w:rFonts w:hint="default" w:ascii="Times New Roman" w:hAnsi="Times New Roman" w:cs="Times New Roman"/>
          <w:shd w:val="clear" w:fill="auto"/>
        </w:rPr>
        <w:t>况</w:t>
      </w:r>
    </w:p>
    <w:p w14:paraId="2719C859">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1.资金来源及到位情况</w:t>
      </w:r>
    </w:p>
    <w:p w14:paraId="1114274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szCs w:val="30"/>
          <w:highlight w:val="none"/>
          <w:lang w:val="en-US" w:eastAsia="zh-CN"/>
        </w:rPr>
      </w:pPr>
      <w:r>
        <w:rPr>
          <w:rFonts w:hint="eastAsia" w:ascii="Times New Roman" w:cs="Times New Roman"/>
          <w:szCs w:val="30"/>
          <w:highlight w:val="none"/>
          <w:lang w:val="en-US" w:eastAsia="zh-CN"/>
        </w:rPr>
        <w:t>根</w:t>
      </w:r>
      <w:r>
        <w:rPr>
          <w:rFonts w:hint="default" w:ascii="Times New Roman" w:hAnsi="Times New Roman" w:cs="Times New Roman"/>
          <w:szCs w:val="30"/>
          <w:highlight w:val="none"/>
          <w:lang w:val="en-US" w:eastAsia="zh-CN"/>
        </w:rPr>
        <w:t>据《昆明国家级互联网骨干直联点项目（移动部分）可行性研究报告》，本工程总投资为11</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028.82万元</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不含税</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，其中9</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047.5万元由省市政府统筹，剩余1</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981.32万元由中国移动通信集团云南有限公司自筹。昆明骨干直联点上线运行并完成系统终验后，网络运行维护资金由中国移动通信集团云南有限公司自筹。</w:t>
      </w:r>
    </w:p>
    <w:p w14:paraId="4B20A32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b w:val="0"/>
          <w:bCs w:val="0"/>
          <w:lang w:val="en-US" w:eastAsia="zh-CN"/>
        </w:rPr>
        <w:t>本项目共</w:t>
      </w:r>
      <w:r>
        <w:rPr>
          <w:rFonts w:hint="eastAsia" w:ascii="Times New Roman" w:cs="Times New Roman"/>
          <w:b w:val="0"/>
          <w:bCs w:val="0"/>
          <w:lang w:val="en-US" w:eastAsia="zh-CN"/>
        </w:rPr>
        <w:t>到位资金7,901.32万元，到位率71.64%，其中，财政资金到位</w:t>
      </w:r>
      <w:r>
        <w:rPr>
          <w:rFonts w:hint="default" w:ascii="Times New Roman" w:hAnsi="Times New Roman" w:cs="Times New Roman"/>
          <w:b w:val="0"/>
          <w:bCs w:val="0"/>
          <w:lang w:val="en-US" w:eastAsia="zh-CN"/>
        </w:rPr>
        <w:t>5</w:t>
      </w:r>
      <w:r>
        <w:rPr>
          <w:rFonts w:hint="eastAsia" w:ascii="Times New Roman" w:cs="Times New Roman"/>
          <w:b w:val="0"/>
          <w:bCs w:val="0"/>
          <w:lang w:val="en-US" w:eastAsia="zh-CN"/>
        </w:rPr>
        <w:t>,</w:t>
      </w:r>
      <w:r>
        <w:rPr>
          <w:rFonts w:hint="default" w:ascii="Times New Roman" w:hAnsi="Times New Roman" w:cs="Times New Roman"/>
          <w:b w:val="0"/>
          <w:bCs w:val="0"/>
          <w:lang w:val="en-US" w:eastAsia="zh-CN"/>
        </w:rPr>
        <w:t>920万元，</w:t>
      </w:r>
      <w:r>
        <w:rPr>
          <w:rFonts w:hint="eastAsia" w:ascii="Times New Roman" w:cs="Times New Roman"/>
          <w:b w:val="0"/>
          <w:bCs w:val="0"/>
          <w:lang w:val="en-US" w:eastAsia="zh-CN"/>
        </w:rPr>
        <w:t>自有资金到位</w:t>
      </w:r>
      <w:r>
        <w:rPr>
          <w:rFonts w:hint="default" w:ascii="Times New Roman" w:hAnsi="Times New Roman" w:cs="Times New Roman"/>
          <w:szCs w:val="30"/>
          <w:highlight w:val="none"/>
          <w:lang w:val="en-US" w:eastAsia="zh-CN"/>
        </w:rPr>
        <w:t>1</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981.32万元</w:t>
      </w:r>
      <w:r>
        <w:rPr>
          <w:rFonts w:hint="eastAsia" w:ascii="Times New Roman" w:cs="Times New Roman"/>
          <w:szCs w:val="30"/>
          <w:highlight w:val="none"/>
          <w:lang w:val="en-US" w:eastAsia="zh-CN"/>
        </w:rPr>
        <w:t>。</w:t>
      </w:r>
    </w:p>
    <w:p w14:paraId="45A079E2">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2.资金使用情况</w:t>
      </w:r>
    </w:p>
    <w:p w14:paraId="30798E01">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本项目共签订192份合同，合同签订总金额9</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101.71万元，共支付7</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731.54万元，支付率达到85%。</w:t>
      </w:r>
      <w:r>
        <w:rPr>
          <w:rFonts w:hint="eastAsia" w:ascii="Times New Roman" w:cs="Times New Roman"/>
          <w:kern w:val="30"/>
          <w:sz w:val="30"/>
          <w:szCs w:val="30"/>
          <w:highlight w:val="none"/>
          <w:lang w:val="en-US" w:eastAsia="zh-CN" w:bidi="ar-SA"/>
        </w:rPr>
        <w:t>其中，财政资金使用了5,920万元，项目实施单位自有资金1,811.54万元，预算执行率97.85%。</w:t>
      </w:r>
    </w:p>
    <w:p w14:paraId="2FDE6132">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bookmarkStart w:id="5" w:name="_Toc6479"/>
      <w:bookmarkStart w:id="6" w:name="_Toc16692"/>
      <w:bookmarkStart w:id="7" w:name="_Toc22688"/>
      <w:r>
        <w:rPr>
          <w:rFonts w:hint="default" w:ascii="Times New Roman" w:hAnsi="Times New Roman" w:cs="Times New Roman"/>
          <w:lang w:val="en-US" w:eastAsia="zh-CN"/>
        </w:rPr>
        <w:t>二、绩效评价结论</w:t>
      </w:r>
      <w:bookmarkEnd w:id="5"/>
      <w:bookmarkEnd w:id="6"/>
      <w:bookmarkEnd w:id="7"/>
    </w:p>
    <w:p w14:paraId="68ABA979">
      <w:pPr>
        <w:spacing w:line="579" w:lineRule="exact"/>
        <w:ind w:firstLine="630" w:firstLineChars="200"/>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 xml:space="preserve"> 2023年度第一批省级新型基础设施建设专项资金项目绩效评价得分</w:t>
      </w:r>
      <w:r>
        <w:rPr>
          <w:rFonts w:hint="default" w:ascii="Times New Roman" w:hAnsi="Times New Roman" w:cs="Times New Roman"/>
          <w:szCs w:val="30"/>
          <w:highlight w:val="none"/>
          <w:lang w:val="en-US" w:eastAsia="zh-CN"/>
        </w:rPr>
        <w:t>9</w:t>
      </w:r>
      <w:r>
        <w:rPr>
          <w:rFonts w:hint="eastAsia" w:ascii="Times New Roman" w:cs="Times New Roman"/>
          <w:szCs w:val="30"/>
          <w:highlight w:val="none"/>
          <w:lang w:val="en-US" w:eastAsia="zh-CN"/>
        </w:rPr>
        <w:t>2</w:t>
      </w:r>
      <w:r>
        <w:rPr>
          <w:rFonts w:hint="default" w:ascii="Times New Roman" w:hAnsi="Times New Roman" w:cs="Times New Roman"/>
          <w:szCs w:val="30"/>
          <w:highlight w:val="none"/>
          <w:lang w:val="en-US" w:eastAsia="zh-CN"/>
        </w:rPr>
        <w:t>.</w:t>
      </w:r>
      <w:r>
        <w:rPr>
          <w:rFonts w:hint="eastAsia" w:ascii="Times New Roman" w:cs="Times New Roman"/>
          <w:szCs w:val="30"/>
          <w:highlight w:val="none"/>
          <w:lang w:val="en-US" w:eastAsia="zh-CN"/>
        </w:rPr>
        <w:t>09</w:t>
      </w:r>
      <w:r>
        <w:rPr>
          <w:rFonts w:hint="default" w:ascii="Times New Roman" w:hAnsi="Times New Roman" w:eastAsia="仿宋" w:cs="Times New Roman"/>
          <w:kern w:val="30"/>
          <w:sz w:val="30"/>
          <w:szCs w:val="30"/>
          <w:highlight w:val="none"/>
          <w:shd w:val="clear"/>
          <w:lang w:val="en-US" w:eastAsia="zh-CN" w:bidi="ar-SA"/>
        </w:rPr>
        <w:t>分，</w:t>
      </w:r>
      <w:r>
        <w:rPr>
          <w:rFonts w:hint="default" w:ascii="Times New Roman" w:hAnsi="Times New Roman" w:eastAsia="仿宋" w:cs="Times New Roman"/>
          <w:kern w:val="30"/>
          <w:sz w:val="30"/>
          <w:szCs w:val="30"/>
          <w:highlight w:val="none"/>
          <w:lang w:val="en-US" w:eastAsia="zh-CN" w:bidi="ar-SA"/>
        </w:rPr>
        <w:t>评价等级为</w:t>
      </w:r>
      <w:r>
        <w:rPr>
          <w:rFonts w:hint="default" w:ascii="Times New Roman" w:hAnsi="Times New Roman" w:cs="Times New Roman"/>
          <w:kern w:val="30"/>
          <w:sz w:val="30"/>
          <w:szCs w:val="30"/>
          <w:highlight w:val="none"/>
          <w:lang w:val="en-US" w:eastAsia="zh-CN" w:bidi="ar-SA"/>
        </w:rPr>
        <w:t>“优”</w:t>
      </w:r>
      <w:r>
        <w:rPr>
          <w:rFonts w:hint="default" w:ascii="Times New Roman" w:hAnsi="Times New Roman" w:eastAsia="仿宋" w:cs="Times New Roman"/>
          <w:kern w:val="30"/>
          <w:sz w:val="30"/>
          <w:szCs w:val="30"/>
          <w:highlight w:val="none"/>
          <w:lang w:val="en-US" w:eastAsia="zh-CN" w:bidi="ar-SA"/>
        </w:rPr>
        <w:t>。一级指标具体得分情况详见下表：</w:t>
      </w:r>
    </w:p>
    <w:p w14:paraId="45DBE7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eastAsia="黑体" w:cs="Times New Roman"/>
          <w:b w:val="0"/>
          <w:bCs/>
          <w:sz w:val="24"/>
          <w:szCs w:val="24"/>
          <w:lang w:val="en-US" w:eastAsia="zh-CN"/>
        </w:rPr>
        <w:t xml:space="preserve">表摘1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626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A2123B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214EACD2">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7253954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47D22C37">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344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09187F7">
            <w:pPr>
              <w:snapToGrid w:val="0"/>
              <w:jc w:val="center"/>
              <w:rPr>
                <w:rFonts w:hint="default" w:ascii="Times New Roman" w:hAnsi="Times New Roman" w:eastAsia="仿宋"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5EECCB3F">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15</w:t>
            </w:r>
            <w:r>
              <w:rPr>
                <w:rFonts w:hint="eastAsia" w:ascii="Times New Roman" w:cs="Times New Roman"/>
                <w:bCs/>
                <w:spacing w:val="6"/>
                <w:sz w:val="21"/>
                <w:lang w:val="en-US" w:eastAsia="zh-CN"/>
              </w:rPr>
              <w:t>.00</w:t>
            </w:r>
          </w:p>
        </w:tc>
        <w:tc>
          <w:tcPr>
            <w:tcW w:w="2211" w:type="dxa"/>
            <w:vAlign w:val="center"/>
          </w:tcPr>
          <w:p w14:paraId="1760E0AA">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14</w:t>
            </w:r>
            <w:r>
              <w:rPr>
                <w:rFonts w:hint="eastAsia" w:ascii="Times New Roman" w:cs="Times New Roman"/>
                <w:bCs/>
                <w:spacing w:val="6"/>
                <w:sz w:val="21"/>
                <w:lang w:val="en-US" w:eastAsia="zh-CN"/>
              </w:rPr>
              <w:t>.00</w:t>
            </w:r>
          </w:p>
        </w:tc>
        <w:tc>
          <w:tcPr>
            <w:tcW w:w="2211" w:type="dxa"/>
            <w:vAlign w:val="center"/>
          </w:tcPr>
          <w:p w14:paraId="588B48B8">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93.33%</w:t>
            </w:r>
          </w:p>
        </w:tc>
      </w:tr>
      <w:tr w14:paraId="481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4D7962C3">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10BA0839">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20</w:t>
            </w:r>
            <w:r>
              <w:rPr>
                <w:rFonts w:hint="eastAsia" w:ascii="Times New Roman" w:cs="Times New Roman"/>
                <w:bCs/>
                <w:spacing w:val="6"/>
                <w:sz w:val="21"/>
                <w:lang w:val="en-US" w:eastAsia="zh-CN"/>
              </w:rPr>
              <w:t>.00</w:t>
            </w:r>
          </w:p>
        </w:tc>
        <w:tc>
          <w:tcPr>
            <w:tcW w:w="2211" w:type="dxa"/>
            <w:vAlign w:val="center"/>
          </w:tcPr>
          <w:p w14:paraId="4989024C">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19.09</w:t>
            </w:r>
          </w:p>
        </w:tc>
        <w:tc>
          <w:tcPr>
            <w:tcW w:w="2211" w:type="dxa"/>
            <w:vAlign w:val="center"/>
          </w:tcPr>
          <w:p w14:paraId="552EA6D6">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9</w:t>
            </w:r>
            <w:r>
              <w:rPr>
                <w:rFonts w:hint="eastAsia" w:ascii="Times New Roman" w:cs="Times New Roman"/>
                <w:bCs/>
                <w:spacing w:val="6"/>
                <w:sz w:val="21"/>
                <w:lang w:val="en-US" w:eastAsia="zh-CN"/>
              </w:rPr>
              <w:t>5.45</w:t>
            </w:r>
            <w:r>
              <w:rPr>
                <w:rFonts w:hint="default" w:ascii="Times New Roman" w:hAnsi="Times New Roman" w:cs="Times New Roman"/>
                <w:bCs/>
                <w:spacing w:val="6"/>
                <w:sz w:val="21"/>
                <w:lang w:val="en-US" w:eastAsia="zh-CN"/>
              </w:rPr>
              <w:t>%</w:t>
            </w:r>
          </w:p>
        </w:tc>
      </w:tr>
      <w:tr w14:paraId="2329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58E03C3E">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3AB3ADFD">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35</w:t>
            </w:r>
            <w:r>
              <w:rPr>
                <w:rFonts w:hint="eastAsia" w:ascii="Times New Roman" w:cs="Times New Roman"/>
                <w:bCs/>
                <w:spacing w:val="6"/>
                <w:sz w:val="21"/>
                <w:lang w:val="en-US" w:eastAsia="zh-CN"/>
              </w:rPr>
              <w:t>.00</w:t>
            </w:r>
          </w:p>
        </w:tc>
        <w:tc>
          <w:tcPr>
            <w:tcW w:w="2211" w:type="dxa"/>
            <w:vAlign w:val="center"/>
          </w:tcPr>
          <w:p w14:paraId="410A1F74">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29</w:t>
            </w:r>
            <w:r>
              <w:rPr>
                <w:rFonts w:hint="eastAsia" w:ascii="Times New Roman" w:cs="Times New Roman"/>
                <w:bCs/>
                <w:spacing w:val="6"/>
                <w:sz w:val="21"/>
                <w:lang w:val="en-US" w:eastAsia="zh-CN"/>
              </w:rPr>
              <w:t>.00</w:t>
            </w:r>
          </w:p>
        </w:tc>
        <w:tc>
          <w:tcPr>
            <w:tcW w:w="2211" w:type="dxa"/>
            <w:vAlign w:val="center"/>
          </w:tcPr>
          <w:p w14:paraId="28C59490">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82.86%</w:t>
            </w:r>
          </w:p>
        </w:tc>
      </w:tr>
      <w:tr w14:paraId="257E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19E42792">
            <w:pPr>
              <w:snapToGrid w:val="0"/>
              <w:jc w:val="center"/>
              <w:rPr>
                <w:rFonts w:hint="eastAsia" w:ascii="Times New Roman" w:hAnsi="Times New Roman" w:eastAsia="仿宋" w:cs="Times New Roman"/>
                <w:bCs/>
                <w:spacing w:val="6"/>
                <w:sz w:val="21"/>
                <w:lang w:eastAsia="zh-CN"/>
              </w:rPr>
            </w:pPr>
            <w:r>
              <w:rPr>
                <w:rFonts w:hint="eastAsia" w:ascii="Times New Roman" w:cs="Times New Roman"/>
                <w:bCs/>
                <w:spacing w:val="6"/>
                <w:sz w:val="21"/>
                <w:lang w:val="en-US" w:eastAsia="zh-CN"/>
              </w:rPr>
              <w:t>效益</w:t>
            </w:r>
          </w:p>
        </w:tc>
        <w:tc>
          <w:tcPr>
            <w:tcW w:w="2211" w:type="dxa"/>
            <w:vAlign w:val="center"/>
          </w:tcPr>
          <w:p w14:paraId="0138C10E">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30</w:t>
            </w:r>
            <w:r>
              <w:rPr>
                <w:rFonts w:hint="eastAsia" w:ascii="Times New Roman" w:cs="Times New Roman"/>
                <w:bCs/>
                <w:spacing w:val="6"/>
                <w:sz w:val="21"/>
                <w:lang w:val="en-US" w:eastAsia="zh-CN"/>
              </w:rPr>
              <w:t>.00</w:t>
            </w:r>
          </w:p>
        </w:tc>
        <w:tc>
          <w:tcPr>
            <w:tcW w:w="2211" w:type="dxa"/>
            <w:vAlign w:val="center"/>
          </w:tcPr>
          <w:p w14:paraId="1C62B86F">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30</w:t>
            </w:r>
            <w:r>
              <w:rPr>
                <w:rFonts w:hint="eastAsia" w:ascii="Times New Roman" w:cs="Times New Roman"/>
                <w:bCs/>
                <w:spacing w:val="6"/>
                <w:sz w:val="21"/>
                <w:lang w:val="en-US" w:eastAsia="zh-CN"/>
              </w:rPr>
              <w:t>.00</w:t>
            </w:r>
          </w:p>
        </w:tc>
        <w:tc>
          <w:tcPr>
            <w:tcW w:w="2211" w:type="dxa"/>
            <w:vAlign w:val="center"/>
          </w:tcPr>
          <w:p w14:paraId="384317FB">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100</w:t>
            </w:r>
            <w:r>
              <w:rPr>
                <w:rFonts w:hint="eastAsia" w:ascii="Times New Roman" w:cs="Times New Roman"/>
                <w:bCs/>
                <w:spacing w:val="6"/>
                <w:sz w:val="21"/>
                <w:lang w:val="en-US" w:eastAsia="zh-CN"/>
              </w:rPr>
              <w:t>.00</w:t>
            </w:r>
            <w:r>
              <w:rPr>
                <w:rFonts w:hint="default" w:ascii="Times New Roman" w:hAnsi="Times New Roman" w:cs="Times New Roman"/>
                <w:bCs/>
                <w:spacing w:val="6"/>
                <w:sz w:val="21"/>
                <w:lang w:val="en-US" w:eastAsia="zh-CN"/>
              </w:rPr>
              <w:t>%</w:t>
            </w:r>
          </w:p>
        </w:tc>
      </w:tr>
      <w:tr w14:paraId="0BD8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49454E6">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06AF0BF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100</w:t>
            </w:r>
            <w:r>
              <w:rPr>
                <w:rFonts w:hint="eastAsia" w:ascii="Times New Roman" w:cs="Times New Roman"/>
                <w:b/>
                <w:bCs/>
                <w:spacing w:val="6"/>
                <w:sz w:val="21"/>
                <w:lang w:val="en-US" w:eastAsia="zh-CN"/>
              </w:rPr>
              <w:t>.00</w:t>
            </w:r>
          </w:p>
        </w:tc>
        <w:tc>
          <w:tcPr>
            <w:tcW w:w="2211" w:type="dxa"/>
            <w:vAlign w:val="center"/>
          </w:tcPr>
          <w:p w14:paraId="6534AC07">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9</w:t>
            </w:r>
            <w:r>
              <w:rPr>
                <w:rFonts w:hint="eastAsia" w:ascii="Times New Roman" w:cs="Times New Roman"/>
                <w:b/>
                <w:bCs/>
                <w:spacing w:val="6"/>
                <w:sz w:val="21"/>
                <w:lang w:val="en-US" w:eastAsia="zh-CN"/>
              </w:rPr>
              <w:t>2</w:t>
            </w:r>
            <w:r>
              <w:rPr>
                <w:rFonts w:hint="default" w:ascii="Times New Roman" w:hAnsi="Times New Roman" w:cs="Times New Roman"/>
                <w:b/>
                <w:bCs/>
                <w:spacing w:val="6"/>
                <w:sz w:val="21"/>
                <w:lang w:val="en-US" w:eastAsia="zh-CN"/>
              </w:rPr>
              <w:t>.</w:t>
            </w:r>
            <w:r>
              <w:rPr>
                <w:rFonts w:hint="eastAsia" w:ascii="Times New Roman" w:cs="Times New Roman"/>
                <w:b/>
                <w:bCs/>
                <w:spacing w:val="6"/>
                <w:sz w:val="21"/>
                <w:lang w:val="en-US" w:eastAsia="zh-CN"/>
              </w:rPr>
              <w:t>09</w:t>
            </w:r>
          </w:p>
        </w:tc>
        <w:tc>
          <w:tcPr>
            <w:tcW w:w="2211" w:type="dxa"/>
            <w:vAlign w:val="center"/>
          </w:tcPr>
          <w:p w14:paraId="4CFF7400">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9</w:t>
            </w:r>
            <w:r>
              <w:rPr>
                <w:rFonts w:hint="eastAsia" w:ascii="Times New Roman" w:cs="Times New Roman"/>
                <w:b/>
                <w:bCs/>
                <w:spacing w:val="6"/>
                <w:sz w:val="21"/>
                <w:lang w:val="en-US" w:eastAsia="zh-CN"/>
              </w:rPr>
              <w:t>2</w:t>
            </w:r>
            <w:r>
              <w:rPr>
                <w:rFonts w:hint="default" w:ascii="Times New Roman" w:hAnsi="Times New Roman" w:cs="Times New Roman"/>
                <w:b/>
                <w:bCs/>
                <w:spacing w:val="6"/>
                <w:sz w:val="21"/>
                <w:lang w:val="en-US" w:eastAsia="zh-CN"/>
              </w:rPr>
              <w:t>.</w:t>
            </w:r>
            <w:r>
              <w:rPr>
                <w:rFonts w:hint="eastAsia" w:ascii="Times New Roman" w:cs="Times New Roman"/>
                <w:b/>
                <w:bCs/>
                <w:spacing w:val="6"/>
                <w:sz w:val="21"/>
                <w:lang w:val="en-US" w:eastAsia="zh-CN"/>
              </w:rPr>
              <w:t>09</w:t>
            </w:r>
            <w:r>
              <w:rPr>
                <w:rFonts w:hint="default" w:ascii="Times New Roman" w:hAnsi="Times New Roman" w:cs="Times New Roman"/>
                <w:b/>
                <w:bCs/>
                <w:spacing w:val="6"/>
                <w:sz w:val="21"/>
                <w:lang w:val="en-US" w:eastAsia="zh-CN"/>
              </w:rPr>
              <w:t>%</w:t>
            </w:r>
          </w:p>
        </w:tc>
      </w:tr>
    </w:tbl>
    <w:p w14:paraId="15FAD34C">
      <w:pPr>
        <w:spacing w:line="579" w:lineRule="exact"/>
        <w:ind w:firstLine="630" w:firstLineChars="200"/>
        <w:rPr>
          <w:rFonts w:hint="default" w:ascii="Times New Roman" w:hAnsi="Times New Roman" w:eastAsia="仿宋" w:cs="Times New Roman"/>
          <w:kern w:val="30"/>
          <w:sz w:val="30"/>
          <w:szCs w:val="30"/>
          <w:lang w:val="en-US" w:eastAsia="zh-CN" w:bidi="ar-SA"/>
        </w:rPr>
      </w:pPr>
      <w:r>
        <w:rPr>
          <w:rFonts w:hint="eastAsia"/>
        </w:rPr>
        <w:t>总体来看，</w:t>
      </w:r>
      <w:r>
        <w:rPr>
          <w:rFonts w:hint="default" w:ascii="Times New Roman" w:hAnsi="Times New Roman" w:cs="Times New Roman"/>
          <w:highlight w:val="none"/>
          <w:shd w:val="clear"/>
          <w:lang w:val="en-US" w:eastAsia="zh-CN"/>
        </w:rPr>
        <w:t>本项目</w:t>
      </w:r>
      <w:r>
        <w:rPr>
          <w:rFonts w:hint="default" w:ascii="Times New Roman" w:hAnsi="Times New Roman" w:cs="Times New Roman"/>
          <w:szCs w:val="30"/>
          <w:highlight w:val="none"/>
          <w:shd w:val="clear"/>
        </w:rPr>
        <w:t>立项依据充分、立项程序规范，内容完善</w:t>
      </w:r>
      <w:r>
        <w:rPr>
          <w:rFonts w:hint="default" w:ascii="Times New Roman" w:hAnsi="Times New Roman" w:cs="Times New Roman"/>
          <w:szCs w:val="30"/>
          <w:highlight w:val="none"/>
          <w:shd w:val="clear"/>
          <w:lang w:eastAsia="zh-CN"/>
        </w:rPr>
        <w:t>，</w:t>
      </w:r>
      <w:r>
        <w:rPr>
          <w:rFonts w:hint="default" w:ascii="Times New Roman" w:hAnsi="Times New Roman" w:cs="Times New Roman"/>
          <w:szCs w:val="30"/>
          <w:highlight w:val="none"/>
          <w:shd w:val="clear"/>
          <w:lang w:val="en-US" w:eastAsia="zh-CN"/>
        </w:rPr>
        <w:t>项目实施方案及财务管理制度健全，项目实施效果良好，但</w:t>
      </w:r>
      <w:r>
        <w:rPr>
          <w:rFonts w:hint="eastAsia" w:ascii="Times New Roman" w:cs="Times New Roman"/>
          <w:szCs w:val="30"/>
          <w:highlight w:val="none"/>
          <w:shd w:val="clear"/>
          <w:lang w:val="en-US" w:eastAsia="zh-CN"/>
        </w:rPr>
        <w:t>仍存在</w:t>
      </w:r>
      <w:r>
        <w:rPr>
          <w:rFonts w:hint="default" w:ascii="Times New Roman" w:hAnsi="Times New Roman" w:cs="Times New Roman"/>
          <w:szCs w:val="30"/>
          <w:highlight w:val="none"/>
          <w:shd w:val="clear"/>
          <w:lang w:val="en-US" w:eastAsia="zh-CN"/>
        </w:rPr>
        <w:t>工作进度晚于计划、</w:t>
      </w:r>
      <w:r>
        <w:rPr>
          <w:rFonts w:hint="default" w:ascii="Times New Roman" w:hAnsi="Times New Roman" w:cs="Times New Roman"/>
          <w:szCs w:val="30"/>
          <w:highlight w:val="none"/>
          <w:shd w:val="clear"/>
        </w:rPr>
        <w:t>绩效目标设定</w:t>
      </w:r>
      <w:r>
        <w:rPr>
          <w:rFonts w:hint="default" w:ascii="Times New Roman" w:hAnsi="Times New Roman" w:cs="Times New Roman"/>
          <w:szCs w:val="30"/>
          <w:highlight w:val="none"/>
          <w:shd w:val="clear"/>
          <w:lang w:val="en-US" w:eastAsia="zh-CN"/>
        </w:rPr>
        <w:t>待加强</w:t>
      </w:r>
      <w:r>
        <w:rPr>
          <w:rFonts w:hint="eastAsia" w:ascii="Times New Roman" w:cs="Times New Roman"/>
          <w:szCs w:val="30"/>
          <w:highlight w:val="none"/>
          <w:shd w:val="clear"/>
          <w:lang w:val="en-US" w:eastAsia="zh-CN"/>
        </w:rPr>
        <w:t>等问题</w:t>
      </w:r>
      <w:r>
        <w:rPr>
          <w:rFonts w:hint="default" w:ascii="Times New Roman" w:hAnsi="Times New Roman" w:cs="Times New Roman"/>
          <w:szCs w:val="30"/>
          <w:highlight w:val="none"/>
          <w:shd w:val="clear"/>
          <w:lang w:val="en-US" w:eastAsia="zh-CN"/>
        </w:rPr>
        <w:t>。</w:t>
      </w:r>
    </w:p>
    <w:p w14:paraId="3573A854">
      <w:pPr>
        <w:pStyle w:val="32"/>
        <w:keepNext w:val="0"/>
        <w:keepLines w:val="0"/>
        <w:pageBreakBefore w:val="0"/>
        <w:numPr>
          <w:ilvl w:val="0"/>
          <w:numId w:val="0"/>
        </w:numPr>
        <w:shd w:val="clea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bookmarkStart w:id="8" w:name="_Toc13527"/>
      <w:bookmarkStart w:id="9" w:name="_Toc22605"/>
      <w:bookmarkStart w:id="10" w:name="_Toc6160"/>
      <w:r>
        <w:rPr>
          <w:rFonts w:hint="default" w:ascii="Times New Roman" w:hAnsi="Times New Roman" w:cs="Times New Roman"/>
          <w:lang w:val="en-US" w:eastAsia="zh-CN"/>
        </w:rPr>
        <w:t>三、</w:t>
      </w:r>
      <w:bookmarkEnd w:id="8"/>
      <w:bookmarkEnd w:id="9"/>
      <w:bookmarkEnd w:id="10"/>
      <w:bookmarkStart w:id="11" w:name="_Toc18700"/>
      <w:bookmarkStart w:id="12" w:name="_Toc6130"/>
      <w:bookmarkStart w:id="13" w:name="_Toc6891"/>
      <w:r>
        <w:rPr>
          <w:rFonts w:hint="default" w:ascii="Times New Roman" w:hAnsi="Times New Roman" w:cs="Times New Roman"/>
          <w:highlight w:val="none"/>
          <w:lang w:val="en-US" w:eastAsia="zh-CN"/>
        </w:rPr>
        <w:t>存在的主要问题</w:t>
      </w:r>
      <w:bookmarkEnd w:id="11"/>
      <w:bookmarkEnd w:id="12"/>
      <w:bookmarkEnd w:id="13"/>
    </w:p>
    <w:p w14:paraId="2315A473">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4" w:name="_Toc25730"/>
      <w:r>
        <w:rPr>
          <w:rFonts w:hint="default" w:ascii="Times New Roman" w:hAnsi="Times New Roman" w:cs="Times New Roman"/>
          <w:lang w:val="en-US" w:eastAsia="zh-CN"/>
        </w:rPr>
        <w:t>（一）绩效目标编制不</w:t>
      </w:r>
      <w:r>
        <w:rPr>
          <w:rFonts w:hint="eastAsia" w:cs="Times New Roman"/>
          <w:lang w:val="en-US" w:eastAsia="zh-CN"/>
        </w:rPr>
        <w:t>合理</w:t>
      </w:r>
      <w:bookmarkEnd w:id="14"/>
    </w:p>
    <w:p w14:paraId="477CE88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个别指标编制不够准确，如时效指标中的“项目开工率”、“年度建设目标完成率”、“年度省级财政补助资金完成率”以及“年度省级财政补助资金支付率”为数量指标。“超规模、超标准、超概算项目”为成本指标；满意度指标中“审计、督查、巡视等指出问题数”并非满意度指标</w:t>
      </w:r>
      <w:r>
        <w:rPr>
          <w:rFonts w:hint="eastAsia" w:ascii="Times New Roman" w:cs="Times New Roman"/>
          <w:kern w:val="2"/>
          <w:sz w:val="30"/>
          <w:szCs w:val="30"/>
          <w:highlight w:val="none"/>
          <w:lang w:val="en-US" w:eastAsia="zh-CN" w:bidi="ar-SA"/>
        </w:rPr>
        <w:t>，指标归类错误</w:t>
      </w:r>
      <w:r>
        <w:rPr>
          <w:rFonts w:hint="default" w:ascii="Times New Roman" w:hAnsi="Times New Roman" w:cs="Times New Roman"/>
          <w:kern w:val="2"/>
          <w:sz w:val="30"/>
          <w:szCs w:val="30"/>
          <w:highlight w:val="none"/>
          <w:lang w:val="en-US" w:eastAsia="zh-CN" w:bidi="ar-SA"/>
        </w:rPr>
        <w:t>。</w:t>
      </w:r>
    </w:p>
    <w:p w14:paraId="2E47E7AE">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楷体" w:cs="Times New Roman"/>
          <w:lang w:val="en-US" w:eastAsia="zh-CN"/>
        </w:rPr>
      </w:pPr>
      <w:bookmarkStart w:id="15" w:name="_Toc10638"/>
      <w:r>
        <w:rPr>
          <w:rFonts w:hint="default" w:ascii="Times New Roman" w:hAnsi="Times New Roman" w:cs="Times New Roman"/>
          <w:lang w:val="en-US" w:eastAsia="zh-CN"/>
        </w:rPr>
        <w:t>（二）项目进度</w:t>
      </w:r>
      <w:r>
        <w:rPr>
          <w:rFonts w:hint="eastAsia"/>
          <w:lang w:val="en-US" w:eastAsia="zh-CN"/>
        </w:rPr>
        <w:t>未按计划完成</w:t>
      </w:r>
      <w:bookmarkEnd w:id="15"/>
    </w:p>
    <w:p w14:paraId="57DFC69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昆明国家级互联网骨干直联点项目（移动部分）可行性研究报告》中的工作进度表，本项目的部分工作完成时间已晚于原定计划。例如，“完成割接上线”的时间原定为2023年5月底，但实际完成时间推迟至2024年6月。</w:t>
      </w:r>
    </w:p>
    <w:p w14:paraId="6D13284E">
      <w:pPr>
        <w:pStyle w:val="32"/>
        <w:keepNext w:val="0"/>
        <w:keepLines w:val="0"/>
        <w:pageBreakBefore w:val="0"/>
        <w:numPr>
          <w:ilvl w:val="0"/>
          <w:numId w:val="0"/>
        </w:numPr>
        <w:shd w:val="clea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bookmarkStart w:id="16" w:name="_Toc27628"/>
      <w:bookmarkStart w:id="17" w:name="_Toc233"/>
      <w:bookmarkStart w:id="18" w:name="_Toc6606"/>
      <w:r>
        <w:rPr>
          <w:rFonts w:hint="eastAsia" w:ascii="Times New Roman" w:hAnsi="Times New Roman" w:cs="Times New Roman"/>
          <w:highlight w:val="none"/>
          <w:lang w:val="en-US" w:eastAsia="zh-CN"/>
        </w:rPr>
        <w:t>四</w:t>
      </w:r>
      <w:r>
        <w:rPr>
          <w:rFonts w:hint="default" w:ascii="Times New Roman" w:hAnsi="Times New Roman" w:cs="Times New Roman"/>
          <w:highlight w:val="none"/>
          <w:lang w:val="en-US" w:eastAsia="zh-CN"/>
        </w:rPr>
        <w:t>、建议</w:t>
      </w:r>
      <w:bookmarkEnd w:id="16"/>
      <w:bookmarkEnd w:id="17"/>
      <w:bookmarkEnd w:id="18"/>
    </w:p>
    <w:p w14:paraId="424D9641">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9" w:name="_Toc7791"/>
      <w:r>
        <w:rPr>
          <w:rFonts w:hint="default" w:ascii="Times New Roman" w:hAnsi="Times New Roman" w:cs="Times New Roman"/>
          <w:lang w:val="en-US" w:eastAsia="zh-CN"/>
        </w:rPr>
        <w:t>（一）加强</w:t>
      </w:r>
      <w:r>
        <w:rPr>
          <w:rFonts w:hint="eastAsia" w:cs="Times New Roman"/>
          <w:lang w:val="en-US" w:eastAsia="zh-CN"/>
        </w:rPr>
        <w:t>指标编制的合理性，进一步提升绩效目标的可评性</w:t>
      </w:r>
      <w:bookmarkEnd w:id="19"/>
    </w:p>
    <w:p w14:paraId="2C0B6235">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szCs w:val="30"/>
          <w:lang w:val="en-US" w:eastAsia="zh-CN"/>
        </w:rPr>
        <w:t>建议区发改局按照绩效相关工作要求，严格编制绩效目标表，确保后续指标评价的完整性及整体目标设置的合理性。对于本次项目，</w:t>
      </w:r>
      <w:r>
        <w:rPr>
          <w:rFonts w:hint="eastAsia" w:ascii="Times New Roman" w:cs="Times New Roman"/>
          <w:szCs w:val="30"/>
          <w:lang w:val="en-US" w:eastAsia="zh-CN"/>
        </w:rPr>
        <w:t>时效指标</w:t>
      </w:r>
      <w:r>
        <w:rPr>
          <w:rFonts w:hint="default" w:ascii="Times New Roman" w:hAnsi="Times New Roman" w:cs="Times New Roman"/>
          <w:szCs w:val="30"/>
          <w:lang w:val="en-US" w:eastAsia="zh-CN"/>
        </w:rPr>
        <w:t>建议调整为</w:t>
      </w:r>
      <w:r>
        <w:rPr>
          <w:rFonts w:hint="default" w:ascii="Times New Roman" w:hAnsi="Times New Roman" w:cs="Times New Roman"/>
          <w:kern w:val="2"/>
          <w:sz w:val="30"/>
          <w:szCs w:val="30"/>
          <w:highlight w:val="none"/>
          <w:lang w:val="en-US" w:eastAsia="zh-CN" w:bidi="ar-SA"/>
        </w:rPr>
        <w:t>“采购工作完成及时性”</w:t>
      </w:r>
      <w:r>
        <w:rPr>
          <w:rFonts w:hint="eastAsia" w:ascii="Times New Roman" w:cs="Times New Roman"/>
          <w:kern w:val="2"/>
          <w:sz w:val="30"/>
          <w:szCs w:val="30"/>
          <w:highlight w:val="none"/>
          <w:lang w:val="en-US" w:eastAsia="zh-CN" w:bidi="ar-SA"/>
        </w:rPr>
        <w:t>或“验收开展及时性”</w:t>
      </w:r>
      <w:r>
        <w:rPr>
          <w:rFonts w:hint="default" w:ascii="Times New Roman" w:hAnsi="Times New Roman" w:cs="Times New Roman"/>
          <w:kern w:val="2"/>
          <w:sz w:val="30"/>
          <w:szCs w:val="30"/>
          <w:highlight w:val="none"/>
          <w:lang w:val="en-US" w:eastAsia="zh-CN" w:bidi="ar-SA"/>
        </w:rPr>
        <w:t>，用于考核</w:t>
      </w:r>
      <w:r>
        <w:rPr>
          <w:rFonts w:hint="eastAsia" w:ascii="Times New Roman" w:cs="Times New Roman"/>
          <w:kern w:val="2"/>
          <w:sz w:val="30"/>
          <w:szCs w:val="30"/>
          <w:highlight w:val="none"/>
          <w:lang w:val="en-US" w:eastAsia="zh-CN" w:bidi="ar-SA"/>
        </w:rPr>
        <w:t>项目采购及验收开展的及时性</w:t>
      </w:r>
      <w:r>
        <w:rPr>
          <w:rFonts w:hint="default" w:ascii="Times New Roman" w:hAnsi="Times New Roman" w:cs="Times New Roman"/>
          <w:kern w:val="2"/>
          <w:sz w:val="30"/>
          <w:szCs w:val="30"/>
          <w:highlight w:val="none"/>
          <w:lang w:val="en-US" w:eastAsia="zh-CN" w:bidi="ar-SA"/>
        </w:rPr>
        <w:t>。质量指标建议更改为“验收一次性通过率”，用于考核项目</w:t>
      </w:r>
      <w:r>
        <w:rPr>
          <w:rFonts w:hint="eastAsia" w:ascii="Times New Roman" w:cs="Times New Roman"/>
          <w:kern w:val="2"/>
          <w:sz w:val="30"/>
          <w:szCs w:val="30"/>
          <w:highlight w:val="none"/>
          <w:lang w:val="en-US" w:eastAsia="zh-CN" w:bidi="ar-SA"/>
        </w:rPr>
        <w:t>验收情况</w:t>
      </w:r>
      <w:r>
        <w:rPr>
          <w:rFonts w:hint="default" w:ascii="Times New Roman" w:hAnsi="Times New Roman" w:cs="Times New Roman"/>
          <w:kern w:val="2"/>
          <w:sz w:val="30"/>
          <w:szCs w:val="30"/>
          <w:highlight w:val="none"/>
          <w:lang w:val="en-US" w:eastAsia="zh-CN" w:bidi="ar-SA"/>
        </w:rPr>
        <w:t>。</w:t>
      </w:r>
      <w:r>
        <w:rPr>
          <w:rFonts w:hint="eastAsia" w:ascii="Times New Roman" w:cs="Times New Roman"/>
          <w:kern w:val="2"/>
          <w:sz w:val="30"/>
          <w:szCs w:val="30"/>
          <w:highlight w:val="none"/>
          <w:lang w:val="en-US" w:eastAsia="zh-CN" w:bidi="ar-SA"/>
        </w:rPr>
        <w:t>效益指标建议调整为“云南省互联网访问性能提升情况”，用于考核项目完成后对于云南的影响，二是增设“问题整改率”，用于考核验收后问题整改的情况。</w:t>
      </w:r>
    </w:p>
    <w:p w14:paraId="3F5E744B">
      <w:pPr>
        <w:pStyle w:val="33"/>
        <w:keepNext w:val="0"/>
        <w:keepLines w:val="0"/>
        <w:pageBreakBefore w:val="0"/>
        <w:kinsoku/>
        <w:wordWrap/>
        <w:overflowPunct/>
        <w:topLinePunct w:val="0"/>
        <w:autoSpaceDE/>
        <w:autoSpaceDN/>
        <w:bidi w:val="0"/>
        <w:adjustRightInd/>
        <w:spacing w:beforeAutospacing="0" w:afterAutospacing="0" w:line="579" w:lineRule="exact"/>
        <w:textAlignment w:val="auto"/>
        <w:outlineLvl w:val="1"/>
        <w:rPr>
          <w:rFonts w:hint="default" w:ascii="Times New Roman" w:hAnsi="Times New Roman" w:cs="Times New Roman"/>
          <w:lang w:val="en-US" w:eastAsia="zh-CN"/>
        </w:rPr>
      </w:pPr>
      <w:bookmarkStart w:id="20" w:name="_Toc6319"/>
      <w:r>
        <w:rPr>
          <w:rFonts w:hint="default" w:ascii="Times New Roman" w:hAnsi="Times New Roman" w:cs="Times New Roman"/>
          <w:lang w:val="en-US" w:eastAsia="zh-CN"/>
        </w:rPr>
        <w:t>（二）强化项目进度管理</w:t>
      </w:r>
      <w:bookmarkEnd w:id="20"/>
    </w:p>
    <w:p w14:paraId="3468AD12">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建议根据项目实际进度情况，调整工作计划，确保后续工作的合理安排。特别是要对关键节点进行优先审视，制定明确的时间表和责任分工。此外，建议定期召开项目进展会议，及时沟通各方意见，评估当前进展，识别潜在风险，确保所有团队成员对项目目标保持一致理解，从而有效提升工作效率。</w:t>
      </w:r>
    </w:p>
    <w:bookmarkEnd w:id="1"/>
    <w:p w14:paraId="706C8645">
      <w:pPr>
        <w:keepNext w:val="0"/>
        <w:keepLines w:val="0"/>
        <w:pageBreakBefore w:val="0"/>
        <w:widowControl w:val="0"/>
        <w:numPr>
          <w:ilvl w:val="-1"/>
          <w:numId w:val="0"/>
        </w:numPr>
        <w:kinsoku/>
        <w:wordWrap/>
        <w:topLinePunct w:val="0"/>
        <w:autoSpaceDE/>
        <w:autoSpaceDN/>
        <w:bidi w:val="0"/>
        <w:adjustRightInd w:val="0"/>
        <w:snapToGrid w:val="0"/>
        <w:spacing w:line="579" w:lineRule="exact"/>
        <w:ind w:firstLine="0" w:firstLineChars="0"/>
        <w:textAlignment w:val="auto"/>
        <w:outlineLvl w:val="9"/>
        <w:rPr>
          <w:rFonts w:hint="default" w:ascii="Times New Roman" w:hAnsi="Times New Roman" w:eastAsia="方正小标宋简体" w:cs="Times New Roman"/>
          <w:sz w:val="44"/>
          <w:szCs w:val="44"/>
        </w:rPr>
      </w:pPr>
    </w:p>
    <w:p w14:paraId="0986B51A">
      <w:pPr>
        <w:pStyle w:val="29"/>
        <w:rPr>
          <w:rFonts w:hint="default" w:ascii="Times New Roman" w:hAnsi="Times New Roman" w:cs="Times New Roman"/>
        </w:rPr>
        <w:sectPr>
          <w:footerReference r:id="rId6" w:type="default"/>
          <w:footerReference r:id="rId7" w:type="even"/>
          <w:pgSz w:w="11906" w:h="16838"/>
          <w:pgMar w:top="2098" w:right="1474" w:bottom="1985" w:left="1588" w:header="851" w:footer="1474" w:gutter="0"/>
          <w:pgNumType w:fmt="upperRoman" w:start="1"/>
          <w:cols w:space="425" w:num="1"/>
          <w:docGrid w:type="linesAndChars" w:linePitch="579" w:charSpace="3247"/>
        </w:sectPr>
      </w:pPr>
    </w:p>
    <w:p w14:paraId="5C4E5CE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color w:val="auto"/>
          <w:kern w:val="36"/>
          <w:sz w:val="44"/>
          <w:szCs w:val="44"/>
          <w:highlight w:val="none"/>
          <w:lang w:val="en-US" w:eastAsia="zh-CN"/>
        </w:rPr>
      </w:pPr>
      <w:r>
        <w:rPr>
          <w:rFonts w:hint="default" w:ascii="Times New Roman" w:hAnsi="Times New Roman" w:eastAsia="方正小标宋简体" w:cs="Times New Roman"/>
          <w:color w:val="auto"/>
          <w:kern w:val="36"/>
          <w:sz w:val="44"/>
          <w:szCs w:val="44"/>
          <w:highlight w:val="none"/>
          <w:lang w:val="en-US" w:eastAsia="zh-CN"/>
        </w:rPr>
        <w:t>2023年度第一批省级新型基础设施建设专项资金项目</w:t>
      </w:r>
      <w:r>
        <w:rPr>
          <w:rFonts w:hint="eastAsia" w:ascii="Times New Roman" w:eastAsia="方正小标宋简体" w:cs="Times New Roman"/>
          <w:color w:val="auto"/>
          <w:kern w:val="36"/>
          <w:sz w:val="44"/>
          <w:szCs w:val="44"/>
          <w:highlight w:val="none"/>
          <w:lang w:val="en-US" w:eastAsia="zh-CN"/>
        </w:rPr>
        <w:t>支出</w:t>
      </w:r>
      <w:r>
        <w:rPr>
          <w:rFonts w:hint="default" w:ascii="Times New Roman" w:hAnsi="Times New Roman" w:eastAsia="方正小标宋简体" w:cs="Times New Roman"/>
          <w:color w:val="auto"/>
          <w:kern w:val="36"/>
          <w:sz w:val="44"/>
          <w:szCs w:val="44"/>
          <w:highlight w:val="none"/>
          <w:lang w:val="en-US" w:eastAsia="zh-CN"/>
        </w:rPr>
        <w:t>绩效评价报告</w:t>
      </w:r>
    </w:p>
    <w:p w14:paraId="3EB45EEF">
      <w:pPr>
        <w:spacing w:line="579" w:lineRule="exact"/>
        <w:rPr>
          <w:rFonts w:hint="default" w:ascii="Times New Roman" w:hAnsi="Times New Roman" w:cs="Times New Roman"/>
          <w:sz w:val="36"/>
          <w:szCs w:val="36"/>
        </w:rPr>
      </w:pPr>
    </w:p>
    <w:p w14:paraId="463C43B5">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w:t>
      </w:r>
      <w:r>
        <w:rPr>
          <w:rFonts w:hint="default" w:ascii="Times New Roman" w:hAnsi="Times New Roman" w:cs="Times New Roman"/>
          <w:szCs w:val="30"/>
          <w:lang w:val="en-US" w:eastAsia="zh-CN"/>
        </w:rPr>
        <w:t>《中华人民共和国预算法》《中共中央国务院关于全面实施预算绩效管理的意见》（中发〔2018〕34号）、《中共云南省委云南省人民政府关于全面实施预算绩效管理的实施意见》（云发〔2019〕11号）</w:t>
      </w:r>
      <w:r>
        <w:rPr>
          <w:rFonts w:hint="eastAsia" w:ascii="Times New Roman" w:cs="Times New Roman"/>
          <w:szCs w:val="30"/>
          <w:lang w:val="en-US" w:eastAsia="zh-CN"/>
        </w:rPr>
        <w:t>、</w:t>
      </w:r>
      <w:r>
        <w:rPr>
          <w:rFonts w:hint="default" w:ascii="Times New Roman" w:hAnsi="Times New Roman" w:cs="Times New Roman"/>
          <w:szCs w:val="30"/>
          <w:lang w:val="en-US" w:eastAsia="zh-CN"/>
        </w:rPr>
        <w:t>《云南省财政厅关于印发云南省财政厅绩效评价质量控制机制（试行）的通知》（云财办〔2022〕14号）</w:t>
      </w:r>
      <w:r>
        <w:rPr>
          <w:rFonts w:hint="default" w:ascii="Times New Roman" w:hAnsi="Times New Roman" w:eastAsia="仿宋" w:cs="Times New Roman"/>
          <w:kern w:val="30"/>
          <w:sz w:val="30"/>
          <w:szCs w:val="30"/>
          <w:lang w:val="en-US" w:eastAsia="zh-CN" w:bidi="ar-SA"/>
        </w:rPr>
        <w:t>的要求，</w:t>
      </w:r>
      <w:r>
        <w:rPr>
          <w:rFonts w:hint="default" w:ascii="Times New Roman" w:hAnsi="Times New Roman" w:cs="Times New Roman"/>
          <w:szCs w:val="30"/>
          <w:lang w:val="en-US" w:eastAsia="zh-CN"/>
        </w:rPr>
        <w:t>昆明市西山区财政局（以下简称</w:t>
      </w:r>
      <w:r>
        <w:rPr>
          <w:rFonts w:hint="eastAsia" w:ascii="Times New Roman" w:cs="Times New Roman"/>
          <w:szCs w:val="30"/>
          <w:lang w:val="en-US" w:eastAsia="zh-CN"/>
        </w:rPr>
        <w:t>“</w:t>
      </w:r>
      <w:r>
        <w:rPr>
          <w:rFonts w:hint="default" w:ascii="Times New Roman" w:hAnsi="Times New Roman" w:cs="Times New Roman"/>
          <w:szCs w:val="30"/>
          <w:lang w:val="en-US" w:eastAsia="zh-CN"/>
        </w:rPr>
        <w:t>区财政局</w:t>
      </w:r>
      <w:r>
        <w:rPr>
          <w:rFonts w:hint="eastAsia" w:ascii="Times New Roman" w:cs="Times New Roman"/>
          <w:szCs w:val="30"/>
          <w:lang w:val="en-US" w:eastAsia="zh-CN"/>
        </w:rPr>
        <w:t>”</w:t>
      </w:r>
      <w:r>
        <w:rPr>
          <w:rFonts w:hint="default" w:ascii="Times New Roman" w:hAnsi="Times New Roman" w:cs="Times New Roman"/>
          <w:szCs w:val="30"/>
          <w:lang w:val="en-US" w:eastAsia="zh-CN"/>
        </w:rPr>
        <w:t>）委托昆明池砾项目咨询有限责任公司（以下简称</w:t>
      </w:r>
      <w:r>
        <w:rPr>
          <w:rFonts w:hint="eastAsia" w:ascii="Times New Roman" w:cs="Times New Roman"/>
          <w:szCs w:val="30"/>
          <w:lang w:val="en-US" w:eastAsia="zh-CN"/>
        </w:rPr>
        <w:t>“</w:t>
      </w:r>
      <w:r>
        <w:rPr>
          <w:rFonts w:hint="default" w:ascii="Times New Roman" w:hAnsi="Times New Roman" w:cs="Times New Roman"/>
          <w:szCs w:val="30"/>
          <w:lang w:val="en-US" w:eastAsia="zh-CN"/>
        </w:rPr>
        <w:t>池砾公司</w:t>
      </w:r>
      <w:r>
        <w:rPr>
          <w:rFonts w:hint="eastAsia" w:ascii="Times New Roman" w:cs="Times New Roman"/>
          <w:szCs w:val="30"/>
          <w:lang w:val="en-US" w:eastAsia="zh-CN"/>
        </w:rPr>
        <w:t>”</w:t>
      </w:r>
      <w:r>
        <w:rPr>
          <w:rFonts w:hint="default" w:ascii="Times New Roman" w:hAnsi="Times New Roman" w:cs="Times New Roman"/>
          <w:szCs w:val="30"/>
          <w:lang w:val="en-US" w:eastAsia="zh-CN"/>
        </w:rPr>
        <w:t>）对2023年度第一批省级新型基础设施建设专项资金项目（以下简称</w:t>
      </w:r>
      <w:r>
        <w:rPr>
          <w:rFonts w:hint="eastAsia" w:ascii="Times New Roman" w:cs="Times New Roman"/>
          <w:szCs w:val="30"/>
          <w:lang w:val="en-US" w:eastAsia="zh-CN"/>
        </w:rPr>
        <w:t>“</w:t>
      </w:r>
      <w:r>
        <w:rPr>
          <w:rFonts w:hint="default" w:ascii="Times New Roman" w:hAnsi="Times New Roman" w:cs="Times New Roman"/>
          <w:szCs w:val="30"/>
          <w:lang w:val="en-US" w:eastAsia="zh-CN"/>
        </w:rPr>
        <w:t>本项目</w:t>
      </w:r>
      <w:r>
        <w:rPr>
          <w:rFonts w:hint="eastAsia" w:ascii="Times New Roman" w:cs="Times New Roman"/>
          <w:szCs w:val="30"/>
          <w:lang w:val="en-US" w:eastAsia="zh-CN"/>
        </w:rPr>
        <w:t>”</w:t>
      </w:r>
      <w:r>
        <w:rPr>
          <w:rFonts w:hint="default" w:ascii="Times New Roman" w:hAnsi="Times New Roman" w:cs="Times New Roman"/>
          <w:szCs w:val="30"/>
          <w:lang w:val="en-US" w:eastAsia="zh-CN"/>
        </w:rPr>
        <w:t>）开展绩效评价</w:t>
      </w:r>
      <w:r>
        <w:rPr>
          <w:rFonts w:hint="default" w:ascii="Times New Roman" w:hAnsi="Times New Roman" w:eastAsia="仿宋" w:cs="Times New Roman"/>
          <w:kern w:val="30"/>
          <w:sz w:val="30"/>
          <w:szCs w:val="30"/>
          <w:lang w:val="en-US" w:eastAsia="zh-CN" w:bidi="ar-SA"/>
        </w:rPr>
        <w:t>。现将评价情况报告如下：</w:t>
      </w:r>
    </w:p>
    <w:p w14:paraId="09AA8248">
      <w:pPr>
        <w:pStyle w:val="32"/>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21" w:name="_Toc28791"/>
      <w:r>
        <w:rPr>
          <w:rFonts w:hint="default" w:ascii="Times New Roman" w:hAnsi="Times New Roman" w:cs="Times New Roman"/>
          <w:lang w:val="en-US" w:eastAsia="zh-CN"/>
        </w:rPr>
        <w:t>一、基本情况</w:t>
      </w:r>
      <w:bookmarkEnd w:id="21"/>
    </w:p>
    <w:p w14:paraId="6A0DBA4C">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b w:val="0"/>
          <w:bCs w:val="0"/>
        </w:rPr>
      </w:pPr>
      <w:bookmarkStart w:id="22" w:name="_Toc25077"/>
      <w:bookmarkStart w:id="72" w:name="_GoBack"/>
      <w:bookmarkEnd w:id="72"/>
      <w:r>
        <w:rPr>
          <w:rFonts w:hint="default" w:ascii="Times New Roman" w:hAnsi="Times New Roman" w:cs="Times New Roman"/>
          <w:b w:val="0"/>
          <w:bCs w:val="0"/>
        </w:rPr>
        <w:t>（一）项目概况</w:t>
      </w:r>
      <w:bookmarkEnd w:id="22"/>
    </w:p>
    <w:p w14:paraId="67A4DB3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b w:val="0"/>
          <w:bCs w:val="0"/>
          <w:lang w:val="en-US" w:eastAsia="zh-CN"/>
        </w:rPr>
      </w:pPr>
      <w:bookmarkStart w:id="23" w:name="_Toc13322"/>
      <w:r>
        <w:rPr>
          <w:rFonts w:hint="default" w:ascii="Times New Roman" w:hAnsi="Times New Roman" w:eastAsia="仿宋" w:cs="Times New Roman"/>
          <w:b w:val="0"/>
          <w:bCs w:val="0"/>
          <w:lang w:val="en-US" w:eastAsia="zh-CN"/>
        </w:rPr>
        <w:t>1.项目设立背景</w:t>
      </w:r>
      <w:bookmarkEnd w:id="23"/>
    </w:p>
    <w:p w14:paraId="416B237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lang w:val="en-US" w:eastAsia="zh-CN"/>
        </w:rPr>
      </w:pPr>
      <w:bookmarkStart w:id="24" w:name="_Toc23086"/>
      <w:r>
        <w:rPr>
          <w:rFonts w:hint="default" w:ascii="Times New Roman" w:hAnsi="Times New Roman" w:cs="Times New Roman"/>
          <w:szCs w:val="30"/>
          <w:lang w:val="en-US" w:eastAsia="zh-CN"/>
        </w:rPr>
        <w:t>2015年，习近平总书记在云南省考察指导工作时，殷切希望云南主动服务和融入国家发展战略，闯出一条跨越式发展的路子来，努力成为我国民族团结进步示范区、生态文明建设排头兵、面向南亚东南亚辐射中心。2020年</w:t>
      </w:r>
      <w:r>
        <w:rPr>
          <w:rFonts w:hint="eastAsia" w:ascii="Times New Roman" w:cs="Times New Roman"/>
          <w:szCs w:val="30"/>
          <w:lang w:val="en-US" w:eastAsia="zh-CN"/>
        </w:rPr>
        <w:t>，</w:t>
      </w:r>
      <w:r>
        <w:rPr>
          <w:rFonts w:hint="default" w:ascii="Times New Roman" w:hAnsi="Times New Roman" w:cs="Times New Roman"/>
          <w:szCs w:val="30"/>
          <w:lang w:val="en-US" w:eastAsia="zh-CN"/>
        </w:rPr>
        <w:t xml:space="preserve">习近平总书记再次考察云南并发表重要讲话，提出以大开放促进大发展，加快同周边国家互联互通国际大通道建设步伐。在构建以国内大循环为主体、国内国际双循环相互促进的新发展格局的过程中，各类生产要素加速向西部流动，推动东部产业加快向西部转移，云南迎来经济转型升级的关键期。云南省政府高度重视现代化基础设施体系建设，系统布局“新基建”，大力推进“数字云南”建设，抢抓数字经济发展重大历史机遇，打造面向南亚东南亚数字经济先行示范区，制造业数字化转型步伐加快，“十三五”期间，全省信息产业主营业务收入平均增速超过20%。 </w:t>
      </w:r>
    </w:p>
    <w:p w14:paraId="631EF53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在云南省优化资源配置、重塑发展优势，推动质量变革、效率变革、动力变革，建设现代化经济体系的过程中，互联网网络将发挥支撑底座的重要作用。云南省网间流量增长显著，近五年年均复合增长率超过40%，但网间性能较为落后，2021年12月云南省网间时延全国排名第26位。网间互联互通不畅问题日益凸显，无法匹配云南省传统产业转型升级与战略性新兴产业的发展需求，成为产业创新、提升营商环境方面的短板，一定程度上影响了经济高质量发展。</w:t>
      </w:r>
    </w:p>
    <w:p w14:paraId="0723533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szCs w:val="30"/>
          <w:lang w:val="en-US" w:eastAsia="zh-CN"/>
        </w:rPr>
        <w:t>互联网骨干直联点是国家互联网顶层互联架构中最重要的基础设施，是我国互联网网间互联架构的顶层关键节点，对于汇聚和疏通区域乃至全国网间通信流量、提升全国互联网运行效率、带动地方产业发展与经济转型具有重要的作用。增设昆明国家级互联网骨干直联点，将有助于提高全省网间流量疏导效率，全面提升云南省整体互联网基础设施水平，为全面推动云南加快向数字经济强省、</w:t>
      </w:r>
      <w:r>
        <w:rPr>
          <w:rFonts w:hint="default" w:ascii="Times New Roman" w:hAnsi="Times New Roman" w:cs="Times New Roman"/>
          <w:szCs w:val="30"/>
          <w:highlight w:val="none"/>
          <w:lang w:val="en-US" w:eastAsia="zh-CN"/>
        </w:rPr>
        <w:t>网络强省转变创造坚实的网络基础条件。因此，</w:t>
      </w:r>
      <w:r>
        <w:rPr>
          <w:rFonts w:hint="eastAsia" w:ascii="Times New Roman" w:cs="Times New Roman"/>
          <w:szCs w:val="30"/>
          <w:highlight w:val="none"/>
          <w:lang w:val="en-US" w:eastAsia="zh-CN"/>
        </w:rPr>
        <w:t>区发改局制定了</w:t>
      </w:r>
      <w:r>
        <w:rPr>
          <w:rFonts w:hint="default" w:ascii="Times New Roman" w:hAnsi="Times New Roman" w:cs="Times New Roman"/>
          <w:szCs w:val="30"/>
          <w:highlight w:val="none"/>
          <w:lang w:val="en-US" w:eastAsia="zh-CN"/>
        </w:rPr>
        <w:t>“2023年度第一批省级新型基础设施建设专项资金”，用于增设昆明骨干直联点，满足至2025年底的业务发展需求。</w:t>
      </w:r>
    </w:p>
    <w:p w14:paraId="4A4F1F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2022年9月27日，工信部批复同意云南省建设昆明国家级骨干直联点。中国移动通信集团有限公司云南分公司积极开展直联点建设和直联点监测系统建设工作。根据《昆明国家级互联网骨干直联点申报方案》中确定的网间带宽规模，启动云南移动骨干直联点网络建设项目，包括网间IP设备、传输网络、网内IP网络、网络安全系统等多个单项工程的建设。</w:t>
      </w:r>
    </w:p>
    <w:p w14:paraId="6FB4856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云南建设骨干直联点，在省内实现网间流量交换，可以有效减轻骨干网路由器及他省骨干直联点的负荷，同时释放大量运营商承载网链路资源，减少绕转他省骨干直联点增加的路由跳数，降低用户访问业务的时延，进而改善用户体验。</w:t>
      </w:r>
    </w:p>
    <w:p w14:paraId="66AFD3E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2.项目设立目的</w:t>
      </w:r>
      <w:bookmarkEnd w:id="24"/>
    </w:p>
    <w:p w14:paraId="6ADF391F">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kern w:val="30"/>
          <w:sz w:val="30"/>
          <w:szCs w:val="30"/>
          <w:highlight w:val="none"/>
          <w:lang w:val="en-US" w:eastAsia="zh-CN" w:bidi="ar-SA"/>
        </w:rPr>
        <w:t>云南省在国家发展战略中扮演着重要角色，面临经济转型升级的关键期。为促进与周边国家的互联互通，云南省政府积极推进现代化基础设施建设，特别是“数字云南”建设，推动信息产业快速增长。然而，目前云南的互联网性能相对落后，网间互联互通不畅，制约了产业创新和经济高质量发展。增设昆明国家级互联网骨干直联点，将显著提升全省的互联网基础设施水平和流量疏导效率，为云南向数字经济强省转型提供坚实的基础。</w:t>
      </w:r>
    </w:p>
    <w:p w14:paraId="082C0ECB">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25" w:name="_Toc32168"/>
      <w:r>
        <w:rPr>
          <w:rFonts w:hint="default" w:ascii="Times New Roman" w:hAnsi="Times New Roman" w:cs="Times New Roman"/>
        </w:rPr>
        <w:t>（二）项目资金安排情况</w:t>
      </w:r>
      <w:bookmarkEnd w:id="25"/>
    </w:p>
    <w:p w14:paraId="2C4E9A0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1.资金来源及到位情况</w:t>
      </w:r>
    </w:p>
    <w:p w14:paraId="6402BDB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b w:val="0"/>
          <w:bCs w:val="0"/>
          <w:lang w:val="en-US" w:eastAsia="zh-CN"/>
        </w:rPr>
      </w:pPr>
      <w:r>
        <w:rPr>
          <w:rFonts w:hint="eastAsia" w:ascii="Times New Roman" w:cs="Times New Roman"/>
          <w:b w:val="0"/>
          <w:bCs w:val="0"/>
          <w:lang w:val="en-US" w:eastAsia="zh-CN"/>
        </w:rPr>
        <w:t>（1）预算安排及来源情况</w:t>
      </w:r>
    </w:p>
    <w:p w14:paraId="1289A37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b w:val="0"/>
          <w:bCs w:val="0"/>
          <w:lang w:val="en-US" w:eastAsia="zh-CN"/>
        </w:rPr>
        <w:t>本项目</w:t>
      </w:r>
      <w:r>
        <w:rPr>
          <w:rFonts w:hint="eastAsia" w:ascii="Times New Roman" w:cs="Times New Roman"/>
          <w:b w:val="0"/>
          <w:bCs w:val="0"/>
          <w:lang w:val="en-US" w:eastAsia="zh-CN"/>
        </w:rPr>
        <w:t>预算单位为区发改局，项目实施</w:t>
      </w:r>
      <w:r>
        <w:rPr>
          <w:rFonts w:hint="default" w:ascii="Times New Roman" w:hAnsi="Times New Roman" w:cs="Times New Roman"/>
          <w:b w:val="0"/>
          <w:bCs w:val="0"/>
          <w:lang w:val="en-US" w:eastAsia="zh-CN"/>
        </w:rPr>
        <w:t>单位为中国移动通信集团云南有限公司。</w:t>
      </w:r>
      <w:r>
        <w:rPr>
          <w:rFonts w:hint="default" w:ascii="Times New Roman" w:hAnsi="Times New Roman" w:cs="Times New Roman"/>
          <w:szCs w:val="30"/>
          <w:highlight w:val="none"/>
          <w:lang w:val="en-US" w:eastAsia="zh-CN"/>
        </w:rPr>
        <w:t>根据《昆明国家级互联网骨干直联点项目（移动部分）可行性研究报告》，</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本工程总投资为不含税11028.82万元人民币，其中9047.5万元由省市政府统筹解决，剩余1981.32万元由中国移动通信集团云南有限公司自筹。昆明骨干直联点上线运行并完成系统终验后，网络运行维护资金由中国移动通信集团云南有限公司自筹解决。</w:t>
      </w:r>
      <w:r>
        <w:rPr>
          <w:rFonts w:hint="eastAsia" w:ascii="Times New Roman" w:cs="Times New Roman"/>
          <w:szCs w:val="30"/>
          <w:highlight w:val="none"/>
          <w:lang w:val="en-US" w:eastAsia="zh-CN"/>
        </w:rPr>
        <w:t>”</w:t>
      </w:r>
    </w:p>
    <w:p w14:paraId="1A86E22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后续项目实施单位根据</w:t>
      </w:r>
      <w:r>
        <w:rPr>
          <w:rFonts w:hint="eastAsia"/>
          <w:lang w:val="en-US" w:eastAsia="zh-CN"/>
        </w:rPr>
        <w:t>财政预算资金，对20</w:t>
      </w:r>
      <w:r>
        <w:rPr>
          <w:rFonts w:hint="default" w:ascii="Times New Roman" w:hAnsi="Times New Roman" w:cs="Times New Roman"/>
          <w:szCs w:val="30"/>
          <w:highlight w:val="none"/>
          <w:lang w:val="en-US" w:eastAsia="zh-CN"/>
        </w:rPr>
        <w:t>个子项目出具了设计批复</w:t>
      </w:r>
      <w:r>
        <w:rPr>
          <w:rFonts w:hint="eastAsia" w:ascii="Times New Roman" w:cs="Times New Roman"/>
          <w:szCs w:val="30"/>
          <w:highlight w:val="none"/>
          <w:lang w:val="en-US" w:eastAsia="zh-CN"/>
        </w:rPr>
        <w:t>，并制定了财政预算资金范围内的项目预算，</w:t>
      </w:r>
      <w:r>
        <w:rPr>
          <w:rFonts w:hint="default" w:ascii="Times New Roman" w:hAnsi="Times New Roman" w:cs="Times New Roman"/>
          <w:szCs w:val="30"/>
          <w:highlight w:val="none"/>
          <w:lang w:val="en-US" w:eastAsia="zh-CN"/>
        </w:rPr>
        <w:t>总金额为10</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076.13万元，具体预算明细如下：</w:t>
      </w:r>
    </w:p>
    <w:p w14:paraId="0F53FD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lang w:val="en-US" w:eastAsia="zh-CN"/>
        </w:rPr>
      </w:pPr>
      <w:r>
        <w:rPr>
          <w:rFonts w:hint="eastAsia" w:ascii="Times New Roman" w:eastAsia="黑体" w:cs="Times New Roman"/>
          <w:b w:val="0"/>
          <w:bCs/>
          <w:sz w:val="24"/>
          <w:szCs w:val="24"/>
          <w:lang w:val="en-US" w:eastAsia="zh-CN"/>
        </w:rPr>
        <w:t xml:space="preserve">表1 </w:t>
      </w:r>
      <w:r>
        <w:rPr>
          <w:rFonts w:hint="default" w:ascii="Times New Roman" w:hAnsi="Times New Roman" w:eastAsia="黑体" w:cs="Times New Roman"/>
          <w:b w:val="0"/>
          <w:bCs/>
          <w:sz w:val="24"/>
          <w:szCs w:val="24"/>
          <w:lang w:val="en-US" w:eastAsia="zh-CN"/>
        </w:rPr>
        <w:t>预算明细</w:t>
      </w:r>
      <w:r>
        <w:rPr>
          <w:rFonts w:hint="eastAsia" w:ascii="Times New Roman" w:hAnsi="Times New Roman" w:eastAsia="黑体" w:cs="Times New Roman"/>
          <w:b w:val="0"/>
          <w:bCs/>
          <w:sz w:val="24"/>
          <w:szCs w:val="24"/>
          <w:lang w:val="en-US" w:eastAsia="zh-CN"/>
        </w:rPr>
        <w:t>表</w:t>
      </w:r>
    </w:p>
    <w:p w14:paraId="35E263BD">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单位：万元</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033"/>
        <w:gridCol w:w="1669"/>
        <w:gridCol w:w="1670"/>
      </w:tblGrid>
      <w:tr w14:paraId="09C9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9" w:type="dxa"/>
            <w:vAlign w:val="center"/>
          </w:tcPr>
          <w:p w14:paraId="208755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序号</w:t>
            </w:r>
          </w:p>
        </w:tc>
        <w:tc>
          <w:tcPr>
            <w:tcW w:w="5033" w:type="dxa"/>
            <w:vAlign w:val="center"/>
          </w:tcPr>
          <w:p w14:paraId="120E541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项目名称</w:t>
            </w:r>
          </w:p>
        </w:tc>
        <w:tc>
          <w:tcPr>
            <w:tcW w:w="1669" w:type="dxa"/>
            <w:vAlign w:val="center"/>
          </w:tcPr>
          <w:p w14:paraId="317A1E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立项金额</w:t>
            </w:r>
          </w:p>
        </w:tc>
        <w:tc>
          <w:tcPr>
            <w:tcW w:w="1670" w:type="dxa"/>
            <w:vAlign w:val="center"/>
          </w:tcPr>
          <w:p w14:paraId="3E5B9CD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设计批复金额</w:t>
            </w:r>
          </w:p>
        </w:tc>
      </w:tr>
      <w:tr w14:paraId="4566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57AE50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5033" w:type="dxa"/>
            <w:vAlign w:val="center"/>
          </w:tcPr>
          <w:p w14:paraId="3012F94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中国移动云南公司2022年网络安全态势感知平台一阶段改造项目</w:t>
            </w:r>
          </w:p>
        </w:tc>
        <w:tc>
          <w:tcPr>
            <w:tcW w:w="1669" w:type="dxa"/>
            <w:vAlign w:val="center"/>
          </w:tcPr>
          <w:p w14:paraId="6DCEB31A">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291</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32F1E99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280.14</w:t>
            </w:r>
          </w:p>
        </w:tc>
      </w:tr>
      <w:tr w14:paraId="5B29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60666C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5033" w:type="dxa"/>
            <w:vAlign w:val="center"/>
          </w:tcPr>
          <w:p w14:paraId="1125C8A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中国移动云南公司2022年资产安全管理平台扩容改造项目</w:t>
            </w:r>
          </w:p>
        </w:tc>
        <w:tc>
          <w:tcPr>
            <w:tcW w:w="1669" w:type="dxa"/>
            <w:vAlign w:val="center"/>
          </w:tcPr>
          <w:p w14:paraId="3F54BDB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153</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0DEF4035">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148.6</w:t>
            </w:r>
            <w:r>
              <w:rPr>
                <w:rFonts w:hint="eastAsia" w:ascii="Times New Roman" w:eastAsia="宋体" w:cs="Times New Roman"/>
                <w:i w:val="0"/>
                <w:iCs w:val="0"/>
                <w:color w:val="000000"/>
                <w:kern w:val="0"/>
                <w:sz w:val="21"/>
                <w:szCs w:val="21"/>
                <w:u w:val="none"/>
                <w:lang w:val="en-US" w:eastAsia="zh-CN" w:bidi="ar"/>
              </w:rPr>
              <w:t>8</w:t>
            </w:r>
          </w:p>
        </w:tc>
      </w:tr>
      <w:tr w14:paraId="6E2F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2A09CB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5033" w:type="dxa"/>
            <w:vAlign w:val="center"/>
          </w:tcPr>
          <w:p w14:paraId="47928A6B">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昆明国家级互联网骨干直联点项目（移动部分）DPI系统二阶段扩容单项工程</w:t>
            </w:r>
          </w:p>
        </w:tc>
        <w:tc>
          <w:tcPr>
            <w:tcW w:w="1669" w:type="dxa"/>
            <w:vAlign w:val="center"/>
          </w:tcPr>
          <w:p w14:paraId="603508AA">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609</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3EB328B8">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246.1</w:t>
            </w:r>
            <w:r>
              <w:rPr>
                <w:rFonts w:hint="eastAsia" w:ascii="Times New Roman" w:eastAsia="宋体" w:cs="Times New Roman"/>
                <w:i w:val="0"/>
                <w:iCs w:val="0"/>
                <w:color w:val="000000"/>
                <w:kern w:val="0"/>
                <w:sz w:val="21"/>
                <w:szCs w:val="21"/>
                <w:u w:val="none"/>
                <w:lang w:val="en-US" w:eastAsia="zh-CN" w:bidi="ar"/>
              </w:rPr>
              <w:t>6</w:t>
            </w:r>
          </w:p>
        </w:tc>
      </w:tr>
      <w:tr w14:paraId="3797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513DC35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5033" w:type="dxa"/>
            <w:vAlign w:val="center"/>
          </w:tcPr>
          <w:p w14:paraId="294796E6">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中国移动云南公司互联网骨干直联点DPI系统一阶段扩容项目</w:t>
            </w:r>
          </w:p>
        </w:tc>
        <w:tc>
          <w:tcPr>
            <w:tcW w:w="1669" w:type="dxa"/>
            <w:vAlign w:val="center"/>
          </w:tcPr>
          <w:p w14:paraId="5126CFFE">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106</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276464D1">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079.07</w:t>
            </w:r>
          </w:p>
        </w:tc>
      </w:tr>
      <w:tr w14:paraId="52BF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3609D5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5033" w:type="dxa"/>
            <w:vAlign w:val="center"/>
          </w:tcPr>
          <w:p w14:paraId="56A041AA">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昆明国家级互联网骨干直联点项目（移动部分）IP网网内扩容改造单项工程</w:t>
            </w:r>
          </w:p>
        </w:tc>
        <w:tc>
          <w:tcPr>
            <w:tcW w:w="1669" w:type="dxa"/>
            <w:vAlign w:val="center"/>
          </w:tcPr>
          <w:p w14:paraId="53DADF96">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196</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57439FDB">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193.79</w:t>
            </w:r>
          </w:p>
        </w:tc>
      </w:tr>
      <w:tr w14:paraId="7456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71D0A6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6</w:t>
            </w:r>
          </w:p>
        </w:tc>
        <w:tc>
          <w:tcPr>
            <w:tcW w:w="5033" w:type="dxa"/>
            <w:vAlign w:val="center"/>
          </w:tcPr>
          <w:p w14:paraId="4E08BF05">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中国移动CMNet骨干网新建昆明、长春直联点工程_云南公司</w:t>
            </w:r>
          </w:p>
        </w:tc>
        <w:tc>
          <w:tcPr>
            <w:tcW w:w="1669" w:type="dxa"/>
            <w:vAlign w:val="center"/>
          </w:tcPr>
          <w:p w14:paraId="325A4000">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426</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77F16D0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411.7</w:t>
            </w:r>
            <w:r>
              <w:rPr>
                <w:rFonts w:hint="eastAsia" w:ascii="Times New Roman" w:eastAsia="宋体" w:cs="Times New Roman"/>
                <w:i w:val="0"/>
                <w:iCs w:val="0"/>
                <w:color w:val="000000"/>
                <w:kern w:val="0"/>
                <w:sz w:val="21"/>
                <w:szCs w:val="21"/>
                <w:u w:val="none"/>
                <w:lang w:val="en-US" w:eastAsia="zh-CN" w:bidi="ar"/>
              </w:rPr>
              <w:t>1</w:t>
            </w:r>
          </w:p>
        </w:tc>
      </w:tr>
      <w:tr w14:paraId="3AD2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261950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7</w:t>
            </w:r>
          </w:p>
        </w:tc>
        <w:tc>
          <w:tcPr>
            <w:tcW w:w="5033" w:type="dxa"/>
            <w:vAlign w:val="center"/>
          </w:tcPr>
          <w:p w14:paraId="00659CB4">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昆明国家级互联网骨干直联点项目（移动部分）监测系统配套建设单项工程</w:t>
            </w:r>
          </w:p>
        </w:tc>
        <w:tc>
          <w:tcPr>
            <w:tcW w:w="1669" w:type="dxa"/>
            <w:vAlign w:val="center"/>
          </w:tcPr>
          <w:p w14:paraId="5507A9FD">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259</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5DB9F4EB">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251.07</w:t>
            </w:r>
          </w:p>
        </w:tc>
      </w:tr>
      <w:tr w14:paraId="40A0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288B20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w:t>
            </w:r>
          </w:p>
        </w:tc>
        <w:tc>
          <w:tcPr>
            <w:tcW w:w="5033" w:type="dxa"/>
            <w:vAlign w:val="center"/>
          </w:tcPr>
          <w:p w14:paraId="73802A96">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中国移动云南公司昆明分公司互联网骨干直联点传输管道购置项目</w:t>
            </w:r>
          </w:p>
        </w:tc>
        <w:tc>
          <w:tcPr>
            <w:tcW w:w="1669" w:type="dxa"/>
            <w:vAlign w:val="center"/>
          </w:tcPr>
          <w:p w14:paraId="081FFC5C">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531.29</w:t>
            </w:r>
          </w:p>
        </w:tc>
        <w:tc>
          <w:tcPr>
            <w:tcW w:w="1670" w:type="dxa"/>
            <w:vAlign w:val="center"/>
          </w:tcPr>
          <w:p w14:paraId="20D90F32">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531.29</w:t>
            </w:r>
          </w:p>
        </w:tc>
      </w:tr>
      <w:tr w14:paraId="1FA0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3A323F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9</w:t>
            </w:r>
          </w:p>
        </w:tc>
        <w:tc>
          <w:tcPr>
            <w:tcW w:w="5033" w:type="dxa"/>
            <w:vAlign w:val="center"/>
          </w:tcPr>
          <w:p w14:paraId="0F5AD5CC">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昆明国家级互联网骨干直联点项目（移动部分）网间及网内OTN传输网络扩容改造单项工程</w:t>
            </w:r>
          </w:p>
        </w:tc>
        <w:tc>
          <w:tcPr>
            <w:tcW w:w="1669" w:type="dxa"/>
            <w:vAlign w:val="center"/>
          </w:tcPr>
          <w:p w14:paraId="486028ED">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211</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7751FF0E">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001.0</w:t>
            </w:r>
            <w:r>
              <w:rPr>
                <w:rFonts w:hint="eastAsia" w:ascii="Times New Roman" w:eastAsia="宋体" w:cs="Times New Roman"/>
                <w:i w:val="0"/>
                <w:iCs w:val="0"/>
                <w:color w:val="000000"/>
                <w:kern w:val="0"/>
                <w:sz w:val="21"/>
                <w:szCs w:val="21"/>
                <w:u w:val="none"/>
                <w:lang w:val="en-US" w:eastAsia="zh-CN" w:bidi="ar"/>
              </w:rPr>
              <w:t>2</w:t>
            </w:r>
          </w:p>
        </w:tc>
      </w:tr>
      <w:tr w14:paraId="2B61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05B038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w:t>
            </w:r>
          </w:p>
        </w:tc>
        <w:tc>
          <w:tcPr>
            <w:tcW w:w="5033" w:type="dxa"/>
            <w:vAlign w:val="center"/>
          </w:tcPr>
          <w:p w14:paraId="03C12FDE">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昆明国家级互联网骨干直联点项目（移动部分）数据中心一期小机电扩容单项工程</w:t>
            </w:r>
          </w:p>
        </w:tc>
        <w:tc>
          <w:tcPr>
            <w:tcW w:w="1669" w:type="dxa"/>
            <w:vAlign w:val="center"/>
          </w:tcPr>
          <w:p w14:paraId="187959D0">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788.8</w:t>
            </w:r>
            <w:r>
              <w:rPr>
                <w:rFonts w:hint="eastAsia" w:ascii="Times New Roman" w:eastAsia="宋体" w:cs="Times New Roman"/>
                <w:i w:val="0"/>
                <w:iCs w:val="0"/>
                <w:color w:val="000000"/>
                <w:kern w:val="0"/>
                <w:sz w:val="21"/>
                <w:szCs w:val="21"/>
                <w:u w:val="none"/>
                <w:lang w:val="en-US" w:eastAsia="zh-CN" w:bidi="ar"/>
              </w:rPr>
              <w:t>0</w:t>
            </w:r>
          </w:p>
        </w:tc>
        <w:tc>
          <w:tcPr>
            <w:tcW w:w="1670" w:type="dxa"/>
            <w:vAlign w:val="center"/>
          </w:tcPr>
          <w:p w14:paraId="4F7C33B6">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788.24</w:t>
            </w:r>
          </w:p>
        </w:tc>
      </w:tr>
      <w:tr w14:paraId="7AF3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4C009D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11</w:t>
            </w:r>
          </w:p>
        </w:tc>
        <w:tc>
          <w:tcPr>
            <w:tcW w:w="5033" w:type="dxa"/>
            <w:vAlign w:val="center"/>
          </w:tcPr>
          <w:p w14:paraId="4CE02B4F">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2022年曲靖分公司核心局楼动力配套大修更新项目</w:t>
            </w:r>
          </w:p>
        </w:tc>
        <w:tc>
          <w:tcPr>
            <w:tcW w:w="1669" w:type="dxa"/>
            <w:vAlign w:val="center"/>
          </w:tcPr>
          <w:p w14:paraId="1BF641B7">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25.24</w:t>
            </w:r>
          </w:p>
        </w:tc>
        <w:tc>
          <w:tcPr>
            <w:tcW w:w="1670" w:type="dxa"/>
            <w:vAlign w:val="center"/>
          </w:tcPr>
          <w:p w14:paraId="49AE841B">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22.9</w:t>
            </w:r>
            <w:r>
              <w:rPr>
                <w:rFonts w:hint="eastAsia" w:ascii="Times New Roman" w:eastAsia="宋体" w:cs="Times New Roman"/>
                <w:i w:val="0"/>
                <w:iCs w:val="0"/>
                <w:color w:val="000000"/>
                <w:kern w:val="0"/>
                <w:sz w:val="21"/>
                <w:szCs w:val="21"/>
                <w:u w:val="none"/>
                <w:lang w:val="en-US" w:eastAsia="zh-CN" w:bidi="ar"/>
              </w:rPr>
              <w:t>9</w:t>
            </w:r>
          </w:p>
        </w:tc>
      </w:tr>
      <w:tr w14:paraId="08C4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20DCD1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12</w:t>
            </w:r>
          </w:p>
        </w:tc>
        <w:tc>
          <w:tcPr>
            <w:tcW w:w="5033" w:type="dxa"/>
            <w:vAlign w:val="center"/>
          </w:tcPr>
          <w:p w14:paraId="52A75899">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2022年红河分公司核心局楼动力配套大修更新项目</w:t>
            </w:r>
          </w:p>
        </w:tc>
        <w:tc>
          <w:tcPr>
            <w:tcW w:w="1669" w:type="dxa"/>
            <w:vAlign w:val="center"/>
          </w:tcPr>
          <w:p w14:paraId="19DCA82A">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100.6</w:t>
            </w:r>
            <w:r>
              <w:rPr>
                <w:rFonts w:hint="eastAsia" w:ascii="Times New Roman" w:eastAsia="宋体" w:cs="Times New Roman"/>
                <w:i w:val="0"/>
                <w:iCs w:val="0"/>
                <w:color w:val="000000"/>
                <w:kern w:val="0"/>
                <w:sz w:val="21"/>
                <w:szCs w:val="21"/>
                <w:u w:val="none"/>
                <w:lang w:val="en-US" w:eastAsia="zh-CN" w:bidi="ar"/>
              </w:rPr>
              <w:t>4</w:t>
            </w:r>
          </w:p>
        </w:tc>
        <w:tc>
          <w:tcPr>
            <w:tcW w:w="1670" w:type="dxa"/>
            <w:vAlign w:val="center"/>
          </w:tcPr>
          <w:p w14:paraId="64315B92">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83.10</w:t>
            </w:r>
          </w:p>
        </w:tc>
      </w:tr>
      <w:tr w14:paraId="1184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66656E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13</w:t>
            </w:r>
          </w:p>
        </w:tc>
        <w:tc>
          <w:tcPr>
            <w:tcW w:w="5033" w:type="dxa"/>
            <w:vAlign w:val="center"/>
          </w:tcPr>
          <w:p w14:paraId="39681C99">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2022年红河分公司核心机房动力配套隐患整治项目</w:t>
            </w:r>
          </w:p>
        </w:tc>
        <w:tc>
          <w:tcPr>
            <w:tcW w:w="1669" w:type="dxa"/>
            <w:vAlign w:val="center"/>
          </w:tcPr>
          <w:p w14:paraId="2737A082">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140.5</w:t>
            </w:r>
            <w:r>
              <w:rPr>
                <w:rFonts w:hint="eastAsia" w:ascii="Times New Roman" w:eastAsia="宋体" w:cs="Times New Roman"/>
                <w:i w:val="0"/>
                <w:iCs w:val="0"/>
                <w:color w:val="000000"/>
                <w:kern w:val="0"/>
                <w:sz w:val="21"/>
                <w:szCs w:val="21"/>
                <w:u w:val="none"/>
                <w:lang w:val="en-US" w:eastAsia="zh-CN" w:bidi="ar"/>
              </w:rPr>
              <w:t>1</w:t>
            </w:r>
          </w:p>
        </w:tc>
        <w:tc>
          <w:tcPr>
            <w:tcW w:w="1670" w:type="dxa"/>
            <w:vAlign w:val="center"/>
          </w:tcPr>
          <w:p w14:paraId="21DAC558">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139.57</w:t>
            </w:r>
          </w:p>
        </w:tc>
      </w:tr>
      <w:tr w14:paraId="49B7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174B9D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14</w:t>
            </w:r>
          </w:p>
        </w:tc>
        <w:tc>
          <w:tcPr>
            <w:tcW w:w="5033" w:type="dxa"/>
            <w:vAlign w:val="center"/>
          </w:tcPr>
          <w:p w14:paraId="6C6ECEAD">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2022年红河分公司核心机房动力配套建设项目</w:t>
            </w:r>
          </w:p>
        </w:tc>
        <w:tc>
          <w:tcPr>
            <w:tcW w:w="1669" w:type="dxa"/>
            <w:vAlign w:val="center"/>
          </w:tcPr>
          <w:p w14:paraId="7D521C9E">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34.41</w:t>
            </w:r>
          </w:p>
        </w:tc>
        <w:tc>
          <w:tcPr>
            <w:tcW w:w="1670" w:type="dxa"/>
            <w:vAlign w:val="center"/>
          </w:tcPr>
          <w:p w14:paraId="44B71469">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28.07</w:t>
            </w:r>
          </w:p>
        </w:tc>
      </w:tr>
      <w:tr w14:paraId="00D0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2F2CCE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15</w:t>
            </w:r>
          </w:p>
        </w:tc>
        <w:tc>
          <w:tcPr>
            <w:tcW w:w="5033" w:type="dxa"/>
            <w:vAlign w:val="center"/>
          </w:tcPr>
          <w:p w14:paraId="5EE400FC">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2022年大理分公司核心机房动力配套隐患整治项目</w:t>
            </w:r>
          </w:p>
        </w:tc>
        <w:tc>
          <w:tcPr>
            <w:tcW w:w="1669" w:type="dxa"/>
            <w:vAlign w:val="center"/>
          </w:tcPr>
          <w:p w14:paraId="2CAF1497">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112.44</w:t>
            </w:r>
          </w:p>
        </w:tc>
        <w:tc>
          <w:tcPr>
            <w:tcW w:w="1670" w:type="dxa"/>
            <w:vAlign w:val="center"/>
          </w:tcPr>
          <w:p w14:paraId="49AA2FB9">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112.44</w:t>
            </w:r>
          </w:p>
        </w:tc>
      </w:tr>
      <w:tr w14:paraId="4B67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6E3FAA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16</w:t>
            </w:r>
          </w:p>
        </w:tc>
        <w:tc>
          <w:tcPr>
            <w:tcW w:w="5033" w:type="dxa"/>
            <w:vAlign w:val="center"/>
          </w:tcPr>
          <w:p w14:paraId="7A196688">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2022年省级核心机房动力配套大修更新项目</w:t>
            </w:r>
          </w:p>
        </w:tc>
        <w:tc>
          <w:tcPr>
            <w:tcW w:w="1669" w:type="dxa"/>
            <w:vAlign w:val="center"/>
          </w:tcPr>
          <w:p w14:paraId="593C180D">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530.49</w:t>
            </w:r>
          </w:p>
        </w:tc>
        <w:tc>
          <w:tcPr>
            <w:tcW w:w="1670" w:type="dxa"/>
            <w:vAlign w:val="center"/>
          </w:tcPr>
          <w:p w14:paraId="6DB3AF7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479.27</w:t>
            </w:r>
          </w:p>
        </w:tc>
      </w:tr>
      <w:tr w14:paraId="278A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3D12AA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17</w:t>
            </w:r>
          </w:p>
        </w:tc>
        <w:tc>
          <w:tcPr>
            <w:tcW w:w="5033" w:type="dxa"/>
            <w:vAlign w:val="center"/>
          </w:tcPr>
          <w:p w14:paraId="66293F63">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昆明国家级互联网骨干直联点项目（移动部分）固网流量监测平台扩容单项工程</w:t>
            </w:r>
          </w:p>
        </w:tc>
        <w:tc>
          <w:tcPr>
            <w:tcW w:w="1669" w:type="dxa"/>
            <w:vAlign w:val="center"/>
          </w:tcPr>
          <w:p w14:paraId="341F6DE1">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673</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5BC14202">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584.5</w:t>
            </w:r>
            <w:r>
              <w:rPr>
                <w:rFonts w:hint="eastAsia" w:ascii="Times New Roman" w:eastAsia="宋体" w:cs="Times New Roman"/>
                <w:i w:val="0"/>
                <w:iCs w:val="0"/>
                <w:color w:val="000000"/>
                <w:kern w:val="0"/>
                <w:sz w:val="21"/>
                <w:szCs w:val="21"/>
                <w:u w:val="none"/>
                <w:lang w:val="en-US" w:eastAsia="zh-CN" w:bidi="ar"/>
              </w:rPr>
              <w:t>6</w:t>
            </w:r>
          </w:p>
        </w:tc>
      </w:tr>
      <w:tr w14:paraId="4CE8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7C524B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18</w:t>
            </w:r>
          </w:p>
        </w:tc>
        <w:tc>
          <w:tcPr>
            <w:tcW w:w="5033" w:type="dxa"/>
            <w:vAlign w:val="center"/>
          </w:tcPr>
          <w:p w14:paraId="72109828">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昆明国家级互联网骨干直联点项目（移动部分）僵木蠕检测平台扩容单项工程</w:t>
            </w:r>
          </w:p>
        </w:tc>
        <w:tc>
          <w:tcPr>
            <w:tcW w:w="1669" w:type="dxa"/>
            <w:vAlign w:val="center"/>
          </w:tcPr>
          <w:p w14:paraId="33E25F12">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187</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4BA1B64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177.88</w:t>
            </w:r>
          </w:p>
        </w:tc>
      </w:tr>
      <w:tr w14:paraId="4289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62812A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19</w:t>
            </w:r>
          </w:p>
        </w:tc>
        <w:tc>
          <w:tcPr>
            <w:tcW w:w="5033" w:type="dxa"/>
            <w:vAlign w:val="center"/>
          </w:tcPr>
          <w:p w14:paraId="2A72662D">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昆明国家级互联网骨干直联点项目（移动部分）抗DDOS系统扩容单项工程</w:t>
            </w:r>
          </w:p>
        </w:tc>
        <w:tc>
          <w:tcPr>
            <w:tcW w:w="1669" w:type="dxa"/>
            <w:vAlign w:val="center"/>
          </w:tcPr>
          <w:p w14:paraId="4A023568">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03B7EFA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45.4</w:t>
            </w:r>
            <w:r>
              <w:rPr>
                <w:rFonts w:hint="eastAsia" w:ascii="Times New Roman" w:eastAsia="宋体" w:cs="Times New Roman"/>
                <w:i w:val="0"/>
                <w:iCs w:val="0"/>
                <w:color w:val="000000"/>
                <w:kern w:val="0"/>
                <w:sz w:val="21"/>
                <w:szCs w:val="21"/>
                <w:u w:val="none"/>
                <w:lang w:val="en-US" w:eastAsia="zh-CN" w:bidi="ar"/>
              </w:rPr>
              <w:t>3</w:t>
            </w:r>
          </w:p>
        </w:tc>
      </w:tr>
      <w:tr w14:paraId="0824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14:paraId="59E4AB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20</w:t>
            </w:r>
          </w:p>
        </w:tc>
        <w:tc>
          <w:tcPr>
            <w:tcW w:w="5033" w:type="dxa"/>
            <w:vAlign w:val="center"/>
          </w:tcPr>
          <w:p w14:paraId="7726B216">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昆明国家级互联网骨干直联点项目（移动部分）数据安全管控平台建设单项工程</w:t>
            </w:r>
          </w:p>
        </w:tc>
        <w:tc>
          <w:tcPr>
            <w:tcW w:w="1669" w:type="dxa"/>
            <w:vAlign w:val="center"/>
          </w:tcPr>
          <w:p w14:paraId="3F777779">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607</w:t>
            </w:r>
            <w:r>
              <w:rPr>
                <w:rFonts w:hint="eastAsia" w:ascii="Times New Roman" w:eastAsia="宋体" w:cs="Times New Roman"/>
                <w:i w:val="0"/>
                <w:iCs w:val="0"/>
                <w:color w:val="000000"/>
                <w:kern w:val="0"/>
                <w:sz w:val="21"/>
                <w:szCs w:val="21"/>
                <w:u w:val="none"/>
                <w:lang w:val="en-US" w:eastAsia="zh-CN" w:bidi="ar"/>
              </w:rPr>
              <w:t>.00</w:t>
            </w:r>
          </w:p>
        </w:tc>
        <w:tc>
          <w:tcPr>
            <w:tcW w:w="1670" w:type="dxa"/>
            <w:vAlign w:val="center"/>
          </w:tcPr>
          <w:p w14:paraId="7E6B3850">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471.65</w:t>
            </w:r>
          </w:p>
        </w:tc>
      </w:tr>
      <w:tr w14:paraId="0005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2" w:type="dxa"/>
            <w:gridSpan w:val="2"/>
            <w:vAlign w:val="center"/>
          </w:tcPr>
          <w:p w14:paraId="4BC22D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总计</w:t>
            </w:r>
          </w:p>
        </w:tc>
        <w:tc>
          <w:tcPr>
            <w:tcW w:w="1669" w:type="dxa"/>
            <w:vAlign w:val="center"/>
          </w:tcPr>
          <w:p w14:paraId="5E2C46CF">
            <w:pPr>
              <w:keepNext w:val="0"/>
              <w:keepLines w:val="0"/>
              <w:widowControl/>
              <w:suppressLineNumbers w:val="0"/>
              <w:jc w:val="center"/>
              <w:textAlignment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11</w:t>
            </w:r>
            <w:r>
              <w:rPr>
                <w:rFonts w:hint="eastAsia" w:asci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028.82</w:t>
            </w:r>
          </w:p>
        </w:tc>
        <w:tc>
          <w:tcPr>
            <w:tcW w:w="1670" w:type="dxa"/>
            <w:vAlign w:val="center"/>
          </w:tcPr>
          <w:p w14:paraId="4F349E51">
            <w:pPr>
              <w:keepNext w:val="0"/>
              <w:keepLines w:val="0"/>
              <w:widowControl/>
              <w:suppressLineNumbers w:val="0"/>
              <w:jc w:val="center"/>
              <w:textAlignment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10</w:t>
            </w:r>
            <w:r>
              <w:rPr>
                <w:rFonts w:hint="eastAsia" w:asci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076.13</w:t>
            </w:r>
          </w:p>
        </w:tc>
      </w:tr>
    </w:tbl>
    <w:p w14:paraId="7CDB894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eastAsia" w:ascii="Times New Roman" w:cs="Times New Roman"/>
          <w:b w:val="0"/>
          <w:bCs w:val="0"/>
          <w:lang w:val="en-US" w:eastAsia="zh-CN"/>
        </w:rPr>
      </w:pPr>
      <w:r>
        <w:rPr>
          <w:rFonts w:hint="eastAsia" w:ascii="Times New Roman" w:cs="Times New Roman"/>
          <w:b w:val="0"/>
          <w:bCs w:val="0"/>
          <w:lang w:val="en-US" w:eastAsia="zh-CN"/>
        </w:rPr>
        <w:t>（2）资金到位情况</w:t>
      </w:r>
    </w:p>
    <w:p w14:paraId="2CD3D26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b w:val="0"/>
          <w:bCs w:val="0"/>
          <w:lang w:val="en-US" w:eastAsia="zh-CN"/>
        </w:rPr>
        <w:t>本项目共</w:t>
      </w:r>
      <w:r>
        <w:rPr>
          <w:rFonts w:hint="eastAsia" w:ascii="Times New Roman" w:cs="Times New Roman"/>
          <w:b w:val="0"/>
          <w:bCs w:val="0"/>
          <w:lang w:val="en-US" w:eastAsia="zh-CN"/>
        </w:rPr>
        <w:t>到位资金7,901.32万元，到位率71.64%，其中，财政资金到位</w:t>
      </w:r>
      <w:r>
        <w:rPr>
          <w:rFonts w:hint="default" w:ascii="Times New Roman" w:hAnsi="Times New Roman" w:cs="Times New Roman"/>
          <w:b w:val="0"/>
          <w:bCs w:val="0"/>
          <w:lang w:val="en-US" w:eastAsia="zh-CN"/>
        </w:rPr>
        <w:t>5</w:t>
      </w:r>
      <w:r>
        <w:rPr>
          <w:rFonts w:hint="eastAsia" w:ascii="Times New Roman" w:cs="Times New Roman"/>
          <w:b w:val="0"/>
          <w:bCs w:val="0"/>
          <w:lang w:val="en-US" w:eastAsia="zh-CN"/>
        </w:rPr>
        <w:t>,</w:t>
      </w:r>
      <w:r>
        <w:rPr>
          <w:rFonts w:hint="default" w:ascii="Times New Roman" w:hAnsi="Times New Roman" w:cs="Times New Roman"/>
          <w:b w:val="0"/>
          <w:bCs w:val="0"/>
          <w:lang w:val="en-US" w:eastAsia="zh-CN"/>
        </w:rPr>
        <w:t>920万元，</w:t>
      </w:r>
      <w:r>
        <w:rPr>
          <w:rFonts w:hint="eastAsia" w:ascii="Times New Roman" w:cs="Times New Roman"/>
          <w:b w:val="0"/>
          <w:bCs w:val="0"/>
          <w:lang w:val="en-US" w:eastAsia="zh-CN"/>
        </w:rPr>
        <w:t>自有资金到位</w:t>
      </w:r>
      <w:r>
        <w:rPr>
          <w:rFonts w:hint="default" w:ascii="Times New Roman" w:hAnsi="Times New Roman" w:cs="Times New Roman"/>
          <w:szCs w:val="30"/>
          <w:highlight w:val="none"/>
          <w:lang w:val="en-US" w:eastAsia="zh-CN"/>
        </w:rPr>
        <w:t>1</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981.32万元</w:t>
      </w:r>
      <w:r>
        <w:rPr>
          <w:rFonts w:hint="eastAsia" w:ascii="Times New Roman" w:cs="Times New Roman"/>
          <w:szCs w:val="30"/>
          <w:highlight w:val="none"/>
          <w:lang w:val="en-US" w:eastAsia="zh-CN"/>
        </w:rPr>
        <w:t>。</w:t>
      </w:r>
    </w:p>
    <w:p w14:paraId="1DD0210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b w:val="0"/>
          <w:bCs w:val="0"/>
          <w:lang w:val="en-US" w:eastAsia="zh-CN"/>
        </w:rPr>
      </w:pPr>
      <w:r>
        <w:rPr>
          <w:rFonts w:hint="eastAsia" w:ascii="Times New Roman" w:cs="Times New Roman"/>
          <w:b w:val="0"/>
          <w:bCs w:val="0"/>
          <w:lang w:val="en-US" w:eastAsia="zh-CN"/>
        </w:rPr>
        <w:t>财政资金方面，</w:t>
      </w:r>
      <w:r>
        <w:rPr>
          <w:rFonts w:hint="default" w:ascii="Times New Roman" w:hAnsi="Times New Roman" w:cs="Times New Roman"/>
          <w:b w:val="0"/>
          <w:bCs w:val="0"/>
          <w:lang w:val="en-US" w:eastAsia="zh-CN"/>
        </w:rPr>
        <w:t>根据《云南省发展和改革委员会关于下达 2022年省级新型基础设施专项资金第四批投资计划的通知》（云发改数字〔2022〕1273号）以及《云南省发展和改革委员会关于下达 2023年省级新型基础设施建设专项资金第一批投资计划的通知》（云发改数字〔2023〕299号），本项目共下达了5</w:t>
      </w:r>
      <w:r>
        <w:rPr>
          <w:rFonts w:hint="eastAsia" w:ascii="Times New Roman" w:cs="Times New Roman"/>
          <w:b w:val="0"/>
          <w:bCs w:val="0"/>
          <w:lang w:val="en-US" w:eastAsia="zh-CN"/>
        </w:rPr>
        <w:t>,</w:t>
      </w:r>
      <w:r>
        <w:rPr>
          <w:rFonts w:hint="default" w:ascii="Times New Roman" w:hAnsi="Times New Roman" w:cs="Times New Roman"/>
          <w:b w:val="0"/>
          <w:bCs w:val="0"/>
          <w:lang w:val="en-US" w:eastAsia="zh-CN"/>
        </w:rPr>
        <w:t>920万元，其中，2022年下达了150万元，2023年下达了5</w:t>
      </w:r>
      <w:r>
        <w:rPr>
          <w:rFonts w:hint="eastAsia" w:ascii="Times New Roman" w:cs="Times New Roman"/>
          <w:b w:val="0"/>
          <w:bCs w:val="0"/>
          <w:lang w:val="en-US" w:eastAsia="zh-CN"/>
        </w:rPr>
        <w:t>,</w:t>
      </w:r>
      <w:r>
        <w:rPr>
          <w:rFonts w:hint="default" w:ascii="Times New Roman" w:hAnsi="Times New Roman" w:cs="Times New Roman"/>
          <w:b w:val="0"/>
          <w:bCs w:val="0"/>
          <w:lang w:val="en-US" w:eastAsia="zh-CN"/>
        </w:rPr>
        <w:t>770万元，</w:t>
      </w:r>
    </w:p>
    <w:p w14:paraId="50021BD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2.资金使用情况</w:t>
      </w:r>
    </w:p>
    <w:p w14:paraId="2FB247C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left"/>
        <w:textAlignment w:val="auto"/>
        <w:outlineLvl w:val="9"/>
        <w:rPr>
          <w:rFonts w:hint="default" w:ascii="Times New Roman" w:hAnsi="Times New Roman" w:cs="Times New Roman"/>
          <w:lang w:val="en-US" w:eastAsia="zh-CN"/>
        </w:rPr>
      </w:pPr>
      <w:r>
        <w:rPr>
          <w:rFonts w:hint="default" w:ascii="Times New Roman" w:hAnsi="Times New Roman" w:eastAsia="仿宋" w:cs="Times New Roman"/>
          <w:kern w:val="30"/>
          <w:sz w:val="30"/>
          <w:szCs w:val="30"/>
          <w:highlight w:val="none"/>
          <w:lang w:val="en-US" w:eastAsia="zh-CN" w:bidi="ar-SA"/>
        </w:rPr>
        <w:t>本项目共签订192份合同，合同签订总金额9</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101.71万元，共支付7</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731.54万元，支付率达到85%。</w:t>
      </w:r>
      <w:r>
        <w:rPr>
          <w:rFonts w:hint="eastAsia" w:ascii="Times New Roman" w:cs="Times New Roman"/>
          <w:kern w:val="30"/>
          <w:sz w:val="30"/>
          <w:szCs w:val="30"/>
          <w:highlight w:val="none"/>
          <w:lang w:val="en-US" w:eastAsia="zh-CN" w:bidi="ar-SA"/>
        </w:rPr>
        <w:t>其中，财政资金使用了</w:t>
      </w:r>
      <w:r>
        <w:rPr>
          <w:rFonts w:hint="default" w:ascii="Times New Roman" w:hAnsi="Times New Roman" w:cs="Times New Roman"/>
          <w:b w:val="0"/>
          <w:bCs w:val="0"/>
          <w:lang w:val="en-US" w:eastAsia="zh-CN"/>
        </w:rPr>
        <w:t>5</w:t>
      </w:r>
      <w:r>
        <w:rPr>
          <w:rFonts w:hint="eastAsia" w:ascii="Times New Roman" w:cs="Times New Roman"/>
          <w:b w:val="0"/>
          <w:bCs w:val="0"/>
          <w:lang w:val="en-US" w:eastAsia="zh-CN"/>
        </w:rPr>
        <w:t>,</w:t>
      </w:r>
      <w:r>
        <w:rPr>
          <w:rFonts w:hint="default" w:ascii="Times New Roman" w:hAnsi="Times New Roman" w:cs="Times New Roman"/>
          <w:b w:val="0"/>
          <w:bCs w:val="0"/>
          <w:lang w:val="en-US" w:eastAsia="zh-CN"/>
        </w:rPr>
        <w:t>920</w:t>
      </w:r>
      <w:r>
        <w:rPr>
          <w:rFonts w:hint="eastAsia" w:ascii="Times New Roman" w:cs="Times New Roman"/>
          <w:kern w:val="30"/>
          <w:sz w:val="30"/>
          <w:szCs w:val="30"/>
          <w:highlight w:val="none"/>
          <w:lang w:val="en-US" w:eastAsia="zh-CN" w:bidi="ar-SA"/>
        </w:rPr>
        <w:t>万元，项目实施单位垫资1,811.54万元，预算执行率97.85%</w:t>
      </w:r>
      <w:r>
        <w:rPr>
          <w:rFonts w:hint="default" w:ascii="Times New Roman" w:hAnsi="Times New Roman" w:cs="Times New Roman"/>
          <w:lang w:val="en-US" w:eastAsia="zh-CN"/>
        </w:rPr>
        <w:t>。具体支付情况如下：</w:t>
      </w:r>
    </w:p>
    <w:p w14:paraId="476E70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lang w:val="en-US" w:eastAsia="zh-CN"/>
        </w:rPr>
      </w:pPr>
      <w:r>
        <w:rPr>
          <w:rFonts w:hint="eastAsia" w:ascii="Times New Roman" w:eastAsia="黑体" w:cs="Times New Roman"/>
          <w:b w:val="0"/>
          <w:bCs/>
          <w:sz w:val="24"/>
          <w:szCs w:val="24"/>
          <w:lang w:val="en-US" w:eastAsia="zh-CN"/>
        </w:rPr>
        <w:t xml:space="preserve">表2 </w:t>
      </w:r>
      <w:r>
        <w:rPr>
          <w:rFonts w:hint="default" w:ascii="Times New Roman" w:hAnsi="Times New Roman" w:eastAsia="黑体" w:cs="Times New Roman"/>
          <w:b w:val="0"/>
          <w:bCs/>
          <w:sz w:val="24"/>
          <w:szCs w:val="24"/>
          <w:lang w:val="en-US" w:eastAsia="zh-CN"/>
        </w:rPr>
        <w:t>预算支出明细</w:t>
      </w:r>
    </w:p>
    <w:p w14:paraId="17C175DF">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单位：万元</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611"/>
        <w:gridCol w:w="1597"/>
        <w:gridCol w:w="1474"/>
        <w:gridCol w:w="1474"/>
      </w:tblGrid>
      <w:tr w14:paraId="7E02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vAlign w:val="center"/>
          </w:tcPr>
          <w:p w14:paraId="51C1C9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序号</w:t>
            </w:r>
          </w:p>
        </w:tc>
        <w:tc>
          <w:tcPr>
            <w:tcW w:w="3611" w:type="dxa"/>
            <w:vAlign w:val="center"/>
          </w:tcPr>
          <w:p w14:paraId="3913194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项目名称</w:t>
            </w:r>
          </w:p>
        </w:tc>
        <w:tc>
          <w:tcPr>
            <w:tcW w:w="1597" w:type="dxa"/>
            <w:vAlign w:val="center"/>
          </w:tcPr>
          <w:p w14:paraId="328866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设计批复金额</w:t>
            </w:r>
          </w:p>
        </w:tc>
        <w:tc>
          <w:tcPr>
            <w:tcW w:w="1474" w:type="dxa"/>
            <w:vAlign w:val="center"/>
          </w:tcPr>
          <w:p w14:paraId="621BD76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合同金额</w:t>
            </w:r>
          </w:p>
        </w:tc>
        <w:tc>
          <w:tcPr>
            <w:tcW w:w="1474" w:type="dxa"/>
            <w:vAlign w:val="center"/>
          </w:tcPr>
          <w:p w14:paraId="1FD615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支付金额</w:t>
            </w:r>
          </w:p>
        </w:tc>
      </w:tr>
      <w:tr w14:paraId="38D6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3F5223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3611" w:type="dxa"/>
            <w:vAlign w:val="center"/>
          </w:tcPr>
          <w:p w14:paraId="7744C2FB">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中国移动云南公司2022年网络安全态势感知平台一阶段改造项目</w:t>
            </w:r>
          </w:p>
        </w:tc>
        <w:tc>
          <w:tcPr>
            <w:tcW w:w="1597" w:type="dxa"/>
            <w:vAlign w:val="center"/>
          </w:tcPr>
          <w:p w14:paraId="60B6E060">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280.14</w:t>
            </w:r>
          </w:p>
        </w:tc>
        <w:tc>
          <w:tcPr>
            <w:tcW w:w="1474" w:type="dxa"/>
            <w:vAlign w:val="center"/>
          </w:tcPr>
          <w:p w14:paraId="3AE829CE">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279.13</w:t>
            </w:r>
          </w:p>
        </w:tc>
        <w:tc>
          <w:tcPr>
            <w:tcW w:w="1474" w:type="dxa"/>
            <w:vAlign w:val="center"/>
          </w:tcPr>
          <w:p w14:paraId="4FA3FA2D">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274.1</w:t>
            </w:r>
            <w:r>
              <w:rPr>
                <w:rFonts w:hint="eastAsia" w:ascii="Times New Roman" w:cs="Times New Roman"/>
                <w:sz w:val="21"/>
                <w:szCs w:val="21"/>
                <w:highlight w:val="none"/>
                <w:vertAlign w:val="baseline"/>
                <w:lang w:val="en-US" w:eastAsia="zh-CN"/>
              </w:rPr>
              <w:t>0</w:t>
            </w:r>
          </w:p>
        </w:tc>
      </w:tr>
      <w:tr w14:paraId="090A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07E928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3611" w:type="dxa"/>
            <w:vAlign w:val="center"/>
          </w:tcPr>
          <w:p w14:paraId="02993FF3">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中国移动云南公司2022年资产安全管理平台扩容改造项目</w:t>
            </w:r>
          </w:p>
        </w:tc>
        <w:tc>
          <w:tcPr>
            <w:tcW w:w="1597" w:type="dxa"/>
            <w:vAlign w:val="center"/>
          </w:tcPr>
          <w:p w14:paraId="4649EB4C">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148.6</w:t>
            </w:r>
            <w:r>
              <w:rPr>
                <w:rFonts w:hint="eastAsia" w:ascii="Times New Roman" w:eastAsia="宋体" w:cs="Times New Roman"/>
                <w:i w:val="0"/>
                <w:iCs w:val="0"/>
                <w:color w:val="000000"/>
                <w:kern w:val="0"/>
                <w:sz w:val="21"/>
                <w:szCs w:val="21"/>
                <w:u w:val="none"/>
                <w:lang w:val="en-US" w:eastAsia="zh-CN" w:bidi="ar"/>
              </w:rPr>
              <w:t>8</w:t>
            </w:r>
          </w:p>
        </w:tc>
        <w:tc>
          <w:tcPr>
            <w:tcW w:w="1474" w:type="dxa"/>
            <w:vAlign w:val="center"/>
          </w:tcPr>
          <w:p w14:paraId="489092AB">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144.87</w:t>
            </w:r>
          </w:p>
        </w:tc>
        <w:tc>
          <w:tcPr>
            <w:tcW w:w="1474" w:type="dxa"/>
            <w:vAlign w:val="center"/>
          </w:tcPr>
          <w:p w14:paraId="43F102D5">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142.2</w:t>
            </w:r>
            <w:r>
              <w:rPr>
                <w:rFonts w:hint="eastAsia" w:ascii="Times New Roman" w:cs="Times New Roman"/>
                <w:sz w:val="21"/>
                <w:szCs w:val="21"/>
                <w:highlight w:val="none"/>
                <w:vertAlign w:val="baseline"/>
                <w:lang w:val="en-US" w:eastAsia="zh-CN"/>
              </w:rPr>
              <w:t>0</w:t>
            </w:r>
          </w:p>
        </w:tc>
      </w:tr>
      <w:tr w14:paraId="08E9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3330DE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3611" w:type="dxa"/>
            <w:vAlign w:val="center"/>
          </w:tcPr>
          <w:p w14:paraId="0A32513B">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昆明国家级互联网骨干直联点项目（移动部分）DPI系统二阶段扩容单项工程</w:t>
            </w:r>
          </w:p>
        </w:tc>
        <w:tc>
          <w:tcPr>
            <w:tcW w:w="1597" w:type="dxa"/>
            <w:vAlign w:val="center"/>
          </w:tcPr>
          <w:p w14:paraId="474D8AC7">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246.1</w:t>
            </w:r>
            <w:r>
              <w:rPr>
                <w:rFonts w:hint="eastAsia" w:ascii="Times New Roman" w:eastAsia="宋体" w:cs="Times New Roman"/>
                <w:i w:val="0"/>
                <w:iCs w:val="0"/>
                <w:color w:val="000000"/>
                <w:kern w:val="0"/>
                <w:sz w:val="21"/>
                <w:szCs w:val="21"/>
                <w:u w:val="none"/>
                <w:lang w:val="en-US" w:eastAsia="zh-CN" w:bidi="ar"/>
              </w:rPr>
              <w:t>6</w:t>
            </w:r>
          </w:p>
        </w:tc>
        <w:tc>
          <w:tcPr>
            <w:tcW w:w="1474" w:type="dxa"/>
            <w:vAlign w:val="center"/>
          </w:tcPr>
          <w:p w14:paraId="51863860">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205.7</w:t>
            </w:r>
            <w:r>
              <w:rPr>
                <w:rFonts w:hint="eastAsia" w:ascii="Times New Roman" w:cs="Times New Roman"/>
                <w:sz w:val="21"/>
                <w:szCs w:val="21"/>
                <w:highlight w:val="none"/>
                <w:vertAlign w:val="baseline"/>
                <w:lang w:val="en-US" w:eastAsia="zh-CN"/>
              </w:rPr>
              <w:t>0</w:t>
            </w:r>
          </w:p>
        </w:tc>
        <w:tc>
          <w:tcPr>
            <w:tcW w:w="1474" w:type="dxa"/>
            <w:vAlign w:val="center"/>
          </w:tcPr>
          <w:p w14:paraId="0A051577">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39.27</w:t>
            </w:r>
          </w:p>
        </w:tc>
      </w:tr>
      <w:tr w14:paraId="4AA0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4C663E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3611" w:type="dxa"/>
            <w:vAlign w:val="center"/>
          </w:tcPr>
          <w:p w14:paraId="7C204C75">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中国移动云南公司互联网骨干直联点DPI系统一阶段扩容项目</w:t>
            </w:r>
          </w:p>
        </w:tc>
        <w:tc>
          <w:tcPr>
            <w:tcW w:w="1597" w:type="dxa"/>
            <w:vAlign w:val="center"/>
          </w:tcPr>
          <w:p w14:paraId="71A1AAD6">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079.07</w:t>
            </w:r>
          </w:p>
        </w:tc>
        <w:tc>
          <w:tcPr>
            <w:tcW w:w="1474" w:type="dxa"/>
            <w:vAlign w:val="center"/>
          </w:tcPr>
          <w:p w14:paraId="1E77B7D4">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687.25</w:t>
            </w:r>
          </w:p>
        </w:tc>
        <w:tc>
          <w:tcPr>
            <w:tcW w:w="1474" w:type="dxa"/>
            <w:vAlign w:val="center"/>
          </w:tcPr>
          <w:p w14:paraId="16CB3A2E">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673.36</w:t>
            </w:r>
          </w:p>
        </w:tc>
      </w:tr>
      <w:tr w14:paraId="0A55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7CA708C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3611" w:type="dxa"/>
            <w:vAlign w:val="center"/>
          </w:tcPr>
          <w:p w14:paraId="7C48BF03">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昆明国家级互联网骨干直联点项目（移动部分）IP网网内扩容改造单项工程</w:t>
            </w:r>
          </w:p>
        </w:tc>
        <w:tc>
          <w:tcPr>
            <w:tcW w:w="1597" w:type="dxa"/>
            <w:vAlign w:val="center"/>
          </w:tcPr>
          <w:p w14:paraId="45A8ABBC">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193.79</w:t>
            </w:r>
          </w:p>
        </w:tc>
        <w:tc>
          <w:tcPr>
            <w:tcW w:w="1474" w:type="dxa"/>
            <w:vAlign w:val="center"/>
          </w:tcPr>
          <w:p w14:paraId="63855174">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w:t>
            </w:r>
            <w:r>
              <w:rPr>
                <w:rFonts w:hint="eastAsia" w:ascii="Times New Roman" w:cs="Times New Roman"/>
                <w:sz w:val="21"/>
                <w:szCs w:val="21"/>
                <w:highlight w:val="none"/>
                <w:vertAlign w:val="baseline"/>
                <w:lang w:val="en-US" w:eastAsia="zh-CN"/>
              </w:rPr>
              <w:t>,</w:t>
            </w:r>
            <w:r>
              <w:rPr>
                <w:rFonts w:hint="default" w:ascii="Times New Roman" w:hAnsi="Times New Roman" w:cs="Times New Roman"/>
                <w:sz w:val="21"/>
                <w:szCs w:val="21"/>
                <w:highlight w:val="none"/>
                <w:vertAlign w:val="baseline"/>
                <w:lang w:val="en-US" w:eastAsia="zh-CN"/>
              </w:rPr>
              <w:t>190.06</w:t>
            </w:r>
          </w:p>
        </w:tc>
        <w:tc>
          <w:tcPr>
            <w:tcW w:w="1474" w:type="dxa"/>
            <w:vAlign w:val="center"/>
          </w:tcPr>
          <w:p w14:paraId="2CD01C9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w:t>
            </w:r>
            <w:r>
              <w:rPr>
                <w:rFonts w:hint="eastAsia" w:ascii="Times New Roman" w:cs="Times New Roman"/>
                <w:sz w:val="21"/>
                <w:szCs w:val="21"/>
                <w:highlight w:val="none"/>
                <w:vertAlign w:val="baseline"/>
                <w:lang w:val="en-US" w:eastAsia="zh-CN"/>
              </w:rPr>
              <w:t>,</w:t>
            </w:r>
            <w:r>
              <w:rPr>
                <w:rFonts w:hint="default" w:ascii="Times New Roman" w:hAnsi="Times New Roman" w:cs="Times New Roman"/>
                <w:sz w:val="21"/>
                <w:szCs w:val="21"/>
                <w:highlight w:val="none"/>
                <w:vertAlign w:val="baseline"/>
                <w:lang w:val="en-US" w:eastAsia="zh-CN"/>
              </w:rPr>
              <w:t>168.72</w:t>
            </w:r>
          </w:p>
        </w:tc>
      </w:tr>
      <w:tr w14:paraId="2BEB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390E1E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6</w:t>
            </w:r>
          </w:p>
        </w:tc>
        <w:tc>
          <w:tcPr>
            <w:tcW w:w="3611" w:type="dxa"/>
            <w:vAlign w:val="center"/>
          </w:tcPr>
          <w:p w14:paraId="774BA1BC">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中国移动CMNet骨干网新建昆明、长春直联点工程_云南公司</w:t>
            </w:r>
          </w:p>
        </w:tc>
        <w:tc>
          <w:tcPr>
            <w:tcW w:w="1597" w:type="dxa"/>
            <w:vAlign w:val="center"/>
          </w:tcPr>
          <w:p w14:paraId="4DAD6F4F">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411.7</w:t>
            </w:r>
            <w:r>
              <w:rPr>
                <w:rFonts w:hint="eastAsia" w:ascii="Times New Roman" w:eastAsia="宋体" w:cs="Times New Roman"/>
                <w:i w:val="0"/>
                <w:iCs w:val="0"/>
                <w:color w:val="000000"/>
                <w:kern w:val="0"/>
                <w:sz w:val="21"/>
                <w:szCs w:val="21"/>
                <w:u w:val="none"/>
                <w:lang w:val="en-US" w:eastAsia="zh-CN" w:bidi="ar"/>
              </w:rPr>
              <w:t>1</w:t>
            </w:r>
          </w:p>
        </w:tc>
        <w:tc>
          <w:tcPr>
            <w:tcW w:w="1474" w:type="dxa"/>
            <w:vAlign w:val="center"/>
          </w:tcPr>
          <w:p w14:paraId="52EB36AB">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412.23</w:t>
            </w:r>
          </w:p>
        </w:tc>
        <w:tc>
          <w:tcPr>
            <w:tcW w:w="1474" w:type="dxa"/>
            <w:vAlign w:val="center"/>
          </w:tcPr>
          <w:p w14:paraId="7DD4867E">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380.88</w:t>
            </w:r>
          </w:p>
        </w:tc>
      </w:tr>
      <w:tr w14:paraId="55DC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734199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7</w:t>
            </w:r>
          </w:p>
        </w:tc>
        <w:tc>
          <w:tcPr>
            <w:tcW w:w="3611" w:type="dxa"/>
            <w:vAlign w:val="center"/>
          </w:tcPr>
          <w:p w14:paraId="0D207232">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昆明国家级互联网骨干直联点项目（移动部分）监测系统配套建设单项工程</w:t>
            </w:r>
          </w:p>
        </w:tc>
        <w:tc>
          <w:tcPr>
            <w:tcW w:w="1597" w:type="dxa"/>
            <w:vAlign w:val="center"/>
          </w:tcPr>
          <w:p w14:paraId="3889E361">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251.07</w:t>
            </w:r>
          </w:p>
        </w:tc>
        <w:tc>
          <w:tcPr>
            <w:tcW w:w="1474" w:type="dxa"/>
            <w:vAlign w:val="center"/>
          </w:tcPr>
          <w:p w14:paraId="071B5883">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221.85</w:t>
            </w:r>
          </w:p>
        </w:tc>
        <w:tc>
          <w:tcPr>
            <w:tcW w:w="1474" w:type="dxa"/>
            <w:vAlign w:val="center"/>
          </w:tcPr>
          <w:p w14:paraId="07DB6126">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207.54</w:t>
            </w:r>
          </w:p>
        </w:tc>
      </w:tr>
      <w:tr w14:paraId="7CEC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750B6A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w:t>
            </w:r>
          </w:p>
        </w:tc>
        <w:tc>
          <w:tcPr>
            <w:tcW w:w="3611" w:type="dxa"/>
            <w:vAlign w:val="center"/>
          </w:tcPr>
          <w:p w14:paraId="50D1A344">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中国移动云南公司昆明分公司互联网骨干直联点传输管道购置项目</w:t>
            </w:r>
          </w:p>
        </w:tc>
        <w:tc>
          <w:tcPr>
            <w:tcW w:w="1597" w:type="dxa"/>
            <w:vAlign w:val="center"/>
          </w:tcPr>
          <w:p w14:paraId="38C6B18B">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531.29</w:t>
            </w:r>
          </w:p>
        </w:tc>
        <w:tc>
          <w:tcPr>
            <w:tcW w:w="1474" w:type="dxa"/>
            <w:vAlign w:val="center"/>
          </w:tcPr>
          <w:p w14:paraId="59F17FAA">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505.06</w:t>
            </w:r>
          </w:p>
        </w:tc>
        <w:tc>
          <w:tcPr>
            <w:tcW w:w="1474" w:type="dxa"/>
            <w:vAlign w:val="center"/>
          </w:tcPr>
          <w:p w14:paraId="3A51A269">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454.55</w:t>
            </w:r>
          </w:p>
        </w:tc>
      </w:tr>
      <w:tr w14:paraId="4FA8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7019CA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9</w:t>
            </w:r>
          </w:p>
        </w:tc>
        <w:tc>
          <w:tcPr>
            <w:tcW w:w="3611" w:type="dxa"/>
            <w:vAlign w:val="center"/>
          </w:tcPr>
          <w:p w14:paraId="659EF196">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昆明国家级互联网骨干直联点项目（移动部分）网间及网内OTN传输网络扩容改造单项工程</w:t>
            </w:r>
          </w:p>
        </w:tc>
        <w:tc>
          <w:tcPr>
            <w:tcW w:w="1597" w:type="dxa"/>
            <w:vAlign w:val="center"/>
          </w:tcPr>
          <w:p w14:paraId="2CFBDF1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001.0</w:t>
            </w:r>
            <w:r>
              <w:rPr>
                <w:rFonts w:hint="eastAsia" w:ascii="Times New Roman" w:eastAsia="宋体" w:cs="Times New Roman"/>
                <w:i w:val="0"/>
                <w:iCs w:val="0"/>
                <w:color w:val="000000"/>
                <w:kern w:val="0"/>
                <w:sz w:val="21"/>
                <w:szCs w:val="21"/>
                <w:u w:val="none"/>
                <w:lang w:val="en-US" w:eastAsia="zh-CN" w:bidi="ar"/>
              </w:rPr>
              <w:t>2</w:t>
            </w:r>
          </w:p>
        </w:tc>
        <w:tc>
          <w:tcPr>
            <w:tcW w:w="1474" w:type="dxa"/>
            <w:vAlign w:val="center"/>
          </w:tcPr>
          <w:p w14:paraId="54EB1EDF">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w:t>
            </w:r>
            <w:r>
              <w:rPr>
                <w:rFonts w:hint="eastAsia" w:ascii="Times New Roman" w:cs="Times New Roman"/>
                <w:sz w:val="21"/>
                <w:szCs w:val="21"/>
                <w:highlight w:val="none"/>
                <w:vertAlign w:val="baseline"/>
                <w:lang w:val="en-US" w:eastAsia="zh-CN"/>
              </w:rPr>
              <w:t>,</w:t>
            </w:r>
            <w:r>
              <w:rPr>
                <w:rFonts w:hint="default" w:ascii="Times New Roman" w:hAnsi="Times New Roman" w:cs="Times New Roman"/>
                <w:sz w:val="21"/>
                <w:szCs w:val="21"/>
                <w:highlight w:val="none"/>
                <w:vertAlign w:val="baseline"/>
                <w:lang w:val="en-US" w:eastAsia="zh-CN"/>
              </w:rPr>
              <w:t>920.47</w:t>
            </w:r>
          </w:p>
        </w:tc>
        <w:tc>
          <w:tcPr>
            <w:tcW w:w="1474" w:type="dxa"/>
            <w:vAlign w:val="center"/>
          </w:tcPr>
          <w:p w14:paraId="0982D2AC">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w:t>
            </w:r>
            <w:r>
              <w:rPr>
                <w:rFonts w:hint="eastAsia" w:ascii="Times New Roman" w:cs="Times New Roman"/>
                <w:sz w:val="21"/>
                <w:szCs w:val="21"/>
                <w:highlight w:val="none"/>
                <w:vertAlign w:val="baseline"/>
                <w:lang w:val="en-US" w:eastAsia="zh-CN"/>
              </w:rPr>
              <w:t>,</w:t>
            </w:r>
            <w:r>
              <w:rPr>
                <w:rFonts w:hint="default" w:ascii="Times New Roman" w:hAnsi="Times New Roman" w:cs="Times New Roman"/>
                <w:sz w:val="21"/>
                <w:szCs w:val="21"/>
                <w:highlight w:val="none"/>
                <w:vertAlign w:val="baseline"/>
                <w:lang w:val="en-US" w:eastAsia="zh-CN"/>
              </w:rPr>
              <w:t>911.08</w:t>
            </w:r>
          </w:p>
        </w:tc>
      </w:tr>
      <w:tr w14:paraId="0340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4469CF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w:t>
            </w:r>
          </w:p>
        </w:tc>
        <w:tc>
          <w:tcPr>
            <w:tcW w:w="3611" w:type="dxa"/>
            <w:vAlign w:val="center"/>
          </w:tcPr>
          <w:p w14:paraId="02200AF2">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昆明国家级互联网骨干直联点项目（移动部分）数据中心一期小机电扩容单项工程</w:t>
            </w:r>
          </w:p>
        </w:tc>
        <w:tc>
          <w:tcPr>
            <w:tcW w:w="1597" w:type="dxa"/>
            <w:vAlign w:val="center"/>
          </w:tcPr>
          <w:p w14:paraId="60C911A8">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788.24</w:t>
            </w:r>
          </w:p>
        </w:tc>
        <w:tc>
          <w:tcPr>
            <w:tcW w:w="1474" w:type="dxa"/>
            <w:vAlign w:val="center"/>
          </w:tcPr>
          <w:p w14:paraId="7B6F3FEE">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700.93</w:t>
            </w:r>
          </w:p>
        </w:tc>
        <w:tc>
          <w:tcPr>
            <w:tcW w:w="1474" w:type="dxa"/>
            <w:vAlign w:val="center"/>
          </w:tcPr>
          <w:p w14:paraId="3246234A">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557.52</w:t>
            </w:r>
          </w:p>
        </w:tc>
      </w:tr>
      <w:tr w14:paraId="34E7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607FF2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11</w:t>
            </w:r>
          </w:p>
        </w:tc>
        <w:tc>
          <w:tcPr>
            <w:tcW w:w="3611" w:type="dxa"/>
            <w:vAlign w:val="center"/>
          </w:tcPr>
          <w:p w14:paraId="53004929">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2022年曲靖分公司核心局楼动力配套大修更新项目</w:t>
            </w:r>
          </w:p>
        </w:tc>
        <w:tc>
          <w:tcPr>
            <w:tcW w:w="1597" w:type="dxa"/>
            <w:vAlign w:val="center"/>
          </w:tcPr>
          <w:p w14:paraId="212E9E79">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22.9</w:t>
            </w:r>
            <w:r>
              <w:rPr>
                <w:rFonts w:hint="eastAsia" w:ascii="Times New Roman" w:eastAsia="宋体" w:cs="Times New Roman"/>
                <w:i w:val="0"/>
                <w:iCs w:val="0"/>
                <w:color w:val="000000"/>
                <w:kern w:val="0"/>
                <w:sz w:val="21"/>
                <w:szCs w:val="21"/>
                <w:u w:val="none"/>
                <w:lang w:val="en-US" w:eastAsia="zh-CN" w:bidi="ar"/>
              </w:rPr>
              <w:t>9</w:t>
            </w:r>
          </w:p>
        </w:tc>
        <w:tc>
          <w:tcPr>
            <w:tcW w:w="1474" w:type="dxa"/>
            <w:vAlign w:val="center"/>
          </w:tcPr>
          <w:p w14:paraId="736507F9">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22.</w:t>
            </w:r>
            <w:r>
              <w:rPr>
                <w:rFonts w:hint="eastAsia" w:ascii="Times New Roman" w:cs="Times New Roman"/>
                <w:sz w:val="21"/>
                <w:szCs w:val="21"/>
                <w:highlight w:val="none"/>
                <w:vertAlign w:val="baseline"/>
                <w:lang w:val="en-US" w:eastAsia="zh-CN"/>
              </w:rPr>
              <w:t>40</w:t>
            </w:r>
          </w:p>
        </w:tc>
        <w:tc>
          <w:tcPr>
            <w:tcW w:w="1474" w:type="dxa"/>
            <w:vAlign w:val="center"/>
          </w:tcPr>
          <w:p w14:paraId="70564906">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13.08</w:t>
            </w:r>
          </w:p>
        </w:tc>
      </w:tr>
      <w:tr w14:paraId="25B2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42DCA8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12</w:t>
            </w:r>
          </w:p>
        </w:tc>
        <w:tc>
          <w:tcPr>
            <w:tcW w:w="3611" w:type="dxa"/>
            <w:vAlign w:val="center"/>
          </w:tcPr>
          <w:p w14:paraId="182DB42A">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2022年红河分公司核心局楼动力配套大修更新项目</w:t>
            </w:r>
          </w:p>
        </w:tc>
        <w:tc>
          <w:tcPr>
            <w:tcW w:w="1597" w:type="dxa"/>
            <w:vAlign w:val="center"/>
          </w:tcPr>
          <w:p w14:paraId="2100C04C">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83.10</w:t>
            </w:r>
          </w:p>
        </w:tc>
        <w:tc>
          <w:tcPr>
            <w:tcW w:w="1474" w:type="dxa"/>
            <w:vAlign w:val="center"/>
          </w:tcPr>
          <w:p w14:paraId="5ECDA2A9">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82.57</w:t>
            </w:r>
          </w:p>
        </w:tc>
        <w:tc>
          <w:tcPr>
            <w:tcW w:w="1474" w:type="dxa"/>
            <w:vAlign w:val="center"/>
          </w:tcPr>
          <w:p w14:paraId="164C8168">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57.35</w:t>
            </w:r>
          </w:p>
        </w:tc>
      </w:tr>
      <w:tr w14:paraId="3EAB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47EF114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13</w:t>
            </w:r>
          </w:p>
        </w:tc>
        <w:tc>
          <w:tcPr>
            <w:tcW w:w="3611" w:type="dxa"/>
            <w:vAlign w:val="center"/>
          </w:tcPr>
          <w:p w14:paraId="6DA06863">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2022年红河分公司核心机房动力配套隐患整治项目</w:t>
            </w:r>
          </w:p>
        </w:tc>
        <w:tc>
          <w:tcPr>
            <w:tcW w:w="1597" w:type="dxa"/>
            <w:vAlign w:val="center"/>
          </w:tcPr>
          <w:p w14:paraId="046B7A58">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139.57</w:t>
            </w:r>
          </w:p>
        </w:tc>
        <w:tc>
          <w:tcPr>
            <w:tcW w:w="1474" w:type="dxa"/>
            <w:vAlign w:val="center"/>
          </w:tcPr>
          <w:p w14:paraId="0727CB36">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95.02</w:t>
            </w:r>
          </w:p>
        </w:tc>
        <w:tc>
          <w:tcPr>
            <w:tcW w:w="1474" w:type="dxa"/>
            <w:vAlign w:val="center"/>
          </w:tcPr>
          <w:p w14:paraId="6AAD65C6">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77.42</w:t>
            </w:r>
          </w:p>
        </w:tc>
      </w:tr>
      <w:tr w14:paraId="374E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4632A31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14</w:t>
            </w:r>
          </w:p>
        </w:tc>
        <w:tc>
          <w:tcPr>
            <w:tcW w:w="3611" w:type="dxa"/>
            <w:vAlign w:val="center"/>
          </w:tcPr>
          <w:p w14:paraId="0C00C0EF">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2022年红河分公司核心机房动力配套建设项目</w:t>
            </w:r>
          </w:p>
        </w:tc>
        <w:tc>
          <w:tcPr>
            <w:tcW w:w="1597" w:type="dxa"/>
            <w:vAlign w:val="center"/>
          </w:tcPr>
          <w:p w14:paraId="49D6AD3F">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28.07</w:t>
            </w:r>
          </w:p>
        </w:tc>
        <w:tc>
          <w:tcPr>
            <w:tcW w:w="1474" w:type="dxa"/>
            <w:vAlign w:val="center"/>
          </w:tcPr>
          <w:p w14:paraId="2D57894E">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28.07</w:t>
            </w:r>
          </w:p>
        </w:tc>
        <w:tc>
          <w:tcPr>
            <w:tcW w:w="1474" w:type="dxa"/>
            <w:vAlign w:val="center"/>
          </w:tcPr>
          <w:p w14:paraId="4F0531E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26.41</w:t>
            </w:r>
          </w:p>
        </w:tc>
      </w:tr>
      <w:tr w14:paraId="047A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5AD49A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15</w:t>
            </w:r>
          </w:p>
        </w:tc>
        <w:tc>
          <w:tcPr>
            <w:tcW w:w="3611" w:type="dxa"/>
            <w:vAlign w:val="center"/>
          </w:tcPr>
          <w:p w14:paraId="2AC747A7">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2022年大理分公司核心机房动力配套隐患整治项目</w:t>
            </w:r>
          </w:p>
        </w:tc>
        <w:tc>
          <w:tcPr>
            <w:tcW w:w="1597" w:type="dxa"/>
            <w:vAlign w:val="center"/>
          </w:tcPr>
          <w:p w14:paraId="774414E9">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112.44</w:t>
            </w:r>
          </w:p>
        </w:tc>
        <w:tc>
          <w:tcPr>
            <w:tcW w:w="1474" w:type="dxa"/>
            <w:vAlign w:val="center"/>
          </w:tcPr>
          <w:p w14:paraId="0DA7BD46">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98.86</w:t>
            </w:r>
          </w:p>
        </w:tc>
        <w:tc>
          <w:tcPr>
            <w:tcW w:w="1474" w:type="dxa"/>
            <w:vAlign w:val="center"/>
          </w:tcPr>
          <w:p w14:paraId="63AAD54E">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48.11</w:t>
            </w:r>
          </w:p>
        </w:tc>
      </w:tr>
      <w:tr w14:paraId="2BCD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24D60D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16</w:t>
            </w:r>
          </w:p>
        </w:tc>
        <w:tc>
          <w:tcPr>
            <w:tcW w:w="3611" w:type="dxa"/>
            <w:vAlign w:val="center"/>
          </w:tcPr>
          <w:p w14:paraId="6F8B2147">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2022年省级核心机房动力配套大修更新项目</w:t>
            </w:r>
          </w:p>
        </w:tc>
        <w:tc>
          <w:tcPr>
            <w:tcW w:w="1597" w:type="dxa"/>
            <w:vAlign w:val="center"/>
          </w:tcPr>
          <w:p w14:paraId="1DD94040">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479.27</w:t>
            </w:r>
          </w:p>
        </w:tc>
        <w:tc>
          <w:tcPr>
            <w:tcW w:w="1474" w:type="dxa"/>
            <w:vAlign w:val="center"/>
          </w:tcPr>
          <w:p w14:paraId="009BF7CA">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478.71</w:t>
            </w:r>
          </w:p>
        </w:tc>
        <w:tc>
          <w:tcPr>
            <w:tcW w:w="1474" w:type="dxa"/>
            <w:vAlign w:val="center"/>
          </w:tcPr>
          <w:p w14:paraId="2BBAAD5C">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465.53</w:t>
            </w:r>
          </w:p>
        </w:tc>
      </w:tr>
      <w:tr w14:paraId="4A3F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4F8E1C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17</w:t>
            </w:r>
          </w:p>
        </w:tc>
        <w:tc>
          <w:tcPr>
            <w:tcW w:w="3611" w:type="dxa"/>
            <w:vAlign w:val="center"/>
          </w:tcPr>
          <w:p w14:paraId="6F8E5E27">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昆明国家级互联网骨干直联点项目（移动部分）固网流量监测平台扩容单项工程</w:t>
            </w:r>
          </w:p>
        </w:tc>
        <w:tc>
          <w:tcPr>
            <w:tcW w:w="1597" w:type="dxa"/>
            <w:vAlign w:val="center"/>
          </w:tcPr>
          <w:p w14:paraId="4B00DF93">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584.5</w:t>
            </w:r>
            <w:r>
              <w:rPr>
                <w:rFonts w:hint="eastAsia" w:ascii="Times New Roman" w:eastAsia="宋体" w:cs="Times New Roman"/>
                <w:i w:val="0"/>
                <w:iCs w:val="0"/>
                <w:color w:val="000000"/>
                <w:kern w:val="0"/>
                <w:sz w:val="21"/>
                <w:szCs w:val="21"/>
                <w:u w:val="none"/>
                <w:lang w:val="en-US" w:eastAsia="zh-CN" w:bidi="ar"/>
              </w:rPr>
              <w:t>6</w:t>
            </w:r>
          </w:p>
        </w:tc>
        <w:tc>
          <w:tcPr>
            <w:tcW w:w="1474" w:type="dxa"/>
            <w:vAlign w:val="center"/>
          </w:tcPr>
          <w:p w14:paraId="497F01EB">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454.29</w:t>
            </w:r>
          </w:p>
        </w:tc>
        <w:tc>
          <w:tcPr>
            <w:tcW w:w="1474" w:type="dxa"/>
            <w:vAlign w:val="center"/>
          </w:tcPr>
          <w:p w14:paraId="1DF8E494">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234.42</w:t>
            </w:r>
          </w:p>
        </w:tc>
      </w:tr>
      <w:tr w14:paraId="259B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65388E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18</w:t>
            </w:r>
          </w:p>
        </w:tc>
        <w:tc>
          <w:tcPr>
            <w:tcW w:w="3611" w:type="dxa"/>
            <w:vAlign w:val="center"/>
          </w:tcPr>
          <w:p w14:paraId="62477874">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昆明国家级互联网骨干直联点项目（移动部分）僵木蠕检测平台扩容单项工程</w:t>
            </w:r>
          </w:p>
        </w:tc>
        <w:tc>
          <w:tcPr>
            <w:tcW w:w="1597" w:type="dxa"/>
            <w:vAlign w:val="center"/>
          </w:tcPr>
          <w:p w14:paraId="5EEB097D">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177.88</w:t>
            </w:r>
          </w:p>
        </w:tc>
        <w:tc>
          <w:tcPr>
            <w:tcW w:w="1474" w:type="dxa"/>
            <w:vAlign w:val="center"/>
          </w:tcPr>
          <w:p w14:paraId="27EE98D3">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115.2</w:t>
            </w:r>
            <w:r>
              <w:rPr>
                <w:rFonts w:hint="eastAsia" w:ascii="Times New Roman" w:cs="Times New Roman"/>
                <w:sz w:val="21"/>
                <w:szCs w:val="21"/>
                <w:highlight w:val="none"/>
                <w:vertAlign w:val="baseline"/>
                <w:lang w:val="en-US" w:eastAsia="zh-CN"/>
              </w:rPr>
              <w:t>2</w:t>
            </w:r>
          </w:p>
        </w:tc>
        <w:tc>
          <w:tcPr>
            <w:tcW w:w="1474" w:type="dxa"/>
            <w:vAlign w:val="center"/>
          </w:tcPr>
          <w:p w14:paraId="7C5359FE">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w:t>
            </w:r>
            <w:r>
              <w:rPr>
                <w:rFonts w:hint="eastAsia" w:ascii="Times New Roman" w:cs="Times New Roman"/>
                <w:sz w:val="21"/>
                <w:szCs w:val="21"/>
                <w:highlight w:val="none"/>
                <w:vertAlign w:val="baseline"/>
                <w:lang w:val="en-US" w:eastAsia="zh-CN"/>
              </w:rPr>
              <w:t>.00</w:t>
            </w:r>
          </w:p>
        </w:tc>
      </w:tr>
      <w:tr w14:paraId="3B62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207FA2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19</w:t>
            </w:r>
          </w:p>
        </w:tc>
        <w:tc>
          <w:tcPr>
            <w:tcW w:w="3611" w:type="dxa"/>
            <w:vAlign w:val="center"/>
          </w:tcPr>
          <w:p w14:paraId="142D83A5">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昆明国家级互联网骨干直联点项目（移动部分）抗DDOS系统扩容单项工程</w:t>
            </w:r>
          </w:p>
        </w:tc>
        <w:tc>
          <w:tcPr>
            <w:tcW w:w="1597" w:type="dxa"/>
            <w:vAlign w:val="center"/>
          </w:tcPr>
          <w:p w14:paraId="239DF194">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45.4</w:t>
            </w:r>
            <w:r>
              <w:rPr>
                <w:rFonts w:hint="eastAsia" w:ascii="Times New Roman" w:eastAsia="宋体" w:cs="Times New Roman"/>
                <w:i w:val="0"/>
                <w:iCs w:val="0"/>
                <w:color w:val="000000"/>
                <w:kern w:val="0"/>
                <w:sz w:val="21"/>
                <w:szCs w:val="21"/>
                <w:u w:val="none"/>
                <w:lang w:val="en-US" w:eastAsia="zh-CN" w:bidi="ar"/>
              </w:rPr>
              <w:t>3</w:t>
            </w:r>
          </w:p>
        </w:tc>
        <w:tc>
          <w:tcPr>
            <w:tcW w:w="1474" w:type="dxa"/>
            <w:vAlign w:val="center"/>
          </w:tcPr>
          <w:p w14:paraId="3FB5A5B7">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12.87</w:t>
            </w:r>
          </w:p>
        </w:tc>
        <w:tc>
          <w:tcPr>
            <w:tcW w:w="1474" w:type="dxa"/>
            <w:vAlign w:val="center"/>
          </w:tcPr>
          <w:p w14:paraId="74A2F5BF">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w:t>
            </w:r>
            <w:r>
              <w:rPr>
                <w:rFonts w:hint="eastAsia" w:ascii="Times New Roman" w:cs="Times New Roman"/>
                <w:sz w:val="21"/>
                <w:szCs w:val="21"/>
                <w:highlight w:val="none"/>
                <w:vertAlign w:val="baseline"/>
                <w:lang w:val="en-US" w:eastAsia="zh-CN"/>
              </w:rPr>
              <w:t>.00</w:t>
            </w:r>
          </w:p>
        </w:tc>
      </w:tr>
      <w:tr w14:paraId="6687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2BE006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20</w:t>
            </w:r>
          </w:p>
        </w:tc>
        <w:tc>
          <w:tcPr>
            <w:tcW w:w="3611" w:type="dxa"/>
            <w:vAlign w:val="center"/>
          </w:tcPr>
          <w:p w14:paraId="3BED979A">
            <w:pPr>
              <w:keepNext w:val="0"/>
              <w:keepLines w:val="0"/>
              <w:widowControl/>
              <w:suppressLineNumbers w:val="0"/>
              <w:jc w:val="left"/>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昆明国家级互联网骨干直联点项目（移动部分）数据安全管控平台建设单项工程</w:t>
            </w:r>
          </w:p>
        </w:tc>
        <w:tc>
          <w:tcPr>
            <w:tcW w:w="1597" w:type="dxa"/>
            <w:vAlign w:val="center"/>
          </w:tcPr>
          <w:p w14:paraId="6008ADF9">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471.65</w:t>
            </w:r>
          </w:p>
        </w:tc>
        <w:tc>
          <w:tcPr>
            <w:tcW w:w="1474" w:type="dxa"/>
            <w:vAlign w:val="center"/>
          </w:tcPr>
          <w:p w14:paraId="42CEAEEC">
            <w:pPr>
              <w:keepNext w:val="0"/>
              <w:keepLines w:val="0"/>
              <w:widowControl/>
              <w:suppressLineNumbers w:val="0"/>
              <w:jc w:val="center"/>
              <w:textAlignment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446.15</w:t>
            </w:r>
          </w:p>
        </w:tc>
        <w:tc>
          <w:tcPr>
            <w:tcW w:w="1474" w:type="dxa"/>
            <w:vAlign w:val="center"/>
          </w:tcPr>
          <w:p w14:paraId="75282F08">
            <w:pPr>
              <w:keepNext w:val="0"/>
              <w:keepLines w:val="0"/>
              <w:widowControl/>
              <w:suppressLineNumbers w:val="0"/>
              <w:jc w:val="center"/>
              <w:textAlignment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w:t>
            </w:r>
            <w:r>
              <w:rPr>
                <w:rFonts w:hint="eastAsia" w:ascii="Times New Roman" w:cs="Times New Roman"/>
                <w:sz w:val="21"/>
                <w:szCs w:val="21"/>
                <w:highlight w:val="none"/>
                <w:vertAlign w:val="baseline"/>
                <w:lang w:val="en-US" w:eastAsia="zh-CN"/>
              </w:rPr>
              <w:t>.00</w:t>
            </w:r>
          </w:p>
        </w:tc>
      </w:tr>
      <w:tr w14:paraId="0770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6" w:type="dxa"/>
            <w:gridSpan w:val="2"/>
            <w:vAlign w:val="center"/>
          </w:tcPr>
          <w:p w14:paraId="1FB86B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总计</w:t>
            </w:r>
          </w:p>
        </w:tc>
        <w:tc>
          <w:tcPr>
            <w:tcW w:w="1597" w:type="dxa"/>
            <w:vAlign w:val="center"/>
          </w:tcPr>
          <w:p w14:paraId="435BA666">
            <w:pPr>
              <w:keepNext w:val="0"/>
              <w:keepLines w:val="0"/>
              <w:widowControl/>
              <w:suppressLineNumbers w:val="0"/>
              <w:jc w:val="center"/>
              <w:textAlignment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10</w:t>
            </w:r>
            <w:r>
              <w:rPr>
                <w:rFonts w:hint="eastAsia" w:asci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076.13</w:t>
            </w:r>
          </w:p>
        </w:tc>
        <w:tc>
          <w:tcPr>
            <w:tcW w:w="1474" w:type="dxa"/>
            <w:vAlign w:val="center"/>
          </w:tcPr>
          <w:p w14:paraId="2A389F53">
            <w:pPr>
              <w:keepNext w:val="0"/>
              <w:keepLines w:val="0"/>
              <w:widowControl/>
              <w:suppressLineNumbers w:val="0"/>
              <w:jc w:val="center"/>
              <w:textAlignment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9</w:t>
            </w:r>
            <w:r>
              <w:rPr>
                <w:rFonts w:hint="eastAsia" w:ascii="Times New Roman" w:cs="Times New Roman"/>
                <w:b/>
                <w:bCs/>
                <w:sz w:val="21"/>
                <w:szCs w:val="21"/>
                <w:highlight w:val="none"/>
                <w:vertAlign w:val="baseline"/>
                <w:lang w:val="en-US" w:eastAsia="zh-CN"/>
              </w:rPr>
              <w:t>,</w:t>
            </w:r>
            <w:r>
              <w:rPr>
                <w:rFonts w:hint="default" w:ascii="Times New Roman" w:hAnsi="Times New Roman" w:cs="Times New Roman"/>
                <w:b/>
                <w:bCs/>
                <w:sz w:val="21"/>
                <w:szCs w:val="21"/>
                <w:highlight w:val="none"/>
                <w:vertAlign w:val="baseline"/>
                <w:lang w:val="en-US" w:eastAsia="zh-CN"/>
              </w:rPr>
              <w:t>101.71</w:t>
            </w:r>
          </w:p>
        </w:tc>
        <w:tc>
          <w:tcPr>
            <w:tcW w:w="1474" w:type="dxa"/>
            <w:vAlign w:val="center"/>
          </w:tcPr>
          <w:p w14:paraId="3FD668CE">
            <w:pPr>
              <w:keepNext w:val="0"/>
              <w:keepLines w:val="0"/>
              <w:widowControl/>
              <w:suppressLineNumbers w:val="0"/>
              <w:jc w:val="center"/>
              <w:textAlignment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7</w:t>
            </w:r>
            <w:r>
              <w:rPr>
                <w:rFonts w:hint="eastAsia" w:ascii="Times New Roman" w:cs="Times New Roman"/>
                <w:b/>
                <w:bCs/>
                <w:sz w:val="21"/>
                <w:szCs w:val="21"/>
                <w:highlight w:val="none"/>
                <w:vertAlign w:val="baseline"/>
                <w:lang w:val="en-US" w:eastAsia="zh-CN"/>
              </w:rPr>
              <w:t>,</w:t>
            </w:r>
            <w:r>
              <w:rPr>
                <w:rFonts w:hint="default" w:ascii="Times New Roman" w:hAnsi="Times New Roman" w:cs="Times New Roman"/>
                <w:b/>
                <w:bCs/>
                <w:sz w:val="21"/>
                <w:szCs w:val="21"/>
                <w:highlight w:val="none"/>
                <w:vertAlign w:val="baseline"/>
                <w:lang w:val="en-US" w:eastAsia="zh-CN"/>
              </w:rPr>
              <w:t>731.54</w:t>
            </w:r>
          </w:p>
        </w:tc>
      </w:tr>
    </w:tbl>
    <w:p w14:paraId="0291212B">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b w:val="0"/>
          <w:bCs w:val="0"/>
        </w:rPr>
      </w:pPr>
      <w:bookmarkStart w:id="26" w:name="_Toc2556"/>
      <w:r>
        <w:rPr>
          <w:rFonts w:hint="default" w:ascii="Times New Roman" w:hAnsi="Times New Roman" w:cs="Times New Roman"/>
          <w:b w:val="0"/>
          <w:bCs w:val="0"/>
        </w:rPr>
        <w:t>（三）项目实施内容</w:t>
      </w:r>
      <w:bookmarkEnd w:id="26"/>
      <w:r>
        <w:rPr>
          <w:rFonts w:hint="default" w:ascii="Times New Roman" w:hAnsi="Times New Roman" w:cs="Times New Roman"/>
          <w:b w:val="0"/>
          <w:bCs w:val="0"/>
          <w:lang w:val="en-US" w:eastAsia="zh-CN"/>
        </w:rPr>
        <w:t xml:space="preserve"> </w:t>
      </w:r>
    </w:p>
    <w:p w14:paraId="423965DB">
      <w:pPr>
        <w:topLinePunct/>
        <w:spacing w:line="540" w:lineRule="exact"/>
        <w:ind w:firstLine="787" w:firstLineChars="25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1.项目实施方面</w:t>
      </w:r>
    </w:p>
    <w:p w14:paraId="4821255D">
      <w:pPr>
        <w:topLinePunct/>
        <w:spacing w:line="540" w:lineRule="exact"/>
        <w:ind w:firstLine="787" w:firstLineChars="25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项目初步设计批复、施工合同，本项目具体实施内容为：为配合昆明国家级互联网骨干直联点建设，云南移动积极开展相关工作。本期新建互联互通路由器及网间传输网络，对直连点相关机房基础配套进行改造。为疏导省内流量，对网内IP网络、传输网络进行扩容。配合建设骨干直连点监测系统，监测网间通信质量和骨干直连点运行情况，同时对僵木蠕检测平台、网络安全态势感知系统、资产安全管理平台、DPI系统等网络安全系统进行扩容，提升骨干直连点安全防护能力。</w:t>
      </w:r>
    </w:p>
    <w:p w14:paraId="2197EF80">
      <w:pPr>
        <w:topLinePunct/>
        <w:spacing w:line="540" w:lineRule="exact"/>
        <w:ind w:firstLine="787" w:firstLineChars="250"/>
        <w:rPr>
          <w:rFonts w:hint="default" w:ascii="Times New Roman" w:hAnsi="Times New Roman" w:cs="Times New Roman"/>
          <w:szCs w:val="30"/>
          <w:highlight w:val="none"/>
          <w:lang w:val="en-US" w:eastAsia="zh-CN"/>
        </w:rPr>
        <w:sectPr>
          <w:footerReference r:id="rId8" w:type="default"/>
          <w:footerReference r:id="rId9" w:type="even"/>
          <w:pgSz w:w="11906" w:h="16838"/>
          <w:pgMar w:top="2098" w:right="1474" w:bottom="1985" w:left="1588" w:header="851" w:footer="1474" w:gutter="0"/>
          <w:pgNumType w:fmt="decimal" w:start="1"/>
          <w:cols w:space="425" w:num="1"/>
          <w:docGrid w:type="linesAndChars" w:linePitch="579" w:charSpace="3247"/>
        </w:sectPr>
      </w:pPr>
      <w:r>
        <w:rPr>
          <w:rFonts w:hint="default" w:ascii="Times New Roman" w:hAnsi="Times New Roman" w:cs="Times New Roman"/>
          <w:szCs w:val="30"/>
          <w:highlight w:val="none"/>
          <w:shd w:val="clear"/>
          <w:lang w:val="en-US" w:eastAsia="zh-CN"/>
        </w:rPr>
        <w:t>昆明国家级互联网骨干直联点项目（移动部分）涉及20个单项工程，除昆明国家级互联网骨干直联点项目（移动部分）数据安全管控平台开发单项工程进行公开招标外，其余单项工程采购的主配套设备及设计、施工、监理均为集团</w:t>
      </w:r>
      <w:r>
        <w:rPr>
          <w:rFonts w:hint="default" w:ascii="Times New Roman" w:hAnsi="Times New Roman" w:cs="Times New Roman"/>
          <w:szCs w:val="30"/>
          <w:highlight w:val="none"/>
          <w:lang w:val="en-US" w:eastAsia="zh-CN"/>
        </w:rPr>
        <w:t>集中采购签订的框架合同，省内按照分配份额执行，采用框架合同和结算单的方式进行费用支出。各单项工程完成情况如下表：</w:t>
      </w:r>
    </w:p>
    <w:p w14:paraId="4EDD39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lang w:val="en-US" w:eastAsia="zh-CN"/>
        </w:rPr>
      </w:pPr>
      <w:r>
        <w:rPr>
          <w:rFonts w:hint="eastAsia" w:ascii="Times New Roman" w:eastAsia="黑体" w:cs="Times New Roman"/>
          <w:b w:val="0"/>
          <w:bCs/>
          <w:sz w:val="24"/>
          <w:szCs w:val="24"/>
          <w:lang w:val="en-US" w:eastAsia="zh-CN"/>
        </w:rPr>
        <w:t xml:space="preserve">表3 </w:t>
      </w:r>
      <w:r>
        <w:rPr>
          <w:rFonts w:hint="default" w:ascii="Times New Roman" w:hAnsi="Times New Roman" w:eastAsia="黑体" w:cs="Times New Roman"/>
          <w:b w:val="0"/>
          <w:bCs/>
          <w:sz w:val="24"/>
          <w:szCs w:val="24"/>
          <w:lang w:val="en-US" w:eastAsia="zh-CN"/>
        </w:rPr>
        <w:t>项目完成情况表</w:t>
      </w:r>
    </w:p>
    <w:p w14:paraId="7B94B90A">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单位：万元</w:t>
      </w: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2265"/>
        <w:gridCol w:w="1606"/>
        <w:gridCol w:w="6061"/>
        <w:gridCol w:w="2146"/>
      </w:tblGrid>
      <w:tr w14:paraId="23B5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blHeader/>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1B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lang w:val="en-US" w:eastAsia="zh-CN"/>
              </w:rPr>
              <w:t>序号</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54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lang w:val="en-US" w:eastAsia="zh-CN"/>
              </w:rPr>
              <w:t>项目构成</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02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color w:val="000000"/>
                <w:kern w:val="0"/>
                <w:sz w:val="21"/>
                <w:szCs w:val="21"/>
                <w:highlight w:val="none"/>
                <w:lang w:val="en-US" w:eastAsia="zh-CN"/>
              </w:rPr>
            </w:pPr>
            <w:r>
              <w:rPr>
                <w:rFonts w:hint="default" w:ascii="Times New Roman" w:hAnsi="Times New Roman" w:cs="Times New Roman"/>
                <w:b/>
                <w:bCs/>
                <w:color w:val="000000"/>
                <w:kern w:val="0"/>
                <w:sz w:val="21"/>
                <w:szCs w:val="21"/>
                <w:highlight w:val="none"/>
                <w:lang w:val="en-US" w:eastAsia="zh-CN"/>
              </w:rPr>
              <w:t>批复</w:t>
            </w:r>
            <w:r>
              <w:rPr>
                <w:rFonts w:hint="default" w:ascii="Times New Roman" w:hAnsi="Times New Roman" w:eastAsia="仿宋" w:cs="Times New Roman"/>
                <w:b/>
                <w:bCs/>
                <w:color w:val="000000"/>
                <w:kern w:val="0"/>
                <w:sz w:val="21"/>
                <w:szCs w:val="21"/>
                <w:highlight w:val="none"/>
                <w:lang w:val="en-US" w:eastAsia="zh-CN"/>
              </w:rPr>
              <w:t>金额</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28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lang w:val="en-US" w:eastAsia="zh-CN"/>
              </w:rPr>
              <w:t>计划实施内容</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B2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lang w:val="en-US" w:eastAsia="zh-CN"/>
              </w:rPr>
              <w:t>实际完成情况</w:t>
            </w:r>
          </w:p>
        </w:tc>
      </w:tr>
      <w:tr w14:paraId="32BF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3E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5C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sz w:val="21"/>
                <w:szCs w:val="21"/>
                <w:highlight w:val="none"/>
                <w:vertAlign w:val="baseline"/>
                <w:lang w:val="en-US" w:eastAsia="zh-CN"/>
              </w:rPr>
              <w:t>中国移动云南公司2022年网络安全态势感知平台一阶段改造项目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4486">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280.14</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4154">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一）根据网络与信息安全管理部《关于提请反诈相关系统建设支撑需求的函》及集团公司下发的相关接口规范的要求，对省内态势感知平台进行改造，实现主动向集团策略分析平台报送涉诈监测数据、成效数据，上报重定向到404预警页面的访问统计数据，接收集团公司向省公司下发要进行处置的涉诈域名/网址/IP地址数据信息和反诈大数据模板。</w:t>
            </w:r>
          </w:p>
          <w:p w14:paraId="43CEA704">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二）根据工信部下发《基础电信企业资产安全管理平台接口规范》、《基础电信企业木马和僵尸网络监测与处置管理平台接口规范》及《基础电信企业网络安全态势感知平台接口规范（v1.0）》要求，对省内网络安全态势感知平台进行接口改造，实现与通信管理局侧系统的对接。</w:t>
            </w:r>
          </w:p>
          <w:p w14:paraId="6083CC01">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（三）根据集团公司网络事业部《关于提交中国移动网络安全态势感知平台二期二阶段相关需求的函》（网函</w:t>
            </w: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2022</w:t>
            </w: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92号）及《省级平台数据接口规范V2.4》要求，对省内网络安全态势感知平台进行接口改造，实现向总部网络安全态势感知平台报送已采集的5G物联网安全告警数据。</w:t>
            </w:r>
          </w:p>
          <w:p w14:paraId="7961EAE3">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（四）同时满足昆明骨干直联点的建设需求。</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0E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color w:val="000000"/>
                <w:kern w:val="0"/>
                <w:sz w:val="21"/>
                <w:szCs w:val="21"/>
                <w:highlight w:val="none"/>
                <w:lang w:val="en-US" w:eastAsia="zh-CN"/>
              </w:rPr>
              <w:t>2023年8月完成建设并竣工验收</w:t>
            </w:r>
          </w:p>
          <w:p w14:paraId="71BE5E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p>
        </w:tc>
      </w:tr>
      <w:tr w14:paraId="7AD5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CF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2</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1317">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sz w:val="21"/>
                <w:szCs w:val="21"/>
                <w:highlight w:val="none"/>
                <w:vertAlign w:val="baseline"/>
                <w:lang w:val="en-US" w:eastAsia="zh-CN"/>
              </w:rPr>
              <w:t>中国移动云南公司2022年资产安全管理平台扩容改造项目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984F">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148.6</w:t>
            </w:r>
            <w:r>
              <w:rPr>
                <w:rFonts w:hint="eastAsia" w:ascii="Times New Roman" w:eastAsia="宋体" w:cs="Times New Roman"/>
                <w:i w:val="0"/>
                <w:iCs w:val="0"/>
                <w:color w:val="000000"/>
                <w:kern w:val="0"/>
                <w:sz w:val="21"/>
                <w:szCs w:val="21"/>
                <w:u w:val="none"/>
                <w:lang w:val="en-US" w:eastAsia="zh-CN" w:bidi="ar"/>
              </w:rPr>
              <w:t>8</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890A">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本期对资产安全管理平台进行软件功能改造，新增工信部接口改造、互联网暴露面资产管理和互联网暴露面测绘功能，并优化集团平台和省级平台接口及登录采集功能；软件部署于玉溪大河机房平台云资源池。</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BF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color w:val="000000"/>
                <w:kern w:val="0"/>
                <w:sz w:val="21"/>
                <w:szCs w:val="21"/>
                <w:highlight w:val="none"/>
                <w:lang w:val="en-US" w:eastAsia="zh-CN"/>
              </w:rPr>
              <w:t>2023年8月完成建设并竣工验收</w:t>
            </w:r>
          </w:p>
        </w:tc>
      </w:tr>
      <w:tr w14:paraId="7414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B8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3</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A0A1">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昆明国家级互联网骨干直联点项目（移动部分）DPI系统二阶段扩容单项工程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908D">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246.1</w:t>
            </w:r>
            <w:r>
              <w:rPr>
                <w:rFonts w:hint="eastAsia" w:ascii="Times New Roman" w:eastAsia="宋体" w:cs="Times New Roman"/>
                <w:i w:val="0"/>
                <w:iCs w:val="0"/>
                <w:color w:val="000000"/>
                <w:kern w:val="0"/>
                <w:sz w:val="21"/>
                <w:szCs w:val="21"/>
                <w:u w:val="none"/>
                <w:lang w:val="en-US" w:eastAsia="zh-CN" w:bidi="ar"/>
              </w:rPr>
              <w:t>6</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B4A2">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 xml:space="preserve">（一）DPI设备：本期工程在高新2#9楼、呈贡大数据中心B02-403机房新增网间出口DPI节点，其中高新新增600G DPI设备，覆盖至联通方向600G互通链路，呈贡新增1000GDPI设备，覆盖至电信方向1000G互通链路。 </w:t>
            </w:r>
          </w:p>
          <w:p w14:paraId="624FC6FA">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二）网络设备及服务器：本期工程在高新和呈贡节点各新增2台交换机、2台防火墙、3台服务器。交换机以2*10GE链路互联，单边1*10GE链路“口字型”上联至防火墙，防火墙以2*10GE链路互联，单边1*10GE链路“口字型”上联至骨干网接入交换机用于上传数据报表，交换机-2再以1*GE链路上联至骨干网接入交换机作封堵</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C0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2024年</w:t>
            </w:r>
            <w:r>
              <w:rPr>
                <w:rFonts w:hint="default" w:ascii="Times New Roman" w:hAnsi="Times New Roman" w:eastAsia="仿宋" w:cs="Times New Roman"/>
                <w:color w:val="000000"/>
                <w:kern w:val="0"/>
                <w:sz w:val="21"/>
                <w:szCs w:val="21"/>
                <w:highlight w:val="none"/>
                <w:lang w:val="en-US" w:eastAsia="zh-CN"/>
              </w:rPr>
              <w:t>6月1日上线试运行</w:t>
            </w:r>
          </w:p>
          <w:p w14:paraId="0F2DF8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p>
        </w:tc>
      </w:tr>
      <w:tr w14:paraId="6271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0C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4</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82E8">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中国移动云南公司互联网骨干直联点DPI系统一阶段扩容项目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4C10">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079.07</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C1C3">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 xml:space="preserve">（一）省网出口： </w:t>
            </w:r>
          </w:p>
          <w:p w14:paraId="2B6C0BFB">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 xml:space="preserve">1.高新节点新增2台低端交换机、600G能力DPI设备，从枢纽机房搬迁1600G能力DPI设备，满足高新节点新增链路覆盖需求。 </w:t>
            </w:r>
          </w:p>
          <w:p w14:paraId="02AEA73C">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 xml:space="preserve">2.呈贡节点新增3200G能力DPI设备用于骨干网BB4搬迁。新增600G能力DPI设备，从枢纽机房搬迁3200G能力DPI设备，满足呈贡节点省网出口新增链路覆盖需求。 </w:t>
            </w:r>
          </w:p>
          <w:p w14:paraId="1001CAD6">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 xml:space="preserve">（二）IDC出口： </w:t>
            </w:r>
          </w:p>
          <w:p w14:paraId="63CAED4A">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 xml:space="preserve">1.呈贡大数据中心IDC出口：新增2000G能力DPI设备、2台高端三层交换机、1台插卡式汇聚分流设备、22台服务器。 </w:t>
            </w:r>
          </w:p>
          <w:p w14:paraId="67F3582E">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 xml:space="preserve">2.曲靖IDC出口：新增400G能力DPI设备，因业务需紧急上线，本期借用呈贡大数据中心IDC出口现网设备满足需求，后期根据集采结果进行调整。 </w:t>
            </w:r>
          </w:p>
          <w:p w14:paraId="3856A0EC">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lang w:val="en-US" w:eastAsia="zh-CN" w:bidi="ar"/>
              </w:rPr>
              <w:t xml:space="preserve">（三）软件建设方案：新增1套涉诈网站预警页面跳转功能软件，支持URL/IP类重定向跳转功能。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2A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2024年</w:t>
            </w:r>
            <w:r>
              <w:rPr>
                <w:rFonts w:hint="default" w:ascii="Times New Roman" w:hAnsi="Times New Roman" w:eastAsia="仿宋" w:cs="Times New Roman"/>
                <w:color w:val="000000"/>
                <w:kern w:val="0"/>
                <w:sz w:val="21"/>
                <w:szCs w:val="21"/>
                <w:highlight w:val="none"/>
                <w:lang w:val="en-US" w:eastAsia="zh-CN"/>
              </w:rPr>
              <w:t>6月1日上线试运行</w:t>
            </w:r>
          </w:p>
          <w:p w14:paraId="3A198C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color w:val="000000"/>
                <w:kern w:val="0"/>
                <w:sz w:val="21"/>
                <w:szCs w:val="21"/>
                <w:highlight w:val="none"/>
                <w:lang w:val="en-US" w:eastAsia="zh-CN"/>
              </w:rPr>
            </w:pPr>
          </w:p>
        </w:tc>
      </w:tr>
      <w:tr w14:paraId="197B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35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5</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EE7">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昆明国家级互联网骨干直联点项目（移动部分）IP网网内扩容改造单项工程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1ECC">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193.79</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AA5D">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本期共扩容PB-3/4设备2块4端口100GE板卡（16端口实体板卡，可使用4端口），4块虚拟4端口100GE板卡（不包括实体板卡）；大理2块4端口100GE板卡（16端口实体板卡</w:t>
            </w:r>
            <w:r>
              <w:rPr>
                <w:rFonts w:hint="default" w:ascii="Times New Roman" w:hAnsi="Times New Roman" w:eastAsia="仿宋" w:cs="Times New Roman"/>
                <w:color w:val="000000"/>
                <w:kern w:val="0"/>
                <w:sz w:val="21"/>
                <w:szCs w:val="21"/>
                <w:highlight w:val="none"/>
                <w:lang w:eastAsia="zh-CN"/>
              </w:rPr>
              <w:t>，</w:t>
            </w:r>
            <w:r>
              <w:rPr>
                <w:rFonts w:hint="default" w:ascii="Times New Roman" w:hAnsi="Times New Roman" w:eastAsia="仿宋" w:cs="Times New Roman"/>
                <w:color w:val="000000"/>
                <w:kern w:val="0"/>
                <w:sz w:val="21"/>
                <w:szCs w:val="21"/>
                <w:highlight w:val="none"/>
              </w:rPr>
              <w:t>可使用4端口）；曲靖2块虚拟4端口100GE板卡（不包括实体板卡）、红河4块虚拟4端口100GE板卡（不包括实体板卡）、昭通2块虚拟4端口100GE板卡（不包括实体板卡）和文山4块虚拟4端口100GE板卡（不包括实体板卡）。</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3C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color w:val="000000"/>
                <w:kern w:val="0"/>
                <w:sz w:val="21"/>
                <w:szCs w:val="21"/>
                <w:highlight w:val="none"/>
                <w:lang w:val="en-US" w:eastAsia="zh-CN"/>
              </w:rPr>
              <w:t>2023年5月完成建设，6月1日进入试运行阶段</w:t>
            </w:r>
          </w:p>
        </w:tc>
      </w:tr>
      <w:tr w14:paraId="494F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623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6</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233E">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中国移动CMNet骨干网新建昆明、长春直联点工程_云南公司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6FEC">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411.7</w:t>
            </w:r>
            <w:r>
              <w:rPr>
                <w:rFonts w:hint="eastAsia" w:ascii="Times New Roman" w:eastAsia="宋体" w:cs="Times New Roman"/>
                <w:i w:val="0"/>
                <w:iCs w:val="0"/>
                <w:color w:val="000000"/>
                <w:kern w:val="0"/>
                <w:sz w:val="21"/>
                <w:szCs w:val="21"/>
                <w:u w:val="none"/>
                <w:lang w:val="en-US" w:eastAsia="zh-CN" w:bidi="ar"/>
              </w:rPr>
              <w:t>1</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1F47">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该工程为满足国内网间出口流量需求进行建设，新建昆明、长春网间直联点，两直联点各设置 2 个互联出口节点，每个节点设置 1 台出口路由器、2 台交换机，扩容 CMNet 骨干网核心节点设备，业务满足期分别至 2025 年底、2026 年底。其中：</w:t>
            </w:r>
          </w:p>
          <w:p w14:paraId="32C59195">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（一）昆明直联点建设网间互联带宽 1.6Tbps，其中电信方向 1Tbps、联通方向 600Gbps；</w:t>
            </w:r>
          </w:p>
          <w:p w14:paraId="6620351F">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（二）长春直联点建设网间互联带宽 800Gbps，其中电信方向 400Gbps、联通方向 400Gbps。</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08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已验收</w:t>
            </w:r>
          </w:p>
        </w:tc>
      </w:tr>
      <w:tr w14:paraId="3914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47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7</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A65B">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昆明国家级互联网骨干直联点项目（移动部分）监测系统配套建设单项工程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9E27">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251.07</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3326">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 xml:space="preserve">（一）主动监测系统：本期项目在省中心2个直联点机房各新增1台高端三层交换机、1台服务器，全省16个地市各新增1台主动监测服务器和1台宽带测速服务器。 </w:t>
            </w:r>
          </w:p>
          <w:p w14:paraId="18127FE8">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（二）被动监测系统：本期对省中心直联点移动到电信方向的10条100G互通链路进行收发双向分光。</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18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color w:val="000000"/>
                <w:kern w:val="0"/>
                <w:sz w:val="21"/>
                <w:szCs w:val="21"/>
                <w:highlight w:val="none"/>
                <w:lang w:val="en-US" w:eastAsia="zh-CN"/>
              </w:rPr>
              <w:t>6月初上线</w:t>
            </w:r>
          </w:p>
        </w:tc>
      </w:tr>
      <w:tr w14:paraId="51A5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B8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8</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F563">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中国移动云南公司昆明分公司互联网骨干直联点传输管道购置项目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9B90">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531.29</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6E08">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 xml:space="preserve">购置管道27段，共19.17管程公里，合计45.98管孔公里。 </w:t>
            </w:r>
          </w:p>
          <w:p w14:paraId="46A8C5FF">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02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已验收</w:t>
            </w:r>
          </w:p>
        </w:tc>
      </w:tr>
      <w:tr w14:paraId="4673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9</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6862">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昆明国家级互联网骨干直联点项目（移动部分）网间及网内OTN传输网络扩容改造单项工程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4A1C">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001.0</w:t>
            </w:r>
            <w:r>
              <w:rPr>
                <w:rFonts w:hint="eastAsia" w:ascii="Times New Roman" w:eastAsia="宋体" w:cs="Times New Roman"/>
                <w:i w:val="0"/>
                <w:iCs w:val="0"/>
                <w:color w:val="000000"/>
                <w:kern w:val="0"/>
                <w:sz w:val="21"/>
                <w:szCs w:val="21"/>
                <w:u w:val="none"/>
                <w:lang w:val="en-US" w:eastAsia="zh-CN" w:bidi="ar"/>
              </w:rPr>
              <w:t>2</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BBEF">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 xml:space="preserve">1、互联网骨干直连点网间互联互通OTN环将移动公司高新二纳入组网，与联通环湖东路形成OTN复用段，光层仍采用FOADM技术，保护方式采用OLP保护；建设3个U32电层子架、2个M12光层子架，扩容100GE线路板21块、100GE支路板21块。 </w:t>
            </w:r>
          </w:p>
          <w:p w14:paraId="4F28303C">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lang w:val="en-US" w:eastAsia="zh-CN" w:bidi="ar"/>
              </w:rPr>
              <w:t>2、互联网骨干直连点网内OTN系统扩容 建设2个电层子架，扩容200G波道26个、100G波道12个，扩容200G线路板38块、100G线路板12块、100G支路板58 块、10G支路板1 块，ROADM光支路板3 块，10G光模块10个；新增列头柜1架，新增ODF架6架，扩容72芯 ODF子框18个。</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8E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已验收</w:t>
            </w:r>
          </w:p>
        </w:tc>
      </w:tr>
      <w:tr w14:paraId="4E7E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B4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10</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CB76">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昆明国家级互联网骨干直联点项目（移动部分）数据中心一期小机电扩容单项工程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05CB">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788.24</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443B">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12171F"/>
                <w:kern w:val="0"/>
                <w:sz w:val="21"/>
                <w:szCs w:val="21"/>
                <w:lang w:val="en-US" w:eastAsia="zh-CN" w:bidi="ar"/>
              </w:rPr>
              <w:t xml:space="preserve">（一）本期计划启用B2栋机楼101电力电池室与102通信机房，基础装修已纳入2020 年小机电配套项目中实施建设，本期工程按需使用即可。 </w:t>
            </w:r>
          </w:p>
          <w:p w14:paraId="24A1995F">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12171F"/>
                <w:kern w:val="0"/>
                <w:sz w:val="21"/>
                <w:szCs w:val="21"/>
                <w:lang w:val="en-US" w:eastAsia="zh-CN" w:bidi="ar"/>
              </w:rPr>
              <w:t xml:space="preserve">（二）本期在B2栋机楼402电力电池室建设2套400kVA（3N）UPS系统，1套 200kVA（单机）UPS系统，配置20组700W高功率电池组，1套3200A楼层配电系统，1面空调配电柜，8面交流配电柜。 </w:t>
            </w:r>
          </w:p>
          <w:p w14:paraId="36BCAB84">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12171F"/>
                <w:kern w:val="0"/>
                <w:sz w:val="21"/>
                <w:szCs w:val="21"/>
                <w:lang w:val="en-US" w:eastAsia="zh-CN" w:bidi="ar"/>
              </w:rPr>
              <w:t xml:space="preserve">（三）本期在B2栋机楼402通信机房采用“封闭热通道”，建设186架网络综合机柜，35台40kW冷冻水列间空调，2台120kW冷冻水精密空调，5台恒湿机。 </w:t>
            </w:r>
          </w:p>
          <w:p w14:paraId="4808CEA2">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12171F"/>
                <w:kern w:val="0"/>
                <w:sz w:val="21"/>
                <w:szCs w:val="21"/>
                <w:lang w:val="en-US" w:eastAsia="zh-CN" w:bidi="ar"/>
              </w:rPr>
              <w:t xml:space="preserve">（四）本期在B2栋机楼102通信机房按满配原则，建设走线架和接地铜排等。 </w:t>
            </w:r>
          </w:p>
          <w:p w14:paraId="3316532D">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12171F"/>
                <w:kern w:val="0"/>
                <w:sz w:val="21"/>
                <w:szCs w:val="21"/>
                <w:lang w:val="en-US" w:eastAsia="zh-CN" w:bidi="ar"/>
              </w:rPr>
              <w:t xml:space="preserve">（五）本期同步建设动环监控系统、密集插接母线及电力电缆等。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807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仍在进行中</w:t>
            </w:r>
          </w:p>
        </w:tc>
      </w:tr>
      <w:tr w14:paraId="78F7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01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11</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76A9">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2022年曲靖分公司核心局楼动力配套大修更新项目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16D1">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22.9</w:t>
            </w:r>
            <w:r>
              <w:rPr>
                <w:rFonts w:hint="eastAsia" w:ascii="Times New Roman" w:eastAsia="宋体" w:cs="Times New Roman"/>
                <w:i w:val="0"/>
                <w:iCs w:val="0"/>
                <w:color w:val="000000"/>
                <w:kern w:val="0"/>
                <w:sz w:val="21"/>
                <w:szCs w:val="21"/>
                <w:u w:val="none"/>
                <w:lang w:val="en-US" w:eastAsia="zh-CN" w:bidi="ar"/>
              </w:rPr>
              <w:t>9</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E72C">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333333"/>
                <w:kern w:val="0"/>
                <w:sz w:val="21"/>
                <w:szCs w:val="21"/>
                <w:lang w:val="en-US" w:eastAsia="zh-CN" w:bidi="ar"/>
              </w:rPr>
              <w:t xml:space="preserve">（一）曲靖小坡生产楼：办公楼一层机房更换2组12V65Ah蓄电池组（32只1组），二层电力室更换3套单体电池采集设备BM40-2V，三层电力室更换6套单体电池采集设备BM40-2V。 </w:t>
            </w:r>
          </w:p>
          <w:p w14:paraId="12068430">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333333"/>
                <w:kern w:val="0"/>
                <w:sz w:val="21"/>
                <w:szCs w:val="21"/>
                <w:lang w:val="en-US" w:eastAsia="zh-CN" w:bidi="ar"/>
              </w:rPr>
              <w:t xml:space="preserve">（二）曲靖花柯路综合楼：2层电力室更换2台40kVAUPS，2套单体电池采集设备BM40-2V，4套单体电池采集设备BM40-12V(UPS)。 </w:t>
            </w:r>
          </w:p>
          <w:p w14:paraId="5F64A228">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333333"/>
                <w:kern w:val="0"/>
                <w:sz w:val="21"/>
                <w:szCs w:val="21"/>
                <w:lang w:val="en-US" w:eastAsia="zh-CN" w:bidi="ar"/>
              </w:rPr>
              <w:t xml:space="preserve">（三）曲靖子午路综合楼：七层机房更换1台80kW精密空调，4套单体电池采集设备BM40-12V(UPS)。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263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已完工</w:t>
            </w:r>
          </w:p>
        </w:tc>
      </w:tr>
      <w:tr w14:paraId="2B74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B2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12</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55E1">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2022年红河分公司核心局楼动力配套大修更新项目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F6D5">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83.10</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DD19">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333333"/>
                <w:kern w:val="0"/>
                <w:sz w:val="21"/>
                <w:szCs w:val="21"/>
                <w:lang w:val="en-US" w:eastAsia="zh-CN" w:bidi="ar"/>
              </w:rPr>
              <w:t>个旧综合楼机房替换3套2000A开关电源，2组2000Ah电池，1台60kW精密空调，2台90kW精密空调。</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6F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已完工</w:t>
            </w:r>
          </w:p>
        </w:tc>
      </w:tr>
      <w:tr w14:paraId="1B38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42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13</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FECB">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2022年红河分公司核心机房动力配套隐患整治项目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0F6A">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139.57</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3979">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333333"/>
                <w:kern w:val="0"/>
                <w:sz w:val="21"/>
                <w:szCs w:val="21"/>
                <w:lang w:val="en-US" w:eastAsia="zh-CN" w:bidi="ar"/>
              </w:rPr>
              <w:t xml:space="preserve">（一）开远电信楼：新建1套2000A开关电源，1面直流列头柜。 </w:t>
            </w:r>
          </w:p>
          <w:p w14:paraId="394E38B3">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333333"/>
                <w:kern w:val="0"/>
                <w:sz w:val="21"/>
                <w:szCs w:val="21"/>
                <w:lang w:val="en-US" w:eastAsia="zh-CN" w:bidi="ar"/>
              </w:rPr>
              <w:t xml:space="preserve">（二）个旧综合楼：新建2套2000A开关电源（包含4组48V/2000Ah铅酸蓄电池），11面列头柜（含电缆）。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69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已完工</w:t>
            </w:r>
          </w:p>
        </w:tc>
      </w:tr>
      <w:tr w14:paraId="6C8C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413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14</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57B5">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2022年红河分公司核心机房动力配套建设项目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852F">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28.07</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EF72">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333333"/>
                <w:kern w:val="0"/>
                <w:sz w:val="21"/>
                <w:szCs w:val="21"/>
                <w:lang w:val="en-US" w:eastAsia="zh-CN" w:bidi="ar"/>
              </w:rPr>
              <w:t>蒙自生产楼4层机房电力室扩建1套2000A分立式开关电源，2组2V/2000Ah铅酸蓄电池，并同步建设机房走线架、动环监控</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A51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已完工</w:t>
            </w:r>
          </w:p>
        </w:tc>
      </w:tr>
      <w:tr w14:paraId="2E8B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5"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A2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15</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326D">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2022年大理分公司核心机房动力配套隐患整治项目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BFFA">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112.44</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66EB">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333333"/>
                <w:kern w:val="0"/>
                <w:sz w:val="21"/>
                <w:szCs w:val="21"/>
                <w:lang w:val="en-US" w:eastAsia="zh-CN" w:bidi="ar"/>
              </w:rPr>
              <w:t xml:space="preserve">新桥北机房对室外800kW集装箱油机制作挡雨棚，油箱搬迁；附楼高低压室更换4台高压柜断路器1台5P空调；三楼优化替换2台5P空 </w:t>
            </w:r>
          </w:p>
          <w:p w14:paraId="4CF8D0C2">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eastAsia="仿宋" w:cs="Times New Roman"/>
                <w:color w:val="333333"/>
                <w:kern w:val="0"/>
                <w:sz w:val="21"/>
                <w:szCs w:val="21"/>
                <w:lang w:val="en-US" w:eastAsia="zh-CN" w:bidi="ar"/>
              </w:rPr>
              <w:t xml:space="preserve">调；四楼优化替换1面400A空调屏；五楼优化替换2套开关电源，1台5P空调。同步建设机房走线架、布放电力电缆及恢复动环监控等。 </w:t>
            </w:r>
          </w:p>
          <w:p w14:paraId="75C50551">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BA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已完工</w:t>
            </w:r>
          </w:p>
        </w:tc>
      </w:tr>
      <w:tr w14:paraId="695C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28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16</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D26A">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2022年省级核心机房动力配套大修更新项目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93FA">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479.27</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DD1C">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一）高新第一生产楼3楼：电力室优化替换3#、4# UPS系统8组200Ah蓄电池组。 </w:t>
            </w:r>
          </w:p>
          <w:p w14:paraId="18FCED7D">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二）高新第一生产楼5楼：交换机房优化替换4组48V/2000Ah蓄电池组。 </w:t>
            </w:r>
          </w:p>
          <w:p w14:paraId="0596BDC2">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三）高新第一生产楼6楼：优化替换1# UPS系统蓄电池组，4组200Ah蓄电池组。 </w:t>
            </w:r>
          </w:p>
          <w:p w14:paraId="6847A30B">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四）高新第一生产楼7楼：优化替换2# UPS系统蓄电池组，4组200Ah蓄电池组。 </w:t>
            </w:r>
          </w:p>
          <w:p w14:paraId="2240D804">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五）高新第二生产楼3楼：优化替换1#、2#、3#、4# UPS系统蓄电池，合计24组200Ah蓄电池。 </w:t>
            </w:r>
          </w:p>
          <w:p w14:paraId="3182FBD5">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六）呈贡生产楼6楼：上半区电力电池室1#UPS系统6组（240只）12V/200Ah蓄电池组采用同容量原位置更换；下半区电力电池室1#UPS系统6组（240只）12V/200Ah蓄电池组，2#UPS系统6组（240只）12V/200Ah蓄电池组均采用同容量原位置更换。 </w:t>
            </w:r>
          </w:p>
          <w:p w14:paraId="711F2690">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七）呈贡生产楼9楼：上半区电力电池室1#UPS系统6组（240只）12V/200Ah蓄电池组、1#开关电源系统2组2V/2000Ah蓄电池组采用同容量原位置更换；下半区电力电池室2#开关电源系统2组2V/2000Ah蓄电池组采用同容量原位置更换。 </w:t>
            </w:r>
          </w:p>
          <w:p w14:paraId="0315383B">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八）呈贡生产楼12楼：下半区电力电池室1#UPS系统6组（240只）12V/200Ah蓄电池组采用同容量原位置更换。 </w:t>
            </w:r>
          </w:p>
          <w:p w14:paraId="3AEB09DF">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九）省本部：对1层和负1层电力机房2套UPS系统进行优化调整，在负1层优化建设1套120kVA UPS系统，配置1面输入柜、1面输出柜，4组200Ah蓄电池，负一楼专业机房新增1台5P空调，调整原开关电源蓄电池位置；负1层高低压室优化替换2台5P基站空调。 </w:t>
            </w:r>
          </w:p>
          <w:p w14:paraId="01928E1C">
            <w:pPr>
              <w:keepNext w:val="0"/>
              <w:keepLines w:val="0"/>
              <w:widowControl/>
              <w:suppressLineNumbers w:val="0"/>
              <w:jc w:val="left"/>
              <w:rPr>
                <w:rFonts w:hint="default" w:ascii="Times New Roman" w:hAnsi="Times New Roman" w:eastAsia="仿宋" w:cs="Times New Roman"/>
                <w:sz w:val="21"/>
                <w:szCs w:val="21"/>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十）热线第二呼叫中心：电力室优化替换2组48V/500Ah蓄电池组， 4台5P基站用空调；对原有UPS系统进行调整，拆除1# UPS系统（2主机2输出），负载割接至2# UPS系统。 </w:t>
            </w:r>
          </w:p>
          <w:p w14:paraId="66224F2B">
            <w:pPr>
              <w:keepNext w:val="0"/>
              <w:keepLines w:val="0"/>
              <w:widowControl/>
              <w:suppressLineNumbers w:val="0"/>
              <w:jc w:val="left"/>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十一）本期工程同步建设走线架、电力电缆及动环监控等。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52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已完工</w:t>
            </w:r>
          </w:p>
        </w:tc>
      </w:tr>
      <w:tr w14:paraId="2D2C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45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17</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BDDF">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昆明国家级互联网骨干直联点项目（移动部分）固网流量监测平台扩容单项工程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92F7">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584.5</w:t>
            </w:r>
            <w:r>
              <w:rPr>
                <w:rFonts w:hint="eastAsia" w:ascii="Times New Roman" w:eastAsia="宋体" w:cs="Times New Roman"/>
                <w:i w:val="0"/>
                <w:iCs w:val="0"/>
                <w:color w:val="000000"/>
                <w:kern w:val="0"/>
                <w:sz w:val="21"/>
                <w:szCs w:val="21"/>
                <w:u w:val="none"/>
                <w:lang w:val="en-US" w:eastAsia="zh-CN" w:bidi="ar"/>
              </w:rPr>
              <w:t>6</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955F">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根据工信部《工业和信息化部关于同意在昆明设立国家级互联网骨干直联点的批复》以及云南通信管理局对骨干直联点安全防护的要求，本期利旧现网平台，覆盖骨干直联点网间出口链路，按照1000G链路建设系统能力。</w:t>
            </w:r>
          </w:p>
          <w:p w14:paraId="3B125E08">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（一）本期工程在高新2#9楼机房新增1台1:2光分路器、1台光放大器、1台1:4光分路器，对移动至联通方向互通链路进行分光。</w:t>
            </w:r>
          </w:p>
          <w:p w14:paraId="481226EE">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二）本期工程在呈贡大数据中心机房新增1台插卡式汇聚分流设备，汇聚移动至电信和联通1600G分光链路；新增21台网络安全监测设备，对直联点流量监测；新增2台高端三层交换机，用于设备接入及数据上报至玉溪大河态势感知平台，原低端交换机下沉至新增交换机。</w:t>
            </w:r>
          </w:p>
          <w:p w14:paraId="58890D4C">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（三）本期工程在玉溪大河1楼机房新增30台S4服务器，对平台云资源池2台汇聚交换机各扩容1块48端口10GE光口板、对管理交换机扩容1块48端口GE电口板。</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E0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仍在进行中</w:t>
            </w:r>
          </w:p>
        </w:tc>
      </w:tr>
      <w:tr w14:paraId="5C1E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57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18</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253D">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昆明国家级互联网骨干直联点项目（移动部分）僵木蠕检测平台扩容单项工程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2D88">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177.88</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B461">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为满足工信部《工业和信息化部关于同意在昆明设立国家级互联网骨干直联点的批复》以及云南通信管理局对骨干直联点安全防护的要求，本期新增骨干网直联点至电信方向200G僵木蠕检测覆盖</w:t>
            </w:r>
            <w:r>
              <w:rPr>
                <w:rFonts w:hint="default" w:ascii="Times New Roman" w:hAnsi="Times New Roman" w:cs="Times New Roman"/>
                <w:color w:val="333333"/>
                <w:kern w:val="0"/>
                <w:sz w:val="21"/>
                <w:szCs w:val="21"/>
                <w:lang w:val="en-US" w:eastAsia="zh-CN" w:bidi="ar"/>
              </w:rPr>
              <w:t>，</w:t>
            </w:r>
            <w:r>
              <w:rPr>
                <w:rFonts w:hint="default" w:ascii="Times New Roman" w:hAnsi="Times New Roman" w:eastAsia="仿宋" w:cs="Times New Roman"/>
                <w:color w:val="333333"/>
                <w:kern w:val="0"/>
                <w:sz w:val="21"/>
                <w:szCs w:val="21"/>
                <w:lang w:val="en-US" w:eastAsia="zh-CN" w:bidi="ar"/>
              </w:rPr>
              <w:t xml:space="preserve"> 至联通方向120G僵木蠕检测覆盖，并将此检测结果上报至管局。 </w:t>
            </w:r>
          </w:p>
          <w:p w14:paraId="103BC463">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 xml:space="preserve">（一）本期工程新增覆盖互联网骨干直联点出口带宽320G； </w:t>
            </w:r>
          </w:p>
          <w:p w14:paraId="52AA4874">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 xml:space="preserve">（二）本期工程在呈贡大数据中心B02-403机房新增2台僵木蠕检测设备（单台处理能力100G）对接僵木蠕汇聚分流设备，新增2台僵木蠕未知威胁检测设备（单台处理能力为20G ），新增的2台检测设备和新增2台未知威胁设备对接至僵木蠕交换机； </w:t>
            </w:r>
          </w:p>
          <w:p w14:paraId="49D6B00E">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 xml:space="preserve">（三）本期工程扩容呈贡大数据中心B02-403机房原有僵木蠕汇聚分流设备1块24个100GE和36个端口10GE端口的板卡，配置36个10GE光模块，5个100GE光模块； </w:t>
            </w:r>
          </w:p>
          <w:p w14:paraId="153649BE">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（四）本期僵木蠕汇聚分流设备从B02-404机房固网流量检测平台新增的汇聚分流镜像320G带宽流量，对接至直联点流量监测系统。</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F5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2024年</w:t>
            </w:r>
            <w:r>
              <w:rPr>
                <w:rFonts w:hint="default" w:ascii="Times New Roman" w:hAnsi="Times New Roman" w:eastAsia="仿宋" w:cs="Times New Roman"/>
                <w:color w:val="000000"/>
                <w:kern w:val="0"/>
                <w:sz w:val="21"/>
                <w:szCs w:val="21"/>
                <w:highlight w:val="none"/>
              </w:rPr>
              <w:t>6月上线</w:t>
            </w:r>
          </w:p>
        </w:tc>
      </w:tr>
      <w:tr w14:paraId="4A27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7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19</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AFE4">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昆明国家级互联网骨干直联点项目（移动部分）抗DDOS系统扩容单项工程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59D2">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45.4</w:t>
            </w:r>
            <w:r>
              <w:rPr>
                <w:rFonts w:hint="eastAsia" w:ascii="Times New Roman" w:eastAsia="宋体" w:cs="Times New Roman"/>
                <w:i w:val="0"/>
                <w:iCs w:val="0"/>
                <w:color w:val="000000"/>
                <w:kern w:val="0"/>
                <w:sz w:val="21"/>
                <w:szCs w:val="21"/>
                <w:u w:val="none"/>
                <w:lang w:val="en-US" w:eastAsia="zh-CN" w:bidi="ar"/>
              </w:rPr>
              <w:t>3</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BE9">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为满足工信部《工业和信息化部关于同意在昆明设立国家级互联网骨干直联点的批复》以及云南通信管理局对骨干直联点安全防护的要求，本期按照管局要求采样比500：1进行建设，新增骨干网直联点至电信方向52万流每秒检测能力，新增骨干网直联点至联通方向31万流每秒检测能力，并将此检测结果上报</w:t>
            </w:r>
            <w:r>
              <w:rPr>
                <w:rFonts w:hint="eastAsia" w:ascii="Times New Roman" w:cs="Times New Roman"/>
                <w:color w:val="333333"/>
                <w:kern w:val="0"/>
                <w:sz w:val="21"/>
                <w:szCs w:val="21"/>
                <w:lang w:val="en-US" w:eastAsia="zh-CN" w:bidi="ar"/>
              </w:rPr>
              <w:t>至省</w:t>
            </w:r>
            <w:r>
              <w:rPr>
                <w:rFonts w:hint="default" w:ascii="Times New Roman" w:hAnsi="Times New Roman" w:eastAsia="仿宋" w:cs="Times New Roman"/>
                <w:color w:val="333333"/>
                <w:kern w:val="0"/>
                <w:sz w:val="21"/>
                <w:szCs w:val="21"/>
                <w:lang w:val="en-US" w:eastAsia="zh-CN" w:bidi="ar"/>
              </w:rPr>
              <w:t>管局。本期工程在呈贡大数据中心B02-404机房新增2台抗DDOS攻击检测设备，至联通方向和至电信方向检测设备独立部署，对接至省内抗DDOS攻击系统交换机。</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EF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rPr>
            </w:pPr>
            <w:r>
              <w:rPr>
                <w:rFonts w:hint="default" w:ascii="Times New Roman" w:hAnsi="Times New Roman" w:cs="Times New Roman"/>
                <w:color w:val="000000"/>
                <w:kern w:val="0"/>
                <w:sz w:val="21"/>
                <w:szCs w:val="21"/>
                <w:highlight w:val="none"/>
                <w:lang w:val="en-US" w:eastAsia="zh-CN"/>
              </w:rPr>
              <w:t>2024年6月完成建设</w:t>
            </w:r>
          </w:p>
        </w:tc>
      </w:tr>
      <w:tr w14:paraId="7BDB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FB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lang w:val="en-US" w:eastAsia="zh-CN"/>
              </w:rPr>
              <w:t>20</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3732">
            <w:pPr>
              <w:keepNext w:val="0"/>
              <w:keepLines w:val="0"/>
              <w:widowControl/>
              <w:suppressLineNumbers w:val="0"/>
              <w:jc w:val="left"/>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昆明国家级互联网骨干直联点项目（移动部分）数据安全管控平台建设单项工程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64ED">
            <w:pPr>
              <w:keepNext w:val="0"/>
              <w:keepLines w:val="0"/>
              <w:widowControl/>
              <w:suppressLineNumbers w:val="0"/>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471.65</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23CF">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r>
              <w:rPr>
                <w:rFonts w:hint="default" w:ascii="Times New Roman" w:hAnsi="Times New Roman" w:eastAsia="仿宋" w:cs="Times New Roman"/>
                <w:color w:val="333333"/>
                <w:kern w:val="0"/>
                <w:sz w:val="21"/>
                <w:szCs w:val="21"/>
                <w:lang w:val="en-US" w:eastAsia="zh-CN" w:bidi="ar"/>
              </w:rPr>
              <w:t>根据工信部《工业和信息化部关于同意在昆明设立国家级互联网骨干直联点的批复》以及云南通信管理局对骨干直联点安全防护的要求，本期新建数据安全管控平台，实现网间流通数据的监测及管控，并具备与上级管理单位对接的能力。</w:t>
            </w:r>
          </w:p>
          <w:p w14:paraId="290EA205">
            <w:pPr>
              <w:keepNext w:val="0"/>
              <w:keepLines w:val="0"/>
              <w:widowControl/>
              <w:suppressLineNumbers w:val="0"/>
              <w:jc w:val="left"/>
              <w:rPr>
                <w:rFonts w:hint="default" w:ascii="Times New Roman" w:hAnsi="Times New Roman" w:eastAsia="仿宋" w:cs="Times New Roman"/>
                <w:color w:val="333333"/>
                <w:kern w:val="0"/>
                <w:sz w:val="21"/>
                <w:szCs w:val="21"/>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58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2024年</w:t>
            </w:r>
            <w:r>
              <w:rPr>
                <w:rFonts w:hint="default" w:ascii="Times New Roman" w:hAnsi="Times New Roman" w:eastAsia="仿宋" w:cs="Times New Roman"/>
                <w:color w:val="000000"/>
                <w:kern w:val="0"/>
                <w:sz w:val="21"/>
                <w:szCs w:val="21"/>
                <w:highlight w:val="none"/>
              </w:rPr>
              <w:t>6月上线</w:t>
            </w:r>
          </w:p>
        </w:tc>
      </w:tr>
    </w:tbl>
    <w:p w14:paraId="76EDDCD7">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楷体" w:cs="Times New Roman"/>
          <w:szCs w:val="30"/>
        </w:rPr>
      </w:pPr>
    </w:p>
    <w:p w14:paraId="264B8DA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 w:cs="Times New Roman"/>
          <w:szCs w:val="30"/>
        </w:rPr>
        <w:sectPr>
          <w:pgSz w:w="16838" w:h="11906" w:orient="landscape"/>
          <w:pgMar w:top="1588" w:right="2098" w:bottom="1474" w:left="1985" w:header="851" w:footer="1474" w:gutter="0"/>
          <w:pgNumType w:fmt="decimal" w:start="1"/>
          <w:cols w:space="425" w:num="1"/>
          <w:docGrid w:type="linesAndChars" w:linePitch="579" w:charSpace="3247"/>
        </w:sectPr>
      </w:pPr>
    </w:p>
    <w:p w14:paraId="2944202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2.项目进度</w:t>
      </w:r>
    </w:p>
    <w:p w14:paraId="2D866EC4">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项目组根据项目可研中的进度工作表对比实际实施情况，本项目存在延后的情况，主要原因是疫情导致部分工作拖延。</w:t>
      </w:r>
    </w:p>
    <w:p w14:paraId="18ECC1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szCs w:val="30"/>
        </w:rPr>
      </w:pPr>
      <w:r>
        <w:rPr>
          <w:rFonts w:hint="eastAsia" w:ascii="Times New Roman" w:eastAsia="黑体" w:cs="Times New Roman"/>
          <w:b w:val="0"/>
          <w:bCs/>
          <w:sz w:val="24"/>
          <w:szCs w:val="24"/>
          <w:lang w:val="en-US" w:eastAsia="zh-CN"/>
        </w:rPr>
        <w:t xml:space="preserve">表4 </w:t>
      </w:r>
      <w:r>
        <w:rPr>
          <w:rFonts w:hint="default" w:ascii="Times New Roman" w:hAnsi="Times New Roman" w:eastAsia="黑体" w:cs="Times New Roman"/>
          <w:b w:val="0"/>
          <w:bCs/>
          <w:sz w:val="24"/>
          <w:szCs w:val="24"/>
          <w:lang w:val="en-US" w:eastAsia="zh-CN"/>
        </w:rPr>
        <w:t>项目进度情况表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937"/>
        <w:gridCol w:w="2937"/>
      </w:tblGrid>
      <w:tr w14:paraId="3AD5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1" w:type="dxa"/>
            <w:shd w:val="clear" w:color="auto" w:fill="auto"/>
            <w:vAlign w:val="center"/>
          </w:tcPr>
          <w:p w14:paraId="12032BEB">
            <w:pPr>
              <w:widowControl/>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工作事项</w:t>
            </w:r>
          </w:p>
        </w:tc>
        <w:tc>
          <w:tcPr>
            <w:tcW w:w="2937" w:type="dxa"/>
            <w:shd w:val="clear" w:color="auto" w:fill="auto"/>
            <w:vAlign w:val="center"/>
          </w:tcPr>
          <w:p w14:paraId="01ACDDA6">
            <w:pPr>
              <w:widowControl/>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t>计划</w:t>
            </w:r>
            <w:r>
              <w:rPr>
                <w:rFonts w:hint="default" w:ascii="Times New Roman" w:hAnsi="Times New Roman" w:eastAsia="仿宋_GB2312" w:cs="Times New Roman"/>
                <w:b/>
                <w:color w:val="000000" w:themeColor="text1"/>
                <w:sz w:val="24"/>
                <w:szCs w:val="24"/>
                <w14:textFill>
                  <w14:solidFill>
                    <w14:schemeClr w14:val="tx1"/>
                  </w14:solidFill>
                </w14:textFill>
              </w:rPr>
              <w:t>时间</w:t>
            </w:r>
          </w:p>
        </w:tc>
        <w:tc>
          <w:tcPr>
            <w:tcW w:w="2937" w:type="dxa"/>
            <w:shd w:val="clear" w:color="auto" w:fill="auto"/>
            <w:vAlign w:val="center"/>
          </w:tcPr>
          <w:p w14:paraId="539298CA">
            <w:pPr>
              <w:widowControl/>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t>实际时间</w:t>
            </w:r>
          </w:p>
        </w:tc>
      </w:tr>
      <w:tr w14:paraId="5098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bottom"/>
          </w:tcPr>
          <w:p w14:paraId="5B1D527C">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完成立项批复</w:t>
            </w:r>
          </w:p>
        </w:tc>
        <w:tc>
          <w:tcPr>
            <w:tcW w:w="1621" w:type="pct"/>
            <w:shd w:val="clear" w:color="auto" w:fill="auto"/>
            <w:vAlign w:val="bottom"/>
          </w:tcPr>
          <w:p w14:paraId="0EF2476D">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2022年11月中</w:t>
            </w:r>
          </w:p>
        </w:tc>
        <w:tc>
          <w:tcPr>
            <w:tcW w:w="1621" w:type="pct"/>
            <w:shd w:val="clear" w:color="auto" w:fill="auto"/>
            <w:vAlign w:val="bottom"/>
          </w:tcPr>
          <w:p w14:paraId="0A4D8D5A">
            <w:pPr>
              <w:widowControl/>
              <w:jc w:val="cente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2022年11月18日</w:t>
            </w:r>
          </w:p>
        </w:tc>
      </w:tr>
      <w:tr w14:paraId="76F2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center"/>
          </w:tcPr>
          <w:p w14:paraId="57BC0CE4">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完成设计批复</w:t>
            </w:r>
          </w:p>
        </w:tc>
        <w:tc>
          <w:tcPr>
            <w:tcW w:w="1621" w:type="pct"/>
            <w:shd w:val="clear" w:color="auto" w:fill="auto"/>
            <w:vAlign w:val="bottom"/>
          </w:tcPr>
          <w:p w14:paraId="64477772">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2022年12月中</w:t>
            </w:r>
          </w:p>
        </w:tc>
        <w:tc>
          <w:tcPr>
            <w:tcW w:w="1621" w:type="pct"/>
            <w:shd w:val="clear" w:color="auto" w:fill="auto"/>
            <w:vAlign w:val="bottom"/>
          </w:tcPr>
          <w:p w14:paraId="51865166">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2022年6月-2023年8月</w:t>
            </w:r>
          </w:p>
        </w:tc>
      </w:tr>
      <w:tr w14:paraId="3710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center"/>
          </w:tcPr>
          <w:p w14:paraId="2E7070E6">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完成设备采购</w:t>
            </w:r>
          </w:p>
        </w:tc>
        <w:tc>
          <w:tcPr>
            <w:tcW w:w="1621" w:type="pct"/>
            <w:shd w:val="clear" w:color="auto" w:fill="auto"/>
            <w:vAlign w:val="bottom"/>
          </w:tcPr>
          <w:p w14:paraId="2AA7F495">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2022年12月底</w:t>
            </w:r>
          </w:p>
        </w:tc>
        <w:tc>
          <w:tcPr>
            <w:tcW w:w="1621" w:type="pct"/>
            <w:vMerge w:val="restart"/>
            <w:shd w:val="clear" w:color="auto" w:fill="auto"/>
            <w:vAlign w:val="bottom"/>
          </w:tcPr>
          <w:p w14:paraId="0354D538">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2022年10月-2024年2月</w:t>
            </w:r>
          </w:p>
        </w:tc>
      </w:tr>
      <w:tr w14:paraId="7112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bottom"/>
          </w:tcPr>
          <w:p w14:paraId="37177ADF">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完成开工启动</w:t>
            </w:r>
          </w:p>
        </w:tc>
        <w:tc>
          <w:tcPr>
            <w:tcW w:w="1621" w:type="pct"/>
            <w:shd w:val="clear" w:color="auto" w:fill="auto"/>
            <w:vAlign w:val="bottom"/>
          </w:tcPr>
          <w:p w14:paraId="1AD197E7">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2023年1月底</w:t>
            </w:r>
          </w:p>
        </w:tc>
        <w:tc>
          <w:tcPr>
            <w:tcW w:w="1621" w:type="pct"/>
            <w:vMerge w:val="continue"/>
            <w:shd w:val="clear" w:color="auto" w:fill="auto"/>
            <w:vAlign w:val="bottom"/>
          </w:tcPr>
          <w:p w14:paraId="51DB3993">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p>
        </w:tc>
      </w:tr>
      <w:tr w14:paraId="0864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bottom"/>
          </w:tcPr>
          <w:p w14:paraId="7742BA81">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完成割接上线</w:t>
            </w:r>
          </w:p>
        </w:tc>
        <w:tc>
          <w:tcPr>
            <w:tcW w:w="1621" w:type="pct"/>
            <w:shd w:val="clear" w:color="auto" w:fill="auto"/>
            <w:vAlign w:val="bottom"/>
          </w:tcPr>
          <w:p w14:paraId="55F9E0C5">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2023年5月底</w:t>
            </w:r>
          </w:p>
        </w:tc>
        <w:tc>
          <w:tcPr>
            <w:tcW w:w="1621" w:type="pct"/>
            <w:shd w:val="clear" w:color="auto" w:fill="auto"/>
            <w:vAlign w:val="bottom"/>
          </w:tcPr>
          <w:p w14:paraId="6463876A">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2024年6月</w:t>
            </w:r>
          </w:p>
        </w:tc>
      </w:tr>
    </w:tbl>
    <w:p w14:paraId="2F5B6F1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 w:cs="Times New Roman"/>
          <w:szCs w:val="30"/>
        </w:rPr>
      </w:pPr>
      <w:bookmarkStart w:id="27" w:name="_Toc30438"/>
      <w:r>
        <w:rPr>
          <w:rFonts w:hint="default" w:ascii="Times New Roman" w:hAnsi="Times New Roman" w:eastAsia="楷体" w:cs="Times New Roman"/>
          <w:szCs w:val="30"/>
        </w:rPr>
        <w:t>（四）项目绩效目标设立情况</w:t>
      </w:r>
      <w:bookmarkEnd w:id="27"/>
    </w:p>
    <w:p w14:paraId="3AE7C0F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1.预算批复（申报）绩效目标和绩效指标情况</w:t>
      </w:r>
    </w:p>
    <w:p w14:paraId="1BBAF778">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根据提供的项目绩效目标表，本项目的绩效目标为：为配合国家级互联网骨干直联点建设，新建互联互通路由器、传输网间OTN网络、监测系统网内配套；对省内CMNET网络MB设备扩容64个100GE端口、扩容网内传输OTN网络，对安全系统进行改造，对机房动力配套进行改造。</w:t>
      </w:r>
    </w:p>
    <w:p w14:paraId="73C26E5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2.绩效评价调整后的绩效目标和绩效指标情况</w:t>
      </w:r>
    </w:p>
    <w:p w14:paraId="2B24CB1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outlineLvl w:val="9"/>
        <w:rPr>
          <w:rFonts w:hint="default" w:ascii="Times New Roman" w:hAnsi="Times New Roman" w:eastAsia="仿宋" w:cs="Times New Roman"/>
          <w:kern w:val="30"/>
          <w:sz w:val="30"/>
          <w:szCs w:val="30"/>
          <w:lang w:val="en-US" w:eastAsia="zh-CN" w:bidi="ar-SA"/>
        </w:rPr>
      </w:pPr>
      <w:bookmarkStart w:id="28" w:name="_Toc13974"/>
      <w:bookmarkStart w:id="29" w:name="_Toc76"/>
      <w:r>
        <w:rPr>
          <w:rFonts w:hint="default" w:ascii="Times New Roman" w:hAnsi="Times New Roman" w:eastAsia="仿宋" w:cs="Times New Roman"/>
          <w:kern w:val="30"/>
          <w:sz w:val="30"/>
          <w:szCs w:val="30"/>
          <w:lang w:val="en-US" w:eastAsia="zh-CN" w:bidi="ar-SA"/>
        </w:rPr>
        <w:t>通过对本项目的预算申报材料、绩效自评报告及部门职能职责进行分析，在与被评价单位充分沟通的基础上，确定本项目绩效目标，绩效评价调整后的绩效目标和绩效指标见附件</w:t>
      </w:r>
      <w:r>
        <w:rPr>
          <w:rFonts w:hint="eastAsia" w:ascii="Times New Roman" w:cs="Times New Roman"/>
          <w:kern w:val="30"/>
          <w:sz w:val="30"/>
          <w:szCs w:val="30"/>
          <w:lang w:val="en-US" w:eastAsia="zh-CN" w:bidi="ar-SA"/>
        </w:rPr>
        <w:t>1</w:t>
      </w:r>
      <w:r>
        <w:rPr>
          <w:rFonts w:hint="default" w:ascii="Times New Roman" w:hAnsi="Times New Roman" w:eastAsia="仿宋" w:cs="Times New Roman"/>
          <w:kern w:val="30"/>
          <w:sz w:val="30"/>
          <w:szCs w:val="30"/>
          <w:lang w:val="en-US" w:eastAsia="zh-CN" w:bidi="ar-SA"/>
        </w:rPr>
        <w:t>。</w:t>
      </w:r>
      <w:bookmarkEnd w:id="28"/>
      <w:bookmarkEnd w:id="29"/>
    </w:p>
    <w:p w14:paraId="7A9A3EF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_GB2312" w:cs="Times New Roman"/>
          <w:szCs w:val="30"/>
        </w:rPr>
      </w:pPr>
      <w:bookmarkStart w:id="30" w:name="_Toc10728"/>
      <w:r>
        <w:rPr>
          <w:rFonts w:hint="default" w:ascii="Times New Roman" w:hAnsi="Times New Roman" w:eastAsia="楷体" w:cs="Times New Roman"/>
          <w:szCs w:val="30"/>
        </w:rPr>
        <w:fldChar w:fldCharType="begin"/>
      </w:r>
      <w:r>
        <w:rPr>
          <w:rFonts w:hint="default" w:ascii="Times New Roman" w:hAnsi="Times New Roman" w:eastAsia="楷体" w:cs="Times New Roman"/>
          <w:szCs w:val="30"/>
        </w:rPr>
        <w:instrText xml:space="preserve"> HYPERLINK \l "_Toc434746189" </w:instrText>
      </w:r>
      <w:r>
        <w:rPr>
          <w:rFonts w:hint="default" w:ascii="Times New Roman" w:hAnsi="Times New Roman" w:eastAsia="楷体" w:cs="Times New Roman"/>
          <w:szCs w:val="30"/>
        </w:rPr>
        <w:fldChar w:fldCharType="separate"/>
      </w:r>
      <w:r>
        <w:rPr>
          <w:rFonts w:hint="default" w:ascii="Times New Roman" w:hAnsi="Times New Roman" w:eastAsia="楷体" w:cs="Times New Roman"/>
          <w:szCs w:val="30"/>
        </w:rPr>
        <w:t>（五）</w:t>
      </w:r>
      <w:r>
        <w:rPr>
          <w:rFonts w:hint="default" w:ascii="Times New Roman" w:hAnsi="Times New Roman" w:eastAsia="楷体" w:cs="Times New Roman"/>
          <w:szCs w:val="30"/>
        </w:rPr>
        <w:fldChar w:fldCharType="end"/>
      </w:r>
      <w:r>
        <w:rPr>
          <w:rFonts w:hint="default" w:ascii="Times New Roman" w:hAnsi="Times New Roman" w:eastAsia="楷体" w:cs="Times New Roman"/>
          <w:szCs w:val="30"/>
        </w:rPr>
        <w:t>组织管理情况</w:t>
      </w:r>
      <w:bookmarkEnd w:id="30"/>
    </w:p>
    <w:p w14:paraId="7CA0A70C">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bookmarkStart w:id="31" w:name="_Toc31860"/>
      <w:bookmarkStart w:id="32" w:name="_Toc31380"/>
      <w:bookmarkStart w:id="33" w:name="_Toc11168"/>
      <w:bookmarkStart w:id="34" w:name="_Toc31869"/>
      <w:bookmarkStart w:id="35" w:name="_Toc15491"/>
      <w:r>
        <w:rPr>
          <w:rFonts w:hint="eastAsia" w:ascii="Times New Roman" w:cs="Times New Roman"/>
          <w:szCs w:val="30"/>
          <w:highlight w:val="none"/>
          <w:lang w:val="en-US" w:eastAsia="zh-CN"/>
        </w:rPr>
        <w:t>区发改局</w:t>
      </w:r>
      <w:r>
        <w:rPr>
          <w:rFonts w:hint="eastAsia" w:ascii="Times New Roman" w:cs="Times New Roman"/>
          <w:szCs w:val="30"/>
          <w:lang w:val="en-US" w:eastAsia="zh-CN"/>
        </w:rPr>
        <w:t>作为项目预算单位，</w:t>
      </w:r>
      <w:r>
        <w:rPr>
          <w:rFonts w:hint="default" w:ascii="Times New Roman" w:hAnsi="Times New Roman" w:eastAsia="仿宋" w:cs="Times New Roman"/>
          <w:b w:val="0"/>
          <w:bCs w:val="0"/>
          <w:sz w:val="30"/>
          <w:szCs w:val="30"/>
          <w:lang w:val="en-US" w:eastAsia="zh-CN"/>
        </w:rPr>
        <w:t>负责项目的预算编制、组织管理及审批管理。</w:t>
      </w:r>
    </w:p>
    <w:p w14:paraId="1C42B1C3">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中国移动通信集团云南有限公司作为项目实施单位，负责组织实施，项目严格执行项目管理规定，明确了设计、监理、施工、质量检测各方的职责。项目开工后，成立现场管理机构，派驻专业技术员对整个项目实施进行现场监督管理。建立健全质量管理、安全生产等项目管理制度，为项目实施提供制度保障。</w:t>
      </w:r>
    </w:p>
    <w:p w14:paraId="7A0B5D3E">
      <w:pPr>
        <w:pStyle w:val="32"/>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36" w:name="_Toc21840"/>
      <w:r>
        <w:rPr>
          <w:rFonts w:hint="default" w:ascii="Times New Roman" w:hAnsi="Times New Roman" w:cs="Times New Roman"/>
          <w:lang w:val="en-US" w:eastAsia="zh-CN"/>
        </w:rPr>
        <w:t>二、</w:t>
      </w:r>
      <w:bookmarkEnd w:id="31"/>
      <w:r>
        <w:rPr>
          <w:rFonts w:hint="default" w:ascii="Times New Roman" w:hAnsi="Times New Roman" w:cs="Times New Roman"/>
          <w:lang w:val="en-US" w:eastAsia="zh-CN"/>
        </w:rPr>
        <w:t>绩效评价工作开展情况</w:t>
      </w:r>
      <w:bookmarkEnd w:id="32"/>
      <w:bookmarkEnd w:id="33"/>
      <w:bookmarkEnd w:id="36"/>
    </w:p>
    <w:p w14:paraId="069ED48F">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7" w:name="_Toc12478"/>
      <w:bookmarkStart w:id="38" w:name="_Toc32250"/>
      <w:bookmarkStart w:id="39" w:name="_Toc13545"/>
      <w:r>
        <w:rPr>
          <w:rFonts w:hint="default" w:ascii="Times New Roman" w:hAnsi="Times New Roman" w:cs="Times New Roman"/>
          <w:lang w:val="en-US" w:eastAsia="zh-CN"/>
        </w:rPr>
        <w:t>（一）绩效评价目的、对象和范围</w:t>
      </w:r>
      <w:bookmarkEnd w:id="37"/>
      <w:bookmarkEnd w:id="38"/>
      <w:bookmarkEnd w:id="39"/>
    </w:p>
    <w:p w14:paraId="539567A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bookmarkStart w:id="40" w:name="_Toc23687"/>
      <w:r>
        <w:rPr>
          <w:rFonts w:hint="default" w:ascii="Times New Roman" w:hAnsi="Times New Roman" w:eastAsia="仿宋" w:cs="Times New Roman"/>
          <w:lang w:val="en-US" w:eastAsia="zh-CN"/>
        </w:rPr>
        <w:t>1.评价目的</w:t>
      </w:r>
    </w:p>
    <w:p w14:paraId="45F61434">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通过分析项目立项情况、资金使用情况、项目实施情况、项目绩效表现情况，了解资金使用是否达到预期目标、资金管理是否规范、资金使用是否有效，检验资金支出效率和效果，分析存在问题及原因，及时总结经验，改进管理措施，不断增强和落实绩效管理责任，完善工作机制，有效提高资金管理水平和使用效益。</w:t>
      </w:r>
    </w:p>
    <w:p w14:paraId="473CAB3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2.评价对象及范围</w:t>
      </w:r>
    </w:p>
    <w:p w14:paraId="3A62D208">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lang w:val="en-US" w:eastAsia="zh-CN" w:bidi="ar-SA"/>
        </w:rPr>
      </w:pPr>
      <w:bookmarkStart w:id="41" w:name="_Toc11265"/>
      <w:bookmarkStart w:id="42" w:name="_Toc28767"/>
      <w:r>
        <w:rPr>
          <w:rFonts w:hint="default" w:ascii="Times New Roman" w:hAnsi="Times New Roman" w:eastAsia="仿宋" w:cs="Times New Roman"/>
          <w:kern w:val="30"/>
          <w:sz w:val="30"/>
          <w:szCs w:val="30"/>
          <w:lang w:val="en-US" w:eastAsia="zh-CN" w:bidi="ar-SA"/>
        </w:rPr>
        <w:t>本次评价对象为2023年度第一批省级新型基础设施建设专项资金项目，评价资金量11</w:t>
      </w:r>
      <w:r>
        <w:rPr>
          <w:rFonts w:hint="eastAsia" w:ascii="Times New Roman" w:cs="Times New Roman"/>
          <w:kern w:val="30"/>
          <w:sz w:val="30"/>
          <w:szCs w:val="30"/>
          <w:lang w:val="en-US" w:eastAsia="zh-CN" w:bidi="ar-SA"/>
        </w:rPr>
        <w:t>,</w:t>
      </w:r>
      <w:r>
        <w:rPr>
          <w:rFonts w:hint="default" w:ascii="Times New Roman" w:hAnsi="Times New Roman" w:eastAsia="仿宋" w:cs="Times New Roman"/>
          <w:kern w:val="30"/>
          <w:sz w:val="30"/>
          <w:szCs w:val="30"/>
          <w:lang w:val="en-US" w:eastAsia="zh-CN" w:bidi="ar-SA"/>
        </w:rPr>
        <w:t>028.82万元。评价的时间范围为202</w:t>
      </w:r>
      <w:r>
        <w:rPr>
          <w:rFonts w:hint="default" w:ascii="Times New Roman" w:hAnsi="Times New Roman" w:cs="Times New Roman"/>
          <w:kern w:val="30"/>
          <w:sz w:val="30"/>
          <w:szCs w:val="30"/>
          <w:lang w:val="en-US" w:eastAsia="zh-CN" w:bidi="ar-SA"/>
        </w:rPr>
        <w:t>2</w:t>
      </w:r>
      <w:r>
        <w:rPr>
          <w:rFonts w:hint="default" w:ascii="Times New Roman" w:hAnsi="Times New Roman" w:eastAsia="仿宋" w:cs="Times New Roman"/>
          <w:kern w:val="30"/>
          <w:sz w:val="30"/>
          <w:szCs w:val="30"/>
          <w:lang w:val="en-US" w:eastAsia="zh-CN" w:bidi="ar-SA"/>
        </w:rPr>
        <w:t>年1月1日—202</w:t>
      </w:r>
      <w:r>
        <w:rPr>
          <w:rFonts w:hint="eastAsia" w:ascii="Times New Roman" w:cs="Times New Roman"/>
          <w:kern w:val="30"/>
          <w:sz w:val="30"/>
          <w:szCs w:val="30"/>
          <w:lang w:val="en-US" w:eastAsia="zh-CN" w:bidi="ar-SA"/>
        </w:rPr>
        <w:t>4</w:t>
      </w:r>
      <w:r>
        <w:rPr>
          <w:rFonts w:hint="default" w:ascii="Times New Roman" w:hAnsi="Times New Roman" w:eastAsia="仿宋" w:cs="Times New Roman"/>
          <w:kern w:val="30"/>
          <w:sz w:val="30"/>
          <w:szCs w:val="30"/>
          <w:lang w:val="en-US" w:eastAsia="zh-CN" w:bidi="ar-SA"/>
        </w:rPr>
        <w:t>年</w:t>
      </w:r>
      <w:r>
        <w:rPr>
          <w:rFonts w:hint="eastAsia" w:ascii="Times New Roman" w:cs="Times New Roman"/>
          <w:kern w:val="30"/>
          <w:sz w:val="30"/>
          <w:szCs w:val="30"/>
          <w:lang w:val="en-US" w:eastAsia="zh-CN" w:bidi="ar-SA"/>
        </w:rPr>
        <w:t>8</w:t>
      </w:r>
      <w:r>
        <w:rPr>
          <w:rFonts w:hint="default" w:ascii="Times New Roman" w:hAnsi="Times New Roman" w:eastAsia="仿宋" w:cs="Times New Roman"/>
          <w:kern w:val="30"/>
          <w:sz w:val="30"/>
          <w:szCs w:val="30"/>
          <w:lang w:val="en-US" w:eastAsia="zh-CN" w:bidi="ar-SA"/>
        </w:rPr>
        <w:t>月31日</w:t>
      </w:r>
      <w:r>
        <w:rPr>
          <w:rFonts w:hint="default" w:ascii="Times New Roman" w:hAnsi="Times New Roman" w:cs="Times New Roman"/>
          <w:kern w:val="30"/>
          <w:sz w:val="30"/>
          <w:szCs w:val="30"/>
          <w:lang w:val="en-US" w:eastAsia="zh-CN" w:bidi="ar-SA"/>
        </w:rPr>
        <w:t>。</w:t>
      </w:r>
    </w:p>
    <w:p w14:paraId="1F158A2C">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43" w:name="_Toc17587"/>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绩效评价原则、评价指标体系和等级、评价方法、评价抽样</w:t>
      </w:r>
      <w:bookmarkEnd w:id="40"/>
      <w:bookmarkEnd w:id="41"/>
      <w:bookmarkEnd w:id="42"/>
      <w:bookmarkEnd w:id="43"/>
    </w:p>
    <w:p w14:paraId="44DF83D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1.绩效评价原则</w:t>
      </w:r>
    </w:p>
    <w:p w14:paraId="085F0AF0">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本次绩效评价严格遵循公平、客观、可行、公开的基本原则：</w:t>
      </w:r>
    </w:p>
    <w:p w14:paraId="67B4736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Cs w:val="30"/>
          <w:lang w:val="en-US" w:eastAsia="zh-CN"/>
        </w:rPr>
        <w:t>（1）公平性原则。坚持公平的原则客观真实地反映绩效评价结果，运用科学合理的方法，按照规范的程序，对项目绩效进行</w:t>
      </w:r>
      <w:r>
        <w:rPr>
          <w:rFonts w:hint="default" w:ascii="Times New Roman" w:hAnsi="Times New Roman" w:eastAsia="仿宋" w:cs="Times New Roman"/>
          <w:kern w:val="30"/>
          <w:sz w:val="30"/>
          <w:szCs w:val="30"/>
          <w:lang w:val="en-US" w:eastAsia="zh-CN" w:bidi="ar-SA"/>
        </w:rPr>
        <w:t>客观、公正地反映。</w:t>
      </w:r>
    </w:p>
    <w:p w14:paraId="7B740C8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（2）客观性原则。绩效评价过程中将考核标准与绩效目标进行紧密联系，采取公众评判法、成本分析法等方法，以事实为依据，以数据为基础，客观真实评价项目整体效益。</w:t>
      </w:r>
    </w:p>
    <w:p w14:paraId="332DE07D">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（3）可行性原则。绩效评价标准应客观反映被评价单位的履职情况，评价的数据来源应具备明确的收集渠道，绩效指标应具备可考核性，保证绩效评价工作的可操作性。</w:t>
      </w:r>
    </w:p>
    <w:p w14:paraId="503BFFE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（4）公开性原则。绩效评价过程中评价内容、评价标准、评价结果应对被评价单位公开，避免评价结论出现误判。</w:t>
      </w:r>
    </w:p>
    <w:p w14:paraId="592C3A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2.绩效评价指标体系和等级</w:t>
      </w:r>
    </w:p>
    <w:p w14:paraId="623AF8C2">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bookmarkStart w:id="44" w:name="_Toc48250777"/>
      <w:bookmarkStart w:id="45" w:name="_Toc1625"/>
      <w:r>
        <w:rPr>
          <w:rFonts w:hint="default" w:ascii="Times New Roman" w:hAnsi="Times New Roman" w:eastAsia="仿宋" w:cs="Times New Roman"/>
          <w:lang w:val="en-US" w:eastAsia="zh-CN"/>
        </w:rPr>
        <w:t>根据《财政部关于印发〈预算绩效评价共性指标体系框架〉的通知》（财预〔2013〕53号）、《财政部关于印发〈项目支出绩效评价管理办法〉的通知》（财预〔2020〕10号）、《云南省财政厅关于印发〈云南省项目支出绩效评价管理办法〉的</w:t>
      </w:r>
      <w:r>
        <w:rPr>
          <w:rFonts w:hint="default" w:ascii="Times New Roman" w:hAnsi="Times New Roman" w:eastAsia="仿宋" w:cs="Times New Roman"/>
          <w:kern w:val="30"/>
          <w:sz w:val="30"/>
          <w:szCs w:val="30"/>
          <w:lang w:val="en-US" w:eastAsia="zh-CN" w:bidi="ar-SA"/>
        </w:rPr>
        <w:t>通知》（云财绩〔2020〕11号）等文件要求，按照绩效评价的基本原理、原则和项目特点，绩效评价工作组在绩效评价共性指标体系的基础上，结合项目实施内容，设置了针对本项目的指标体系及评价标准。</w:t>
      </w:r>
      <w:bookmarkEnd w:id="44"/>
      <w:bookmarkEnd w:id="45"/>
    </w:p>
    <w:p w14:paraId="206FA706">
      <w:pPr>
        <w:keepNext w:val="0"/>
        <w:keepLines w:val="0"/>
        <w:pageBreakBefore w:val="0"/>
        <w:shd w:val="clear"/>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评价指标体系包括决策、过程、产出和效益4个一级指标，下设1</w:t>
      </w:r>
      <w:r>
        <w:rPr>
          <w:rFonts w:hint="default" w:ascii="Times New Roman" w:hAnsi="Times New Roman" w:cs="Times New Roman"/>
          <w:kern w:val="30"/>
          <w:sz w:val="30"/>
          <w:szCs w:val="30"/>
          <w:highlight w:val="none"/>
          <w:lang w:val="en-US" w:eastAsia="zh-CN" w:bidi="ar-SA"/>
        </w:rPr>
        <w:t>0</w:t>
      </w:r>
      <w:r>
        <w:rPr>
          <w:rFonts w:hint="default" w:ascii="Times New Roman" w:hAnsi="Times New Roman" w:eastAsia="仿宋" w:cs="Times New Roman"/>
          <w:kern w:val="30"/>
          <w:sz w:val="30"/>
          <w:szCs w:val="30"/>
          <w:highlight w:val="none"/>
          <w:lang w:val="en-US" w:eastAsia="zh-CN" w:bidi="ar-SA"/>
        </w:rPr>
        <w:t>个二级指标和</w:t>
      </w:r>
      <w:r>
        <w:rPr>
          <w:rFonts w:hint="default" w:ascii="Times New Roman" w:hAnsi="Times New Roman" w:cs="Times New Roman"/>
          <w:kern w:val="30"/>
          <w:sz w:val="30"/>
          <w:szCs w:val="30"/>
          <w:highlight w:val="none"/>
          <w:lang w:val="en-US" w:eastAsia="zh-CN" w:bidi="ar-SA"/>
        </w:rPr>
        <w:t>21</w:t>
      </w:r>
      <w:r>
        <w:rPr>
          <w:rFonts w:hint="default" w:ascii="Times New Roman" w:hAnsi="Times New Roman" w:eastAsia="仿宋" w:cs="Times New Roman"/>
          <w:kern w:val="30"/>
          <w:sz w:val="30"/>
          <w:szCs w:val="30"/>
          <w:highlight w:val="none"/>
          <w:lang w:val="en-US" w:eastAsia="zh-CN" w:bidi="ar-SA"/>
        </w:rPr>
        <w:t>个三级指标。综合绩效评价总分值为100分，其中决策分值15分，过程分值20分，产出分值35分，效益分值30分。本次绩效评价结果共分为4个等级：综合得分在90</w:t>
      </w:r>
      <w:r>
        <w:rPr>
          <w:rFonts w:hint="default" w:ascii="Times New Roman" w:hAns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100分（含90分）为优；综合得分在80</w:t>
      </w:r>
      <w:r>
        <w:rPr>
          <w:rFonts w:hint="default" w:ascii="Times New Roman" w:hAns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89分（含80分）为良；综合得分在60</w:t>
      </w:r>
      <w:r>
        <w:rPr>
          <w:rFonts w:hint="default" w:ascii="Times New Roman" w:hAns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79分（含60分）为中；综合得分在60分以下为差。</w:t>
      </w:r>
    </w:p>
    <w:p w14:paraId="7603AD1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3.绩效评价方法</w:t>
      </w:r>
    </w:p>
    <w:p w14:paraId="52321B0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次绩效评价严格按照《财政部关于印发〈项目支出绩效评价管理办法〉的通知》（财预〔2020〕10号）、《云南省财政厅关于印发〈云南省项目支出绩效评价管理办法〉的通知》（云财绩〔2020〕11号）等文件规定，采用定量与定性相结合、审阅自评相结合，对收集的相关基础资料，在归集、整理、分析的基础上，选择比较法、因素分析法、公众评判法、专家评议等评价方法。</w:t>
      </w:r>
    </w:p>
    <w:p w14:paraId="4C256E1F">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（1）比较法。通过对绩效目标和实施效果、历史和当期情况、不同部门和地区同类支出的比较，综合分析其绩效目标的实现程度。</w:t>
      </w:r>
    </w:p>
    <w:p w14:paraId="4E44ED1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（2）因素分析法。通过综合分析影响项目资金支出绩效目标实现、实施效果的内外因素，评价项目绩效。</w:t>
      </w:r>
    </w:p>
    <w:p w14:paraId="25C5FC2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（3）公众评判法。通过专家评估、公众问卷及抽样调查等对财政支出效果进行评判，评价绩效目标实现程度。</w:t>
      </w:r>
    </w:p>
    <w:p w14:paraId="5CD4B341">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查问询证法和实地考察法。通过对项目采取书面材料检查、实地勘察、访谈等方式，对有关情况包括自评材料反映信息的真实性、准确性、全面性等进行深入具体、独立客观地了解与核实，形成书面及现场分析评价意见。</w:t>
      </w:r>
    </w:p>
    <w:p w14:paraId="3B8AF83C">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46" w:name="_Toc14103"/>
      <w:bookmarkStart w:id="47" w:name="_Toc28874"/>
      <w:bookmarkStart w:id="48" w:name="_Toc27181"/>
      <w:bookmarkStart w:id="49" w:name="_Toc6281"/>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w:t>
      </w:r>
      <w:r>
        <w:rPr>
          <w:rFonts w:hint="default" w:ascii="Times New Roman" w:hAnsi="Times New Roman" w:cs="Times New Roman"/>
          <w:lang w:val="en-US" w:eastAsia="zh-CN"/>
        </w:rPr>
        <w:t>绩效评价工作过程</w:t>
      </w:r>
      <w:bookmarkEnd w:id="46"/>
      <w:bookmarkEnd w:id="47"/>
      <w:bookmarkEnd w:id="48"/>
      <w:bookmarkEnd w:id="49"/>
    </w:p>
    <w:p w14:paraId="7713543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1.资料收集</w:t>
      </w:r>
    </w:p>
    <w:p w14:paraId="2827D39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池砾公司成立绩效评价工作组，了解并收集与绩效评价项目相关的文件、资料，为研究制定绩效评价工作方案做好前期准备。</w:t>
      </w:r>
    </w:p>
    <w:p w14:paraId="642E659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2.编制实施方案</w:t>
      </w:r>
    </w:p>
    <w:p w14:paraId="5A64904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结合项目资料设计绩效评价指标体系、调查问卷等工作底稿。</w:t>
      </w:r>
    </w:p>
    <w:p w14:paraId="63D121A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3.实施方案评审</w:t>
      </w:r>
    </w:p>
    <w:p w14:paraId="31EC9C0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由区财政局组织实施方案评审，形成方案修改意见，修改形成方案终稿。</w:t>
      </w:r>
    </w:p>
    <w:p w14:paraId="34F088F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4.实地调研</w:t>
      </w:r>
    </w:p>
    <w:p w14:paraId="6BA033A9">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根据项目分组安排，前往现场与相关部门对接并进行现场调研，包括资料核查、访谈、数据收集及问卷调查等工作。</w:t>
      </w:r>
    </w:p>
    <w:p w14:paraId="3DE6B22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5.撰写绩效评价报告</w:t>
      </w:r>
    </w:p>
    <w:p w14:paraId="369173B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分析资料，统计数据，根据相应标准，进行综合性评价，完成绩效评分，并形成评价结论；根据评价结论撰写绩效评价报告初稿。</w:t>
      </w:r>
    </w:p>
    <w:p w14:paraId="3E445DC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6.绩效评价报告评审</w:t>
      </w:r>
    </w:p>
    <w:p w14:paraId="5DB1AF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由</w:t>
      </w:r>
      <w:r>
        <w:rPr>
          <w:rFonts w:hint="default" w:ascii="Times New Roman" w:hAnsi="Times New Roman" w:cs="Times New Roman"/>
          <w:color w:val="auto"/>
          <w:szCs w:val="30"/>
          <w:lang w:val="en-US" w:eastAsia="zh-CN"/>
        </w:rPr>
        <w:t>区</w:t>
      </w:r>
      <w:r>
        <w:rPr>
          <w:rFonts w:hint="default" w:ascii="Times New Roman" w:hAnsi="Times New Roman" w:eastAsia="仿宋" w:cs="Times New Roman"/>
          <w:color w:val="auto"/>
          <w:szCs w:val="30"/>
          <w:lang w:val="en-US" w:eastAsia="zh-CN"/>
        </w:rPr>
        <w:t>财政局组织绩效评价报告评审，形成报告修改意见；根据修改意见修改报告形成最终稿。</w:t>
      </w:r>
    </w:p>
    <w:p w14:paraId="662AC7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7.撰写绩效评价汇总报告</w:t>
      </w:r>
    </w:p>
    <w:p w14:paraId="23DE14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lang w:val="en-US" w:eastAsia="zh-CN"/>
        </w:rPr>
      </w:pPr>
      <w:r>
        <w:rPr>
          <w:rFonts w:hint="default" w:ascii="Times New Roman" w:hAnsi="Times New Roman" w:cs="Times New Roman"/>
          <w:szCs w:val="30"/>
          <w:lang w:val="en-US" w:eastAsia="zh-CN"/>
        </w:rPr>
        <w:t>根据各项目绩效评价结果撰写绩效评价汇总报告。</w:t>
      </w:r>
      <w:bookmarkEnd w:id="34"/>
      <w:bookmarkEnd w:id="35"/>
    </w:p>
    <w:p w14:paraId="0595A9C5">
      <w:pPr>
        <w:pStyle w:val="32"/>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50" w:name="_Toc9878"/>
      <w:r>
        <w:rPr>
          <w:rFonts w:hint="default" w:ascii="Times New Roman" w:hAnsi="Times New Roman" w:cs="Times New Roman"/>
          <w:lang w:val="en-US" w:eastAsia="zh-CN"/>
        </w:rPr>
        <w:t>三、绩效评价结论</w:t>
      </w:r>
      <w:bookmarkEnd w:id="50"/>
    </w:p>
    <w:p w14:paraId="37A61746">
      <w:pPr>
        <w:pStyle w:val="33"/>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51" w:name="_Toc30136"/>
      <w:r>
        <w:rPr>
          <w:rFonts w:hint="default" w:ascii="Times New Roman" w:hAnsi="Times New Roman" w:cs="Times New Roman"/>
        </w:rPr>
        <w:t>（一）</w:t>
      </w:r>
      <w:r>
        <w:rPr>
          <w:rFonts w:hint="default" w:ascii="Times New Roman" w:hAnsi="Times New Roman" w:cs="Times New Roman"/>
          <w:shd w:val="clear" w:fill="auto"/>
          <w:lang w:eastAsia="zh-CN"/>
        </w:rPr>
        <w:t>绩效评价</w:t>
      </w:r>
      <w:r>
        <w:rPr>
          <w:rFonts w:hint="default" w:ascii="Times New Roman" w:hAnsi="Times New Roman" w:cs="Times New Roman"/>
          <w:shd w:val="clear" w:fill="auto"/>
        </w:rPr>
        <w:t>综合</w:t>
      </w:r>
      <w:r>
        <w:rPr>
          <w:rFonts w:hint="default" w:ascii="Times New Roman" w:hAnsi="Times New Roman" w:cs="Times New Roman"/>
        </w:rPr>
        <w:t>结论</w:t>
      </w:r>
      <w:bookmarkEnd w:id="51"/>
    </w:p>
    <w:p w14:paraId="68F8570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szCs w:val="30"/>
        </w:rPr>
      </w:pPr>
      <w:bookmarkStart w:id="52" w:name="_Hlk525314439"/>
      <w:r>
        <w:rPr>
          <w:rFonts w:hint="default" w:ascii="Times New Roman" w:hAnsi="Times New Roman" w:cs="Times New Roman"/>
          <w:szCs w:val="30"/>
          <w:lang w:eastAsia="zh-CN"/>
        </w:rPr>
        <w:t>2023年度第一批省级新型基础设施建设专项资金项目绩效</w:t>
      </w:r>
      <w:r>
        <w:rPr>
          <w:rFonts w:hint="default" w:ascii="Times New Roman" w:hAnsi="Times New Roman" w:cs="Times New Roman"/>
          <w:szCs w:val="30"/>
          <w:highlight w:val="none"/>
          <w:lang w:eastAsia="zh-CN"/>
        </w:rPr>
        <w:t>评价</w:t>
      </w:r>
      <w:r>
        <w:rPr>
          <w:rFonts w:hint="default" w:ascii="Times New Roman" w:hAnsi="Times New Roman" w:cs="Times New Roman"/>
          <w:szCs w:val="30"/>
          <w:highlight w:val="none"/>
        </w:rPr>
        <w:t>得分</w:t>
      </w:r>
      <w:r>
        <w:rPr>
          <w:rFonts w:hint="default" w:ascii="Times New Roman" w:hAnsi="Times New Roman" w:cs="Times New Roman"/>
          <w:szCs w:val="30"/>
          <w:highlight w:val="none"/>
          <w:lang w:val="en-US" w:eastAsia="zh-CN"/>
        </w:rPr>
        <w:t>9</w:t>
      </w:r>
      <w:r>
        <w:rPr>
          <w:rFonts w:hint="eastAsia" w:ascii="Times New Roman" w:cs="Times New Roman"/>
          <w:szCs w:val="30"/>
          <w:highlight w:val="none"/>
          <w:lang w:val="en-US" w:eastAsia="zh-CN"/>
        </w:rPr>
        <w:t>2</w:t>
      </w:r>
      <w:r>
        <w:rPr>
          <w:rFonts w:hint="default" w:ascii="Times New Roman" w:hAnsi="Times New Roman" w:cs="Times New Roman"/>
          <w:szCs w:val="30"/>
          <w:highlight w:val="none"/>
          <w:lang w:val="en-US" w:eastAsia="zh-CN"/>
        </w:rPr>
        <w:t>.</w:t>
      </w:r>
      <w:r>
        <w:rPr>
          <w:rFonts w:hint="eastAsia" w:ascii="Times New Roman" w:cs="Times New Roman"/>
          <w:szCs w:val="30"/>
          <w:highlight w:val="none"/>
          <w:lang w:val="en-US" w:eastAsia="zh-CN"/>
        </w:rPr>
        <w:t>09</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lang w:val="en-US" w:eastAsia="zh-CN"/>
        </w:rPr>
        <w:t>优</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p>
    <w:p w14:paraId="5DBC72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eastAsia="黑体" w:cs="Times New Roman"/>
          <w:b w:val="0"/>
          <w:bCs/>
          <w:sz w:val="24"/>
          <w:szCs w:val="24"/>
          <w:lang w:val="en-US" w:eastAsia="zh-CN"/>
        </w:rPr>
        <w:t xml:space="preserve">表5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353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2CFA9CE">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048A515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08FC3368">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024B92D8">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1CF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04D309A">
            <w:pPr>
              <w:snapToGrid w:val="0"/>
              <w:jc w:val="center"/>
              <w:rPr>
                <w:rFonts w:hint="default" w:ascii="Times New Roman" w:hAnsi="Times New Roman" w:eastAsia="仿宋"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6337F938">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15</w:t>
            </w:r>
            <w:r>
              <w:rPr>
                <w:rFonts w:hint="eastAsia" w:ascii="Times New Roman" w:cs="Times New Roman"/>
                <w:bCs/>
                <w:spacing w:val="6"/>
                <w:sz w:val="21"/>
                <w:lang w:val="en-US" w:eastAsia="zh-CN"/>
              </w:rPr>
              <w:t>.00</w:t>
            </w:r>
          </w:p>
        </w:tc>
        <w:tc>
          <w:tcPr>
            <w:tcW w:w="2211" w:type="dxa"/>
            <w:vAlign w:val="center"/>
          </w:tcPr>
          <w:p w14:paraId="782B35E9">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14</w:t>
            </w:r>
            <w:r>
              <w:rPr>
                <w:rFonts w:hint="eastAsia" w:ascii="Times New Roman" w:cs="Times New Roman"/>
                <w:bCs/>
                <w:spacing w:val="6"/>
                <w:sz w:val="21"/>
                <w:lang w:val="en-US" w:eastAsia="zh-CN"/>
              </w:rPr>
              <w:t>.00</w:t>
            </w:r>
          </w:p>
        </w:tc>
        <w:tc>
          <w:tcPr>
            <w:tcW w:w="2211" w:type="dxa"/>
            <w:vAlign w:val="center"/>
          </w:tcPr>
          <w:p w14:paraId="2F52498A">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93.33%</w:t>
            </w:r>
          </w:p>
        </w:tc>
      </w:tr>
      <w:tr w14:paraId="619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85FAA54">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37EB27B3">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20</w:t>
            </w:r>
            <w:r>
              <w:rPr>
                <w:rFonts w:hint="eastAsia" w:ascii="Times New Roman" w:cs="Times New Roman"/>
                <w:bCs/>
                <w:spacing w:val="6"/>
                <w:sz w:val="21"/>
                <w:lang w:val="en-US" w:eastAsia="zh-CN"/>
              </w:rPr>
              <w:t>.00</w:t>
            </w:r>
          </w:p>
        </w:tc>
        <w:tc>
          <w:tcPr>
            <w:tcW w:w="2211" w:type="dxa"/>
            <w:vAlign w:val="center"/>
          </w:tcPr>
          <w:p w14:paraId="13DF003D">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19.09</w:t>
            </w:r>
          </w:p>
        </w:tc>
        <w:tc>
          <w:tcPr>
            <w:tcW w:w="2211" w:type="dxa"/>
            <w:vAlign w:val="center"/>
          </w:tcPr>
          <w:p w14:paraId="2334F51A">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9</w:t>
            </w:r>
            <w:r>
              <w:rPr>
                <w:rFonts w:hint="eastAsia" w:ascii="Times New Roman" w:cs="Times New Roman"/>
                <w:bCs/>
                <w:spacing w:val="6"/>
                <w:sz w:val="21"/>
                <w:lang w:val="en-US" w:eastAsia="zh-CN"/>
              </w:rPr>
              <w:t>5.45</w:t>
            </w:r>
            <w:r>
              <w:rPr>
                <w:rFonts w:hint="default" w:ascii="Times New Roman" w:hAnsi="Times New Roman" w:cs="Times New Roman"/>
                <w:bCs/>
                <w:spacing w:val="6"/>
                <w:sz w:val="21"/>
                <w:lang w:val="en-US" w:eastAsia="zh-CN"/>
              </w:rPr>
              <w:t>%</w:t>
            </w:r>
          </w:p>
        </w:tc>
      </w:tr>
      <w:tr w14:paraId="749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7CF7B37">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20C8C6A4">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35</w:t>
            </w:r>
            <w:r>
              <w:rPr>
                <w:rFonts w:hint="eastAsia" w:ascii="Times New Roman" w:cs="Times New Roman"/>
                <w:bCs/>
                <w:spacing w:val="6"/>
                <w:sz w:val="21"/>
                <w:lang w:val="en-US" w:eastAsia="zh-CN"/>
              </w:rPr>
              <w:t>.00</w:t>
            </w:r>
          </w:p>
        </w:tc>
        <w:tc>
          <w:tcPr>
            <w:tcW w:w="2211" w:type="dxa"/>
            <w:vAlign w:val="center"/>
          </w:tcPr>
          <w:p w14:paraId="37C69583">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29</w:t>
            </w:r>
            <w:r>
              <w:rPr>
                <w:rFonts w:hint="eastAsia" w:ascii="Times New Roman" w:cs="Times New Roman"/>
                <w:bCs/>
                <w:spacing w:val="6"/>
                <w:sz w:val="21"/>
                <w:lang w:val="en-US" w:eastAsia="zh-CN"/>
              </w:rPr>
              <w:t>.00</w:t>
            </w:r>
          </w:p>
        </w:tc>
        <w:tc>
          <w:tcPr>
            <w:tcW w:w="2211" w:type="dxa"/>
            <w:vAlign w:val="center"/>
          </w:tcPr>
          <w:p w14:paraId="0EA79292">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82.86%</w:t>
            </w:r>
          </w:p>
        </w:tc>
      </w:tr>
      <w:tr w14:paraId="5C54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DA5ADC0">
            <w:pPr>
              <w:snapToGrid w:val="0"/>
              <w:jc w:val="center"/>
              <w:rPr>
                <w:rFonts w:hint="eastAsia" w:ascii="Times New Roman" w:hAnsi="Times New Roman" w:eastAsia="仿宋" w:cs="Times New Roman"/>
                <w:bCs/>
                <w:spacing w:val="6"/>
                <w:sz w:val="21"/>
                <w:lang w:eastAsia="zh-CN"/>
              </w:rPr>
            </w:pPr>
            <w:r>
              <w:rPr>
                <w:rFonts w:hint="eastAsia" w:ascii="Times New Roman" w:cs="Times New Roman"/>
                <w:bCs/>
                <w:spacing w:val="6"/>
                <w:sz w:val="21"/>
                <w:lang w:val="en-US" w:eastAsia="zh-CN"/>
              </w:rPr>
              <w:t>效益</w:t>
            </w:r>
          </w:p>
        </w:tc>
        <w:tc>
          <w:tcPr>
            <w:tcW w:w="2211" w:type="dxa"/>
            <w:vAlign w:val="center"/>
          </w:tcPr>
          <w:p w14:paraId="78D4B4F9">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30</w:t>
            </w:r>
            <w:r>
              <w:rPr>
                <w:rFonts w:hint="eastAsia" w:ascii="Times New Roman" w:cs="Times New Roman"/>
                <w:bCs/>
                <w:spacing w:val="6"/>
                <w:sz w:val="21"/>
                <w:lang w:val="en-US" w:eastAsia="zh-CN"/>
              </w:rPr>
              <w:t>.00</w:t>
            </w:r>
          </w:p>
        </w:tc>
        <w:tc>
          <w:tcPr>
            <w:tcW w:w="2211" w:type="dxa"/>
            <w:vAlign w:val="center"/>
          </w:tcPr>
          <w:p w14:paraId="4FB1EC1C">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30</w:t>
            </w:r>
            <w:r>
              <w:rPr>
                <w:rFonts w:hint="eastAsia" w:ascii="Times New Roman" w:cs="Times New Roman"/>
                <w:bCs/>
                <w:spacing w:val="6"/>
                <w:sz w:val="21"/>
                <w:lang w:val="en-US" w:eastAsia="zh-CN"/>
              </w:rPr>
              <w:t>.00</w:t>
            </w:r>
          </w:p>
        </w:tc>
        <w:tc>
          <w:tcPr>
            <w:tcW w:w="2211" w:type="dxa"/>
            <w:vAlign w:val="center"/>
          </w:tcPr>
          <w:p w14:paraId="33A77F99">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100</w:t>
            </w:r>
            <w:r>
              <w:rPr>
                <w:rFonts w:hint="eastAsia" w:ascii="Times New Roman" w:cs="Times New Roman"/>
                <w:bCs/>
                <w:spacing w:val="6"/>
                <w:sz w:val="21"/>
                <w:lang w:val="en-US" w:eastAsia="zh-CN"/>
              </w:rPr>
              <w:t>.00</w:t>
            </w:r>
            <w:r>
              <w:rPr>
                <w:rFonts w:hint="default" w:ascii="Times New Roman" w:hAnsi="Times New Roman" w:cs="Times New Roman"/>
                <w:bCs/>
                <w:spacing w:val="6"/>
                <w:sz w:val="21"/>
                <w:lang w:val="en-US" w:eastAsia="zh-CN"/>
              </w:rPr>
              <w:t>%</w:t>
            </w:r>
          </w:p>
        </w:tc>
      </w:tr>
      <w:tr w14:paraId="730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95F27AF">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275A4180">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rPr>
              <w:t>100</w:t>
            </w:r>
            <w:r>
              <w:rPr>
                <w:rFonts w:hint="eastAsia" w:ascii="Times New Roman" w:cs="Times New Roman"/>
                <w:b/>
                <w:bCs/>
                <w:spacing w:val="6"/>
                <w:sz w:val="21"/>
                <w:lang w:val="en-US" w:eastAsia="zh-CN"/>
              </w:rPr>
              <w:t>.00</w:t>
            </w:r>
          </w:p>
        </w:tc>
        <w:tc>
          <w:tcPr>
            <w:tcW w:w="2211" w:type="dxa"/>
            <w:vAlign w:val="center"/>
          </w:tcPr>
          <w:p w14:paraId="04F268EA">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9</w:t>
            </w:r>
            <w:r>
              <w:rPr>
                <w:rFonts w:hint="eastAsia" w:ascii="Times New Roman" w:cs="Times New Roman"/>
                <w:b/>
                <w:bCs/>
                <w:spacing w:val="6"/>
                <w:sz w:val="21"/>
                <w:lang w:val="en-US" w:eastAsia="zh-CN"/>
              </w:rPr>
              <w:t>2</w:t>
            </w:r>
            <w:r>
              <w:rPr>
                <w:rFonts w:hint="default" w:ascii="Times New Roman" w:hAnsi="Times New Roman" w:cs="Times New Roman"/>
                <w:b/>
                <w:bCs/>
                <w:spacing w:val="6"/>
                <w:sz w:val="21"/>
                <w:lang w:val="en-US" w:eastAsia="zh-CN"/>
              </w:rPr>
              <w:t>.</w:t>
            </w:r>
            <w:r>
              <w:rPr>
                <w:rFonts w:hint="eastAsia" w:ascii="Times New Roman" w:cs="Times New Roman"/>
                <w:b/>
                <w:bCs/>
                <w:spacing w:val="6"/>
                <w:sz w:val="21"/>
                <w:lang w:val="en-US" w:eastAsia="zh-CN"/>
              </w:rPr>
              <w:t>09</w:t>
            </w:r>
          </w:p>
        </w:tc>
        <w:tc>
          <w:tcPr>
            <w:tcW w:w="2211" w:type="dxa"/>
            <w:vAlign w:val="center"/>
          </w:tcPr>
          <w:p w14:paraId="66C2ECAA">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9</w:t>
            </w:r>
            <w:r>
              <w:rPr>
                <w:rFonts w:hint="eastAsia" w:ascii="Times New Roman" w:cs="Times New Roman"/>
                <w:b/>
                <w:bCs/>
                <w:spacing w:val="6"/>
                <w:sz w:val="21"/>
                <w:lang w:val="en-US" w:eastAsia="zh-CN"/>
              </w:rPr>
              <w:t>2</w:t>
            </w:r>
            <w:r>
              <w:rPr>
                <w:rFonts w:hint="default" w:ascii="Times New Roman" w:hAnsi="Times New Roman" w:cs="Times New Roman"/>
                <w:b/>
                <w:bCs/>
                <w:spacing w:val="6"/>
                <w:sz w:val="21"/>
                <w:lang w:val="en-US" w:eastAsia="zh-CN"/>
              </w:rPr>
              <w:t>.</w:t>
            </w:r>
            <w:r>
              <w:rPr>
                <w:rFonts w:hint="eastAsia" w:ascii="Times New Roman" w:cs="Times New Roman"/>
                <w:b/>
                <w:bCs/>
                <w:spacing w:val="6"/>
                <w:sz w:val="21"/>
                <w:lang w:val="en-US" w:eastAsia="zh-CN"/>
              </w:rPr>
              <w:t>09</w:t>
            </w:r>
            <w:r>
              <w:rPr>
                <w:rFonts w:hint="default" w:ascii="Times New Roman" w:hAnsi="Times New Roman" w:cs="Times New Roman"/>
                <w:b/>
                <w:bCs/>
                <w:spacing w:val="6"/>
                <w:sz w:val="21"/>
                <w:lang w:val="en-US" w:eastAsia="zh-CN"/>
              </w:rPr>
              <w:t>%</w:t>
            </w:r>
          </w:p>
        </w:tc>
      </w:tr>
      <w:bookmarkEnd w:id="52"/>
    </w:tbl>
    <w:p w14:paraId="774983CD">
      <w:pPr>
        <w:spacing w:line="579" w:lineRule="exact"/>
        <w:ind w:firstLine="630" w:firstLineChars="200"/>
        <w:rPr>
          <w:rFonts w:hint="default" w:ascii="Times New Roman" w:hAnsi="Times New Roman" w:eastAsia="仿宋" w:cs="Times New Roman"/>
          <w:bCs/>
          <w:szCs w:val="30"/>
          <w:highlight w:val="yellow"/>
          <w:lang w:val="en-US" w:eastAsia="zh-CN"/>
        </w:rPr>
      </w:pPr>
      <w:r>
        <w:rPr>
          <w:rFonts w:hint="eastAsia"/>
        </w:rPr>
        <w:t>总体来看，</w:t>
      </w:r>
      <w:r>
        <w:rPr>
          <w:rFonts w:hint="default" w:ascii="Times New Roman" w:hAnsi="Times New Roman" w:cs="Times New Roman"/>
          <w:highlight w:val="none"/>
          <w:shd w:val="clear"/>
          <w:lang w:val="en-US" w:eastAsia="zh-CN"/>
        </w:rPr>
        <w:t>本项目</w:t>
      </w:r>
      <w:r>
        <w:rPr>
          <w:rFonts w:hint="default" w:ascii="Times New Roman" w:hAnsi="Times New Roman" w:cs="Times New Roman"/>
          <w:szCs w:val="30"/>
          <w:highlight w:val="none"/>
          <w:shd w:val="clear"/>
        </w:rPr>
        <w:t>立项依据充分、立项程序规范，内容完善</w:t>
      </w:r>
      <w:r>
        <w:rPr>
          <w:rFonts w:hint="default" w:ascii="Times New Roman" w:hAnsi="Times New Roman" w:cs="Times New Roman"/>
          <w:szCs w:val="30"/>
          <w:highlight w:val="none"/>
          <w:shd w:val="clear"/>
          <w:lang w:eastAsia="zh-CN"/>
        </w:rPr>
        <w:t>，</w:t>
      </w:r>
      <w:r>
        <w:rPr>
          <w:rFonts w:hint="default" w:ascii="Times New Roman" w:hAnsi="Times New Roman" w:cs="Times New Roman"/>
          <w:szCs w:val="30"/>
          <w:highlight w:val="none"/>
          <w:shd w:val="clear"/>
          <w:lang w:val="en-US" w:eastAsia="zh-CN"/>
        </w:rPr>
        <w:t>项目实施方案及财务管理制度健全，项目实施效果良好，但</w:t>
      </w:r>
      <w:r>
        <w:rPr>
          <w:rFonts w:hint="eastAsia" w:ascii="Times New Roman" w:cs="Times New Roman"/>
          <w:szCs w:val="30"/>
          <w:highlight w:val="none"/>
          <w:shd w:val="clear"/>
          <w:lang w:val="en-US" w:eastAsia="zh-CN"/>
        </w:rPr>
        <w:t>仍存在</w:t>
      </w:r>
      <w:r>
        <w:rPr>
          <w:rFonts w:hint="default" w:ascii="Times New Roman" w:hAnsi="Times New Roman" w:cs="Times New Roman"/>
          <w:szCs w:val="30"/>
          <w:highlight w:val="none"/>
          <w:shd w:val="clear"/>
          <w:lang w:val="en-US" w:eastAsia="zh-CN"/>
        </w:rPr>
        <w:t>工作进度晚于计划、</w:t>
      </w:r>
      <w:r>
        <w:rPr>
          <w:rFonts w:hint="default" w:ascii="Times New Roman" w:hAnsi="Times New Roman" w:cs="Times New Roman"/>
          <w:szCs w:val="30"/>
          <w:highlight w:val="none"/>
          <w:shd w:val="clear"/>
        </w:rPr>
        <w:t>绩效目标设定</w:t>
      </w:r>
      <w:r>
        <w:rPr>
          <w:rFonts w:hint="default" w:ascii="Times New Roman" w:hAnsi="Times New Roman" w:cs="Times New Roman"/>
          <w:szCs w:val="30"/>
          <w:highlight w:val="none"/>
          <w:shd w:val="clear"/>
          <w:lang w:val="en-US" w:eastAsia="zh-CN"/>
        </w:rPr>
        <w:t>待加强</w:t>
      </w:r>
      <w:r>
        <w:rPr>
          <w:rFonts w:hint="eastAsia" w:ascii="Times New Roman" w:cs="Times New Roman"/>
          <w:szCs w:val="30"/>
          <w:highlight w:val="none"/>
          <w:shd w:val="clear"/>
          <w:lang w:val="en-US" w:eastAsia="zh-CN"/>
        </w:rPr>
        <w:t>等问题</w:t>
      </w:r>
      <w:r>
        <w:rPr>
          <w:rFonts w:hint="default" w:ascii="Times New Roman" w:hAnsi="Times New Roman" w:cs="Times New Roman"/>
          <w:szCs w:val="30"/>
          <w:highlight w:val="none"/>
          <w:shd w:val="clear"/>
          <w:lang w:val="en-US" w:eastAsia="zh-CN"/>
        </w:rPr>
        <w:t>。</w:t>
      </w:r>
    </w:p>
    <w:p w14:paraId="6800FBA3">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53" w:name="_Toc14934"/>
      <w:r>
        <w:rPr>
          <w:rFonts w:hint="default" w:ascii="Times New Roman" w:hAnsi="Times New Roman" w:cs="Times New Roman"/>
        </w:rPr>
        <w:t>（二）绩效目标实现情</w:t>
      </w:r>
      <w:r>
        <w:rPr>
          <w:rFonts w:hint="default" w:ascii="Times New Roman" w:hAnsi="Times New Roman" w:cs="Times New Roman"/>
          <w:lang w:val="en-US" w:eastAsia="zh-CN"/>
        </w:rPr>
        <w:t>况</w:t>
      </w:r>
      <w:bookmarkEnd w:id="53"/>
    </w:p>
    <w:p w14:paraId="3154A4DF">
      <w:pPr>
        <w:shd w:val="clear"/>
        <w:ind w:firstLine="631"/>
        <w:jc w:val="left"/>
        <w:rPr>
          <w:rFonts w:hint="default" w:ascii="Times New Roman" w:hAnsi="Times New Roman" w:cs="Times New Roman"/>
          <w:szCs w:val="30"/>
          <w:highlight w:val="none"/>
          <w:lang w:bidi="ar"/>
        </w:rPr>
      </w:pPr>
      <w:bookmarkStart w:id="54" w:name="_Hlk525314457"/>
      <w:r>
        <w:rPr>
          <w:rFonts w:hint="default" w:ascii="Times New Roman" w:hAnsi="Times New Roman" w:cs="Times New Roman"/>
          <w:szCs w:val="30"/>
          <w:highlight w:val="none"/>
          <w:lang w:val="en-US" w:eastAsia="zh-CN" w:bidi="ar"/>
        </w:rPr>
        <w:t>根据本次绩效评价情况，本项目</w:t>
      </w:r>
      <w:r>
        <w:rPr>
          <w:rFonts w:hint="default" w:ascii="Times New Roman" w:hAnsi="Times New Roman" w:cs="Times New Roman"/>
          <w:szCs w:val="30"/>
          <w:highlight w:val="none"/>
          <w:lang w:val="en-US" w:eastAsia="zh-CN"/>
        </w:rPr>
        <w:t>9</w:t>
      </w:r>
      <w:r>
        <w:rPr>
          <w:rFonts w:hint="default" w:ascii="Times New Roman" w:hAnsi="Times New Roman" w:cs="Times New Roman"/>
          <w:szCs w:val="30"/>
          <w:highlight w:val="none"/>
          <w:lang w:bidi="ar"/>
        </w:rPr>
        <w:t>个具体绩效指标中，</w:t>
      </w:r>
      <w:r>
        <w:rPr>
          <w:rFonts w:hint="default" w:ascii="Times New Roman" w:hAnsi="Times New Roman" w:cs="Times New Roman"/>
          <w:szCs w:val="30"/>
          <w:highlight w:val="none"/>
          <w:lang w:val="en-US" w:eastAsia="zh-CN" w:bidi="ar"/>
        </w:rPr>
        <w:t>7</w:t>
      </w:r>
      <w:r>
        <w:rPr>
          <w:rFonts w:hint="default" w:ascii="Times New Roman" w:hAnsi="Times New Roman" w:cs="Times New Roman"/>
          <w:szCs w:val="30"/>
          <w:highlight w:val="none"/>
          <w:lang w:bidi="ar"/>
        </w:rPr>
        <w:t>项实现了预期目标，</w:t>
      </w:r>
      <w:r>
        <w:rPr>
          <w:rFonts w:hint="default" w:ascii="Times New Roman" w:hAnsi="Times New Roman" w:cs="Times New Roman"/>
          <w:szCs w:val="30"/>
          <w:highlight w:val="none"/>
          <w:lang w:val="en-US" w:eastAsia="zh-CN" w:bidi="ar"/>
        </w:rPr>
        <w:t>2</w:t>
      </w:r>
      <w:r>
        <w:rPr>
          <w:rFonts w:hint="default" w:ascii="Times New Roman" w:hAnsi="Times New Roman" w:cs="Times New Roman"/>
          <w:szCs w:val="30"/>
          <w:highlight w:val="none"/>
          <w:lang w:bidi="ar"/>
        </w:rPr>
        <w:t>项部分实现了预期目标</w:t>
      </w:r>
      <w:r>
        <w:rPr>
          <w:rFonts w:hint="default" w:ascii="Times New Roman" w:hAnsi="Times New Roman" w:cs="Times New Roman"/>
          <w:szCs w:val="30"/>
          <w:highlight w:val="none"/>
          <w:lang w:eastAsia="zh-CN" w:bidi="ar"/>
        </w:rPr>
        <w:t>。</w:t>
      </w:r>
      <w:r>
        <w:rPr>
          <w:rFonts w:hint="default" w:ascii="Times New Roman" w:hAnsi="Times New Roman" w:cs="Times New Roman"/>
          <w:szCs w:val="30"/>
          <w:highlight w:val="none"/>
        </w:rPr>
        <w:t>本项目</w:t>
      </w:r>
      <w:r>
        <w:rPr>
          <w:rFonts w:hint="default" w:ascii="Times New Roman" w:hAnsi="Times New Roman" w:cs="Times New Roman"/>
          <w:szCs w:val="30"/>
          <w:highlight w:val="none"/>
          <w:lang w:bidi="ar"/>
        </w:rPr>
        <w:t>绩效指标总体实现情况良好，基本实现了</w:t>
      </w:r>
      <w:r>
        <w:rPr>
          <w:rFonts w:hint="default" w:ascii="Times New Roman" w:hAnsi="Times New Roman" w:cs="Times New Roman"/>
          <w:szCs w:val="30"/>
          <w:highlight w:val="none"/>
          <w:lang w:val="en-US" w:eastAsia="zh-CN" w:bidi="ar"/>
        </w:rPr>
        <w:t>本项目</w:t>
      </w:r>
      <w:r>
        <w:rPr>
          <w:rFonts w:hint="default" w:ascii="Times New Roman" w:hAnsi="Times New Roman" w:cs="Times New Roman"/>
          <w:szCs w:val="30"/>
          <w:highlight w:val="none"/>
          <w:lang w:bidi="ar"/>
        </w:rPr>
        <w:t>的绩效目标，各指标完成情况详见</w:t>
      </w:r>
      <w:r>
        <w:rPr>
          <w:rFonts w:hint="default" w:ascii="Times New Roman" w:hAnsi="Times New Roman" w:cs="Times New Roman"/>
          <w:szCs w:val="30"/>
          <w:highlight w:val="none"/>
          <w:lang w:val="en-US" w:eastAsia="zh-CN" w:bidi="ar"/>
        </w:rPr>
        <w:t>下</w:t>
      </w:r>
      <w:r>
        <w:rPr>
          <w:rFonts w:hint="default" w:ascii="Times New Roman" w:hAnsi="Times New Roman" w:cs="Times New Roman"/>
          <w:szCs w:val="30"/>
          <w:highlight w:val="none"/>
          <w:lang w:bidi="ar"/>
        </w:rPr>
        <w:t>表。</w:t>
      </w:r>
    </w:p>
    <w:p w14:paraId="07CFA2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eastAsia="黑体" w:cs="Times New Roman"/>
          <w:b w:val="0"/>
          <w:bCs/>
          <w:sz w:val="24"/>
          <w:szCs w:val="24"/>
          <w:lang w:val="en-US" w:eastAsia="zh-CN"/>
        </w:rPr>
        <w:t xml:space="preserve">表6 </w:t>
      </w:r>
      <w:r>
        <w:rPr>
          <w:rFonts w:hint="default" w:ascii="Times New Roman" w:hAnsi="Times New Roman" w:eastAsia="黑体" w:cs="Times New Roman"/>
          <w:b w:val="0"/>
          <w:bCs/>
          <w:sz w:val="24"/>
          <w:szCs w:val="24"/>
        </w:rPr>
        <w:t>绩效指标完成情况表</w:t>
      </w:r>
    </w:p>
    <w:bookmarkEnd w:id="54"/>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743"/>
        <w:gridCol w:w="1509"/>
        <w:gridCol w:w="1042"/>
        <w:gridCol w:w="1080"/>
        <w:gridCol w:w="3645"/>
      </w:tblGrid>
      <w:tr w14:paraId="1D7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8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CE5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绩效指标名称</w:t>
            </w:r>
          </w:p>
        </w:tc>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B89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指标值</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8CB3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指标实现情况</w:t>
            </w:r>
          </w:p>
        </w:tc>
        <w:tc>
          <w:tcPr>
            <w:tcW w:w="20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F4D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完成情况说明</w:t>
            </w:r>
          </w:p>
        </w:tc>
      </w:tr>
      <w:tr w14:paraId="4C80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14:paraId="00A0C0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一级指标</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4CCDA1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二级指标</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50B894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三级指标</w:t>
            </w:r>
          </w:p>
        </w:tc>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4902E">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c>
          <w:tcPr>
            <w:tcW w:w="5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E38A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c>
          <w:tcPr>
            <w:tcW w:w="20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2443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r>
      <w:tr w14:paraId="7B7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8CB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产出（35分）</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8A6D7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产出数量</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2282AB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sz w:val="20"/>
                <w:szCs w:val="20"/>
                <w:u w:val="none"/>
                <w:lang w:val="en-US"/>
              </w:rPr>
              <w:t>项目施工内容完成情况</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2CB3E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100%</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5E1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85%</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46B7A8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20个子项目中有5个项目已经完成竣工验收工作，7个项目已经完工，6个项目处于上线测试阶段，3个项目仍在施工中。</w:t>
            </w:r>
          </w:p>
        </w:tc>
      </w:tr>
      <w:tr w14:paraId="6AE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EAB34">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774502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产出质量</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150B13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项目验收合格率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00C824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100%</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3B7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6E0E4F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cs="Times New Roman"/>
                <w:i w:val="0"/>
                <w:iCs w:val="0"/>
                <w:color w:val="000000"/>
                <w:sz w:val="20"/>
                <w:szCs w:val="20"/>
                <w:u w:val="none"/>
                <w:lang w:val="en-US" w:eastAsia="zh-CN"/>
              </w:rPr>
              <w:t>根据项目实施单位提供的材料，本项目不同阶段工作均一次性通过验收。</w:t>
            </w:r>
          </w:p>
        </w:tc>
      </w:tr>
      <w:tr w14:paraId="706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18B92">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5560C8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产出质量</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6C7C44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建设方案和施工质量总体符合工程设计或有关规范标准的项目比例</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672290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100%</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2BF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033B14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cs="Times New Roman"/>
                <w:i w:val="0"/>
                <w:iCs w:val="0"/>
                <w:color w:val="000000"/>
                <w:sz w:val="20"/>
                <w:szCs w:val="20"/>
                <w:u w:val="none"/>
                <w:lang w:val="en-US" w:eastAsia="zh-CN"/>
              </w:rPr>
              <w:t>根据项目实施单位提供的材料，本项目建设方案和施工质量总体符合工程设计或有关规范标准的项目。</w:t>
            </w:r>
          </w:p>
        </w:tc>
      </w:tr>
      <w:tr w14:paraId="3A3E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1A2D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271DB9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产出时效</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1B06CB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rPr>
              <w:t>完工</w:t>
            </w:r>
            <w:r>
              <w:rPr>
                <w:rFonts w:hint="default" w:ascii="Times New Roman" w:hAnsi="Times New Roman" w:cs="Times New Roman"/>
                <w:i w:val="0"/>
                <w:iCs w:val="0"/>
                <w:color w:val="000000"/>
                <w:sz w:val="20"/>
                <w:szCs w:val="20"/>
                <w:u w:val="none"/>
                <w:lang w:val="en-US" w:eastAsia="zh-CN"/>
              </w:rPr>
              <w:t>及时性</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04A5FB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及时</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52C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部分及时</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6E48D8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cs="Times New Roman"/>
                <w:i w:val="0"/>
                <w:iCs w:val="0"/>
                <w:color w:val="000000"/>
                <w:sz w:val="20"/>
                <w:szCs w:val="20"/>
                <w:u w:val="none"/>
                <w:lang w:val="en-US" w:eastAsia="zh-CN"/>
              </w:rPr>
              <w:t>本项目计划完工时间</w:t>
            </w:r>
            <w:r>
              <w:rPr>
                <w:rFonts w:hint="default" w:ascii="Times New Roman" w:hAnsi="Times New Roman" w:eastAsia="仿宋" w:cs="Times New Roman"/>
                <w:i w:val="0"/>
                <w:iCs w:val="0"/>
                <w:color w:val="000000"/>
                <w:sz w:val="20"/>
                <w:szCs w:val="20"/>
                <w:u w:val="none"/>
              </w:rPr>
              <w:t>为2023年5月底，实际</w:t>
            </w:r>
            <w:r>
              <w:rPr>
                <w:rFonts w:hint="eastAsia" w:ascii="Times New Roman" w:cs="Times New Roman"/>
                <w:i w:val="0"/>
                <w:iCs w:val="0"/>
                <w:color w:val="000000"/>
                <w:sz w:val="20"/>
                <w:szCs w:val="20"/>
                <w:u w:val="none"/>
                <w:lang w:val="en-US" w:eastAsia="zh-CN"/>
              </w:rPr>
              <w:t>完工时间</w:t>
            </w:r>
            <w:r>
              <w:rPr>
                <w:rFonts w:hint="default" w:ascii="Times New Roman" w:hAnsi="Times New Roman" w:eastAsia="仿宋" w:cs="Times New Roman"/>
                <w:i w:val="0"/>
                <w:iCs w:val="0"/>
                <w:color w:val="000000"/>
                <w:sz w:val="20"/>
                <w:szCs w:val="20"/>
                <w:u w:val="none"/>
              </w:rPr>
              <w:t>为2024年6月。</w:t>
            </w:r>
          </w:p>
        </w:tc>
      </w:tr>
      <w:tr w14:paraId="461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90969">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E5244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产出成本</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62343E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rPr>
              <w:t>成本控制率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796148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≤5%</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8C56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17.57%</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24CEFC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截至评价日，本项目共签订192份合同，合同签订总金额9</w:t>
            </w:r>
            <w:r>
              <w:rPr>
                <w:rFonts w:hint="eastAsia" w:ascii="Times New Roman" w:cs="Times New Roman"/>
                <w:i w:val="0"/>
                <w:iCs w:val="0"/>
                <w:color w:val="000000"/>
                <w:sz w:val="20"/>
                <w:szCs w:val="20"/>
                <w:u w:val="none"/>
                <w:lang w:val="en-US" w:eastAsia="zh-CN"/>
              </w:rPr>
              <w:t>,</w:t>
            </w:r>
            <w:r>
              <w:rPr>
                <w:rFonts w:hint="default" w:ascii="Times New Roman" w:hAnsi="Times New Roman" w:cs="Times New Roman"/>
                <w:i w:val="0"/>
                <w:iCs w:val="0"/>
                <w:color w:val="000000"/>
                <w:sz w:val="20"/>
                <w:szCs w:val="20"/>
                <w:u w:val="none"/>
                <w:lang w:val="en-US" w:eastAsia="zh-CN"/>
              </w:rPr>
              <w:t>101.71万元，占批复金额82.53%，成本节约率17.57%。</w:t>
            </w:r>
          </w:p>
        </w:tc>
      </w:tr>
      <w:tr w14:paraId="04C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4565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效益（30分</w:t>
            </w:r>
            <w:r>
              <w:rPr>
                <w:rFonts w:hint="default" w:ascii="Times New Roman" w:hAnsi="Times New Roman" w:cs="Times New Roman"/>
                <w:i w:val="0"/>
                <w:iCs w:val="0"/>
                <w:color w:val="000000"/>
                <w:kern w:val="0"/>
                <w:sz w:val="20"/>
                <w:szCs w:val="20"/>
                <w:u w:val="none"/>
                <w:lang w:val="en-US" w:eastAsia="zh-CN" w:bidi="ar"/>
              </w:rPr>
              <w:t>）</w:t>
            </w:r>
          </w:p>
        </w:tc>
        <w:tc>
          <w:tcPr>
            <w:tcW w:w="4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84FB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社会效益</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0423E1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val="en-US" w:eastAsia="zh-CN"/>
              </w:rPr>
              <w:t>平均网间时延</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67DBC9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减小</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192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减小</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2BF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cs="Times New Roman"/>
                <w:i w:val="0"/>
                <w:iCs w:val="0"/>
                <w:color w:val="000000"/>
                <w:sz w:val="20"/>
                <w:szCs w:val="20"/>
                <w:u w:val="none"/>
                <w:lang w:val="en-US" w:eastAsia="zh-CN"/>
              </w:rPr>
              <w:t>项目于2023年6月完成了主体建设并进入运行，运行期间，网间互访时延由开通前的31.75ms下降至2.94ms，三家运营商的网间互访的时延下降91%，丢包率趋于0，达到了预期的目标。</w:t>
            </w:r>
          </w:p>
        </w:tc>
      </w:tr>
      <w:tr w14:paraId="3C2E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4A52D">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AFEDB">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5EC22F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val="en-US" w:eastAsia="zh-CN"/>
              </w:rPr>
              <w:t>云南网间入流量峰值速率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5C8CEC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增长</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FB0E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增长</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4C8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根据《云南省互联网发展报告（2024）》，昆明国家级互联网骨干直联点建设完成，玉溪市、文山壮族苗族自治州入选国家千兆城市，互联网省际出口带宽达到33.3T；移动通信基站达到42.4万个，5G基站持续高速增长；IPv6规模化部署持续深入推进，移动网IPv6流量占比63.9%；备案网站66064个，同比增长39.2%；网民规模达到3289.1万人，互联网普及率首次超过70%，达到70.4%；宽带接入速率持续提升，1000M以上宽带用户超过20%；移动电话普及率110.4部/百人，5G用户首次超过4G用户，达到2396.9万户，同比增长47.2%；移动互联网月户均流量22.5G，移动流量平均资费持续降低；网民每日平均使用移动终端85次，人均单日使用时长395分钟；入选全国数字化转型贯标首批试点省份。</w:t>
            </w:r>
          </w:p>
          <w:p w14:paraId="652277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根据访谈和相关项目材料，本项目未出现因本项目的实施导致的有责投诉</w:t>
            </w:r>
          </w:p>
        </w:tc>
      </w:tr>
      <w:tr w14:paraId="685B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88CF1">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2D84E">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1B4785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val="en-US" w:eastAsia="zh-CN"/>
              </w:rPr>
              <w:t>有责投诉事件发生数</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529C8C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6FF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0</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3E9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根据访谈和相关项目材料，本项目未出现因本项目的实施导致的有责投诉</w:t>
            </w:r>
            <w:r>
              <w:rPr>
                <w:rFonts w:hint="eastAsia" w:ascii="Times New Roman" w:cs="Times New Roman"/>
                <w:i w:val="0"/>
                <w:iCs w:val="0"/>
                <w:color w:val="000000"/>
                <w:sz w:val="20"/>
                <w:szCs w:val="20"/>
                <w:u w:val="none"/>
                <w:lang w:val="en-US" w:eastAsia="zh-CN"/>
              </w:rPr>
              <w:t>。</w:t>
            </w:r>
          </w:p>
        </w:tc>
      </w:tr>
      <w:tr w14:paraId="32C9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2626D">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2DDF38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满意度</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7E3989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项目管理人员满意度</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223CD6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80%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106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71E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本次发放电子共回收有效问卷50份，经项目组统计计算，受益对象满意度为100%。</w:t>
            </w:r>
          </w:p>
        </w:tc>
      </w:tr>
    </w:tbl>
    <w:p w14:paraId="757D65FB">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55" w:name="_Toc8074"/>
      <w:r>
        <w:rPr>
          <w:rFonts w:hint="default" w:ascii="Times New Roman" w:hAnsi="Times New Roman" w:cs="Times New Roman"/>
          <w:lang w:val="en-US" w:eastAsia="zh-CN"/>
        </w:rPr>
        <w:t>四、绩效评价情况分析</w:t>
      </w:r>
      <w:bookmarkEnd w:id="55"/>
    </w:p>
    <w:p w14:paraId="11D6EA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bookmarkStart w:id="56" w:name="_Toc2767"/>
      <w:bookmarkStart w:id="57" w:name="_Toc14682"/>
      <w:r>
        <w:rPr>
          <w:rFonts w:hint="default" w:ascii="Times New Roman" w:hAnsi="Times New Roman" w:cs="Times New Roman"/>
          <w:kern w:val="2"/>
          <w:sz w:val="30"/>
          <w:szCs w:val="30"/>
          <w:lang w:val="en-US" w:eastAsia="zh-CN" w:bidi="ar-SA"/>
        </w:rPr>
        <w:t>池砾公司</w:t>
      </w:r>
      <w:r>
        <w:rPr>
          <w:rFonts w:hint="default" w:ascii="Times New Roman" w:hAnsi="Times New Roman" w:eastAsia="仿宋" w:cs="Times New Roman"/>
          <w:kern w:val="2"/>
          <w:sz w:val="30"/>
          <w:szCs w:val="30"/>
          <w:lang w:val="en-US" w:eastAsia="zh-CN" w:bidi="ar-SA"/>
        </w:rPr>
        <w:t>根据绩效管理基本原则，采用比较法、因素分析法、公众评议法等方法，按照《</w:t>
      </w:r>
      <w:r>
        <w:rPr>
          <w:rFonts w:hint="default" w:ascii="Times New Roman" w:hAnsi="Times New Roman" w:cs="Times New Roman"/>
          <w:kern w:val="2"/>
          <w:sz w:val="30"/>
          <w:szCs w:val="30"/>
          <w:lang w:val="en-US" w:eastAsia="zh-CN" w:bidi="ar-SA"/>
        </w:rPr>
        <w:t>2023年度第一批省级新型基础设施建设专项资金</w:t>
      </w:r>
      <w:r>
        <w:rPr>
          <w:rFonts w:hint="eastAsia" w:ascii="Times New Roman" w:cs="Times New Roman"/>
          <w:kern w:val="2"/>
          <w:sz w:val="30"/>
          <w:szCs w:val="30"/>
          <w:lang w:val="en-US" w:eastAsia="zh-CN" w:bidi="ar-SA"/>
        </w:rPr>
        <w:t>项目支出</w:t>
      </w:r>
      <w:r>
        <w:rPr>
          <w:rFonts w:hint="default" w:ascii="Times New Roman" w:hAnsi="Times New Roman" w:cs="Times New Roman"/>
          <w:kern w:val="2"/>
          <w:sz w:val="30"/>
          <w:szCs w:val="30"/>
          <w:lang w:val="en-US" w:eastAsia="zh-CN" w:bidi="ar-SA"/>
        </w:rPr>
        <w:t>绩效评价指标体系</w:t>
      </w:r>
      <w:r>
        <w:rPr>
          <w:rFonts w:hint="default" w:ascii="Times New Roman" w:hAnsi="Times New Roman" w:eastAsia="仿宋" w:cs="Times New Roman"/>
          <w:kern w:val="2"/>
          <w:sz w:val="30"/>
          <w:szCs w:val="30"/>
          <w:lang w:val="en-US" w:eastAsia="zh-CN" w:bidi="ar-SA"/>
        </w:rPr>
        <w:t>》，对</w:t>
      </w:r>
      <w:r>
        <w:rPr>
          <w:rFonts w:hint="default" w:ascii="Times New Roman" w:hAnsi="Times New Roman" w:cs="Times New Roman"/>
          <w:kern w:val="2"/>
          <w:sz w:val="30"/>
          <w:szCs w:val="30"/>
          <w:lang w:val="en-US" w:eastAsia="zh-CN" w:bidi="ar-SA"/>
        </w:rPr>
        <w:t>2023年度第一批省级新型基础设施建设专项资金项目</w:t>
      </w:r>
      <w:r>
        <w:rPr>
          <w:rFonts w:hint="default" w:ascii="Times New Roman" w:hAnsi="Times New Roman" w:eastAsia="仿宋" w:cs="Times New Roman"/>
          <w:kern w:val="2"/>
          <w:sz w:val="30"/>
          <w:szCs w:val="30"/>
          <w:lang w:val="en-US" w:eastAsia="zh-CN" w:bidi="ar-SA"/>
        </w:rPr>
        <w:t>的各项指标进行分析，具体内容如下：</w:t>
      </w:r>
      <w:bookmarkEnd w:id="56"/>
      <w:bookmarkEnd w:id="57"/>
    </w:p>
    <w:p w14:paraId="7A207F63">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58" w:name="_Toc5127"/>
      <w:r>
        <w:rPr>
          <w:rFonts w:hint="default" w:ascii="Times New Roman" w:hAnsi="Times New Roman" w:cs="Times New Roman"/>
        </w:rPr>
        <w:t>（一）</w:t>
      </w:r>
      <w:r>
        <w:rPr>
          <w:rFonts w:hint="default" w:ascii="Times New Roman" w:hAnsi="Times New Roman" w:cs="Times New Roman"/>
          <w:lang w:val="en-US" w:eastAsia="zh-CN"/>
        </w:rPr>
        <w:t>决策</w:t>
      </w:r>
      <w:r>
        <w:rPr>
          <w:rFonts w:hint="default" w:ascii="Times New Roman" w:hAnsi="Times New Roman" w:cs="Times New Roman"/>
        </w:rPr>
        <w:t>情况分析</w:t>
      </w:r>
      <w:bookmarkEnd w:id="58"/>
    </w:p>
    <w:p w14:paraId="460EA98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项目决策类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指标包括项目立项、绩效目标和资金投入三个方面，采用6个三级指标进行考察。权重分值15分，绩效评价得分</w:t>
      </w:r>
      <w:r>
        <w:rPr>
          <w:rFonts w:hint="default" w:ascii="Times New Roman" w:hAnsi="Times New Roman" w:cs="Times New Roman"/>
          <w:kern w:val="2"/>
          <w:sz w:val="30"/>
          <w:szCs w:val="30"/>
          <w:highlight w:val="none"/>
          <w:lang w:val="en-US" w:eastAsia="zh-CN" w:bidi="ar-SA"/>
        </w:rPr>
        <w:t>14</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93.33</w:t>
      </w:r>
      <w:r>
        <w:rPr>
          <w:rFonts w:hint="default" w:ascii="Times New Roman" w:hAnsi="Times New Roman" w:eastAsia="仿宋" w:cs="Times New Roman"/>
          <w:kern w:val="2"/>
          <w:sz w:val="30"/>
          <w:szCs w:val="30"/>
          <w:highlight w:val="none"/>
          <w:lang w:val="en-US" w:eastAsia="zh-CN" w:bidi="ar-SA"/>
        </w:rPr>
        <w:t>%。</w:t>
      </w:r>
    </w:p>
    <w:p w14:paraId="6491CE7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1.项目立项</w:t>
      </w:r>
    </w:p>
    <w:p w14:paraId="3653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（1）立项依据充分性</w:t>
      </w:r>
    </w:p>
    <w:p w14:paraId="5656F22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当前云南的互联网性能相对滞后，网间互联互通不畅，严重影响了传统产业的转型和战略性新兴产业的发展。</w:t>
      </w:r>
      <w:r>
        <w:rPr>
          <w:rFonts w:hint="eastAsia" w:ascii="Times New Roman" w:cs="Times New Roman"/>
          <w:kern w:val="2"/>
          <w:sz w:val="30"/>
          <w:szCs w:val="30"/>
          <w:lang w:val="en-US" w:eastAsia="zh-CN" w:bidi="ar-SA"/>
        </w:rPr>
        <w:t>为</w:t>
      </w:r>
      <w:r>
        <w:rPr>
          <w:rFonts w:hint="default" w:ascii="Times New Roman" w:hAnsi="Times New Roman" w:eastAsia="仿宋" w:cs="Times New Roman"/>
          <w:kern w:val="2"/>
          <w:sz w:val="30"/>
          <w:szCs w:val="30"/>
          <w:lang w:val="en-US" w:eastAsia="zh-CN" w:bidi="ar-SA"/>
        </w:rPr>
        <w:t>提升互联网基础设施水平，促进信息产业的快速发展</w:t>
      </w:r>
      <w:r>
        <w:rPr>
          <w:rFonts w:hint="eastAsia" w:asci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优化营商环境，推动区域经济高质量发展，确保云南在数字经济时代占据有利地位。因此，立项建设骨干直联点具有重要的现实意义和紧迫性。</w:t>
      </w:r>
    </w:p>
    <w:p w14:paraId="77A97CA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本项目</w:t>
      </w:r>
      <w:r>
        <w:rPr>
          <w:rFonts w:hint="default" w:ascii="Times New Roman" w:hAnsi="Times New Roman" w:cs="Times New Roman"/>
          <w:kern w:val="2"/>
          <w:sz w:val="30"/>
          <w:szCs w:val="30"/>
          <w:lang w:val="en-US" w:eastAsia="zh-CN" w:bidi="ar-SA"/>
        </w:rPr>
        <w:t>符合《昆明国家级互联网骨干直联点申报方案》要求</w:t>
      </w:r>
      <w:r>
        <w:rPr>
          <w:rFonts w:hint="default" w:ascii="Times New Roman" w:hAnsi="Times New Roman" w:eastAsia="仿宋" w:cs="Times New Roman"/>
          <w:kern w:val="2"/>
          <w:sz w:val="30"/>
          <w:szCs w:val="30"/>
          <w:lang w:val="en-US" w:eastAsia="zh-CN" w:bidi="ar-SA"/>
        </w:rPr>
        <w:t>，项目立项与国家政策方向一致，符合国家、省级、市级相关政策要求；项目立项</w:t>
      </w:r>
      <w:r>
        <w:rPr>
          <w:rFonts w:hint="default" w:ascii="Times New Roman" w:hAnsi="Times New Roman" w:cs="Times New Roman"/>
          <w:kern w:val="2"/>
          <w:sz w:val="30"/>
          <w:szCs w:val="30"/>
          <w:lang w:val="en-US" w:eastAsia="zh-CN" w:bidi="ar-SA"/>
        </w:rPr>
        <w:t>与</w:t>
      </w:r>
      <w:r>
        <w:rPr>
          <w:rFonts w:hint="eastAsia" w:ascii="Times New Roman" w:cs="Times New Roman"/>
          <w:szCs w:val="30"/>
          <w:highlight w:val="none"/>
          <w:lang w:val="en-US" w:eastAsia="zh-CN"/>
        </w:rPr>
        <w:t>区发改局</w:t>
      </w:r>
      <w:r>
        <w:rPr>
          <w:rFonts w:hint="default" w:ascii="Times New Roman" w:hAnsi="Times New Roman" w:eastAsia="仿宋" w:cs="Times New Roman"/>
          <w:kern w:val="2"/>
          <w:sz w:val="30"/>
          <w:szCs w:val="30"/>
          <w:lang w:val="en-US" w:eastAsia="zh-CN" w:bidi="ar-SA"/>
        </w:rPr>
        <w:t>职能职责相关；项目属于公共财政支持范围，符合中央、地方事权支出责任划分原则；与相关部门同类项目或部门内部相关项目不重复。</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w:t>
      </w:r>
    </w:p>
    <w:p w14:paraId="42ED03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（2）立项规范性</w:t>
      </w:r>
    </w:p>
    <w:p w14:paraId="5C09C1B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eastAsia" w:ascii="Times New Roman" w:cs="Times New Roman"/>
          <w:szCs w:val="30"/>
          <w:highlight w:val="none"/>
          <w:lang w:val="en-US" w:eastAsia="zh-CN"/>
        </w:rPr>
        <w:t>区发改局</w:t>
      </w:r>
      <w:r>
        <w:rPr>
          <w:rFonts w:hint="default" w:ascii="Times New Roman" w:hAnsi="Times New Roman" w:cs="Times New Roman"/>
          <w:kern w:val="2"/>
          <w:sz w:val="30"/>
          <w:szCs w:val="30"/>
          <w:lang w:val="en-US" w:eastAsia="zh-CN" w:bidi="ar-SA"/>
        </w:rPr>
        <w:t>在申报年初部门预算时，对项目进行了同步申报，并填报了项目立项申报表，项目按规定的程序申请设立，提交的文件、材料符合相关要求，项目立项程序规范。因此，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7F9E212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2.绩效目标</w:t>
      </w:r>
    </w:p>
    <w:p w14:paraId="660A21F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（1）绩效目标合理性</w:t>
      </w:r>
    </w:p>
    <w:p w14:paraId="6F86ADDB">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根据项目绩效目标申报表，绩效目标与实际工作内容相关，绩效指标涵盖产出数量、质量、时效及效益指标；项目预期产出效益和效果符合正常的业绩水平；目标与预算确定的项目投资额或资金量相匹配。</w:t>
      </w:r>
    </w:p>
    <w:p w14:paraId="45D4BFE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6D9EB1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（2）绩效目标明确性</w:t>
      </w:r>
    </w:p>
    <w:p w14:paraId="2BBF4979">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已将项目绩效目标细化分解为具体的绩效指标，绩效指标涵盖产出数量、质量、时效及效益指标</w:t>
      </w:r>
      <w:r>
        <w:rPr>
          <w:rFonts w:hint="default" w:ascii="Times New Roman" w:hAnsi="Times New Roman" w:cs="Times New Roman"/>
          <w:kern w:val="2"/>
          <w:sz w:val="30"/>
          <w:szCs w:val="30"/>
          <w:highlight w:val="none"/>
          <w:lang w:val="en-US" w:eastAsia="zh-CN" w:bidi="ar-SA"/>
        </w:rPr>
        <w:t>，但是个别指标编制不够准确，如时效指标中的“项目开工率”、“年度建设目标完成率”、“年度省级财政补助资金完成率”以及“年度省级财政补助资金支付率”为数量指标。“超规模、超标准、超概算项目”为成本指标；满意度指标中“审计、督查、巡视等指出问题数”并非满意度指标</w:t>
      </w:r>
      <w:r>
        <w:rPr>
          <w:rFonts w:hint="eastAsia" w:ascii="Times New Roman" w:cs="Times New Roman"/>
          <w:kern w:val="2"/>
          <w:sz w:val="30"/>
          <w:szCs w:val="30"/>
          <w:highlight w:val="none"/>
          <w:lang w:val="en-US" w:eastAsia="zh-CN" w:bidi="ar-SA"/>
        </w:rPr>
        <w:t>，指标归类错误</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指标分值3分，评价得分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491ECBA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3.资金投入</w:t>
      </w:r>
    </w:p>
    <w:p w14:paraId="4F42263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（1）预算编制科学性</w:t>
      </w:r>
    </w:p>
    <w:p w14:paraId="4E3A2EF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本项目预算由</w:t>
      </w:r>
      <w:r>
        <w:rPr>
          <w:rFonts w:hint="default" w:ascii="Times New Roman" w:hAnsi="Times New Roman" w:cs="Times New Roman"/>
          <w:kern w:val="2"/>
          <w:sz w:val="30"/>
          <w:szCs w:val="30"/>
          <w:highlight w:val="none"/>
          <w:lang w:val="en-US" w:eastAsia="zh-CN" w:bidi="ar-SA"/>
        </w:rPr>
        <w:t>项目实施单位委托广东省电信规划设计院有限公司编辑可研报告，后经工业和信息化部通信科学技术委员会召开专家评审会进行商议。2022年11月，云南省通信管理局正式批复，“《昆明国家级互联网骨干直联点项目（移动部分）可行性研究报告》符合《昆明国家级互联网骨干直联点申报方案》技术要求，请据此抓紧开展后续工作。”本项目预算金额及内容经过专家科学论证，预算测算依据充分，因此，</w:t>
      </w:r>
      <w:r>
        <w:rPr>
          <w:rFonts w:hint="default" w:ascii="Times New Roman" w:hAnsi="Times New Roman" w:eastAsia="仿宋" w:cs="Times New Roman"/>
          <w:kern w:val="2"/>
          <w:sz w:val="30"/>
          <w:szCs w:val="30"/>
          <w:highlight w:val="none"/>
          <w:lang w:val="en-US" w:eastAsia="zh-CN" w:bidi="ar-SA"/>
        </w:rPr>
        <w:t>指标分值3分，评价得分</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42B7DB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（2）资金分配合理性</w:t>
      </w:r>
    </w:p>
    <w:p w14:paraId="512A9246">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w:t>
      </w:r>
      <w:r>
        <w:rPr>
          <w:rFonts w:hint="default" w:ascii="Times New Roman" w:hAnsi="Times New Roman" w:cs="Times New Roman"/>
          <w:kern w:val="2"/>
          <w:sz w:val="30"/>
          <w:szCs w:val="30"/>
          <w:highlight w:val="none"/>
          <w:lang w:val="en-US" w:eastAsia="zh-CN" w:bidi="ar-SA"/>
        </w:rPr>
        <w:t>评估单位提供的报告以及实际支出名单</w:t>
      </w:r>
      <w:r>
        <w:rPr>
          <w:rFonts w:hint="default" w:ascii="Times New Roman" w:hAnsi="Times New Roman" w:eastAsia="仿宋" w:cs="Times New Roman"/>
          <w:kern w:val="2"/>
          <w:sz w:val="30"/>
          <w:szCs w:val="30"/>
          <w:highlight w:val="none"/>
          <w:lang w:val="en-US" w:eastAsia="zh-CN" w:bidi="ar-SA"/>
        </w:rPr>
        <w:t>等文件，本项目预算资金分配依据充分；资金分配额度合理，与项目单位</w:t>
      </w:r>
      <w:r>
        <w:rPr>
          <w:rFonts w:hint="default" w:ascii="Times New Roman" w:hAnsi="Times New Roman" w:cs="Times New Roman"/>
          <w:kern w:val="2"/>
          <w:sz w:val="30"/>
          <w:szCs w:val="30"/>
          <w:highlight w:val="none"/>
          <w:lang w:val="en-US" w:eastAsia="zh-CN" w:bidi="ar-SA"/>
        </w:rPr>
        <w:t>和</w:t>
      </w:r>
      <w:r>
        <w:rPr>
          <w:rFonts w:hint="default" w:ascii="Times New Roman" w:hAnsi="Times New Roman" w:eastAsia="仿宋" w:cs="Times New Roman"/>
          <w:kern w:val="2"/>
          <w:sz w:val="30"/>
          <w:szCs w:val="30"/>
          <w:highlight w:val="none"/>
          <w:lang w:val="en-US" w:eastAsia="zh-CN" w:bidi="ar-SA"/>
        </w:rPr>
        <w:t>地方实际相适应。</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0B284699">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59" w:name="_Toc14196"/>
      <w:r>
        <w:rPr>
          <w:rFonts w:hint="default" w:ascii="Times New Roman" w:hAnsi="Times New Roman" w:cs="Times New Roman"/>
        </w:rPr>
        <w:t>（二）过程情况分析</w:t>
      </w:r>
      <w:bookmarkEnd w:id="59"/>
    </w:p>
    <w:p w14:paraId="3A000D3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项目过程类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指标，包括资金管理和组织实施两个方面，采用</w:t>
      </w:r>
      <w:r>
        <w:rPr>
          <w:rFonts w:hint="default" w:ascii="Times New Roman" w:hAnsi="Times New Roman" w:cs="Times New Roman"/>
          <w:kern w:val="2"/>
          <w:sz w:val="30"/>
          <w:szCs w:val="30"/>
          <w:lang w:val="en-US" w:eastAsia="zh-CN" w:bidi="ar-SA"/>
        </w:rPr>
        <w:t>6</w:t>
      </w:r>
      <w:r>
        <w:rPr>
          <w:rFonts w:hint="default" w:ascii="Times New Roman" w:hAnsi="Times New Roman" w:eastAsia="仿宋" w:cs="Times New Roman"/>
          <w:kern w:val="2"/>
          <w:sz w:val="30"/>
          <w:szCs w:val="30"/>
          <w:lang w:val="en-US" w:eastAsia="zh-CN" w:bidi="ar-SA"/>
        </w:rPr>
        <w:t>个三级指标进行考察。权重分值20分，绩效评价得分</w:t>
      </w:r>
      <w:r>
        <w:rPr>
          <w:rFonts w:hint="eastAsia" w:ascii="Times New Roman" w:cs="Times New Roman"/>
          <w:kern w:val="2"/>
          <w:sz w:val="30"/>
          <w:szCs w:val="30"/>
          <w:lang w:val="en-US" w:eastAsia="zh-CN" w:bidi="ar-SA"/>
        </w:rPr>
        <w:t>19.09</w:t>
      </w:r>
      <w:r>
        <w:rPr>
          <w:rFonts w:hint="default" w:ascii="Times New Roman" w:hAnsi="Times New Roman" w:eastAsia="仿宋" w:cs="Times New Roman"/>
          <w:kern w:val="2"/>
          <w:sz w:val="30"/>
          <w:szCs w:val="30"/>
          <w:lang w:val="en-US" w:eastAsia="zh-CN" w:bidi="ar-SA"/>
        </w:rPr>
        <w:t>分，得分率为</w:t>
      </w:r>
      <w:r>
        <w:rPr>
          <w:rFonts w:hint="eastAsia" w:ascii="Times New Roman" w:cs="Times New Roman"/>
          <w:kern w:val="2"/>
          <w:sz w:val="30"/>
          <w:szCs w:val="30"/>
          <w:lang w:val="en-US" w:eastAsia="zh-CN" w:bidi="ar-SA"/>
        </w:rPr>
        <w:t>95.45</w:t>
      </w:r>
      <w:r>
        <w:rPr>
          <w:rFonts w:hint="default" w:ascii="Times New Roman" w:hAnsi="Times New Roman" w:eastAsia="仿宋" w:cs="Times New Roman"/>
          <w:kern w:val="2"/>
          <w:sz w:val="30"/>
          <w:szCs w:val="30"/>
          <w:lang w:val="en-US" w:eastAsia="zh-CN" w:bidi="ar-SA"/>
        </w:rPr>
        <w:t>%。</w:t>
      </w:r>
    </w:p>
    <w:p w14:paraId="2804194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1.资金管理</w:t>
      </w:r>
    </w:p>
    <w:p w14:paraId="7D9FF13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（1）资金到位率</w:t>
      </w:r>
    </w:p>
    <w:p w14:paraId="7136D31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b w:val="0"/>
          <w:bCs w:val="0"/>
          <w:lang w:val="en-US" w:eastAsia="zh-CN"/>
        </w:rPr>
        <w:t>本项目共</w:t>
      </w:r>
      <w:r>
        <w:rPr>
          <w:rFonts w:hint="eastAsia" w:ascii="Times New Roman" w:cs="Times New Roman"/>
          <w:b w:val="0"/>
          <w:bCs w:val="0"/>
          <w:lang w:val="en-US" w:eastAsia="zh-CN"/>
        </w:rPr>
        <w:t>到位资金7,901.32万元，到位率71.64%，其中，财政资金到位</w:t>
      </w:r>
      <w:r>
        <w:rPr>
          <w:rFonts w:hint="default" w:ascii="Times New Roman" w:hAnsi="Times New Roman" w:cs="Times New Roman"/>
          <w:b w:val="0"/>
          <w:bCs w:val="0"/>
          <w:lang w:val="en-US" w:eastAsia="zh-CN"/>
        </w:rPr>
        <w:t>5</w:t>
      </w:r>
      <w:r>
        <w:rPr>
          <w:rFonts w:hint="eastAsia" w:ascii="Times New Roman" w:cs="Times New Roman"/>
          <w:b w:val="0"/>
          <w:bCs w:val="0"/>
          <w:lang w:val="en-US" w:eastAsia="zh-CN"/>
        </w:rPr>
        <w:t>,</w:t>
      </w:r>
      <w:r>
        <w:rPr>
          <w:rFonts w:hint="default" w:ascii="Times New Roman" w:hAnsi="Times New Roman" w:cs="Times New Roman"/>
          <w:b w:val="0"/>
          <w:bCs w:val="0"/>
          <w:lang w:val="en-US" w:eastAsia="zh-CN"/>
        </w:rPr>
        <w:t>920万元，</w:t>
      </w:r>
      <w:r>
        <w:rPr>
          <w:rFonts w:hint="eastAsia" w:ascii="Times New Roman" w:cs="Times New Roman"/>
          <w:b w:val="0"/>
          <w:bCs w:val="0"/>
          <w:lang w:val="en-US" w:eastAsia="zh-CN"/>
        </w:rPr>
        <w:t>自有资金到位</w:t>
      </w:r>
      <w:r>
        <w:rPr>
          <w:rFonts w:hint="default" w:ascii="Times New Roman" w:hAnsi="Times New Roman" w:cs="Times New Roman"/>
          <w:szCs w:val="30"/>
          <w:highlight w:val="none"/>
          <w:lang w:val="en-US" w:eastAsia="zh-CN"/>
        </w:rPr>
        <w:t>1</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981.32万元</w:t>
      </w:r>
      <w:r>
        <w:rPr>
          <w:rFonts w:hint="default" w:ascii="Times New Roman" w:hAnsi="Times New Roman" w:cs="Times New Roman"/>
          <w:b w:val="0"/>
          <w:bCs w:val="0"/>
          <w:lang w:val="en-US" w:eastAsia="zh-CN"/>
        </w:rPr>
        <w:t>。</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指标分值3分，评价得分</w:t>
      </w:r>
      <w:r>
        <w:rPr>
          <w:rFonts w:hint="eastAsia" w:ascii="Times New Roman" w:cs="Times New Roman"/>
          <w:kern w:val="2"/>
          <w:sz w:val="30"/>
          <w:szCs w:val="30"/>
          <w:lang w:val="en-US" w:eastAsia="zh-CN" w:bidi="ar-SA"/>
        </w:rPr>
        <w:t>2.15</w:t>
      </w:r>
      <w:r>
        <w:rPr>
          <w:rFonts w:hint="default" w:ascii="Times New Roman" w:hAnsi="Times New Roman" w:eastAsia="仿宋" w:cs="Times New Roman"/>
          <w:kern w:val="2"/>
          <w:sz w:val="30"/>
          <w:szCs w:val="30"/>
          <w:lang w:val="en-US" w:eastAsia="zh-CN" w:bidi="ar-SA"/>
        </w:rPr>
        <w:t>分。</w:t>
      </w:r>
    </w:p>
    <w:p w14:paraId="17FA247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（2）预算执行率</w:t>
      </w:r>
    </w:p>
    <w:p w14:paraId="778FE2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30"/>
          <w:sz w:val="30"/>
          <w:szCs w:val="30"/>
          <w:highlight w:val="none"/>
          <w:lang w:val="en-US" w:eastAsia="zh-CN" w:bidi="ar-SA"/>
        </w:rPr>
        <w:t>本项目共签订192份合同，合同签订总金额9</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101.71万元，共支付7</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731.54万元，支付率达到85%。</w:t>
      </w:r>
      <w:r>
        <w:rPr>
          <w:rFonts w:hint="eastAsia" w:ascii="Times New Roman" w:cs="Times New Roman"/>
          <w:kern w:val="30"/>
          <w:sz w:val="30"/>
          <w:szCs w:val="30"/>
          <w:highlight w:val="none"/>
          <w:lang w:val="en-US" w:eastAsia="zh-CN" w:bidi="ar-SA"/>
        </w:rPr>
        <w:t>其中，财政资金使用了5,920万元，项目实施单位垫资1,811.54万元，预算执行率97.85%</w:t>
      </w:r>
      <w:r>
        <w:rPr>
          <w:rFonts w:hint="default" w:ascii="Times New Roman" w:hAnsi="Times New Roman" w:eastAsia="仿宋" w:cs="Times New Roman"/>
          <w:b w:val="0"/>
          <w:bCs w:val="0"/>
          <w:kern w:val="2"/>
          <w:sz w:val="30"/>
          <w:szCs w:val="30"/>
          <w:lang w:val="en-US" w:eastAsia="zh-CN" w:bidi="ar-SA"/>
        </w:rPr>
        <w:t>。</w:t>
      </w:r>
      <w:r>
        <w:rPr>
          <w:rFonts w:hint="default" w:ascii="Times New Roman" w:hAnsi="Times New Roman" w:cs="Times New Roman"/>
          <w:b w:val="0"/>
          <w:bCs w:val="0"/>
          <w:kern w:val="2"/>
          <w:sz w:val="30"/>
          <w:szCs w:val="30"/>
          <w:lang w:val="en-US" w:eastAsia="zh-CN" w:bidi="ar-SA"/>
        </w:rPr>
        <w:t>因</w:t>
      </w:r>
      <w:r>
        <w:rPr>
          <w:rFonts w:hint="default" w:ascii="Times New Roman" w:hAnsi="Times New Roman" w:cs="Times New Roman"/>
          <w:kern w:val="2"/>
          <w:sz w:val="30"/>
          <w:szCs w:val="30"/>
          <w:lang w:val="en-US" w:eastAsia="zh-CN" w:bidi="ar-SA"/>
        </w:rPr>
        <w:t>此，</w:t>
      </w:r>
      <w:r>
        <w:rPr>
          <w:rFonts w:hint="default" w:ascii="Times New Roman" w:hAnsi="Times New Roman" w:eastAsia="仿宋" w:cs="Times New Roman"/>
          <w:kern w:val="2"/>
          <w:sz w:val="30"/>
          <w:szCs w:val="30"/>
          <w:lang w:val="en-US" w:eastAsia="zh-CN" w:bidi="ar-SA"/>
        </w:rPr>
        <w:t>指标分值3分，评价得分</w:t>
      </w:r>
      <w:r>
        <w:rPr>
          <w:rFonts w:hint="eastAsia" w:ascii="Times New Roman" w:cs="Times New Roman"/>
          <w:kern w:val="2"/>
          <w:sz w:val="30"/>
          <w:szCs w:val="30"/>
          <w:lang w:val="en-US" w:eastAsia="zh-CN" w:bidi="ar-SA"/>
        </w:rPr>
        <w:t>2.94</w:t>
      </w:r>
      <w:r>
        <w:rPr>
          <w:rFonts w:hint="default" w:ascii="Times New Roman" w:hAnsi="Times New Roman" w:eastAsia="仿宋" w:cs="Times New Roman"/>
          <w:kern w:val="2"/>
          <w:sz w:val="30"/>
          <w:szCs w:val="30"/>
          <w:lang w:val="en-US" w:eastAsia="zh-CN" w:bidi="ar-SA"/>
        </w:rPr>
        <w:t>分。</w:t>
      </w:r>
    </w:p>
    <w:p w14:paraId="5F4FEBD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（3）资金使用合规性</w:t>
      </w:r>
    </w:p>
    <w:p w14:paraId="70BB319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经项目组现场评价，并查阅项目相关费用支出凭证，</w:t>
      </w:r>
      <w:r>
        <w:rPr>
          <w:rFonts w:hint="default" w:ascii="Times New Roman" w:hAnsi="Times New Roman" w:cs="Times New Roman"/>
          <w:kern w:val="2"/>
          <w:sz w:val="30"/>
          <w:szCs w:val="30"/>
          <w:highlight w:val="none"/>
          <w:lang w:val="en-US" w:eastAsia="zh-CN" w:bidi="ar-SA"/>
        </w:rPr>
        <w:t>本</w:t>
      </w:r>
      <w:r>
        <w:rPr>
          <w:rFonts w:hint="default" w:ascii="Times New Roman" w:hAnsi="Times New Roman" w:cs="Times New Roman"/>
          <w:highlight w:val="none"/>
          <w:lang w:val="en-US" w:eastAsia="zh-CN"/>
        </w:rPr>
        <w:t>项目</w:t>
      </w:r>
      <w:r>
        <w:rPr>
          <w:rFonts w:hint="default" w:ascii="Times New Roman" w:hAnsi="Times New Roman" w:eastAsia="仿宋" w:cs="Times New Roman"/>
          <w:kern w:val="2"/>
          <w:sz w:val="30"/>
          <w:szCs w:val="30"/>
          <w:highlight w:val="none"/>
          <w:lang w:val="en-US" w:eastAsia="zh-CN" w:bidi="ar-SA"/>
        </w:rPr>
        <w:t>资金使用符合专项资金管理办法的规定，未发现存在截留、挤占、挪用、虚列支出等情况。</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3E2A60B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2.组织实施</w:t>
      </w:r>
    </w:p>
    <w:p w14:paraId="3D8CB89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（1）管理制度健全性</w:t>
      </w:r>
    </w:p>
    <w:p w14:paraId="04BFFA4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本项目按照</w:t>
      </w:r>
      <w:r>
        <w:rPr>
          <w:rFonts w:hint="default" w:ascii="Times New Roman" w:hAnsi="Times New Roman" w:cs="Times New Roman"/>
          <w:szCs w:val="30"/>
          <w:highlight w:val="none"/>
          <w:lang w:val="en-US" w:eastAsia="zh-CN"/>
        </w:rPr>
        <w:t>《中国移动通信集团云南有限公司采购实施管理办法》《中国移动通信集团云南有限公司通信工程建设管理办法》《中国移动通信集团云南有限公司固定资产投资项目决策与审批管理办法》</w:t>
      </w:r>
      <w:r>
        <w:rPr>
          <w:rFonts w:hint="eastAsia" w:ascii="Times New Roman" w:cs="Times New Roman"/>
          <w:kern w:val="2"/>
          <w:sz w:val="30"/>
          <w:szCs w:val="30"/>
          <w:highlight w:val="none"/>
          <w:lang w:val="en-US" w:eastAsia="zh-CN" w:bidi="ar-SA"/>
        </w:rPr>
        <w:t>进行</w:t>
      </w:r>
      <w:r>
        <w:rPr>
          <w:rFonts w:hint="default" w:ascii="Times New Roman" w:hAnsi="Times New Roman" w:eastAsia="仿宋" w:cs="Times New Roman"/>
          <w:kern w:val="2"/>
          <w:sz w:val="30"/>
          <w:szCs w:val="30"/>
          <w:highlight w:val="none"/>
          <w:lang w:val="en-US" w:eastAsia="zh-CN" w:bidi="ar-SA"/>
        </w:rPr>
        <w:t>管理，项目管理制度健全，职责分工明确</w:t>
      </w:r>
      <w:r>
        <w:rPr>
          <w:rFonts w:hint="default" w:ascii="Times New Roman" w:hAnsi="Times New Roman" w:cs="Times New Roman"/>
          <w:szCs w:val="30"/>
          <w:highlight w:val="none"/>
          <w:lang w:val="en-US" w:eastAsia="zh-CN"/>
        </w:rPr>
        <w:t>。</w:t>
      </w:r>
      <w:r>
        <w:rPr>
          <w:rFonts w:hint="default" w:ascii="Times New Roman" w:hAnsi="Times New Roman" w:eastAsia="仿宋" w:cs="Times New Roman"/>
          <w:kern w:val="2"/>
          <w:sz w:val="30"/>
          <w:szCs w:val="30"/>
          <w:highlight w:val="none"/>
          <w:lang w:val="en-US" w:eastAsia="zh-CN" w:bidi="ar-SA"/>
        </w:rPr>
        <w:t>因此，指标分值</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w:t>
      </w:r>
    </w:p>
    <w:p w14:paraId="4DEADA5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（2）绩效自评工作开展情况</w:t>
      </w:r>
    </w:p>
    <w:p w14:paraId="2FEF8A15">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eastAsia" w:ascii="Times New Roman" w:cs="Times New Roman"/>
          <w:szCs w:val="30"/>
          <w:highlight w:val="none"/>
          <w:lang w:val="en-US" w:eastAsia="zh-CN"/>
        </w:rPr>
        <w:t>区发改局</w:t>
      </w:r>
      <w:r>
        <w:rPr>
          <w:rFonts w:hint="default" w:ascii="Times New Roman" w:hAnsi="Times New Roman" w:cs="Times New Roman"/>
          <w:kern w:val="2"/>
          <w:sz w:val="30"/>
          <w:szCs w:val="30"/>
          <w:highlight w:val="none"/>
          <w:lang w:val="en-US" w:eastAsia="zh-CN" w:bidi="ar-SA"/>
        </w:rPr>
        <w:t>根据绩效工作要求完成绩效自评工作，包含自评价工作以及自评报告。</w:t>
      </w:r>
      <w:r>
        <w:rPr>
          <w:rFonts w:hint="default" w:ascii="Times New Roman" w:hAnsi="Times New Roman" w:eastAsia="仿宋" w:cs="Times New Roman"/>
          <w:kern w:val="2"/>
          <w:sz w:val="30"/>
          <w:szCs w:val="30"/>
          <w:highlight w:val="none"/>
          <w:lang w:val="en-US" w:eastAsia="zh-CN" w:bidi="ar-SA"/>
        </w:rPr>
        <w:t>因此，指标分值</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1FC54EE0">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）制度执行有效性</w:t>
      </w:r>
    </w:p>
    <w:p w14:paraId="7EA44845">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szCs w:val="30"/>
          <w:highlight w:val="none"/>
          <w:lang w:val="en-US" w:eastAsia="zh-CN"/>
        </w:rPr>
        <w:t>根据项目需求，项目实施单位按照内部采购管理要求选定的项目实施方。经核实，本项目的采购选取方式符合《中华人民共和国政府采购法》及相关法规要求。</w:t>
      </w:r>
      <w:r>
        <w:rPr>
          <w:rFonts w:hint="default" w:ascii="Times New Roman" w:hAnsi="Times New Roman" w:eastAsia="仿宋" w:cs="Times New Roman"/>
          <w:kern w:val="2"/>
          <w:sz w:val="30"/>
          <w:szCs w:val="30"/>
          <w:highlight w:val="none"/>
          <w:lang w:val="en-US" w:eastAsia="zh-CN" w:bidi="ar-SA"/>
        </w:rPr>
        <w:t>因此，指标分值</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w:t>
      </w:r>
    </w:p>
    <w:p w14:paraId="1E0BF95F">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60" w:name="_Toc17139"/>
      <w:r>
        <w:rPr>
          <w:rFonts w:hint="default" w:ascii="Times New Roman" w:hAnsi="Times New Roman" w:cs="Times New Roman"/>
        </w:rPr>
        <w:t>（三）产出情况分析</w:t>
      </w:r>
      <w:bookmarkEnd w:id="60"/>
    </w:p>
    <w:p w14:paraId="79AFCDBA">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项目产出类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指标，包括产出数量、产出质量、产出时效、产出成本四个方面，采用</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个三级指标进行考察。权重分值35分，绩效评价得分</w:t>
      </w:r>
      <w:r>
        <w:rPr>
          <w:rFonts w:hint="default" w:ascii="Times New Roman" w:hAnsi="Times New Roman" w:cs="Times New Roman"/>
          <w:kern w:val="2"/>
          <w:sz w:val="30"/>
          <w:szCs w:val="30"/>
          <w:highlight w:val="none"/>
          <w:lang w:val="en-US" w:eastAsia="zh-CN" w:bidi="ar-SA"/>
        </w:rPr>
        <w:t>29</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82.86</w:t>
      </w:r>
      <w:r>
        <w:rPr>
          <w:rFonts w:hint="default" w:ascii="Times New Roman" w:hAnsi="Times New Roman" w:eastAsia="仿宋" w:cs="Times New Roman"/>
          <w:kern w:val="2"/>
          <w:sz w:val="30"/>
          <w:szCs w:val="30"/>
          <w:highlight w:val="none"/>
          <w:lang w:val="en-US" w:eastAsia="zh-CN" w:bidi="ar-SA"/>
        </w:rPr>
        <w:t>%。</w:t>
      </w:r>
    </w:p>
    <w:p w14:paraId="3F1F779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1.产出数量</w:t>
      </w:r>
    </w:p>
    <w:p w14:paraId="676B2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（1）项目施工内容完成情况</w:t>
      </w:r>
    </w:p>
    <w:p w14:paraId="440DA364">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b w:val="0"/>
          <w:bCs w:val="0"/>
          <w:kern w:val="2"/>
          <w:sz w:val="30"/>
          <w:szCs w:val="30"/>
          <w:highlight w:val="none"/>
          <w:lang w:val="en-US" w:eastAsia="zh-CN" w:bidi="ar-SA"/>
        </w:rPr>
      </w:pPr>
      <w:r>
        <w:rPr>
          <w:rFonts w:hint="default" w:ascii="Times New Roman" w:hAnsi="Times New Roman" w:cs="Times New Roman"/>
          <w:b w:val="0"/>
          <w:bCs w:val="0"/>
          <w:kern w:val="2"/>
          <w:sz w:val="30"/>
          <w:szCs w:val="30"/>
          <w:highlight w:val="none"/>
          <w:lang w:val="en-US" w:eastAsia="zh-CN" w:bidi="ar-SA"/>
        </w:rPr>
        <w:t>根据项目实施单位提供的材料，截至评价日，20个子项目中有5个项目已经完成竣工验收工作，7个项目已经完工，6个项目处于上线测试阶段，3个项目仍在施工中。</w:t>
      </w:r>
      <w:r>
        <w:rPr>
          <w:rFonts w:hint="default" w:ascii="Times New Roman" w:hAnsi="Times New Roman" w:eastAsia="仿宋" w:cs="Times New Roman"/>
          <w:b w:val="0"/>
          <w:bCs w:val="0"/>
          <w:kern w:val="2"/>
          <w:sz w:val="30"/>
          <w:szCs w:val="30"/>
          <w:highlight w:val="none"/>
          <w:lang w:val="en-US" w:eastAsia="zh-CN" w:bidi="ar-SA"/>
        </w:rPr>
        <w:t>因此，指标分值</w:t>
      </w:r>
      <w:r>
        <w:rPr>
          <w:rFonts w:hint="default" w:ascii="Times New Roman" w:hAnsi="Times New Roman" w:cs="Times New Roman"/>
          <w:b w:val="0"/>
          <w:bCs w:val="0"/>
          <w:kern w:val="2"/>
          <w:sz w:val="30"/>
          <w:szCs w:val="30"/>
          <w:highlight w:val="none"/>
          <w:lang w:val="en-US" w:eastAsia="zh-CN" w:bidi="ar-SA"/>
        </w:rPr>
        <w:t>10</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7</w:t>
      </w:r>
      <w:r>
        <w:rPr>
          <w:rFonts w:hint="default" w:ascii="Times New Roman" w:hAnsi="Times New Roman" w:eastAsia="仿宋" w:cs="Times New Roman"/>
          <w:b w:val="0"/>
          <w:bCs w:val="0"/>
          <w:kern w:val="2"/>
          <w:sz w:val="30"/>
          <w:szCs w:val="30"/>
          <w:highlight w:val="none"/>
          <w:lang w:val="en-US" w:eastAsia="zh-CN" w:bidi="ar-SA"/>
        </w:rPr>
        <w:t>分。</w:t>
      </w:r>
    </w:p>
    <w:p w14:paraId="4A16B0B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2.产出质量</w:t>
      </w:r>
    </w:p>
    <w:p w14:paraId="2609320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（1）项目验收合格率</w:t>
      </w:r>
    </w:p>
    <w:p w14:paraId="1FDC2B4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b w:val="0"/>
          <w:bCs w:val="0"/>
          <w:kern w:val="2"/>
          <w:sz w:val="30"/>
          <w:szCs w:val="30"/>
          <w:highlight w:val="none"/>
          <w:lang w:val="en-US" w:eastAsia="zh-CN" w:bidi="ar-SA"/>
        </w:rPr>
        <w:t>根据项目实施单位提供的材料，本项目</w:t>
      </w:r>
      <w:r>
        <w:rPr>
          <w:rFonts w:hint="eastAsia" w:ascii="Times New Roman" w:cs="Times New Roman"/>
          <w:b w:val="0"/>
          <w:bCs w:val="0"/>
          <w:kern w:val="2"/>
          <w:sz w:val="30"/>
          <w:szCs w:val="30"/>
          <w:highlight w:val="none"/>
          <w:lang w:val="en-US" w:eastAsia="zh-CN" w:bidi="ar-SA"/>
        </w:rPr>
        <w:t>不同阶段工作</w:t>
      </w:r>
      <w:r>
        <w:rPr>
          <w:rFonts w:hint="default" w:ascii="Times New Roman" w:hAnsi="Times New Roman" w:cs="Times New Roman"/>
          <w:b w:val="0"/>
          <w:bCs w:val="0"/>
          <w:kern w:val="2"/>
          <w:sz w:val="30"/>
          <w:szCs w:val="30"/>
          <w:highlight w:val="none"/>
          <w:lang w:val="en-US" w:eastAsia="zh-CN" w:bidi="ar-SA"/>
        </w:rPr>
        <w:t>均一次性通过验收。</w:t>
      </w:r>
      <w:r>
        <w:rPr>
          <w:rFonts w:hint="default" w:ascii="Times New Roman" w:hAnsi="Times New Roman" w:eastAsia="仿宋" w:cs="Times New Roman"/>
          <w:b w:val="0"/>
          <w:bCs w:val="0"/>
          <w:kern w:val="2"/>
          <w:sz w:val="30"/>
          <w:szCs w:val="30"/>
          <w:lang w:val="en-US" w:eastAsia="zh-CN" w:bidi="ar-SA"/>
        </w:rPr>
        <w:t>因此，指标分值</w:t>
      </w:r>
      <w:r>
        <w:rPr>
          <w:rFonts w:hint="default" w:ascii="Times New Roman" w:hAnsi="Times New Roman" w:cs="Times New Roman"/>
          <w:b w:val="0"/>
          <w:bCs w:val="0"/>
          <w:kern w:val="2"/>
          <w:sz w:val="30"/>
          <w:szCs w:val="30"/>
          <w:lang w:val="en-US" w:eastAsia="zh-CN" w:bidi="ar-SA"/>
        </w:rPr>
        <w:t>8</w:t>
      </w:r>
      <w:r>
        <w:rPr>
          <w:rFonts w:hint="default" w:ascii="Times New Roman" w:hAnsi="Times New Roman" w:eastAsia="仿宋" w:cs="Times New Roman"/>
          <w:b w:val="0"/>
          <w:bCs w:val="0"/>
          <w:kern w:val="2"/>
          <w:sz w:val="30"/>
          <w:szCs w:val="30"/>
          <w:lang w:val="en-US" w:eastAsia="zh-CN" w:bidi="ar-SA"/>
        </w:rPr>
        <w:t>分，评价得分</w:t>
      </w:r>
      <w:r>
        <w:rPr>
          <w:rFonts w:hint="default" w:ascii="Times New Roman" w:hAnsi="Times New Roman" w:cs="Times New Roman"/>
          <w:b w:val="0"/>
          <w:bCs w:val="0"/>
          <w:kern w:val="2"/>
          <w:sz w:val="30"/>
          <w:szCs w:val="30"/>
          <w:lang w:val="en-US" w:eastAsia="zh-CN" w:bidi="ar-SA"/>
        </w:rPr>
        <w:t>8</w:t>
      </w:r>
      <w:r>
        <w:rPr>
          <w:rFonts w:hint="default" w:ascii="Times New Roman" w:hAnsi="Times New Roman" w:eastAsia="仿宋" w:cs="Times New Roman"/>
          <w:b w:val="0"/>
          <w:bCs w:val="0"/>
          <w:kern w:val="2"/>
          <w:sz w:val="30"/>
          <w:szCs w:val="30"/>
          <w:lang w:val="en-US" w:eastAsia="zh-CN" w:bidi="ar-SA"/>
        </w:rPr>
        <w:t>分。</w:t>
      </w:r>
    </w:p>
    <w:p w14:paraId="432DAA5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cs="Times New Roman"/>
          <w:lang w:val="en-US" w:eastAsia="zh-CN"/>
        </w:rPr>
        <w:t>施工质量达标率</w:t>
      </w:r>
    </w:p>
    <w:p w14:paraId="0F4038F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b w:val="0"/>
          <w:bCs w:val="0"/>
          <w:kern w:val="2"/>
          <w:sz w:val="30"/>
          <w:szCs w:val="30"/>
          <w:highlight w:val="none"/>
          <w:lang w:val="en-US" w:eastAsia="zh-CN" w:bidi="ar-SA"/>
        </w:rPr>
        <w:t>根据项目实施单位提供的材料，本项目</w:t>
      </w:r>
      <w:r>
        <w:rPr>
          <w:rFonts w:hint="default" w:ascii="Times New Roman" w:hAnsi="Times New Roman" w:cs="Times New Roman"/>
          <w:lang w:val="en-US" w:eastAsia="zh-CN"/>
        </w:rPr>
        <w:t>建设方案和施工质量总体符合工程设计或有关规范标准的项目。</w:t>
      </w:r>
      <w:r>
        <w:rPr>
          <w:rFonts w:hint="default" w:ascii="Times New Roman" w:hAnsi="Times New Roman" w:eastAsia="仿宋" w:cs="Times New Roman"/>
          <w:b w:val="0"/>
          <w:bCs w:val="0"/>
          <w:kern w:val="2"/>
          <w:sz w:val="30"/>
          <w:szCs w:val="30"/>
          <w:lang w:val="en-US" w:eastAsia="zh-CN" w:bidi="ar-SA"/>
        </w:rPr>
        <w:t>因此，指标分值</w:t>
      </w:r>
      <w:r>
        <w:rPr>
          <w:rFonts w:hint="default" w:ascii="Times New Roman" w:hAnsi="Times New Roman" w:cs="Times New Roman"/>
          <w:b w:val="0"/>
          <w:bCs w:val="0"/>
          <w:kern w:val="2"/>
          <w:sz w:val="30"/>
          <w:szCs w:val="30"/>
          <w:lang w:val="en-US" w:eastAsia="zh-CN" w:bidi="ar-SA"/>
        </w:rPr>
        <w:t>4</w:t>
      </w:r>
      <w:r>
        <w:rPr>
          <w:rFonts w:hint="default" w:ascii="Times New Roman" w:hAnsi="Times New Roman" w:eastAsia="仿宋" w:cs="Times New Roman"/>
          <w:b w:val="0"/>
          <w:bCs w:val="0"/>
          <w:kern w:val="2"/>
          <w:sz w:val="30"/>
          <w:szCs w:val="30"/>
          <w:lang w:val="en-US" w:eastAsia="zh-CN" w:bidi="ar-SA"/>
        </w:rPr>
        <w:t>分，评价得分</w:t>
      </w:r>
      <w:r>
        <w:rPr>
          <w:rFonts w:hint="default" w:ascii="Times New Roman" w:hAnsi="Times New Roman" w:cs="Times New Roman"/>
          <w:b w:val="0"/>
          <w:bCs w:val="0"/>
          <w:kern w:val="2"/>
          <w:sz w:val="30"/>
          <w:szCs w:val="30"/>
          <w:lang w:val="en-US" w:eastAsia="zh-CN" w:bidi="ar-SA"/>
        </w:rPr>
        <w:t>4</w:t>
      </w:r>
      <w:r>
        <w:rPr>
          <w:rFonts w:hint="default" w:ascii="Times New Roman" w:hAnsi="Times New Roman" w:eastAsia="仿宋" w:cs="Times New Roman"/>
          <w:b w:val="0"/>
          <w:bCs w:val="0"/>
          <w:kern w:val="2"/>
          <w:sz w:val="30"/>
          <w:szCs w:val="30"/>
          <w:lang w:val="en-US" w:eastAsia="zh-CN" w:bidi="ar-SA"/>
        </w:rPr>
        <w:t>分。</w:t>
      </w:r>
    </w:p>
    <w:p w14:paraId="7671F7A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3.产出时效</w:t>
      </w:r>
    </w:p>
    <w:p w14:paraId="2916AF1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（1）完工及时性</w:t>
      </w:r>
    </w:p>
    <w:p w14:paraId="222E3AD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b w:val="0"/>
          <w:bCs w:val="0"/>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根据《昆明国家级互联网骨干直联点项目（移动部分）可行性研究报告》中设定的工作进度表，本项目个别工作完成时间晚于计划时间，如</w:t>
      </w:r>
      <w:r>
        <w:rPr>
          <w:rFonts w:hint="eastAsia" w:ascii="Times New Roman" w:cs="Times New Roman"/>
          <w:b w:val="0"/>
          <w:bCs w:val="0"/>
          <w:kern w:val="2"/>
          <w:sz w:val="30"/>
          <w:szCs w:val="30"/>
          <w:lang w:val="en-US" w:eastAsia="zh-CN" w:bidi="ar-SA"/>
        </w:rPr>
        <w:t>“</w:t>
      </w:r>
      <w:r>
        <w:rPr>
          <w:rFonts w:hint="default" w:ascii="Times New Roman" w:hAnsi="Times New Roman" w:cs="Times New Roman"/>
          <w:b w:val="0"/>
          <w:bCs w:val="0"/>
          <w:kern w:val="2"/>
          <w:sz w:val="30"/>
          <w:szCs w:val="30"/>
          <w:lang w:val="en-US" w:eastAsia="zh-CN" w:bidi="ar-SA"/>
        </w:rPr>
        <w:t>完成割接上线</w:t>
      </w:r>
      <w:r>
        <w:rPr>
          <w:rFonts w:hint="eastAsia" w:ascii="Times New Roman" w:cs="Times New Roman"/>
          <w:b w:val="0"/>
          <w:bCs w:val="0"/>
          <w:kern w:val="2"/>
          <w:sz w:val="30"/>
          <w:szCs w:val="30"/>
          <w:lang w:val="en-US" w:eastAsia="zh-CN" w:bidi="ar-SA"/>
        </w:rPr>
        <w:t>”</w:t>
      </w:r>
      <w:r>
        <w:rPr>
          <w:rFonts w:hint="default" w:ascii="Times New Roman" w:hAnsi="Times New Roman" w:cs="Times New Roman"/>
          <w:b w:val="0"/>
          <w:bCs w:val="0"/>
          <w:kern w:val="2"/>
          <w:sz w:val="30"/>
          <w:szCs w:val="30"/>
          <w:lang w:val="en-US" w:eastAsia="zh-CN" w:bidi="ar-SA"/>
        </w:rPr>
        <w:t>原定计划为2023年5月底，实际为2024年6月。具体进度对比表如下：</w:t>
      </w:r>
    </w:p>
    <w:p w14:paraId="2F6357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kern w:val="2"/>
          <w:sz w:val="30"/>
          <w:szCs w:val="30"/>
          <w:lang w:val="en-US" w:eastAsia="zh-CN" w:bidi="ar-SA"/>
        </w:rPr>
      </w:pPr>
      <w:r>
        <w:rPr>
          <w:rFonts w:hint="eastAsia" w:ascii="Times New Roman" w:eastAsia="黑体" w:cs="Times New Roman"/>
          <w:b w:val="0"/>
          <w:bCs/>
          <w:sz w:val="24"/>
          <w:szCs w:val="24"/>
          <w:lang w:val="en-US" w:eastAsia="zh-CN"/>
        </w:rPr>
        <w:t xml:space="preserve">表7 </w:t>
      </w:r>
      <w:r>
        <w:rPr>
          <w:rFonts w:hint="default" w:ascii="Times New Roman" w:hAnsi="Times New Roman" w:eastAsia="黑体" w:cs="Times New Roman"/>
          <w:b w:val="0"/>
          <w:bCs/>
          <w:sz w:val="24"/>
          <w:szCs w:val="24"/>
          <w:lang w:val="en-US" w:eastAsia="zh-CN"/>
        </w:rPr>
        <w:t>项目进度对比</w:t>
      </w:r>
      <w:r>
        <w:rPr>
          <w:rFonts w:hint="default" w:ascii="Times New Roman" w:hAnsi="Times New Roman" w:eastAsia="黑体" w:cs="Times New Roman"/>
          <w:b w:val="0"/>
          <w:bCs/>
          <w:sz w:val="24"/>
          <w:szCs w:val="24"/>
        </w:rPr>
        <w:t>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937"/>
        <w:gridCol w:w="2937"/>
      </w:tblGrid>
      <w:tr w14:paraId="0BAD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1" w:type="dxa"/>
            <w:shd w:val="clear" w:color="auto" w:fill="auto"/>
            <w:vAlign w:val="center"/>
          </w:tcPr>
          <w:p w14:paraId="0DCA73BA">
            <w:pPr>
              <w:widowControl/>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工作事项</w:t>
            </w:r>
          </w:p>
        </w:tc>
        <w:tc>
          <w:tcPr>
            <w:tcW w:w="2937" w:type="dxa"/>
            <w:shd w:val="clear" w:color="auto" w:fill="auto"/>
            <w:vAlign w:val="center"/>
          </w:tcPr>
          <w:p w14:paraId="4F20BD3D">
            <w:pPr>
              <w:widowControl/>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t>计划</w:t>
            </w:r>
            <w:r>
              <w:rPr>
                <w:rFonts w:hint="default" w:ascii="Times New Roman" w:hAnsi="Times New Roman" w:eastAsia="仿宋_GB2312" w:cs="Times New Roman"/>
                <w:b/>
                <w:color w:val="000000" w:themeColor="text1"/>
                <w:sz w:val="24"/>
                <w:szCs w:val="24"/>
                <w14:textFill>
                  <w14:solidFill>
                    <w14:schemeClr w14:val="tx1"/>
                  </w14:solidFill>
                </w14:textFill>
              </w:rPr>
              <w:t>时间</w:t>
            </w:r>
          </w:p>
        </w:tc>
        <w:tc>
          <w:tcPr>
            <w:tcW w:w="2937" w:type="dxa"/>
            <w:shd w:val="clear" w:color="auto" w:fill="auto"/>
            <w:vAlign w:val="center"/>
          </w:tcPr>
          <w:p w14:paraId="6650AF75">
            <w:pPr>
              <w:widowControl/>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t>实际时间</w:t>
            </w:r>
          </w:p>
        </w:tc>
      </w:tr>
      <w:tr w14:paraId="18A6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bottom"/>
          </w:tcPr>
          <w:p w14:paraId="268FDAFD">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完成立项批复</w:t>
            </w:r>
          </w:p>
        </w:tc>
        <w:tc>
          <w:tcPr>
            <w:tcW w:w="1621" w:type="pct"/>
            <w:shd w:val="clear" w:color="auto" w:fill="auto"/>
            <w:vAlign w:val="bottom"/>
          </w:tcPr>
          <w:p w14:paraId="5CF7837F">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2022年11月中</w:t>
            </w:r>
          </w:p>
        </w:tc>
        <w:tc>
          <w:tcPr>
            <w:tcW w:w="1621" w:type="pct"/>
            <w:shd w:val="clear" w:color="auto" w:fill="auto"/>
            <w:vAlign w:val="bottom"/>
          </w:tcPr>
          <w:p w14:paraId="4E784695">
            <w:pPr>
              <w:widowControl/>
              <w:jc w:val="cente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2022年11月18日</w:t>
            </w:r>
          </w:p>
        </w:tc>
      </w:tr>
      <w:tr w14:paraId="6EAB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center"/>
          </w:tcPr>
          <w:p w14:paraId="42ECC339">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完成设计批复</w:t>
            </w:r>
          </w:p>
        </w:tc>
        <w:tc>
          <w:tcPr>
            <w:tcW w:w="1621" w:type="pct"/>
            <w:shd w:val="clear" w:color="auto" w:fill="auto"/>
            <w:vAlign w:val="bottom"/>
          </w:tcPr>
          <w:p w14:paraId="25D4C587">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2022年12月中</w:t>
            </w:r>
          </w:p>
        </w:tc>
        <w:tc>
          <w:tcPr>
            <w:tcW w:w="1621" w:type="pct"/>
            <w:shd w:val="clear" w:color="auto" w:fill="auto"/>
            <w:vAlign w:val="bottom"/>
          </w:tcPr>
          <w:p w14:paraId="2A90FD7D">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2022年6月-2023年8月</w:t>
            </w:r>
          </w:p>
        </w:tc>
      </w:tr>
      <w:tr w14:paraId="3F0F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center"/>
          </w:tcPr>
          <w:p w14:paraId="1D7DB4E5">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完成设备采购</w:t>
            </w:r>
          </w:p>
        </w:tc>
        <w:tc>
          <w:tcPr>
            <w:tcW w:w="1621" w:type="pct"/>
            <w:shd w:val="clear" w:color="auto" w:fill="auto"/>
            <w:vAlign w:val="bottom"/>
          </w:tcPr>
          <w:p w14:paraId="4D6F426D">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2022年12月底</w:t>
            </w:r>
          </w:p>
        </w:tc>
        <w:tc>
          <w:tcPr>
            <w:tcW w:w="1621" w:type="pct"/>
            <w:vMerge w:val="restart"/>
            <w:shd w:val="clear" w:color="auto" w:fill="auto"/>
            <w:vAlign w:val="bottom"/>
          </w:tcPr>
          <w:p w14:paraId="5EF83233">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2022年10月-2024年2月</w:t>
            </w:r>
          </w:p>
        </w:tc>
      </w:tr>
      <w:tr w14:paraId="5FF9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bottom"/>
          </w:tcPr>
          <w:p w14:paraId="37AFC0CC">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完成开工启动</w:t>
            </w:r>
          </w:p>
        </w:tc>
        <w:tc>
          <w:tcPr>
            <w:tcW w:w="1621" w:type="pct"/>
            <w:shd w:val="clear" w:color="auto" w:fill="auto"/>
            <w:vAlign w:val="bottom"/>
          </w:tcPr>
          <w:p w14:paraId="0F0F2FB5">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2023年1月底</w:t>
            </w:r>
          </w:p>
        </w:tc>
        <w:tc>
          <w:tcPr>
            <w:tcW w:w="1621" w:type="pct"/>
            <w:vMerge w:val="continue"/>
            <w:shd w:val="clear" w:color="auto" w:fill="auto"/>
            <w:vAlign w:val="bottom"/>
          </w:tcPr>
          <w:p w14:paraId="55FFE7B2">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p>
        </w:tc>
      </w:tr>
      <w:tr w14:paraId="0C86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shd w:val="clear" w:color="auto" w:fill="auto"/>
            <w:vAlign w:val="bottom"/>
          </w:tcPr>
          <w:p w14:paraId="7E829BF8">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完成割接上线</w:t>
            </w:r>
          </w:p>
        </w:tc>
        <w:tc>
          <w:tcPr>
            <w:tcW w:w="1621" w:type="pct"/>
            <w:shd w:val="clear" w:color="auto" w:fill="auto"/>
            <w:vAlign w:val="bottom"/>
          </w:tcPr>
          <w:p w14:paraId="046DD469">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14:textFill>
                  <w14:solidFill>
                    <w14:schemeClr w14:val="tx1"/>
                  </w14:solidFill>
                </w14:textFill>
              </w:rPr>
              <w:t>2023年5月底</w:t>
            </w:r>
          </w:p>
        </w:tc>
        <w:tc>
          <w:tcPr>
            <w:tcW w:w="1621" w:type="pct"/>
            <w:shd w:val="clear" w:color="auto" w:fill="auto"/>
            <w:vAlign w:val="bottom"/>
          </w:tcPr>
          <w:p w14:paraId="2A1D46C9">
            <w:pPr>
              <w:widowControl/>
              <w:jc w:val="center"/>
              <w:rPr>
                <w:rFonts w:hint="default" w:ascii="Times New Roman" w:hAnsi="Times New Roman" w:eastAsia="仿宋_GB2312" w:cs="Times New Roman"/>
                <w:b w:val="0"/>
                <w:bCs/>
                <w:color w:val="000000" w:themeColor="text1"/>
                <w:sz w:val="24"/>
                <w:szCs w:val="24"/>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2024年6月</w:t>
            </w:r>
          </w:p>
        </w:tc>
      </w:tr>
    </w:tbl>
    <w:p w14:paraId="7EEEA6A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b w:val="0"/>
          <w:bCs w:val="0"/>
          <w:kern w:val="2"/>
          <w:sz w:val="30"/>
          <w:szCs w:val="30"/>
          <w:lang w:val="en-US" w:eastAsia="zh-CN" w:bidi="ar-SA"/>
        </w:rPr>
        <w:t>因此，指标分值</w:t>
      </w:r>
      <w:r>
        <w:rPr>
          <w:rFonts w:hint="default" w:ascii="Times New Roman" w:hAnsi="Times New Roman" w:cs="Times New Roman"/>
          <w:b w:val="0"/>
          <w:bCs w:val="0"/>
          <w:kern w:val="2"/>
          <w:sz w:val="30"/>
          <w:szCs w:val="30"/>
          <w:lang w:val="en-US" w:eastAsia="zh-CN" w:bidi="ar-SA"/>
        </w:rPr>
        <w:t>10</w:t>
      </w:r>
      <w:r>
        <w:rPr>
          <w:rFonts w:hint="default" w:ascii="Times New Roman" w:hAnsi="Times New Roman" w:eastAsia="仿宋" w:cs="Times New Roman"/>
          <w:b w:val="0"/>
          <w:bCs w:val="0"/>
          <w:kern w:val="2"/>
          <w:sz w:val="30"/>
          <w:szCs w:val="30"/>
          <w:lang w:val="en-US" w:eastAsia="zh-CN" w:bidi="ar-SA"/>
        </w:rPr>
        <w:t>分，评价得分</w:t>
      </w:r>
      <w:r>
        <w:rPr>
          <w:rFonts w:hint="default" w:ascii="Times New Roman" w:hAnsi="Times New Roman" w:cs="Times New Roman"/>
          <w:b w:val="0"/>
          <w:bCs w:val="0"/>
          <w:kern w:val="2"/>
          <w:sz w:val="30"/>
          <w:szCs w:val="30"/>
          <w:lang w:val="en-US" w:eastAsia="zh-CN" w:bidi="ar-SA"/>
        </w:rPr>
        <w:t>7</w:t>
      </w:r>
      <w:r>
        <w:rPr>
          <w:rFonts w:hint="default" w:ascii="Times New Roman" w:hAnsi="Times New Roman" w:eastAsia="仿宋" w:cs="Times New Roman"/>
          <w:b w:val="0"/>
          <w:bCs w:val="0"/>
          <w:kern w:val="2"/>
          <w:sz w:val="30"/>
          <w:szCs w:val="30"/>
          <w:lang w:val="en-US" w:eastAsia="zh-CN" w:bidi="ar-SA"/>
        </w:rPr>
        <w:t>分。</w:t>
      </w:r>
    </w:p>
    <w:p w14:paraId="7663544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4.产出成本</w:t>
      </w:r>
    </w:p>
    <w:p w14:paraId="4695BB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（1）成本控制率</w:t>
      </w:r>
    </w:p>
    <w:p w14:paraId="0DCD260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szCs w:val="30"/>
          <w:lang w:val="en-US" w:eastAsia="zh-CN"/>
        </w:rPr>
        <w:t>截至评价日，</w:t>
      </w:r>
      <w:r>
        <w:rPr>
          <w:rFonts w:hint="default" w:ascii="Times New Roman" w:hAnsi="Times New Roman" w:eastAsia="仿宋" w:cs="Times New Roman"/>
          <w:lang w:val="en-US" w:eastAsia="zh-CN"/>
        </w:rPr>
        <w:t>本项目</w:t>
      </w:r>
      <w:r>
        <w:rPr>
          <w:rFonts w:hint="default" w:ascii="Times New Roman" w:hAnsi="Times New Roman" w:cs="Times New Roman"/>
          <w:lang w:val="en-US" w:eastAsia="zh-CN"/>
        </w:rPr>
        <w:t>共签订192份合同，合同签订总金额9</w:t>
      </w:r>
      <w:r>
        <w:rPr>
          <w:rFonts w:hint="eastAsia" w:ascii="Times New Roman" w:cs="Times New Roman"/>
          <w:lang w:val="en-US" w:eastAsia="zh-CN"/>
        </w:rPr>
        <w:t>,</w:t>
      </w:r>
      <w:r>
        <w:rPr>
          <w:rFonts w:hint="default" w:ascii="Times New Roman" w:hAnsi="Times New Roman" w:cs="Times New Roman"/>
          <w:lang w:val="en-US" w:eastAsia="zh-CN"/>
        </w:rPr>
        <w:t>101.71万元，占批复金额82.53%，成本节约率17.57%</w:t>
      </w:r>
      <w:r>
        <w:rPr>
          <w:rFonts w:hint="default" w:ascii="Times New Roman" w:hAnsi="Times New Roman" w:cs="Times New Roman"/>
          <w:szCs w:val="30"/>
          <w:lang w:val="en-US" w:eastAsia="zh-CN"/>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w:t>
      </w:r>
    </w:p>
    <w:p w14:paraId="43DF4AF1">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61" w:name="_Toc5588"/>
      <w:r>
        <w:rPr>
          <w:rFonts w:hint="default" w:ascii="Times New Roman" w:hAnsi="Times New Roman" w:cs="Times New Roman"/>
        </w:rPr>
        <w:t>（四）</w:t>
      </w:r>
      <w:r>
        <w:rPr>
          <w:rFonts w:hint="eastAsia" w:cs="Times New Roman"/>
          <w:lang w:val="en-US" w:eastAsia="zh-CN"/>
        </w:rPr>
        <w:t>效益</w:t>
      </w:r>
      <w:r>
        <w:rPr>
          <w:rFonts w:hint="default" w:ascii="Times New Roman" w:hAnsi="Times New Roman" w:cs="Times New Roman"/>
        </w:rPr>
        <w:t>情况分析</w:t>
      </w:r>
      <w:bookmarkEnd w:id="61"/>
    </w:p>
    <w:p w14:paraId="5C5C9867">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w:t>
      </w:r>
      <w:r>
        <w:rPr>
          <w:rFonts w:hint="eastAsia" w:ascii="Times New Roman" w:cs="Times New Roman"/>
          <w:kern w:val="2"/>
          <w:sz w:val="30"/>
          <w:szCs w:val="30"/>
          <w:highlight w:val="none"/>
          <w:lang w:val="en-US" w:eastAsia="zh-CN" w:bidi="ar-SA"/>
        </w:rPr>
        <w:t>效益</w:t>
      </w:r>
      <w:r>
        <w:rPr>
          <w:rFonts w:hint="default" w:ascii="Times New Roman" w:hAnsi="Times New Roman" w:eastAsia="仿宋" w:cs="Times New Roman"/>
          <w:kern w:val="2"/>
          <w:sz w:val="30"/>
          <w:szCs w:val="30"/>
          <w:highlight w:val="none"/>
          <w:lang w:val="en-US" w:eastAsia="zh-CN" w:bidi="ar-SA"/>
        </w:rPr>
        <w:t>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w:t>
      </w:r>
      <w:r>
        <w:rPr>
          <w:rFonts w:hint="default" w:ascii="Times New Roman" w:hAnsi="Times New Roman" w:cs="Times New Roman"/>
          <w:kern w:val="2"/>
          <w:sz w:val="30"/>
          <w:szCs w:val="30"/>
          <w:highlight w:val="none"/>
          <w:lang w:val="en-US" w:eastAsia="zh-CN" w:bidi="ar-SA"/>
        </w:rPr>
        <w:t>社会效益</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可持续性和满意度三</w:t>
      </w:r>
      <w:r>
        <w:rPr>
          <w:rFonts w:hint="default" w:ascii="Times New Roman" w:hAnsi="Times New Roman" w:eastAsia="仿宋" w:cs="Times New Roman"/>
          <w:kern w:val="2"/>
          <w:sz w:val="30"/>
          <w:szCs w:val="30"/>
          <w:highlight w:val="none"/>
          <w:lang w:val="en-US" w:eastAsia="zh-CN" w:bidi="ar-SA"/>
        </w:rPr>
        <w:t>个方面，采用</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个三级指标进行考察。权重分值3</w:t>
      </w:r>
      <w:r>
        <w:rPr>
          <w:rFonts w:hint="default" w:ascii="Times New Roman" w:hAnsi="Times New Roman" w:cs="Times New Roman"/>
          <w:kern w:val="2"/>
          <w:sz w:val="30"/>
          <w:szCs w:val="30"/>
          <w:highlight w:val="none"/>
          <w:lang w:val="en-US" w:eastAsia="zh-CN" w:bidi="ar-SA"/>
        </w:rPr>
        <w:t>0</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30</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100</w:t>
      </w:r>
      <w:r>
        <w:rPr>
          <w:rFonts w:hint="default" w:ascii="Times New Roman" w:hAnsi="Times New Roman" w:eastAsia="仿宋" w:cs="Times New Roman"/>
          <w:kern w:val="2"/>
          <w:sz w:val="30"/>
          <w:szCs w:val="30"/>
          <w:highlight w:val="none"/>
          <w:lang w:val="en-US" w:eastAsia="zh-CN" w:bidi="ar-SA"/>
        </w:rPr>
        <w:t>%。</w:t>
      </w:r>
    </w:p>
    <w:p w14:paraId="0938F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1.社会效益</w:t>
      </w:r>
    </w:p>
    <w:p w14:paraId="168619E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lang w:val="en-US" w:eastAsia="zh-CN" w:bidi="ar-SA"/>
        </w:rPr>
        <w:t>（</w:t>
      </w:r>
      <w:r>
        <w:rPr>
          <w:rFonts w:hint="default" w:ascii="Times New Roman" w:hAnsi="Times New Roman" w:eastAsia="仿宋" w:cs="Times New Roman"/>
          <w:kern w:val="2"/>
          <w:sz w:val="30"/>
          <w:szCs w:val="30"/>
          <w:highlight w:val="none"/>
          <w:lang w:val="en-US" w:eastAsia="zh-CN" w:bidi="ar-SA"/>
        </w:rPr>
        <w:t>1）平均网间时延</w:t>
      </w:r>
    </w:p>
    <w:p w14:paraId="61011EA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7月2日上午，云南省人民政府新闻办公室在云南海埂会堂举行昆明国家级互联网骨干直联点建成投用新闻发布会</w:t>
      </w:r>
      <w:r>
        <w:rPr>
          <w:rFonts w:hint="default" w:ascii="Times New Roman" w:hAnsi="Times New Roman" w:cs="Times New Roman"/>
          <w:kern w:val="2"/>
          <w:sz w:val="30"/>
          <w:szCs w:val="30"/>
          <w:highlight w:val="none"/>
          <w:lang w:val="en-US" w:eastAsia="zh-CN" w:bidi="ar-SA"/>
        </w:rPr>
        <w:t>，对相关工作成果做了相应介绍，其中，“云南移动承接的昆明国家级互联网骨干直联点项目整体投资1.1亿元，包括网间IP设备、传输网络、网内IP网络、网络安全系统等20个单项工程，在省通信管理局的有效组织和三家运营商企业的通力合作下，项目于2023年6月完成了主体建设并进入运行，运行期间，网间互访时延由开通前的31.75ms下降至2.94ms，三家运营商的网间互访的时延下降91%，丢包率趋于0，达到了预期的目标。”</w:t>
      </w:r>
      <w:r>
        <w:rPr>
          <w:rFonts w:hint="default" w:ascii="Times New Roman" w:hAnsi="Times New Roman" w:cs="Times New Roman"/>
          <w:szCs w:val="30"/>
          <w:highlight w:val="none"/>
          <w:lang w:val="en-US" w:eastAsia="zh-CN"/>
        </w:rPr>
        <w:t>因此，指标分值5分，评价得分5分</w:t>
      </w:r>
      <w:r>
        <w:rPr>
          <w:rFonts w:hint="default" w:ascii="Times New Roman" w:hAnsi="Times New Roman" w:eastAsia="仿宋" w:cs="Times New Roman"/>
          <w:kern w:val="2"/>
          <w:sz w:val="30"/>
          <w:szCs w:val="30"/>
          <w:highlight w:val="none"/>
          <w:lang w:val="en-US" w:eastAsia="zh-CN" w:bidi="ar-SA"/>
        </w:rPr>
        <w:t>。</w:t>
      </w:r>
    </w:p>
    <w:p w14:paraId="5D8CAFF4">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云南省网间流入流量</w:t>
      </w:r>
    </w:p>
    <w:p w14:paraId="70B4078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云南省互联网发展报告（2024）》，昆明国家级互联网骨干直联点建设完成，玉溪市、文山壮族苗族自治州入选国家千兆城市，互联网省际出口带宽达到33.3T；移动通信基站达到42.4万个，5G基站持续高速增长；IPv6规模化部署持续深入推进，移动网IPv6流量占比63.9%；备案网站66064个，同比增长39.2%；网民规模达到3289.1万人，互联网普及率首次超过70%，达到70.4%；宽带接入速率持续提升，1000M以上宽带用户超过20%；移动电话普及率110.4部/百人，5G用户首次超过4G用户，达到2396.9万户，同比增长47.2%；移动互联网月户均流量22.5G，移动流量平均资费持续降低；网民每日平均使用移动终端85次，人均单日使用时长395分钟；入选全国数字化转型贯标首批试点省份。</w:t>
      </w:r>
      <w:r>
        <w:rPr>
          <w:rFonts w:hint="default" w:ascii="Times New Roman" w:hAnsi="Times New Roman" w:cs="Times New Roman"/>
          <w:szCs w:val="30"/>
          <w:highlight w:val="none"/>
          <w:lang w:val="en-US" w:eastAsia="zh-CN"/>
        </w:rPr>
        <w:t>因此，指标分值6分，评价得分6分</w:t>
      </w:r>
      <w:r>
        <w:rPr>
          <w:rFonts w:hint="default" w:ascii="Times New Roman" w:hAnsi="Times New Roman" w:eastAsia="仿宋" w:cs="Times New Roman"/>
          <w:kern w:val="2"/>
          <w:sz w:val="30"/>
          <w:szCs w:val="30"/>
          <w:highlight w:val="none"/>
          <w:lang w:val="en-US" w:eastAsia="zh-CN" w:bidi="ar-SA"/>
        </w:rPr>
        <w:t>。</w:t>
      </w:r>
    </w:p>
    <w:p w14:paraId="4A201A2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）有责投诉事件发生数</w:t>
      </w:r>
    </w:p>
    <w:p w14:paraId="75D561F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szCs w:val="30"/>
          <w:highlight w:val="none"/>
          <w:lang w:val="en-US" w:eastAsia="zh-CN"/>
        </w:rPr>
        <w:t>根据访谈和相关项目材料，本项目未出现因本项目的实施导致的有责投诉。因此，指标分值4分，评价得分4分</w:t>
      </w:r>
      <w:r>
        <w:rPr>
          <w:rFonts w:hint="default" w:ascii="Times New Roman" w:hAnsi="Times New Roman" w:eastAsia="仿宋" w:cs="Times New Roman"/>
          <w:kern w:val="2"/>
          <w:sz w:val="30"/>
          <w:szCs w:val="30"/>
          <w:highlight w:val="none"/>
          <w:lang w:val="en-US" w:eastAsia="zh-CN" w:bidi="ar-SA"/>
        </w:rPr>
        <w:t>。</w:t>
      </w:r>
    </w:p>
    <w:p w14:paraId="1507538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3.满意度</w:t>
      </w:r>
    </w:p>
    <w:p w14:paraId="0BBF9EF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（1）项目管理人员满意度</w:t>
      </w:r>
    </w:p>
    <w:p w14:paraId="7906DB0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本次发放电子共回收有效问卷</w:t>
      </w:r>
      <w:r>
        <w:rPr>
          <w:rFonts w:hint="eastAsia" w:ascii="Times New Roman" w:cs="Times New Roman"/>
          <w:kern w:val="2"/>
          <w:sz w:val="30"/>
          <w:szCs w:val="30"/>
          <w:highlight w:val="none"/>
          <w:lang w:val="en-US" w:eastAsia="zh-CN" w:bidi="ar-SA"/>
        </w:rPr>
        <w:t>50</w:t>
      </w:r>
      <w:r>
        <w:rPr>
          <w:rFonts w:hint="default" w:ascii="Times New Roman" w:hAnsi="Times New Roman" w:cs="Times New Roman"/>
          <w:kern w:val="2"/>
          <w:sz w:val="30"/>
          <w:szCs w:val="30"/>
          <w:highlight w:val="none"/>
          <w:lang w:val="en-US" w:eastAsia="zh-CN" w:bidi="ar-SA"/>
        </w:rPr>
        <w:t>份，经项目组统计计算，受益对象满意度为100%。因此，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15</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15</w:t>
      </w:r>
      <w:r>
        <w:rPr>
          <w:rFonts w:hint="default" w:ascii="Times New Roman" w:hAnsi="Times New Roman" w:eastAsia="仿宋" w:cs="Times New Roman"/>
          <w:kern w:val="2"/>
          <w:sz w:val="30"/>
          <w:szCs w:val="30"/>
          <w:highlight w:val="none"/>
          <w:lang w:val="en-US" w:eastAsia="zh-CN" w:bidi="ar-SA"/>
        </w:rPr>
        <w:t>分。</w:t>
      </w:r>
    </w:p>
    <w:p w14:paraId="46AC6891">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62" w:name="_Toc30981"/>
      <w:r>
        <w:rPr>
          <w:rFonts w:hint="eastAsia" w:ascii="Times New Roman" w:hAnsi="Times New Roman" w:cs="Times New Roman"/>
          <w:lang w:val="en-US" w:eastAsia="zh-CN"/>
        </w:rPr>
        <w:t>五</w:t>
      </w:r>
      <w:r>
        <w:rPr>
          <w:rFonts w:hint="default" w:ascii="Times New Roman" w:hAnsi="Times New Roman" w:cs="Times New Roman"/>
          <w:lang w:val="en-US" w:eastAsia="zh-CN"/>
        </w:rPr>
        <w:t>、存在问题及原因分析</w:t>
      </w:r>
      <w:bookmarkEnd w:id="62"/>
    </w:p>
    <w:p w14:paraId="47957F90">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63" w:name="_Toc17755"/>
      <w:bookmarkStart w:id="64" w:name="_Toc18467"/>
      <w:r>
        <w:rPr>
          <w:rFonts w:hint="default" w:ascii="Times New Roman" w:hAnsi="Times New Roman" w:cs="Times New Roman"/>
          <w:lang w:val="en-US" w:eastAsia="zh-CN"/>
        </w:rPr>
        <w:t>（一）绩效</w:t>
      </w:r>
      <w:bookmarkEnd w:id="63"/>
      <w:r>
        <w:rPr>
          <w:rFonts w:hint="default" w:ascii="Times New Roman" w:hAnsi="Times New Roman" w:cs="Times New Roman"/>
          <w:lang w:val="en-US" w:eastAsia="zh-CN"/>
        </w:rPr>
        <w:t>目标编制不</w:t>
      </w:r>
      <w:r>
        <w:rPr>
          <w:rFonts w:hint="eastAsia" w:cs="Times New Roman"/>
          <w:lang w:val="en-US" w:eastAsia="zh-CN"/>
        </w:rPr>
        <w:t>合理</w:t>
      </w:r>
      <w:bookmarkEnd w:id="64"/>
    </w:p>
    <w:p w14:paraId="27FE97A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个别指标编制不够准确，如时效指标中的“项目开工率”、“年度建设目标完成率”、“年度省级财政补助资金完成率”以及“年度省级财政补助资金支付率”为数量指标。“超规模、超标准、超概算项目”为成本指标；满意度指标中“审计、督查、巡视等指出问题数”并非满意度指标</w:t>
      </w:r>
      <w:r>
        <w:rPr>
          <w:rFonts w:hint="eastAsia" w:ascii="Times New Roman" w:cs="Times New Roman"/>
          <w:kern w:val="2"/>
          <w:sz w:val="30"/>
          <w:szCs w:val="30"/>
          <w:highlight w:val="none"/>
          <w:lang w:val="en-US" w:eastAsia="zh-CN" w:bidi="ar-SA"/>
        </w:rPr>
        <w:t>，指标归类错误</w:t>
      </w:r>
      <w:r>
        <w:rPr>
          <w:rFonts w:hint="default" w:ascii="Times New Roman" w:hAnsi="Times New Roman" w:cs="Times New Roman"/>
          <w:kern w:val="2"/>
          <w:sz w:val="30"/>
          <w:szCs w:val="30"/>
          <w:highlight w:val="none"/>
          <w:lang w:val="en-US" w:eastAsia="zh-CN" w:bidi="ar-SA"/>
        </w:rPr>
        <w:t>。</w:t>
      </w:r>
    </w:p>
    <w:p w14:paraId="4F154839">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楷体" w:cs="Times New Roman"/>
          <w:lang w:val="en-US" w:eastAsia="zh-CN"/>
        </w:rPr>
      </w:pPr>
      <w:bookmarkStart w:id="65" w:name="_Toc3114"/>
      <w:r>
        <w:rPr>
          <w:rFonts w:hint="default" w:ascii="Times New Roman" w:hAnsi="Times New Roman" w:cs="Times New Roman"/>
          <w:lang w:val="en-US" w:eastAsia="zh-CN"/>
        </w:rPr>
        <w:t>（二）项目进度</w:t>
      </w:r>
      <w:r>
        <w:rPr>
          <w:rFonts w:hint="eastAsia"/>
          <w:lang w:val="en-US" w:eastAsia="zh-CN"/>
        </w:rPr>
        <w:t>未按计划完成</w:t>
      </w:r>
      <w:bookmarkEnd w:id="65"/>
    </w:p>
    <w:p w14:paraId="09EF76E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昆明国家级互联网骨干直联点项目（移动部分）可行性研究报告》中的工作进度表，本项目的部分工作完成时间已晚于原定计划。例如，“完成割接上线”的时间原定为2023年5月底，但实际完成时间推迟至2024年6月。</w:t>
      </w:r>
    </w:p>
    <w:p w14:paraId="629F2E9B">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66" w:name="_Toc6566"/>
      <w:r>
        <w:rPr>
          <w:rFonts w:hint="eastAsia" w:ascii="Times New Roman" w:hAnsi="Times New Roman" w:cs="Times New Roman"/>
          <w:lang w:val="en-US" w:eastAsia="zh-CN"/>
        </w:rPr>
        <w:t>六</w:t>
      </w:r>
      <w:r>
        <w:rPr>
          <w:rFonts w:hint="default" w:ascii="Times New Roman" w:hAnsi="Times New Roman" w:cs="Times New Roman"/>
          <w:lang w:val="en-US" w:eastAsia="zh-CN"/>
        </w:rPr>
        <w:t>、建议</w:t>
      </w:r>
      <w:bookmarkEnd w:id="66"/>
      <w:bookmarkStart w:id="67" w:name="_Toc4297"/>
    </w:p>
    <w:p w14:paraId="2B7F75D0">
      <w:pPr>
        <w:pStyle w:val="33"/>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68" w:name="_Toc23406"/>
      <w:r>
        <w:rPr>
          <w:rFonts w:hint="default" w:ascii="Times New Roman" w:hAnsi="Times New Roman" w:cs="Times New Roman"/>
          <w:lang w:val="en-US" w:eastAsia="zh-CN"/>
        </w:rPr>
        <w:t>（一）加强</w:t>
      </w:r>
      <w:r>
        <w:rPr>
          <w:rFonts w:hint="eastAsia" w:cs="Times New Roman"/>
          <w:lang w:val="en-US" w:eastAsia="zh-CN"/>
        </w:rPr>
        <w:t>指标编制的合理性，进一步提升绩效目标的可评性</w:t>
      </w:r>
      <w:bookmarkEnd w:id="67"/>
      <w:bookmarkEnd w:id="68"/>
    </w:p>
    <w:p w14:paraId="44F106A5">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szCs w:val="30"/>
          <w:lang w:val="en-US" w:eastAsia="zh-CN"/>
        </w:rPr>
        <w:t>建议区发改局按照绩效相关工作要求，严格编制绩效目标表，确保后续指标评价的完整性及整体目标设置的合理性。对于本次项目，</w:t>
      </w:r>
      <w:r>
        <w:rPr>
          <w:rFonts w:hint="eastAsia" w:ascii="Times New Roman" w:cs="Times New Roman"/>
          <w:szCs w:val="30"/>
          <w:lang w:val="en-US" w:eastAsia="zh-CN"/>
        </w:rPr>
        <w:t>时效指标</w:t>
      </w:r>
      <w:r>
        <w:rPr>
          <w:rFonts w:hint="default" w:ascii="Times New Roman" w:hAnsi="Times New Roman" w:cs="Times New Roman"/>
          <w:szCs w:val="30"/>
          <w:lang w:val="en-US" w:eastAsia="zh-CN"/>
        </w:rPr>
        <w:t>建议调整为</w:t>
      </w:r>
      <w:r>
        <w:rPr>
          <w:rFonts w:hint="default" w:ascii="Times New Roman" w:hAnsi="Times New Roman" w:cs="Times New Roman"/>
          <w:kern w:val="2"/>
          <w:sz w:val="30"/>
          <w:szCs w:val="30"/>
          <w:highlight w:val="none"/>
          <w:lang w:val="en-US" w:eastAsia="zh-CN" w:bidi="ar-SA"/>
        </w:rPr>
        <w:t>“采购工作完成及时性”</w:t>
      </w:r>
      <w:r>
        <w:rPr>
          <w:rFonts w:hint="eastAsia" w:ascii="Times New Roman" w:cs="Times New Roman"/>
          <w:kern w:val="2"/>
          <w:sz w:val="30"/>
          <w:szCs w:val="30"/>
          <w:highlight w:val="none"/>
          <w:lang w:val="en-US" w:eastAsia="zh-CN" w:bidi="ar-SA"/>
        </w:rPr>
        <w:t>或“验收开展及时性”</w:t>
      </w:r>
      <w:r>
        <w:rPr>
          <w:rFonts w:hint="default" w:ascii="Times New Roman" w:hAnsi="Times New Roman" w:cs="Times New Roman"/>
          <w:kern w:val="2"/>
          <w:sz w:val="30"/>
          <w:szCs w:val="30"/>
          <w:highlight w:val="none"/>
          <w:lang w:val="en-US" w:eastAsia="zh-CN" w:bidi="ar-SA"/>
        </w:rPr>
        <w:t>，用于考核</w:t>
      </w:r>
      <w:r>
        <w:rPr>
          <w:rFonts w:hint="eastAsia" w:ascii="Times New Roman" w:cs="Times New Roman"/>
          <w:kern w:val="2"/>
          <w:sz w:val="30"/>
          <w:szCs w:val="30"/>
          <w:highlight w:val="none"/>
          <w:lang w:val="en-US" w:eastAsia="zh-CN" w:bidi="ar-SA"/>
        </w:rPr>
        <w:t>项目采购及验收开展的及时性</w:t>
      </w:r>
      <w:r>
        <w:rPr>
          <w:rFonts w:hint="default" w:ascii="Times New Roman" w:hAnsi="Times New Roman" w:cs="Times New Roman"/>
          <w:kern w:val="2"/>
          <w:sz w:val="30"/>
          <w:szCs w:val="30"/>
          <w:highlight w:val="none"/>
          <w:lang w:val="en-US" w:eastAsia="zh-CN" w:bidi="ar-SA"/>
        </w:rPr>
        <w:t>。质量指标建议更改为“验收一次性通过率”，用于考核项目</w:t>
      </w:r>
      <w:r>
        <w:rPr>
          <w:rFonts w:hint="eastAsia" w:ascii="Times New Roman" w:cs="Times New Roman"/>
          <w:kern w:val="2"/>
          <w:sz w:val="30"/>
          <w:szCs w:val="30"/>
          <w:highlight w:val="none"/>
          <w:lang w:val="en-US" w:eastAsia="zh-CN" w:bidi="ar-SA"/>
        </w:rPr>
        <w:t>验收情况</w:t>
      </w:r>
      <w:r>
        <w:rPr>
          <w:rFonts w:hint="default" w:ascii="Times New Roman" w:hAnsi="Times New Roman" w:cs="Times New Roman"/>
          <w:kern w:val="2"/>
          <w:sz w:val="30"/>
          <w:szCs w:val="30"/>
          <w:highlight w:val="none"/>
          <w:lang w:val="en-US" w:eastAsia="zh-CN" w:bidi="ar-SA"/>
        </w:rPr>
        <w:t>。</w:t>
      </w:r>
      <w:r>
        <w:rPr>
          <w:rFonts w:hint="eastAsia" w:ascii="Times New Roman" w:cs="Times New Roman"/>
          <w:kern w:val="2"/>
          <w:sz w:val="30"/>
          <w:szCs w:val="30"/>
          <w:highlight w:val="none"/>
          <w:lang w:val="en-US" w:eastAsia="zh-CN" w:bidi="ar-SA"/>
        </w:rPr>
        <w:t>效益指标建议调整为“云南省互联网访问性能提升情况”，用于考核项目完成后对于云南的影响，二是增设“问题整改率”，用于考核验收后问题整改的情况。</w:t>
      </w:r>
    </w:p>
    <w:p w14:paraId="03902C96">
      <w:pPr>
        <w:pStyle w:val="33"/>
        <w:keepNext w:val="0"/>
        <w:keepLines w:val="0"/>
        <w:pageBreakBefore w:val="0"/>
        <w:kinsoku/>
        <w:wordWrap/>
        <w:overflowPunct/>
        <w:topLinePunct w:val="0"/>
        <w:autoSpaceDE/>
        <w:autoSpaceDN/>
        <w:bidi w:val="0"/>
        <w:adjustRightInd/>
        <w:spacing w:beforeAutospacing="0" w:afterAutospacing="0" w:line="579" w:lineRule="exact"/>
        <w:textAlignment w:val="auto"/>
        <w:outlineLvl w:val="1"/>
        <w:rPr>
          <w:rFonts w:hint="default" w:ascii="Times New Roman" w:hAnsi="Times New Roman" w:cs="Times New Roman"/>
          <w:lang w:val="en-US" w:eastAsia="zh-CN"/>
        </w:rPr>
      </w:pPr>
      <w:bookmarkStart w:id="69" w:name="_Toc12943"/>
      <w:r>
        <w:rPr>
          <w:rFonts w:hint="default" w:ascii="Times New Roman" w:hAnsi="Times New Roman" w:cs="Times New Roman"/>
          <w:lang w:val="en-US" w:eastAsia="zh-CN"/>
        </w:rPr>
        <w:t>（二）强化项目进度管理</w:t>
      </w:r>
      <w:bookmarkEnd w:id="69"/>
    </w:p>
    <w:p w14:paraId="261A8895">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建议根据项目实际进度情况，调整工作计划，确保后续工作的合理安排。特别是要对关键节点进行优先审视，制定明确的时间表和责任分工。此外，建议定期召开项目进展会议，及时沟通各方意见，评估当前进展，识别潜在风险，确保所有团队成员对项目目标保持一致理解，从而有效提升工作效率。</w:t>
      </w:r>
    </w:p>
    <w:p w14:paraId="69B5CE89">
      <w:pPr>
        <w:rPr>
          <w:rFonts w:hint="default" w:ascii="Times New Roman" w:hAnsi="Times New Roman" w:cs="Times New Roman"/>
          <w:b/>
          <w:bCs/>
          <w:szCs w:val="30"/>
        </w:rPr>
      </w:pPr>
      <w:bookmarkStart w:id="70" w:name="_Hlk525314575"/>
      <w:r>
        <w:rPr>
          <w:rFonts w:hint="default" w:ascii="Times New Roman" w:hAnsi="Times New Roman" w:cs="Times New Roman"/>
          <w:b/>
          <w:bCs/>
          <w:szCs w:val="30"/>
        </w:rPr>
        <w:br w:type="page"/>
      </w:r>
    </w:p>
    <w:p w14:paraId="5F324A44">
      <w:pPr>
        <w:spacing w:line="579" w:lineRule="exact"/>
        <w:ind w:firstLine="630" w:firstLineChars="200"/>
        <w:rPr>
          <w:rFonts w:hint="default" w:ascii="Times New Roman" w:hAnsi="Times New Roman" w:cs="Times New Roman"/>
          <w:b/>
          <w:bCs/>
          <w:szCs w:val="30"/>
        </w:rPr>
      </w:pPr>
      <w:r>
        <w:rPr>
          <w:rFonts w:hint="default" w:ascii="Times New Roman" w:hAnsi="Times New Roman" w:cs="Times New Roman"/>
          <w:b/>
          <w:bCs/>
          <w:szCs w:val="30"/>
        </w:rPr>
        <w:t>附件：</w:t>
      </w:r>
    </w:p>
    <w:p w14:paraId="3A257D34">
      <w:pPr>
        <w:spacing w:line="579" w:lineRule="exact"/>
        <w:ind w:firstLine="630" w:firstLineChars="200"/>
        <w:rPr>
          <w:rFonts w:hint="default" w:ascii="Times New Roman" w:hAnsi="Times New Roman" w:cs="Times New Roman"/>
          <w:szCs w:val="30"/>
        </w:rPr>
      </w:pPr>
      <w:r>
        <w:rPr>
          <w:rFonts w:hint="default" w:ascii="Times New Roman" w:hAnsi="Times New Roman" w:cs="Times New Roman"/>
          <w:szCs w:val="30"/>
          <w:lang w:val="en-US" w:eastAsia="zh-CN"/>
        </w:rPr>
        <w:t>附件</w:t>
      </w:r>
      <w:r>
        <w:rPr>
          <w:rFonts w:hint="default" w:ascii="Times New Roman" w:hAnsi="Times New Roman" w:cs="Times New Roman"/>
          <w:szCs w:val="30"/>
        </w:rPr>
        <w:t>1</w:t>
      </w:r>
      <w:r>
        <w:rPr>
          <w:rFonts w:hint="default" w:ascii="Times New Roman" w:hAnsi="Times New Roman" w:cs="Times New Roman"/>
          <w:szCs w:val="30"/>
          <w:lang w:eastAsia="zh-CN"/>
        </w:rPr>
        <w:t>：</w:t>
      </w:r>
      <w:r>
        <w:rPr>
          <w:rFonts w:hint="default" w:ascii="Times New Roman" w:hAnsi="Times New Roman" w:cs="Times New Roman"/>
          <w:lang w:val="en-US" w:eastAsia="zh-CN"/>
        </w:rPr>
        <w:t>2023年度第一批省级新型基础设施建设专项资金</w:t>
      </w:r>
      <w:r>
        <w:rPr>
          <w:rFonts w:hint="default" w:ascii="Times New Roman" w:hAnsi="Times New Roman" w:cs="Times New Roman"/>
          <w:szCs w:val="30"/>
          <w:lang w:val="en-US" w:eastAsia="zh-CN"/>
        </w:rPr>
        <w:t>项目</w:t>
      </w:r>
      <w:r>
        <w:rPr>
          <w:rFonts w:hint="default" w:ascii="Times New Roman" w:hAnsi="Times New Roman" w:cs="Times New Roman"/>
          <w:szCs w:val="30"/>
        </w:rPr>
        <w:t>绩效目标表</w:t>
      </w:r>
    </w:p>
    <w:p w14:paraId="70D72DB9">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附件2</w:t>
      </w:r>
      <w:bookmarkStart w:id="71" w:name="_Hlk527019547"/>
      <w:r>
        <w:rPr>
          <w:rFonts w:hint="default" w:ascii="Times New Roman" w:hAnsi="Times New Roman" w:cs="Times New Roman"/>
          <w:szCs w:val="30"/>
          <w:lang w:val="en-US" w:eastAsia="zh-CN"/>
        </w:rPr>
        <w:t>：</w:t>
      </w:r>
      <w:r>
        <w:rPr>
          <w:rFonts w:hint="default" w:ascii="Times New Roman" w:hAnsi="Times New Roman" w:cs="Times New Roman"/>
          <w:lang w:val="en-US" w:eastAsia="zh-CN"/>
        </w:rPr>
        <w:t>2023年度第一批省级新型基础设施建设专项资金</w:t>
      </w:r>
      <w:r>
        <w:rPr>
          <w:rFonts w:hint="default" w:ascii="Times New Roman" w:hAnsi="Times New Roman" w:cs="Times New Roman"/>
          <w:szCs w:val="30"/>
          <w:lang w:val="en-US" w:eastAsia="zh-CN"/>
        </w:rPr>
        <w:t>项目绩效评价指标体系</w:t>
      </w:r>
      <w:bookmarkEnd w:id="71"/>
      <w:r>
        <w:rPr>
          <w:rFonts w:hint="default" w:ascii="Times New Roman" w:hAnsi="Times New Roman" w:cs="Times New Roman"/>
          <w:szCs w:val="30"/>
          <w:lang w:val="en-US" w:eastAsia="zh-CN"/>
        </w:rPr>
        <w:t>表</w:t>
      </w:r>
    </w:p>
    <w:p w14:paraId="61DD8281">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附件3：</w:t>
      </w:r>
      <w:r>
        <w:rPr>
          <w:rFonts w:hint="default" w:ascii="Times New Roman" w:hAnsi="Times New Roman" w:cs="Times New Roman"/>
          <w:lang w:val="en-US" w:eastAsia="zh-CN"/>
        </w:rPr>
        <w:t>2023年度第一批省级新型基础设施建设专项资金</w:t>
      </w:r>
      <w:r>
        <w:rPr>
          <w:rFonts w:hint="default" w:ascii="Times New Roman" w:hAnsi="Times New Roman" w:cs="Times New Roman"/>
          <w:szCs w:val="30"/>
          <w:lang w:val="en-US" w:eastAsia="zh-CN"/>
        </w:rPr>
        <w:t>项目调查问卷</w:t>
      </w:r>
    </w:p>
    <w:bookmarkEnd w:id="70"/>
    <w:p w14:paraId="40771698">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4</w:t>
      </w:r>
      <w:r>
        <w:rPr>
          <w:rFonts w:hint="default" w:ascii="Times New Roman" w:hAnsi="Times New Roman" w:cs="Times New Roman"/>
          <w:szCs w:val="30"/>
          <w:lang w:val="en-US" w:eastAsia="zh-CN"/>
        </w:rPr>
        <w:t>：</w:t>
      </w:r>
      <w:r>
        <w:rPr>
          <w:rFonts w:hint="eastAsia"/>
          <w:lang w:val="en-US" w:eastAsia="zh-CN"/>
        </w:rPr>
        <w:t xml:space="preserve"> 绩效评价报告意见反馈表（单位）</w:t>
      </w:r>
    </w:p>
    <w:p w14:paraId="695B2FA2">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5</w:t>
      </w:r>
      <w:r>
        <w:rPr>
          <w:rFonts w:hint="default" w:ascii="Times New Roman" w:hAnsi="Times New Roman" w:cs="Times New Roman"/>
          <w:szCs w:val="30"/>
          <w:lang w:val="en-US" w:eastAsia="zh-CN"/>
        </w:rPr>
        <w:t>：</w:t>
      </w:r>
      <w:r>
        <w:rPr>
          <w:rFonts w:hint="eastAsia"/>
          <w:lang w:val="en-US" w:eastAsia="zh-CN"/>
        </w:rPr>
        <w:t xml:space="preserve"> 绩效评价报告意见反馈表（科室）</w:t>
      </w:r>
    </w:p>
    <w:p w14:paraId="0B0847F6">
      <w:pPr>
        <w:pStyle w:val="20"/>
        <w:ind w:left="0" w:leftChars="0" w:firstLine="0" w:firstLineChars="0"/>
        <w:rPr>
          <w:rFonts w:hint="default" w:ascii="Times New Roman" w:hAnsi="Times New Roman" w:cs="Times New Roman"/>
          <w:szCs w:val="30"/>
          <w:lang w:val="en-US" w:eastAsia="zh-CN"/>
        </w:rPr>
      </w:pPr>
    </w:p>
    <w:p w14:paraId="591BDD25">
      <w:pPr>
        <w:bidi w:val="0"/>
        <w:jc w:val="right"/>
        <w:rPr>
          <w:rFonts w:hint="default" w:ascii="Times New Roman" w:hAnsi="Times New Roman" w:eastAsia="宋体" w:cs="Times New Roman"/>
          <w:kern w:val="30"/>
          <w:sz w:val="21"/>
          <w:szCs w:val="21"/>
          <w:lang w:val="en-US" w:eastAsia="zh-CN" w:bidi="ar-SA"/>
        </w:rPr>
      </w:pPr>
      <w:r>
        <w:rPr>
          <w:rFonts w:hint="default" w:ascii="Times New Roman" w:hAnsi="Times New Roman" w:cs="Times New Roman"/>
          <w:lang w:val="en-US" w:eastAsia="zh-CN"/>
        </w:rPr>
        <w:t>昆明池砾项目咨询有限责任公司</w:t>
      </w:r>
    </w:p>
    <w:p w14:paraId="3E16AA66">
      <w:pPr>
        <w:pStyle w:val="20"/>
        <w:jc w:val="center"/>
        <w:rPr>
          <w:rFonts w:hint="default" w:ascii="Times New Roman" w:hAnsi="Times New Roman" w:cs="Times New Roman"/>
          <w:szCs w:val="30"/>
        </w:rPr>
      </w:pPr>
      <w:r>
        <w:rPr>
          <w:rFonts w:hint="default" w:ascii="Times New Roman" w:hAnsi="Times New Roman" w:eastAsia="宋体" w:cs="Times New Roman"/>
          <w:kern w:val="30"/>
          <w:sz w:val="21"/>
          <w:szCs w:val="21"/>
          <w:lang w:val="en-US" w:eastAsia="zh-CN" w:bidi="ar-SA"/>
        </w:rPr>
        <w:t xml:space="preserve">                                          </w:t>
      </w:r>
      <w:r>
        <w:rPr>
          <w:rFonts w:hint="default" w:ascii="Times New Roman" w:hAnsi="Times New Roman" w:cs="Times New Roman"/>
          <w:szCs w:val="30"/>
          <w:lang w:val="en-US" w:eastAsia="zh-CN"/>
        </w:rPr>
        <w:t>2024年9月</w:t>
      </w:r>
    </w:p>
    <w:sectPr>
      <w:pgSz w:w="11906" w:h="16838"/>
      <w:pgMar w:top="2098" w:right="1474" w:bottom="1985" w:left="1588" w:header="851" w:footer="1474" w:gutter="0"/>
      <w:pgNumType w:fmt="decimal"/>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39953B-63F4-46C1-AA90-396A7AABC0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5EB6D98-745A-4387-8E64-912B68BBFF9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31807CE-0555-4A87-848C-2E86F9287A1A}"/>
  </w:font>
  <w:font w:name="楷体_GB2312">
    <w:panose1 w:val="02010609030101010101"/>
    <w:charset w:val="86"/>
    <w:family w:val="modern"/>
    <w:pitch w:val="default"/>
    <w:sig w:usb0="00000001" w:usb1="080E0000" w:usb2="00000000" w:usb3="00000000" w:csb0="00040000" w:csb1="00000000"/>
    <w:embedRegular r:id="rId4" w:fontKey="{8E20BD19-4763-42B2-8861-E4E61A431099}"/>
  </w:font>
  <w:font w:name="楷体">
    <w:panose1 w:val="02010609060101010101"/>
    <w:charset w:val="86"/>
    <w:family w:val="modern"/>
    <w:pitch w:val="default"/>
    <w:sig w:usb0="800002BF" w:usb1="38CF7CFA" w:usb2="00000016" w:usb3="00000000" w:csb0="00040001" w:csb1="00000000"/>
    <w:embedRegular r:id="rId5" w:fontKey="{FC836EFB-F919-4B75-992D-C1EC6B1FCF5E}"/>
  </w:font>
  <w:font w:name="方正小标宋简体">
    <w:panose1 w:val="02000000000000000000"/>
    <w:charset w:val="86"/>
    <w:family w:val="auto"/>
    <w:pitch w:val="default"/>
    <w:sig w:usb0="A00002BF" w:usb1="184F6CFA" w:usb2="00000012" w:usb3="00000000" w:csb0="00040001" w:csb1="00000000"/>
    <w:embedRegular r:id="rId6" w:fontKey="{57C63AC9-7B40-49E0-A0A1-17439531369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978">
    <w:pPr>
      <w:pStyle w:val="12"/>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5C1A">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15240</wp:posOffset>
              </wp:positionV>
              <wp:extent cx="269875" cy="307975"/>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269875" cy="307975"/>
                      </a:xfrm>
                      <a:prstGeom prst="rect">
                        <a:avLst/>
                      </a:prstGeom>
                      <a:noFill/>
                      <a:ln>
                        <a:noFill/>
                      </a:ln>
                    </wps:spPr>
                    <wps:txbx>
                      <w:txbxContent>
                        <w:p w14:paraId="4B222F1F">
                          <w:pPr>
                            <w:pStyle w:val="12"/>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wps:txbx>
                    <wps:bodyPr vert="horz" lIns="0" tIns="0" rIns="0" bIns="0" anchor="t" anchorCtr="0" upright="0"/>
                  </wps:wsp>
                </a:graphicData>
              </a:graphic>
            </wp:anchor>
          </w:drawing>
        </mc:Choice>
        <mc:Fallback>
          <w:pict>
            <v:shape id="文本框 1031" o:spid="_x0000_s1026" o:spt="202" type="#_x0000_t202" style="position:absolute;left:0pt;margin-top:1.2pt;height:24.25pt;width:21.25pt;mso-position-horizontal:center;mso-position-horizontal-relative:margin;z-index:251661312;mso-width-relative:page;mso-height-relative:page;" filled="f" stroked="f" coordsize="21600,21600" o:gfxdata="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zzYq9QAAAAEAQAADwAAAAAAAAABACAAAAAiAAAA&#10;ZHJzL2Rvd25yZXYueG1sUEsBAhQAFAAAAAgAh07iQHjI/ezSAQAAmQMAAA4AAAAAAAAAAQAgAAAA&#10;IwEAAGRycy9lMm9Eb2MueG1sUEsFBgAAAAAGAAYAWQEAAGcFAAAAAA==&#10;">
              <v:fill on="f" focussize="0,0"/>
              <v:stroke on="f"/>
              <v:imagedata o:title=""/>
              <o:lock v:ext="edit" aspectratio="f"/>
              <v:textbox inset="0mm,0mm,0mm,0mm">
                <w:txbxContent>
                  <w:p w14:paraId="4B222F1F">
                    <w:pPr>
                      <w:pStyle w:val="12"/>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EAE2">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15240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DD35F">
                          <w:pPr>
                            <w:pStyle w:val="12"/>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eastAsia="宋体" w:cs="Times New Roman"/>
                              <w:sz w:val="21"/>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1.2pt;height:144pt;width:144pt;mso-position-horizontal:center;mso-position-horizontal-relative:margin;mso-wrap-style:none;z-index:251662336;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b8eTNOEBAADBAwAA&#10;DgAAAAAAAAABACAAAAAiAQAAZHJzL2Uyb0RvYy54bWxQSwUGAAAAAAYABgBZAQAAdQUAAAAA&#10;">
              <v:fill on="f" focussize="0,0"/>
              <v:stroke on="f"/>
              <v:imagedata o:title=""/>
              <o:lock v:ext="edit" aspectratio="f"/>
              <v:textbox inset="0mm,0mm,0mm,0mm" style="mso-fit-shape-to-text:t;">
                <w:txbxContent>
                  <w:p w14:paraId="510DD35F">
                    <w:pPr>
                      <w:pStyle w:val="12"/>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eastAsia="宋体" w:cs="Times New Roman"/>
                        <w:sz w:val="21"/>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0B58">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E9770">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g5iJueEBAADBAwAA&#10;DgAAAAAAAAABACAAAAAiAQAAZHJzL2Uyb0RvYy54bWxQSwUGAAAAAAYABgBZAQAAdQUAAAAA&#10;">
              <v:fill on="f" focussize="0,0"/>
              <v:stroke on="f"/>
              <v:imagedata o:title=""/>
              <o:lock v:ext="edit" aspectratio="f"/>
              <v:textbox inset="0mm,0mm,0mm,0mm" style="mso-fit-shape-to-text:t;">
                <w:txbxContent>
                  <w:p w14:paraId="124E9770">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F754">
    <w:pPr>
      <w:pStyle w:val="12"/>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76A5C">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ANlitTfAQAAwQMAAA4A&#10;AAAAAAAAAQAgAAAAIgEAAGRycy9lMm9Eb2MueG1sUEsFBgAAAAAGAAYAWQEAAHMFAAAAAA==&#10;">
              <v:fill on="f" focussize="0,0"/>
              <v:stroke on="f"/>
              <v:imagedata o:title=""/>
              <o:lock v:ext="edit" aspectratio="f"/>
              <v:textbox inset="0mm,0mm,0mm,0mm" style="mso-fit-shape-to-text:t;">
                <w:txbxContent>
                  <w:p w14:paraId="30076A5C">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867E">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r>
      <w:rPr>
        <w:rFonts w:hint="eastAsia"/>
        <w:lang w:val="en-US" w:eastAsia="zh-CN"/>
      </w:rPr>
      <w:br w:type="textWrapping"/>
    </w:r>
  </w:p>
  <w:p w14:paraId="3E6007F3">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sz w:val="21"/>
        <w:szCs w:val="21"/>
      </w:rPr>
    </w:pPr>
    <w:r>
      <w:rPr>
        <w:rFonts w:hint="eastAsia"/>
        <w:lang w:val="en-US" w:eastAsia="zh-CN"/>
      </w:rPr>
      <w:t xml:space="preserve">      2023年度第一批省级新型基础设施建设专项资金项目支出绩效评价报告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A191">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4AC10112">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DBEA175">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pPr>
    <w:r>
      <w:rPr>
        <w:rFonts w:hint="eastAsia"/>
        <w:lang w:val="en-US" w:eastAsia="zh-CN"/>
      </w:rPr>
      <w:t xml:space="preserve">       2023年度第一批省级新型基础设施建设专项资金项目支出绩效评价报告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44202"/>
    <w:multiLevelType w:val="singleLevel"/>
    <w:tmpl w:val="D194420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NjMwMDRkNDI2MzY3YWFkOWJjOWEyNjI3ZGViNmE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2613"/>
    <w:rsid w:val="001836BB"/>
    <w:rsid w:val="00183D89"/>
    <w:rsid w:val="001844AE"/>
    <w:rsid w:val="00184577"/>
    <w:rsid w:val="0018788E"/>
    <w:rsid w:val="001905A5"/>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2CC8"/>
    <w:rsid w:val="00283F38"/>
    <w:rsid w:val="00285265"/>
    <w:rsid w:val="00290595"/>
    <w:rsid w:val="002917E5"/>
    <w:rsid w:val="0029356B"/>
    <w:rsid w:val="002A020A"/>
    <w:rsid w:val="002A1DF7"/>
    <w:rsid w:val="002A5AD2"/>
    <w:rsid w:val="002A6EAA"/>
    <w:rsid w:val="002B3F00"/>
    <w:rsid w:val="002B7B5E"/>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586"/>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7854"/>
    <w:rsid w:val="00882E11"/>
    <w:rsid w:val="00884635"/>
    <w:rsid w:val="00885EF1"/>
    <w:rsid w:val="00890F31"/>
    <w:rsid w:val="00893649"/>
    <w:rsid w:val="00894CB7"/>
    <w:rsid w:val="00896267"/>
    <w:rsid w:val="00896DBE"/>
    <w:rsid w:val="008A096F"/>
    <w:rsid w:val="008A3471"/>
    <w:rsid w:val="008A5EF0"/>
    <w:rsid w:val="008B035B"/>
    <w:rsid w:val="008B4790"/>
    <w:rsid w:val="008C134F"/>
    <w:rsid w:val="008C1413"/>
    <w:rsid w:val="008C33C4"/>
    <w:rsid w:val="008C3699"/>
    <w:rsid w:val="008D007F"/>
    <w:rsid w:val="008D5ECA"/>
    <w:rsid w:val="008D6C00"/>
    <w:rsid w:val="008D7D2E"/>
    <w:rsid w:val="008E077D"/>
    <w:rsid w:val="008E0FBB"/>
    <w:rsid w:val="008E70EF"/>
    <w:rsid w:val="008F0F5E"/>
    <w:rsid w:val="008F2F92"/>
    <w:rsid w:val="008F689B"/>
    <w:rsid w:val="00901D0E"/>
    <w:rsid w:val="009034E6"/>
    <w:rsid w:val="00903C2E"/>
    <w:rsid w:val="0090678C"/>
    <w:rsid w:val="00910CE3"/>
    <w:rsid w:val="00915956"/>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4DC6"/>
    <w:rsid w:val="00B55B57"/>
    <w:rsid w:val="00B567D7"/>
    <w:rsid w:val="00B57693"/>
    <w:rsid w:val="00B61B4E"/>
    <w:rsid w:val="00B70DE9"/>
    <w:rsid w:val="00B74E74"/>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4C0D"/>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C031D"/>
    <w:rsid w:val="00EC2985"/>
    <w:rsid w:val="00EC33B7"/>
    <w:rsid w:val="00EC366B"/>
    <w:rsid w:val="00EC5738"/>
    <w:rsid w:val="00EC5BA4"/>
    <w:rsid w:val="00ED063F"/>
    <w:rsid w:val="00ED7CDD"/>
    <w:rsid w:val="00ED7FF2"/>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C74"/>
    <w:rsid w:val="00F57207"/>
    <w:rsid w:val="00F5747F"/>
    <w:rsid w:val="00F606DB"/>
    <w:rsid w:val="00F63A66"/>
    <w:rsid w:val="00F644D9"/>
    <w:rsid w:val="00F656A9"/>
    <w:rsid w:val="00F66DF8"/>
    <w:rsid w:val="00F67ECF"/>
    <w:rsid w:val="00F70120"/>
    <w:rsid w:val="00F72138"/>
    <w:rsid w:val="00F72CA9"/>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487061"/>
    <w:rsid w:val="017D4F5C"/>
    <w:rsid w:val="019E4ED3"/>
    <w:rsid w:val="01B31EA0"/>
    <w:rsid w:val="01C71945"/>
    <w:rsid w:val="022278B2"/>
    <w:rsid w:val="0227311A"/>
    <w:rsid w:val="02497534"/>
    <w:rsid w:val="026558D4"/>
    <w:rsid w:val="0295277A"/>
    <w:rsid w:val="02AD361F"/>
    <w:rsid w:val="02F079B0"/>
    <w:rsid w:val="0314369E"/>
    <w:rsid w:val="03230731"/>
    <w:rsid w:val="0332621A"/>
    <w:rsid w:val="03547F3F"/>
    <w:rsid w:val="037C1244"/>
    <w:rsid w:val="03CF5817"/>
    <w:rsid w:val="03FF60FC"/>
    <w:rsid w:val="040631D7"/>
    <w:rsid w:val="041D2A27"/>
    <w:rsid w:val="042C4A18"/>
    <w:rsid w:val="043E08AE"/>
    <w:rsid w:val="045F1543"/>
    <w:rsid w:val="05746809"/>
    <w:rsid w:val="05A21435"/>
    <w:rsid w:val="05B922DB"/>
    <w:rsid w:val="05C12294"/>
    <w:rsid w:val="065344DE"/>
    <w:rsid w:val="066A7A79"/>
    <w:rsid w:val="06734B80"/>
    <w:rsid w:val="06A50AB1"/>
    <w:rsid w:val="06ED4932"/>
    <w:rsid w:val="074A1D85"/>
    <w:rsid w:val="084E1401"/>
    <w:rsid w:val="086C4384"/>
    <w:rsid w:val="0910235B"/>
    <w:rsid w:val="0955056D"/>
    <w:rsid w:val="098B3F8E"/>
    <w:rsid w:val="09D73678"/>
    <w:rsid w:val="09EA33AB"/>
    <w:rsid w:val="0A4505E1"/>
    <w:rsid w:val="0AB93C3A"/>
    <w:rsid w:val="0B397F4D"/>
    <w:rsid w:val="0B5C5BE2"/>
    <w:rsid w:val="0B7C44D7"/>
    <w:rsid w:val="0B8B64C8"/>
    <w:rsid w:val="0BB80875"/>
    <w:rsid w:val="0C061FF2"/>
    <w:rsid w:val="0C3D1EB8"/>
    <w:rsid w:val="0C5E1E2E"/>
    <w:rsid w:val="0C8952EC"/>
    <w:rsid w:val="0CC55A09"/>
    <w:rsid w:val="0CEC2532"/>
    <w:rsid w:val="0D074274"/>
    <w:rsid w:val="0D110C4F"/>
    <w:rsid w:val="0D673E7E"/>
    <w:rsid w:val="0D7F205C"/>
    <w:rsid w:val="0D837D9E"/>
    <w:rsid w:val="0DBD4932"/>
    <w:rsid w:val="0DC70C8E"/>
    <w:rsid w:val="0DF13BA7"/>
    <w:rsid w:val="0E034A3B"/>
    <w:rsid w:val="0E26697C"/>
    <w:rsid w:val="0E43308A"/>
    <w:rsid w:val="0E52151F"/>
    <w:rsid w:val="0E701D89"/>
    <w:rsid w:val="0E8F62CF"/>
    <w:rsid w:val="0E9B1118"/>
    <w:rsid w:val="0EAC6E81"/>
    <w:rsid w:val="0EED1247"/>
    <w:rsid w:val="0F056591"/>
    <w:rsid w:val="0F20786F"/>
    <w:rsid w:val="0F661726"/>
    <w:rsid w:val="0F751969"/>
    <w:rsid w:val="0FCB3337"/>
    <w:rsid w:val="101A42BE"/>
    <w:rsid w:val="104B4477"/>
    <w:rsid w:val="10CD30DE"/>
    <w:rsid w:val="10D2137D"/>
    <w:rsid w:val="113E3FDC"/>
    <w:rsid w:val="114E06C3"/>
    <w:rsid w:val="11733C86"/>
    <w:rsid w:val="11965BC6"/>
    <w:rsid w:val="11BF336F"/>
    <w:rsid w:val="11C269BB"/>
    <w:rsid w:val="11DB182B"/>
    <w:rsid w:val="123E24E6"/>
    <w:rsid w:val="12560960"/>
    <w:rsid w:val="128679E9"/>
    <w:rsid w:val="13174AE5"/>
    <w:rsid w:val="131B45D5"/>
    <w:rsid w:val="14180B15"/>
    <w:rsid w:val="145558C5"/>
    <w:rsid w:val="148B7538"/>
    <w:rsid w:val="14A423A8"/>
    <w:rsid w:val="15670DB0"/>
    <w:rsid w:val="157E0E4B"/>
    <w:rsid w:val="15892E91"/>
    <w:rsid w:val="15D373E9"/>
    <w:rsid w:val="15EC2259"/>
    <w:rsid w:val="16481B85"/>
    <w:rsid w:val="16A30ACD"/>
    <w:rsid w:val="16AC1EA3"/>
    <w:rsid w:val="16B03286"/>
    <w:rsid w:val="16BC7E7D"/>
    <w:rsid w:val="170C23C3"/>
    <w:rsid w:val="172872C1"/>
    <w:rsid w:val="177E5132"/>
    <w:rsid w:val="18D07C10"/>
    <w:rsid w:val="192817FA"/>
    <w:rsid w:val="1929525A"/>
    <w:rsid w:val="193B777F"/>
    <w:rsid w:val="196D36B1"/>
    <w:rsid w:val="19D618FD"/>
    <w:rsid w:val="19F94F44"/>
    <w:rsid w:val="1A8A3DEE"/>
    <w:rsid w:val="1AD5150D"/>
    <w:rsid w:val="1ADF238C"/>
    <w:rsid w:val="1AE71241"/>
    <w:rsid w:val="1B040045"/>
    <w:rsid w:val="1B470A92"/>
    <w:rsid w:val="1B8F49C6"/>
    <w:rsid w:val="1C19367C"/>
    <w:rsid w:val="1C314E69"/>
    <w:rsid w:val="1CC23D13"/>
    <w:rsid w:val="1D3C5874"/>
    <w:rsid w:val="1D5F77B4"/>
    <w:rsid w:val="1D686669"/>
    <w:rsid w:val="1D976F4E"/>
    <w:rsid w:val="1E7D6144"/>
    <w:rsid w:val="1ED0096A"/>
    <w:rsid w:val="1EEC32CA"/>
    <w:rsid w:val="1F0E4FEE"/>
    <w:rsid w:val="1F6D440A"/>
    <w:rsid w:val="1F707A57"/>
    <w:rsid w:val="1FD224BF"/>
    <w:rsid w:val="1FE67D19"/>
    <w:rsid w:val="20086079"/>
    <w:rsid w:val="203E7B55"/>
    <w:rsid w:val="204E56EC"/>
    <w:rsid w:val="20586E69"/>
    <w:rsid w:val="20A53730"/>
    <w:rsid w:val="21336F8E"/>
    <w:rsid w:val="217E5254"/>
    <w:rsid w:val="21C83B7A"/>
    <w:rsid w:val="21EA1D42"/>
    <w:rsid w:val="220646A2"/>
    <w:rsid w:val="22121299"/>
    <w:rsid w:val="22821F7B"/>
    <w:rsid w:val="22A75EA3"/>
    <w:rsid w:val="22DF268F"/>
    <w:rsid w:val="230F7587"/>
    <w:rsid w:val="237F67AF"/>
    <w:rsid w:val="241237D2"/>
    <w:rsid w:val="2423153B"/>
    <w:rsid w:val="2443398C"/>
    <w:rsid w:val="246B4024"/>
    <w:rsid w:val="24A06F13"/>
    <w:rsid w:val="24B2466D"/>
    <w:rsid w:val="24C17028"/>
    <w:rsid w:val="25621B82"/>
    <w:rsid w:val="25B82157"/>
    <w:rsid w:val="2629095F"/>
    <w:rsid w:val="262D48F3"/>
    <w:rsid w:val="26396DF4"/>
    <w:rsid w:val="26881B2A"/>
    <w:rsid w:val="26D11723"/>
    <w:rsid w:val="26D66D39"/>
    <w:rsid w:val="26FE3B9A"/>
    <w:rsid w:val="273870AC"/>
    <w:rsid w:val="276205CD"/>
    <w:rsid w:val="27893DAB"/>
    <w:rsid w:val="27D45508"/>
    <w:rsid w:val="28017DE6"/>
    <w:rsid w:val="28137B19"/>
    <w:rsid w:val="282B09BF"/>
    <w:rsid w:val="283C2BCC"/>
    <w:rsid w:val="28802805"/>
    <w:rsid w:val="28D472A8"/>
    <w:rsid w:val="28ED3EC6"/>
    <w:rsid w:val="29194CBB"/>
    <w:rsid w:val="295E3016"/>
    <w:rsid w:val="298365D8"/>
    <w:rsid w:val="29A0609E"/>
    <w:rsid w:val="29C80C72"/>
    <w:rsid w:val="29F00112"/>
    <w:rsid w:val="2A383867"/>
    <w:rsid w:val="2A63351A"/>
    <w:rsid w:val="2AA66A22"/>
    <w:rsid w:val="2ACB46DB"/>
    <w:rsid w:val="2AE8528D"/>
    <w:rsid w:val="2B2254BD"/>
    <w:rsid w:val="2B227C39"/>
    <w:rsid w:val="2B7E50A1"/>
    <w:rsid w:val="2BFD6B16"/>
    <w:rsid w:val="2C536736"/>
    <w:rsid w:val="2C8114F5"/>
    <w:rsid w:val="2C923702"/>
    <w:rsid w:val="2C940DCC"/>
    <w:rsid w:val="2D6055AE"/>
    <w:rsid w:val="2D7921CC"/>
    <w:rsid w:val="2DAA6F41"/>
    <w:rsid w:val="2DAE631A"/>
    <w:rsid w:val="2DC72F38"/>
    <w:rsid w:val="2DF16206"/>
    <w:rsid w:val="2E075A2A"/>
    <w:rsid w:val="2E165C6D"/>
    <w:rsid w:val="2EB11931"/>
    <w:rsid w:val="2EBD433B"/>
    <w:rsid w:val="2ED022C0"/>
    <w:rsid w:val="2EE0158C"/>
    <w:rsid w:val="2EFA76D2"/>
    <w:rsid w:val="2F0D52C2"/>
    <w:rsid w:val="2F2E6FE6"/>
    <w:rsid w:val="2F6D5D61"/>
    <w:rsid w:val="2F9432ED"/>
    <w:rsid w:val="300E30A0"/>
    <w:rsid w:val="302E3742"/>
    <w:rsid w:val="30443FDF"/>
    <w:rsid w:val="30D30A7B"/>
    <w:rsid w:val="30DD2A72"/>
    <w:rsid w:val="30EB33E1"/>
    <w:rsid w:val="30F304E8"/>
    <w:rsid w:val="31E57E30"/>
    <w:rsid w:val="320C1861"/>
    <w:rsid w:val="32284BF5"/>
    <w:rsid w:val="32496611"/>
    <w:rsid w:val="32700042"/>
    <w:rsid w:val="32841131"/>
    <w:rsid w:val="32AA2E28"/>
    <w:rsid w:val="32D22AAA"/>
    <w:rsid w:val="3369683F"/>
    <w:rsid w:val="343230D5"/>
    <w:rsid w:val="343E1A7A"/>
    <w:rsid w:val="345474EF"/>
    <w:rsid w:val="34A51AF9"/>
    <w:rsid w:val="34A90093"/>
    <w:rsid w:val="34B74D68"/>
    <w:rsid w:val="35A95619"/>
    <w:rsid w:val="360F36CE"/>
    <w:rsid w:val="366652B8"/>
    <w:rsid w:val="367D2D2D"/>
    <w:rsid w:val="368A369C"/>
    <w:rsid w:val="372E4027"/>
    <w:rsid w:val="378E4AC6"/>
    <w:rsid w:val="37CD1A92"/>
    <w:rsid w:val="385C2E16"/>
    <w:rsid w:val="38710670"/>
    <w:rsid w:val="38A071A7"/>
    <w:rsid w:val="38DF7CCF"/>
    <w:rsid w:val="390E4110"/>
    <w:rsid w:val="39227BBC"/>
    <w:rsid w:val="393826A7"/>
    <w:rsid w:val="3A86417A"/>
    <w:rsid w:val="3ABB02C8"/>
    <w:rsid w:val="3B765F9D"/>
    <w:rsid w:val="3BD827B4"/>
    <w:rsid w:val="3BF375EE"/>
    <w:rsid w:val="3C1F6635"/>
    <w:rsid w:val="3C5C33E5"/>
    <w:rsid w:val="3C720E5A"/>
    <w:rsid w:val="3CF07013"/>
    <w:rsid w:val="3D622C7D"/>
    <w:rsid w:val="3DA23079"/>
    <w:rsid w:val="3E3E7246"/>
    <w:rsid w:val="3E7E7642"/>
    <w:rsid w:val="3ECE4ADB"/>
    <w:rsid w:val="3EE85404"/>
    <w:rsid w:val="3F0264C5"/>
    <w:rsid w:val="3F520ACF"/>
    <w:rsid w:val="3FB20368"/>
    <w:rsid w:val="3FB44399"/>
    <w:rsid w:val="3FEE6A4A"/>
    <w:rsid w:val="40613349"/>
    <w:rsid w:val="40760500"/>
    <w:rsid w:val="408B6047"/>
    <w:rsid w:val="41253E3C"/>
    <w:rsid w:val="4162324B"/>
    <w:rsid w:val="41A47EAA"/>
    <w:rsid w:val="41B94E35"/>
    <w:rsid w:val="41C757A4"/>
    <w:rsid w:val="423D1B0D"/>
    <w:rsid w:val="42530DE6"/>
    <w:rsid w:val="42D31F27"/>
    <w:rsid w:val="42F223AD"/>
    <w:rsid w:val="42F500EF"/>
    <w:rsid w:val="43087E22"/>
    <w:rsid w:val="43596C77"/>
    <w:rsid w:val="438104E1"/>
    <w:rsid w:val="43893EEA"/>
    <w:rsid w:val="43A13550"/>
    <w:rsid w:val="43E066A9"/>
    <w:rsid w:val="43F108B7"/>
    <w:rsid w:val="44255497"/>
    <w:rsid w:val="44316F05"/>
    <w:rsid w:val="44421112"/>
    <w:rsid w:val="450E5498"/>
    <w:rsid w:val="45194C57"/>
    <w:rsid w:val="459B4F7E"/>
    <w:rsid w:val="45F56F48"/>
    <w:rsid w:val="463B22BD"/>
    <w:rsid w:val="46AE2A8F"/>
    <w:rsid w:val="46C027C2"/>
    <w:rsid w:val="471548BC"/>
    <w:rsid w:val="471843AC"/>
    <w:rsid w:val="47887784"/>
    <w:rsid w:val="4792415F"/>
    <w:rsid w:val="47BC11DC"/>
    <w:rsid w:val="47D429C9"/>
    <w:rsid w:val="48B545A9"/>
    <w:rsid w:val="48CE7418"/>
    <w:rsid w:val="49172B6D"/>
    <w:rsid w:val="499917D4"/>
    <w:rsid w:val="49EC3FFA"/>
    <w:rsid w:val="4A1E7F2C"/>
    <w:rsid w:val="4A275032"/>
    <w:rsid w:val="4A5646C6"/>
    <w:rsid w:val="4A9D70A2"/>
    <w:rsid w:val="4AB34B18"/>
    <w:rsid w:val="4ABF240E"/>
    <w:rsid w:val="4AF8077D"/>
    <w:rsid w:val="4B0C5FD6"/>
    <w:rsid w:val="4B447E66"/>
    <w:rsid w:val="4B614574"/>
    <w:rsid w:val="4B78366B"/>
    <w:rsid w:val="4BD905AE"/>
    <w:rsid w:val="4BF058F8"/>
    <w:rsid w:val="4C3954F1"/>
    <w:rsid w:val="4C5D7084"/>
    <w:rsid w:val="4C987480"/>
    <w:rsid w:val="4CC21042"/>
    <w:rsid w:val="4D243AAB"/>
    <w:rsid w:val="4D4B2839"/>
    <w:rsid w:val="4DBA61BD"/>
    <w:rsid w:val="4E086F29"/>
    <w:rsid w:val="4E8F764A"/>
    <w:rsid w:val="4F1D07B2"/>
    <w:rsid w:val="4F251D5C"/>
    <w:rsid w:val="4F532425"/>
    <w:rsid w:val="4F552641"/>
    <w:rsid w:val="4F870321"/>
    <w:rsid w:val="4FA669F9"/>
    <w:rsid w:val="4FB70C06"/>
    <w:rsid w:val="4FF97471"/>
    <w:rsid w:val="50297C96"/>
    <w:rsid w:val="50302767"/>
    <w:rsid w:val="504D156B"/>
    <w:rsid w:val="50854D82"/>
    <w:rsid w:val="50A218B6"/>
    <w:rsid w:val="50CA2BBB"/>
    <w:rsid w:val="50CA4969"/>
    <w:rsid w:val="515474D2"/>
    <w:rsid w:val="51A21442"/>
    <w:rsid w:val="51B64EEE"/>
    <w:rsid w:val="51D830B6"/>
    <w:rsid w:val="523C1897"/>
    <w:rsid w:val="52426781"/>
    <w:rsid w:val="52CF6267"/>
    <w:rsid w:val="53DB0C3B"/>
    <w:rsid w:val="542B1BC3"/>
    <w:rsid w:val="54662BFB"/>
    <w:rsid w:val="54A84109"/>
    <w:rsid w:val="54A93F3B"/>
    <w:rsid w:val="54F75F49"/>
    <w:rsid w:val="55142657"/>
    <w:rsid w:val="555111B5"/>
    <w:rsid w:val="55564A1D"/>
    <w:rsid w:val="55603AEE"/>
    <w:rsid w:val="5575291E"/>
    <w:rsid w:val="56020701"/>
    <w:rsid w:val="56466840"/>
    <w:rsid w:val="565076BF"/>
    <w:rsid w:val="566273F2"/>
    <w:rsid w:val="56FD4225"/>
    <w:rsid w:val="573E1C0D"/>
    <w:rsid w:val="576F0018"/>
    <w:rsid w:val="5778511F"/>
    <w:rsid w:val="57914433"/>
    <w:rsid w:val="57D90083"/>
    <w:rsid w:val="58711B6E"/>
    <w:rsid w:val="58B33A31"/>
    <w:rsid w:val="58ED5699"/>
    <w:rsid w:val="597D4C6F"/>
    <w:rsid w:val="598B6C60"/>
    <w:rsid w:val="59AC5554"/>
    <w:rsid w:val="5A643739"/>
    <w:rsid w:val="5A706581"/>
    <w:rsid w:val="5AA247F9"/>
    <w:rsid w:val="5B10566E"/>
    <w:rsid w:val="5B5A4B3C"/>
    <w:rsid w:val="5B9462A0"/>
    <w:rsid w:val="5BDB5C7C"/>
    <w:rsid w:val="5BFD0E7B"/>
    <w:rsid w:val="5C361105"/>
    <w:rsid w:val="5C381321"/>
    <w:rsid w:val="5C3D6937"/>
    <w:rsid w:val="5CB0535B"/>
    <w:rsid w:val="5CC46711"/>
    <w:rsid w:val="5CE96177"/>
    <w:rsid w:val="5D170F36"/>
    <w:rsid w:val="5D6879E4"/>
    <w:rsid w:val="5D880074"/>
    <w:rsid w:val="5D9C768D"/>
    <w:rsid w:val="5E145476"/>
    <w:rsid w:val="5E6F3446"/>
    <w:rsid w:val="5E8819C0"/>
    <w:rsid w:val="5E9A1E1F"/>
    <w:rsid w:val="5EA44A4C"/>
    <w:rsid w:val="5EA467FA"/>
    <w:rsid w:val="5F011E9E"/>
    <w:rsid w:val="5F8B0797"/>
    <w:rsid w:val="5FD473D2"/>
    <w:rsid w:val="5FE1582B"/>
    <w:rsid w:val="6052563D"/>
    <w:rsid w:val="60F03F78"/>
    <w:rsid w:val="611D0AE5"/>
    <w:rsid w:val="61493688"/>
    <w:rsid w:val="617947F2"/>
    <w:rsid w:val="61A9664A"/>
    <w:rsid w:val="61AD3C17"/>
    <w:rsid w:val="61E67129"/>
    <w:rsid w:val="61F60246"/>
    <w:rsid w:val="62165C60"/>
    <w:rsid w:val="62404A8B"/>
    <w:rsid w:val="62514C75"/>
    <w:rsid w:val="62F85366"/>
    <w:rsid w:val="63260125"/>
    <w:rsid w:val="632C5010"/>
    <w:rsid w:val="634412E8"/>
    <w:rsid w:val="639257BA"/>
    <w:rsid w:val="63D01E3F"/>
    <w:rsid w:val="63D57455"/>
    <w:rsid w:val="63E36016"/>
    <w:rsid w:val="63FB1729"/>
    <w:rsid w:val="64340B77"/>
    <w:rsid w:val="64632CB3"/>
    <w:rsid w:val="647C1FC7"/>
    <w:rsid w:val="64BE613B"/>
    <w:rsid w:val="64DB6CED"/>
    <w:rsid w:val="6545060B"/>
    <w:rsid w:val="654B3E73"/>
    <w:rsid w:val="6580532C"/>
    <w:rsid w:val="662E7568"/>
    <w:rsid w:val="670858C3"/>
    <w:rsid w:val="67360434"/>
    <w:rsid w:val="674D37A6"/>
    <w:rsid w:val="67E05761"/>
    <w:rsid w:val="67EB193A"/>
    <w:rsid w:val="681E6D9B"/>
    <w:rsid w:val="688558EE"/>
    <w:rsid w:val="68E05E96"/>
    <w:rsid w:val="6931512E"/>
    <w:rsid w:val="69AB1384"/>
    <w:rsid w:val="69B018C1"/>
    <w:rsid w:val="69E74C9F"/>
    <w:rsid w:val="6A026ACA"/>
    <w:rsid w:val="6A38073E"/>
    <w:rsid w:val="6A54607C"/>
    <w:rsid w:val="6AA81420"/>
    <w:rsid w:val="6AEA7C8A"/>
    <w:rsid w:val="6B2A7872"/>
    <w:rsid w:val="6BD46244"/>
    <w:rsid w:val="6BEC5C84"/>
    <w:rsid w:val="6C076B5D"/>
    <w:rsid w:val="6C1D48F5"/>
    <w:rsid w:val="6C240F7A"/>
    <w:rsid w:val="6C8F526F"/>
    <w:rsid w:val="6C9500C9"/>
    <w:rsid w:val="6C983716"/>
    <w:rsid w:val="6C9B27B9"/>
    <w:rsid w:val="6CAE4CE7"/>
    <w:rsid w:val="6CEE52C1"/>
    <w:rsid w:val="6CF7043C"/>
    <w:rsid w:val="6CFA7F2C"/>
    <w:rsid w:val="6D487076"/>
    <w:rsid w:val="6D667370"/>
    <w:rsid w:val="6DC5053A"/>
    <w:rsid w:val="6DE07122"/>
    <w:rsid w:val="6E142972"/>
    <w:rsid w:val="6E2656F3"/>
    <w:rsid w:val="6E2C2368"/>
    <w:rsid w:val="6E445903"/>
    <w:rsid w:val="6E7D0E15"/>
    <w:rsid w:val="6E867CCA"/>
    <w:rsid w:val="6EAD16FA"/>
    <w:rsid w:val="6ED21161"/>
    <w:rsid w:val="6F285225"/>
    <w:rsid w:val="6F347726"/>
    <w:rsid w:val="6F5002D8"/>
    <w:rsid w:val="6F59718C"/>
    <w:rsid w:val="6F773AB6"/>
    <w:rsid w:val="6F8D5088"/>
    <w:rsid w:val="6FF46EB5"/>
    <w:rsid w:val="70090BB2"/>
    <w:rsid w:val="70716758"/>
    <w:rsid w:val="70903082"/>
    <w:rsid w:val="70DD5B9B"/>
    <w:rsid w:val="70E4517B"/>
    <w:rsid w:val="716167CC"/>
    <w:rsid w:val="717402AD"/>
    <w:rsid w:val="71744751"/>
    <w:rsid w:val="718F158B"/>
    <w:rsid w:val="71EF3DD8"/>
    <w:rsid w:val="72536115"/>
    <w:rsid w:val="72C05E22"/>
    <w:rsid w:val="72F42ADE"/>
    <w:rsid w:val="72F9501D"/>
    <w:rsid w:val="732D2E0A"/>
    <w:rsid w:val="733D0B73"/>
    <w:rsid w:val="7349576A"/>
    <w:rsid w:val="735A34D3"/>
    <w:rsid w:val="73CD0149"/>
    <w:rsid w:val="74F55BA9"/>
    <w:rsid w:val="757B6B58"/>
    <w:rsid w:val="75894543"/>
    <w:rsid w:val="758D7B90"/>
    <w:rsid w:val="759C6025"/>
    <w:rsid w:val="75DB4D9F"/>
    <w:rsid w:val="75F23E97"/>
    <w:rsid w:val="76481691"/>
    <w:rsid w:val="765E777E"/>
    <w:rsid w:val="769170CF"/>
    <w:rsid w:val="76A2766B"/>
    <w:rsid w:val="76B33626"/>
    <w:rsid w:val="76CA0970"/>
    <w:rsid w:val="770C0F88"/>
    <w:rsid w:val="776A072F"/>
    <w:rsid w:val="77846D70"/>
    <w:rsid w:val="779372B6"/>
    <w:rsid w:val="77FB188A"/>
    <w:rsid w:val="782F3180"/>
    <w:rsid w:val="78B804C6"/>
    <w:rsid w:val="792F71B0"/>
    <w:rsid w:val="79C81CEF"/>
    <w:rsid w:val="7A146AD1"/>
    <w:rsid w:val="7A560E98"/>
    <w:rsid w:val="7A652E89"/>
    <w:rsid w:val="7A990D85"/>
    <w:rsid w:val="7AC25DA8"/>
    <w:rsid w:val="7AD3663F"/>
    <w:rsid w:val="7AE67CE9"/>
    <w:rsid w:val="7B430CF1"/>
    <w:rsid w:val="7BA23C69"/>
    <w:rsid w:val="7C091F3A"/>
    <w:rsid w:val="7C392FCB"/>
    <w:rsid w:val="7C49196C"/>
    <w:rsid w:val="7C701FB9"/>
    <w:rsid w:val="7C865339"/>
    <w:rsid w:val="7D0C7F34"/>
    <w:rsid w:val="7DD32800"/>
    <w:rsid w:val="7E1E7F1F"/>
    <w:rsid w:val="7E265025"/>
    <w:rsid w:val="7E971A7F"/>
    <w:rsid w:val="7F2E23E3"/>
    <w:rsid w:val="7F65392B"/>
    <w:rsid w:val="7F6F6558"/>
    <w:rsid w:val="7FCF6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7"/>
    <w:autoRedefine/>
    <w:qFormat/>
    <w:uiPriority w:val="99"/>
    <w:pPr>
      <w:keepNext/>
      <w:keepLines/>
      <w:spacing w:before="260" w:after="260" w:line="416" w:lineRule="auto"/>
      <w:outlineLvl w:val="2"/>
    </w:pPr>
    <w:rPr>
      <w:b/>
      <w:bCs/>
      <w:kern w:val="0"/>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43"/>
    <w:autoRedefine/>
    <w:semiHidden/>
    <w:unhideWhenUsed/>
    <w:qFormat/>
    <w:uiPriority w:val="99"/>
    <w:rPr>
      <w:rFonts w:ascii="宋体"/>
      <w:sz w:val="18"/>
      <w:szCs w:val="18"/>
    </w:rPr>
  </w:style>
  <w:style w:type="paragraph" w:styleId="7">
    <w:name w:val="annotation text"/>
    <w:basedOn w:val="1"/>
    <w:link w:val="41"/>
    <w:autoRedefine/>
    <w:unhideWhenUsed/>
    <w:qFormat/>
    <w:uiPriority w:val="99"/>
    <w:pPr>
      <w:jc w:val="left"/>
    </w:pPr>
  </w:style>
  <w:style w:type="paragraph" w:styleId="8">
    <w:name w:val="Body Text"/>
    <w:basedOn w:val="1"/>
    <w:next w:val="9"/>
    <w:link w:val="48"/>
    <w:autoRedefine/>
    <w:qFormat/>
    <w:uiPriority w:val="1"/>
    <w:pPr>
      <w:ind w:left="119"/>
      <w:jc w:val="left"/>
    </w:pPr>
    <w:rPr>
      <w:rFonts w:ascii="仿宋_GB2312" w:hAnsi="仿宋_GB2312" w:eastAsia="仿宋_GB2312" w:cstheme="minorBidi"/>
      <w:kern w:val="0"/>
      <w:szCs w:val="30"/>
      <w:lang w:eastAsia="en-US"/>
    </w:rPr>
  </w:style>
  <w:style w:type="paragraph" w:styleId="9">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Balloon Text"/>
    <w:basedOn w:val="1"/>
    <w:link w:val="40"/>
    <w:autoRedefine/>
    <w:semiHidden/>
    <w:unhideWhenUsed/>
    <w:qFormat/>
    <w:uiPriority w:val="99"/>
    <w:rPr>
      <w:sz w:val="18"/>
      <w:szCs w:val="18"/>
    </w:rPr>
  </w:style>
  <w:style w:type="paragraph" w:styleId="12">
    <w:name w:val="footer"/>
    <w:basedOn w:val="1"/>
    <w:link w:val="3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5">
    <w:name w:val="footnote text"/>
    <w:basedOn w:val="1"/>
    <w:semiHidden/>
    <w:unhideWhenUsed/>
    <w:qFormat/>
    <w:uiPriority w:val="99"/>
    <w:pPr>
      <w:snapToGrid w:val="0"/>
      <w:jc w:val="left"/>
    </w:pPr>
    <w:rPr>
      <w:sz w:val="18"/>
    </w:rPr>
  </w:style>
  <w:style w:type="paragraph" w:styleId="16">
    <w:name w:val="table of figures"/>
    <w:basedOn w:val="1"/>
    <w:next w:val="1"/>
    <w:autoRedefine/>
    <w:unhideWhenUsed/>
    <w:qFormat/>
    <w:uiPriority w:val="0"/>
    <w:pPr>
      <w:spacing w:line="360" w:lineRule="auto"/>
      <w:ind w:left="200" w:leftChars="200" w:hanging="200" w:hangingChars="200"/>
      <w:jc w:val="left"/>
    </w:pPr>
    <w:rPr>
      <w:sz w:val="24"/>
    </w:rPr>
  </w:style>
  <w:style w:type="paragraph" w:styleId="17">
    <w:name w:val="toc 2"/>
    <w:basedOn w:val="1"/>
    <w:next w:val="1"/>
    <w:autoRedefine/>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annotation subject"/>
    <w:basedOn w:val="7"/>
    <w:next w:val="7"/>
    <w:link w:val="42"/>
    <w:autoRedefine/>
    <w:semiHidden/>
    <w:unhideWhenUsed/>
    <w:qFormat/>
    <w:uiPriority w:val="99"/>
    <w:rPr>
      <w:b/>
      <w:bCs/>
    </w:rPr>
  </w:style>
  <w:style w:type="paragraph" w:styleId="20">
    <w:name w:val="Body Text First Indent"/>
    <w:basedOn w:val="8"/>
    <w:autoRedefine/>
    <w:semiHidden/>
    <w:unhideWhenUsed/>
    <w:qFormat/>
    <w:uiPriority w:val="99"/>
    <w:pPr>
      <w:ind w:firstLine="420" w:firstLineChars="100"/>
    </w:pPr>
  </w:style>
  <w:style w:type="table" w:styleId="22">
    <w:name w:val="Table Grid"/>
    <w:basedOn w:val="21"/>
    <w:autoRedefine/>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basedOn w:val="23"/>
    <w:qFormat/>
    <w:uiPriority w:val="22"/>
    <w:rPr>
      <w:b/>
    </w:rPr>
  </w:style>
  <w:style w:type="character" w:styleId="25">
    <w:name w:val="page number"/>
    <w:basedOn w:val="23"/>
    <w:autoRedefine/>
    <w:qFormat/>
    <w:uiPriority w:val="0"/>
  </w:style>
  <w:style w:type="character" w:styleId="26">
    <w:name w:val="Hyperlink"/>
    <w:basedOn w:val="23"/>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3"/>
    <w:autoRedefine/>
    <w:semiHidden/>
    <w:unhideWhenUsed/>
    <w:qFormat/>
    <w:uiPriority w:val="99"/>
    <w:rPr>
      <w:sz w:val="21"/>
      <w:szCs w:val="21"/>
    </w:rPr>
  </w:style>
  <w:style w:type="character" w:styleId="28">
    <w:name w:val="footnote reference"/>
    <w:basedOn w:val="23"/>
    <w:semiHidden/>
    <w:unhideWhenUsed/>
    <w:qFormat/>
    <w:uiPriority w:val="99"/>
    <w:rPr>
      <w:vertAlign w:val="superscript"/>
    </w:rPr>
  </w:style>
  <w:style w:type="paragraph" w:customStyle="1" w:styleId="29">
    <w:name w:val="脚注文本1"/>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customStyle="1" w:styleId="30">
    <w:name w:val="Default"/>
    <w:next w:val="1"/>
    <w:autoRedefine/>
    <w:qFormat/>
    <w:uiPriority w:val="0"/>
    <w:pPr>
      <w:widowControl w:val="0"/>
      <w:autoSpaceDE w:val="0"/>
      <w:autoSpaceDN w:val="0"/>
      <w:adjustRightInd w:val="0"/>
      <w:spacing w:after="160" w:line="259" w:lineRule="auto"/>
    </w:pPr>
    <w:rPr>
      <w:rFonts w:ascii="宋体" w:hAnsi="Times New Roman" w:eastAsia="宋体" w:cs="宋体"/>
      <w:color w:val="000000"/>
      <w:kern w:val="0"/>
      <w:sz w:val="24"/>
      <w:szCs w:val="24"/>
      <w:lang w:val="en-US" w:eastAsia="zh-CN" w:bidi="ar-SA"/>
    </w:rPr>
  </w:style>
  <w:style w:type="paragraph" w:customStyle="1" w:styleId="31">
    <w:name w:val="一、报告标题"/>
    <w:basedOn w:val="1"/>
    <w:autoRedefine/>
    <w:qFormat/>
    <w:uiPriority w:val="0"/>
    <w:pPr>
      <w:spacing w:line="600" w:lineRule="exact"/>
      <w:ind w:firstLine="643" w:firstLineChars="200"/>
      <w:outlineLvl w:val="0"/>
    </w:pPr>
    <w:rPr>
      <w:rFonts w:hint="eastAsia" w:ascii="楷体_GB2312" w:hAnsi="楷体_GB2312" w:eastAsia="楷体_GB2312" w:cs="楷体_GB2312"/>
      <w:b/>
      <w:bCs/>
      <w:sz w:val="32"/>
      <w:szCs w:val="32"/>
    </w:rPr>
  </w:style>
  <w:style w:type="paragraph" w:customStyle="1" w:styleId="32">
    <w:name w:val="绩效一级"/>
    <w:basedOn w:val="31"/>
    <w:autoRedefine/>
    <w:qFormat/>
    <w:uiPriority w:val="0"/>
    <w:rPr>
      <w:rFonts w:hint="default" w:eastAsia="黑体" w:asciiTheme="minorAscii" w:hAnsiTheme="minorAscii"/>
      <w:kern w:val="30"/>
      <w:sz w:val="30"/>
    </w:rPr>
  </w:style>
  <w:style w:type="paragraph" w:customStyle="1" w:styleId="33">
    <w:name w:val="绩效二级"/>
    <w:basedOn w:val="1"/>
    <w:autoRedefine/>
    <w:qFormat/>
    <w:uiPriority w:val="0"/>
    <w:pPr>
      <w:adjustRightInd w:val="0"/>
      <w:snapToGrid w:val="0"/>
      <w:spacing w:line="579" w:lineRule="exact"/>
      <w:ind w:firstLine="630" w:firstLineChars="200"/>
      <w:outlineLvl w:val="9"/>
    </w:pPr>
    <w:rPr>
      <w:rFonts w:hint="eastAsia" w:ascii="Times New Roman" w:hAnsi="Times New Roman" w:eastAsia="楷体" w:cs="Times New Roman"/>
      <w:kern w:val="30"/>
      <w:sz w:val="30"/>
      <w:szCs w:val="30"/>
    </w:rPr>
  </w:style>
  <w:style w:type="paragraph" w:customStyle="1" w:styleId="34">
    <w:name w:val="绩效正文"/>
    <w:basedOn w:val="1"/>
    <w:autoRedefine/>
    <w:qFormat/>
    <w:uiPriority w:val="0"/>
    <w:pPr>
      <w:adjustRightInd/>
      <w:snapToGrid/>
      <w:spacing w:line="579" w:lineRule="exact"/>
      <w:ind w:firstLine="630" w:firstLineChars="200"/>
    </w:pPr>
    <w:rPr>
      <w:rFonts w:hint="eastAsia" w:ascii="仿宋" w:hAnsi="仿宋" w:eastAsia="仿宋" w:cs="Times New Roman"/>
      <w:kern w:val="30"/>
      <w:sz w:val="30"/>
      <w:szCs w:val="30"/>
    </w:rPr>
  </w:style>
  <w:style w:type="character" w:customStyle="1" w:styleId="35">
    <w:name w:val="标题 1 字符"/>
    <w:basedOn w:val="23"/>
    <w:link w:val="2"/>
    <w:autoRedefine/>
    <w:qFormat/>
    <w:uiPriority w:val="9"/>
    <w:rPr>
      <w:rFonts w:ascii="Times New Roman" w:hAnsi="Times New Roman" w:eastAsia="宋体" w:cs="Times New Roman"/>
      <w:b/>
      <w:bCs/>
      <w:kern w:val="44"/>
      <w:sz w:val="44"/>
      <w:szCs w:val="44"/>
    </w:rPr>
  </w:style>
  <w:style w:type="character" w:customStyle="1" w:styleId="36">
    <w:name w:val="标题 2 字符"/>
    <w:basedOn w:val="23"/>
    <w:link w:val="3"/>
    <w:autoRedefine/>
    <w:qFormat/>
    <w:uiPriority w:val="99"/>
    <w:rPr>
      <w:rFonts w:ascii="Cambria" w:hAnsi="Cambria" w:eastAsia="宋体" w:cs="Times New Roman"/>
      <w:b/>
      <w:bCs/>
      <w:kern w:val="0"/>
      <w:sz w:val="32"/>
      <w:szCs w:val="32"/>
    </w:rPr>
  </w:style>
  <w:style w:type="character" w:customStyle="1" w:styleId="37">
    <w:name w:val="标题 3 字符"/>
    <w:basedOn w:val="23"/>
    <w:link w:val="4"/>
    <w:autoRedefine/>
    <w:qFormat/>
    <w:uiPriority w:val="99"/>
    <w:rPr>
      <w:rFonts w:ascii="Times New Roman" w:hAnsi="Times New Roman" w:eastAsia="宋体" w:cs="Times New Roman"/>
      <w:b/>
      <w:bCs/>
      <w:kern w:val="0"/>
      <w:sz w:val="32"/>
      <w:szCs w:val="32"/>
    </w:rPr>
  </w:style>
  <w:style w:type="character" w:customStyle="1" w:styleId="38">
    <w:name w:val="页眉 字符"/>
    <w:basedOn w:val="23"/>
    <w:link w:val="13"/>
    <w:autoRedefine/>
    <w:qFormat/>
    <w:uiPriority w:val="99"/>
    <w:rPr>
      <w:sz w:val="18"/>
      <w:szCs w:val="18"/>
    </w:rPr>
  </w:style>
  <w:style w:type="character" w:customStyle="1" w:styleId="39">
    <w:name w:val="页脚 字符"/>
    <w:basedOn w:val="23"/>
    <w:link w:val="12"/>
    <w:autoRedefine/>
    <w:qFormat/>
    <w:uiPriority w:val="0"/>
    <w:rPr>
      <w:sz w:val="18"/>
      <w:szCs w:val="18"/>
    </w:rPr>
  </w:style>
  <w:style w:type="character" w:customStyle="1" w:styleId="40">
    <w:name w:val="批注框文本 字符"/>
    <w:basedOn w:val="23"/>
    <w:link w:val="11"/>
    <w:autoRedefine/>
    <w:semiHidden/>
    <w:qFormat/>
    <w:uiPriority w:val="99"/>
    <w:rPr>
      <w:rFonts w:ascii="Times New Roman" w:hAnsi="Times New Roman" w:eastAsia="宋体" w:cs="Times New Roman"/>
      <w:sz w:val="18"/>
      <w:szCs w:val="18"/>
    </w:rPr>
  </w:style>
  <w:style w:type="character" w:customStyle="1" w:styleId="41">
    <w:name w:val="批注文字 字符"/>
    <w:basedOn w:val="23"/>
    <w:link w:val="7"/>
    <w:autoRedefine/>
    <w:qFormat/>
    <w:uiPriority w:val="99"/>
    <w:rPr>
      <w:rFonts w:ascii="Times New Roman" w:hAnsi="Times New Roman" w:eastAsia="宋体" w:cs="Times New Roman"/>
      <w:szCs w:val="21"/>
    </w:rPr>
  </w:style>
  <w:style w:type="character" w:customStyle="1" w:styleId="42">
    <w:name w:val="批注主题 字符"/>
    <w:basedOn w:val="41"/>
    <w:link w:val="19"/>
    <w:autoRedefine/>
    <w:semiHidden/>
    <w:qFormat/>
    <w:uiPriority w:val="99"/>
    <w:rPr>
      <w:rFonts w:ascii="Times New Roman" w:hAnsi="Times New Roman" w:eastAsia="宋体" w:cs="Times New Roman"/>
      <w:b/>
      <w:bCs/>
      <w:szCs w:val="21"/>
    </w:rPr>
  </w:style>
  <w:style w:type="character" w:customStyle="1" w:styleId="43">
    <w:name w:val="文档结构图 字符"/>
    <w:basedOn w:val="23"/>
    <w:link w:val="6"/>
    <w:autoRedefine/>
    <w:semiHidden/>
    <w:qFormat/>
    <w:uiPriority w:val="99"/>
    <w:rPr>
      <w:rFonts w:ascii="宋体" w:hAnsi="Times New Roman" w:eastAsia="宋体" w:cs="Times New Roman"/>
      <w:sz w:val="18"/>
      <w:szCs w:val="18"/>
    </w:rPr>
  </w:style>
  <w:style w:type="paragraph" w:customStyle="1" w:styleId="44">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5">
    <w:name w:val="Revision"/>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6">
    <w:name w:val="页码 New New"/>
    <w:basedOn w:val="23"/>
    <w:autoRedefine/>
    <w:qFormat/>
    <w:uiPriority w:val="0"/>
  </w:style>
  <w:style w:type="paragraph" w:styleId="47">
    <w:name w:val="List Paragraph"/>
    <w:basedOn w:val="1"/>
    <w:autoRedefine/>
    <w:qFormat/>
    <w:uiPriority w:val="34"/>
    <w:pPr>
      <w:ind w:firstLine="420" w:firstLineChars="200"/>
    </w:pPr>
  </w:style>
  <w:style w:type="character" w:customStyle="1" w:styleId="48">
    <w:name w:val="正文文本 字符"/>
    <w:basedOn w:val="23"/>
    <w:link w:val="8"/>
    <w:autoRedefine/>
    <w:qFormat/>
    <w:uiPriority w:val="1"/>
    <w:rPr>
      <w:rFonts w:ascii="仿宋_GB2312" w:hAnsi="仿宋_GB2312" w:eastAsia="仿宋_GB2312"/>
      <w:kern w:val="0"/>
      <w:sz w:val="30"/>
      <w:szCs w:val="30"/>
      <w:lang w:eastAsia="en-US"/>
    </w:rPr>
  </w:style>
  <w:style w:type="character" w:customStyle="1" w:styleId="49">
    <w:name w:val="Unresolved Mention"/>
    <w:basedOn w:val="23"/>
    <w:autoRedefine/>
    <w:semiHidden/>
    <w:unhideWhenUsed/>
    <w:qFormat/>
    <w:uiPriority w:val="99"/>
    <w:rPr>
      <w:color w:val="605E5C"/>
      <w:shd w:val="clear" w:color="auto" w:fill="E1DFDD"/>
    </w:rPr>
  </w:style>
  <w:style w:type="paragraph" w:customStyle="1" w:styleId="5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79FAE-EF8C-4413-8BA6-6BA5B5841ADB}">
  <ds:schemaRefs/>
</ds:datastoreItem>
</file>

<file path=docProps/app.xml><?xml version="1.0" encoding="utf-8"?>
<Properties xmlns="http://schemas.openxmlformats.org/officeDocument/2006/extended-properties" xmlns:vt="http://schemas.openxmlformats.org/officeDocument/2006/docPropsVTypes">
  <Template>Normal</Template>
  <Pages>49</Pages>
  <Words>3787</Words>
  <Characters>4094</Characters>
  <Lines>30</Lines>
  <Paragraphs>8</Paragraphs>
  <TotalTime>18</TotalTime>
  <ScaleCrop>false</ScaleCrop>
  <LinksUpToDate>false</LinksUpToDate>
  <CharactersWithSpaces>4132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2024-11-14T15:05:17Z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59EFFAAA540C408D97314A1794811B1D_13</vt:lpwstr>
  </property>
</Properties>
</file>