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F8900">
      <w:pPr>
        <w:keepNext w:val="0"/>
        <w:keepLines w:val="0"/>
        <w:pageBreakBefore w:val="0"/>
        <w:widowControl/>
        <w:kinsoku/>
        <w:wordWrap/>
        <w:overflowPunct/>
        <w:topLinePunct w:val="0"/>
        <w:autoSpaceDE/>
        <w:autoSpaceDN/>
        <w:bidi w:val="0"/>
        <w:adjustRightInd/>
        <w:snapToGrid w:val="0"/>
        <w:spacing w:line="520" w:lineRule="exact"/>
        <w:ind w:firstLine="420" w:firstLineChars="0"/>
        <w:jc w:val="center"/>
        <w:textAlignment w:val="auto"/>
        <w:rPr>
          <w:rFonts w:hint="default" w:ascii="Times New Roman" w:hAnsi="Times New Roman" w:eastAsia="黑体" w:cs="Times New Roman"/>
          <w:b/>
          <w:sz w:val="44"/>
          <w:szCs w:val="44"/>
          <w:lang w:val="zh-CN"/>
        </w:rPr>
      </w:pPr>
      <w:r>
        <w:rPr>
          <w:rFonts w:hint="default" w:ascii="Times New Roman" w:hAnsi="Times New Roman" w:eastAsia="黑体" w:cs="Times New Roman"/>
          <w:b/>
          <w:sz w:val="44"/>
          <w:szCs w:val="44"/>
          <w:lang w:val="zh-CN"/>
        </w:rPr>
        <w:t>目  录</w:t>
      </w:r>
    </w:p>
    <w:p w14:paraId="464D2A57">
      <w:pPr>
        <w:widowControl/>
        <w:tabs>
          <w:tab w:val="left" w:pos="2151"/>
        </w:tabs>
        <w:spacing w:line="400" w:lineRule="exact"/>
        <w:jc w:val="left"/>
        <w:rPr>
          <w:rFonts w:hint="default" w:ascii="Times New Roman" w:hAnsi="Times New Roman" w:cs="Times New Roman" w:eastAsiaTheme="minorEastAsia"/>
          <w:b/>
          <w:sz w:val="36"/>
          <w:szCs w:val="36"/>
          <w:lang w:eastAsia="zh-CN"/>
        </w:rPr>
      </w:pPr>
      <w:r>
        <w:rPr>
          <w:rFonts w:hint="default" w:ascii="Times New Roman" w:hAnsi="Times New Roman" w:cs="Times New Roman" w:eastAsiaTheme="minorEastAsia"/>
          <w:b/>
          <w:sz w:val="36"/>
          <w:szCs w:val="36"/>
          <w:lang w:eastAsia="zh-CN"/>
        </w:rPr>
        <w:tab/>
      </w:r>
    </w:p>
    <w:p w14:paraId="7D15110A">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TOC \o "1-3" \h \z \u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_Toc15361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摘  要</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_Toc15361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42C4DEF">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_Toc778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一、基本情况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_Toc778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A24663E">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_Toc17256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（一）项目概况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_Toc17256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A482392">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_Toc20491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（二）项目资金安排情况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_Toc20491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851E98D">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_Toc6680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（三）项目实施内容</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_Toc6680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5</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789F5C5">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_Toc2202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（四）项目绩效目标设立情况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_Toc2202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8</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47E644B">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_Toc2137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（五）组织管理情况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_Toc2137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9</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C181762">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_Toc14781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二、绩效评价工作开展情况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_Toc14781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E55A818">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_Toc21787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（一）绩效评价目的、对象和范围</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_Toc21787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A8D6869">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_Toc28686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（二）绩效评价原则、评价指标体系和等级、评价方法、评价抽样</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_Toc28686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6E990C5">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_Toc9467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（三）绩效评价工作过程</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_Toc9467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3037C1E">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_Toc19992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_Toc19992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E14C30C">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_Toc12170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（一）绩效评价综合结论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_Toc12170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60EA8D5">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_Toc6024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（二）绩效目标实现情况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_Toc6024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15</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1EB781E">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_Toc4733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四、绩效评价情况分析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_Toc4733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D2CE4B0">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_Toc16638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（一）决策情况分析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_Toc16638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12A61EC">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_Toc28366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（二）过程情况分析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_Toc28366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19</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F9CF8BA">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_Toc13079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（三）产出情况分析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_Toc13079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00C1FE6">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_Toc20484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（四）效果情况分析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_Toc20484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D45A064">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_Toc787 </w:instrText>
      </w:r>
      <w:r>
        <w:rPr>
          <w:rFonts w:hint="default" w:ascii="Times New Roman" w:hAnsi="Times New Roman" w:eastAsia="仿宋" w:cs="Times New Roman"/>
          <w:b w:val="0"/>
          <w:bCs w:val="0"/>
          <w:sz w:val="30"/>
          <w:szCs w:val="30"/>
          <w:lang w:val="en-US" w:eastAsia="zh-CN"/>
        </w:rPr>
        <w:fldChar w:fldCharType="separate"/>
      </w:r>
      <w:r>
        <w:rPr>
          <w:rFonts w:hint="eastAsia" w:ascii="Times New Roman" w:hAnsi="Times New Roman" w:eastAsia="仿宋" w:cs="Times New Roman"/>
          <w:b w:val="0"/>
          <w:bCs w:val="0"/>
          <w:sz w:val="30"/>
          <w:szCs w:val="30"/>
          <w:lang w:val="en-US" w:eastAsia="zh-CN"/>
        </w:rPr>
        <w:t>五</w:t>
      </w:r>
      <w:r>
        <w:rPr>
          <w:rFonts w:hint="default" w:ascii="Times New Roman" w:hAnsi="Times New Roman" w:eastAsia="仿宋" w:cs="Times New Roman"/>
          <w:b w:val="0"/>
          <w:bCs w:val="0"/>
          <w:sz w:val="30"/>
          <w:szCs w:val="30"/>
          <w:lang w:val="en-US" w:eastAsia="zh-CN"/>
        </w:rPr>
        <w:t>、存在问题及原因分析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_Toc787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DE07017">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_Toc14030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（一）预算编制不科学，预算</w:t>
      </w:r>
      <w:r>
        <w:rPr>
          <w:rFonts w:hint="eastAsia" w:ascii="Times New Roman" w:hAnsi="Times New Roman" w:eastAsia="仿宋" w:cs="Times New Roman"/>
          <w:b w:val="0"/>
          <w:bCs w:val="0"/>
          <w:sz w:val="30"/>
          <w:szCs w:val="30"/>
          <w:lang w:val="en-US" w:eastAsia="zh-CN"/>
        </w:rPr>
        <w:t>编制</w:t>
      </w:r>
      <w:r>
        <w:rPr>
          <w:rFonts w:hint="default" w:ascii="Times New Roman" w:hAnsi="Times New Roman" w:eastAsia="仿宋" w:cs="Times New Roman"/>
          <w:b w:val="0"/>
          <w:bCs w:val="0"/>
          <w:sz w:val="30"/>
          <w:szCs w:val="30"/>
          <w:lang w:val="en-US" w:eastAsia="zh-CN"/>
        </w:rPr>
        <w:t>管理有待加强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_Toc14030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2198591">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_Toc13718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（二）项目处于停滞状态，项目管理有待加强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_Toc13718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DB8C602">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_Toc1083 </w:instrText>
      </w:r>
      <w:r>
        <w:rPr>
          <w:rFonts w:hint="default" w:ascii="Times New Roman" w:hAnsi="Times New Roman" w:eastAsia="仿宋" w:cs="Times New Roman"/>
          <w:b w:val="0"/>
          <w:bCs w:val="0"/>
          <w:sz w:val="30"/>
          <w:szCs w:val="30"/>
          <w:lang w:val="en-US" w:eastAsia="zh-CN"/>
        </w:rPr>
        <w:fldChar w:fldCharType="separate"/>
      </w:r>
      <w:r>
        <w:rPr>
          <w:rFonts w:hint="eastAsia" w:ascii="Times New Roman" w:hAnsi="Times New Roman" w:eastAsia="仿宋" w:cs="Times New Roman"/>
          <w:b w:val="0"/>
          <w:bCs w:val="0"/>
          <w:sz w:val="30"/>
          <w:szCs w:val="30"/>
          <w:lang w:val="en-US" w:eastAsia="zh-CN"/>
        </w:rPr>
        <w:t>六</w:t>
      </w:r>
      <w:r>
        <w:rPr>
          <w:rFonts w:hint="default" w:ascii="Times New Roman" w:hAnsi="Times New Roman" w:eastAsia="仿宋" w:cs="Times New Roman"/>
          <w:b w:val="0"/>
          <w:bCs w:val="0"/>
          <w:sz w:val="30"/>
          <w:szCs w:val="30"/>
          <w:lang w:val="en-US" w:eastAsia="zh-CN"/>
        </w:rPr>
        <w:t>、建议</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_Toc1083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25</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48AB7F9">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_Toc32431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w:t>
      </w:r>
      <w:r>
        <w:rPr>
          <w:rFonts w:hint="eastAsia" w:ascii="Times New Roman" w:hAnsi="Times New Roman" w:eastAsia="仿宋" w:cs="Times New Roman"/>
          <w:b w:val="0"/>
          <w:bCs w:val="0"/>
          <w:sz w:val="30"/>
          <w:szCs w:val="30"/>
          <w:lang w:val="en-US" w:eastAsia="zh-CN"/>
        </w:rPr>
        <w:t>充分考虑预算需求</w:t>
      </w:r>
      <w:r>
        <w:rPr>
          <w:rFonts w:hint="default" w:ascii="Times New Roman" w:hAnsi="Times New Roman" w:eastAsia="仿宋" w:cs="Times New Roman"/>
          <w:b w:val="0"/>
          <w:bCs w:val="0"/>
          <w:sz w:val="30"/>
          <w:szCs w:val="30"/>
          <w:lang w:val="en-US" w:eastAsia="zh-CN"/>
        </w:rPr>
        <w:t>，</w:t>
      </w:r>
      <w:r>
        <w:rPr>
          <w:rFonts w:hint="eastAsia" w:ascii="Times New Roman" w:hAnsi="Times New Roman" w:eastAsia="仿宋" w:cs="Times New Roman"/>
          <w:b w:val="0"/>
          <w:bCs w:val="0"/>
          <w:sz w:val="30"/>
          <w:szCs w:val="30"/>
          <w:lang w:val="en-US" w:eastAsia="zh-CN"/>
        </w:rPr>
        <w:t>进一步提升</w:t>
      </w:r>
      <w:r>
        <w:rPr>
          <w:rFonts w:hint="default" w:ascii="Times New Roman" w:hAnsi="Times New Roman" w:eastAsia="仿宋" w:cs="Times New Roman"/>
          <w:b w:val="0"/>
          <w:bCs w:val="0"/>
          <w:sz w:val="30"/>
          <w:szCs w:val="30"/>
          <w:lang w:val="en-US" w:eastAsia="zh-CN"/>
        </w:rPr>
        <w:t>预算</w:t>
      </w:r>
      <w:r>
        <w:rPr>
          <w:rFonts w:hint="eastAsia" w:ascii="Times New Roman" w:hAnsi="Times New Roman" w:eastAsia="仿宋" w:cs="Times New Roman"/>
          <w:b w:val="0"/>
          <w:bCs w:val="0"/>
          <w:sz w:val="30"/>
          <w:szCs w:val="30"/>
          <w:lang w:val="en-US" w:eastAsia="zh-CN"/>
        </w:rPr>
        <w:t>编制的合理性</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_Toc32431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25</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5066480">
      <w:pPr>
        <w:pStyle w:val="13"/>
        <w:tabs>
          <w:tab w:val="right" w:leader="dot" w:pos="8844"/>
          <w:tab w:val="clear" w:pos="8931"/>
        </w:tabs>
        <w:spacing w:line="240" w:lineRule="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_Toc9509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（二）加强项目管理工作，进一步保障项目的可持续性</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_Toc9509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25</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E84EB8C">
      <w:pPr>
        <w:pStyle w:val="13"/>
        <w:tabs>
          <w:tab w:val="right" w:leader="dot" w:pos="8844"/>
          <w:tab w:val="clear" w:pos="8931"/>
        </w:tabs>
        <w:spacing w:line="240" w:lineRule="auto"/>
        <w:rPr>
          <w:rFonts w:hint="default" w:ascii="Times New Roman" w:hAnsi="Times New Roman" w:eastAsia="仿宋" w:cs="Times New Roman"/>
          <w:b w:val="0"/>
          <w:bCs w:val="0"/>
          <w:kern w:val="0"/>
          <w:sz w:val="30"/>
          <w:szCs w:val="30"/>
          <w:lang w:val="en-US" w:eastAsia="zh-CN" w:bidi="ar-SA"/>
        </w:rPr>
      </w:pPr>
      <w:r>
        <w:rPr>
          <w:rFonts w:hint="default" w:ascii="Times New Roman" w:hAnsi="Times New Roman" w:eastAsia="仿宋" w:cs="Times New Roman"/>
          <w:b w:val="0"/>
          <w:bCs w:val="0"/>
          <w:sz w:val="30"/>
          <w:szCs w:val="30"/>
          <w:lang w:val="en-US" w:eastAsia="zh-CN"/>
        </w:rPr>
        <w:fldChar w:fldCharType="end"/>
      </w:r>
    </w:p>
    <w:p w14:paraId="147A9688">
      <w:pPr>
        <w:pStyle w:val="13"/>
        <w:keepNext w:val="0"/>
        <w:keepLines w:val="0"/>
        <w:pageBreakBefore w:val="0"/>
        <w:widowControl/>
        <w:tabs>
          <w:tab w:val="right" w:leader="dot" w:pos="8789"/>
          <w:tab w:val="clear" w:pos="8931"/>
        </w:tabs>
        <w:kinsoku/>
        <w:wordWrap/>
        <w:overflowPunct/>
        <w:topLinePunct w:val="0"/>
        <w:autoSpaceDE/>
        <w:autoSpaceDN/>
        <w:bidi w:val="0"/>
        <w:adjustRightInd w:val="0"/>
        <w:snapToGrid w:val="0"/>
        <w:spacing w:line="240" w:lineRule="auto"/>
        <w:ind w:right="0" w:rightChars="0"/>
        <w:jc w:val="distribute"/>
        <w:textAlignment w:val="auto"/>
        <w:rPr>
          <w:rFonts w:hint="default" w:ascii="Times New Roman" w:hAnsi="Times New Roman" w:eastAsia="仿宋" w:cs="Times New Roman"/>
          <w:b w:val="0"/>
          <w:bCs w:val="0"/>
          <w:kern w:val="0"/>
          <w:sz w:val="30"/>
          <w:szCs w:val="30"/>
          <w:lang w:val="en-US" w:eastAsia="zh-CN" w:bidi="ar-SA"/>
        </w:rPr>
        <w:sectPr>
          <w:headerReference r:id="rId3" w:type="default"/>
          <w:footerReference r:id="rId5" w:type="default"/>
          <w:headerReference r:id="rId4" w:type="even"/>
          <w:type w:val="oddPage"/>
          <w:pgSz w:w="11906" w:h="16838"/>
          <w:pgMar w:top="2098" w:right="1474" w:bottom="1985" w:left="1588" w:header="851" w:footer="1474" w:gutter="0"/>
          <w:pgNumType w:fmt="decimal" w:start="1"/>
          <w:cols w:space="425" w:num="1"/>
          <w:docGrid w:type="linesAndChars" w:linePitch="579" w:charSpace="3247"/>
        </w:sectPr>
      </w:pPr>
    </w:p>
    <w:p w14:paraId="024C6A9B">
      <w:pPr>
        <w:overflowPunct w:val="0"/>
        <w:spacing w:line="579" w:lineRule="exact"/>
        <w:jc w:val="center"/>
        <w:outlineLvl w:val="0"/>
        <w:rPr>
          <w:rFonts w:hint="default" w:ascii="Times New Roman" w:hAnsi="Times New Roman" w:eastAsia="方正小标宋简体" w:cs="Times New Roman"/>
          <w:sz w:val="44"/>
          <w:szCs w:val="44"/>
        </w:rPr>
      </w:pPr>
      <w:bookmarkStart w:id="0" w:name="_Toc15361"/>
      <w:bookmarkStart w:id="1" w:name="_Hlk525313924"/>
      <w:r>
        <w:rPr>
          <w:rFonts w:hint="default" w:ascii="Times New Roman" w:hAnsi="Times New Roman" w:eastAsia="方正小标宋简体" w:cs="Times New Roman"/>
          <w:sz w:val="44"/>
          <w:szCs w:val="44"/>
        </w:rPr>
        <w:t>摘  要</w:t>
      </w:r>
      <w:bookmarkEnd w:id="0"/>
    </w:p>
    <w:p w14:paraId="0DB3960C">
      <w:pPr>
        <w:overflowPunct w:val="0"/>
        <w:spacing w:line="579" w:lineRule="exact"/>
        <w:ind w:firstLine="632"/>
        <w:rPr>
          <w:rFonts w:hint="default" w:ascii="Times New Roman" w:hAnsi="Times New Roman" w:cs="Times New Roman"/>
          <w:szCs w:val="30"/>
        </w:rPr>
      </w:pPr>
    </w:p>
    <w:p w14:paraId="68E1771D">
      <w:pPr>
        <w:pStyle w:val="35"/>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bookmarkStart w:id="2" w:name="_Toc24668"/>
      <w:bookmarkStart w:id="3" w:name="_Toc6821"/>
      <w:bookmarkStart w:id="4" w:name="_Toc12842"/>
      <w:r>
        <w:rPr>
          <w:rFonts w:hint="default" w:ascii="Times New Roman" w:hAnsi="Times New Roman" w:cs="Times New Roman"/>
          <w:lang w:val="en-US" w:eastAsia="zh-CN"/>
        </w:rPr>
        <w:t>一、基本情况</w:t>
      </w:r>
      <w:bookmarkEnd w:id="2"/>
      <w:bookmarkEnd w:id="3"/>
      <w:bookmarkEnd w:id="4"/>
    </w:p>
    <w:p w14:paraId="0B2855A5">
      <w:pPr>
        <w:pStyle w:val="36"/>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rPr>
      </w:pPr>
      <w:r>
        <w:rPr>
          <w:rFonts w:hint="default" w:ascii="Times New Roman" w:hAnsi="Times New Roman" w:cs="Times New Roman"/>
        </w:rPr>
        <w:t>（一）项目概况</w:t>
      </w:r>
    </w:p>
    <w:p w14:paraId="42FB206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kern w:val="30"/>
          <w:sz w:val="30"/>
          <w:szCs w:val="30"/>
          <w:lang w:val="en-US" w:eastAsia="zh-CN" w:bidi="ar-SA"/>
        </w:rPr>
        <w:t>为促进城市绿化、改善生态环境，国务院于2014年发布了《城市绿化条例》，明确了公共绿地和各单位绿化责任。响应国家政策，昆明市西山区人民政府海口街道办设立了园林绿化维护专项经费项目，按照《园林绿化养护技术规范》和《园林绿化养护标准》对辖区内绿化进行养护，并由昆明市西山区海口街道城市管理综合服务中心</w:t>
      </w:r>
      <w:r>
        <w:rPr>
          <w:rFonts w:hint="default" w:ascii="Times New Roman" w:hAnsi="Times New Roman" w:eastAsia="仿宋" w:cs="Times New Roman"/>
          <w:kern w:val="30"/>
          <w:sz w:val="30"/>
          <w:szCs w:val="30"/>
          <w:lang w:val="en-US" w:eastAsia="zh-CN" w:bidi="ar-SA"/>
        </w:rPr>
        <w:t>（以下简称“项目实施单位”</w:t>
      </w:r>
      <w:r>
        <w:rPr>
          <w:rFonts w:hint="eastAsia" w:ascii="Times New Roman" w:cs="Times New Roman"/>
          <w:kern w:val="30"/>
          <w:sz w:val="30"/>
          <w:szCs w:val="30"/>
          <w:lang w:val="en-US" w:eastAsia="zh-CN" w:bidi="ar-SA"/>
        </w:rPr>
        <w:t>或</w:t>
      </w:r>
      <w:r>
        <w:rPr>
          <w:rFonts w:hint="eastAsia" w:ascii="Times New Roman" w:hAnsi="Times New Roman" w:eastAsia="仿宋" w:cs="Times New Roman"/>
          <w:kern w:val="30"/>
          <w:sz w:val="30"/>
          <w:szCs w:val="30"/>
          <w:lang w:val="en-US" w:eastAsia="zh-CN" w:bidi="ar-SA"/>
        </w:rPr>
        <w:t>“区海口街道办”</w:t>
      </w:r>
      <w:r>
        <w:rPr>
          <w:rFonts w:hint="default" w:ascii="Times New Roman" w:hAnsi="Times New Roman" w:eastAsia="仿宋" w:cs="Times New Roman"/>
          <w:kern w:val="30"/>
          <w:sz w:val="30"/>
          <w:szCs w:val="30"/>
          <w:lang w:val="en-US" w:eastAsia="zh-CN" w:bidi="ar-SA"/>
        </w:rPr>
        <w:t>）</w:t>
      </w:r>
      <w:r>
        <w:rPr>
          <w:rFonts w:hint="default" w:ascii="Times New Roman" w:hAnsi="Times New Roman" w:cs="Times New Roman"/>
          <w:kern w:val="30"/>
          <w:sz w:val="30"/>
          <w:szCs w:val="30"/>
          <w:lang w:val="en-US" w:eastAsia="zh-CN" w:bidi="ar-SA"/>
        </w:rPr>
        <w:t>负责项目的考核和管理。项目涵盖三供一业片区、海口集镇中心片区和工业园片区，其中工业园片区由海口工业园区管委会负责。</w:t>
      </w:r>
    </w:p>
    <w:p w14:paraId="444B4AFC">
      <w:pPr>
        <w:pStyle w:val="36"/>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rPr>
      </w:pPr>
      <w:r>
        <w:rPr>
          <w:rFonts w:hint="default" w:ascii="Times New Roman" w:hAnsi="Times New Roman" w:cs="Times New Roman"/>
        </w:rPr>
        <w:t>（二）项目资金安排情</w:t>
      </w:r>
      <w:r>
        <w:rPr>
          <w:rFonts w:hint="default" w:ascii="Times New Roman" w:hAnsi="Times New Roman" w:cs="Times New Roman"/>
          <w:shd w:val="clear" w:fill="auto"/>
        </w:rPr>
        <w:t>况</w:t>
      </w:r>
    </w:p>
    <w:p w14:paraId="2719C859">
      <w:pPr>
        <w:spacing w:line="600" w:lineRule="exact"/>
        <w:ind w:firstLine="630" w:firstLineChars="200"/>
        <w:rPr>
          <w:rFonts w:hint="default" w:ascii="Times New Roman" w:hAnsi="Times New Roman" w:eastAsia="仿宋" w:cs="Times New Roman"/>
          <w:b/>
          <w:bCs/>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1.资金来源及到位情况</w:t>
      </w:r>
    </w:p>
    <w:p w14:paraId="274B1FA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b w:val="0"/>
          <w:bCs w:val="0"/>
          <w:kern w:val="30"/>
          <w:sz w:val="30"/>
          <w:szCs w:val="30"/>
          <w:lang w:val="en-US" w:eastAsia="zh-CN" w:bidi="ar-SA"/>
        </w:rPr>
      </w:pPr>
      <w:r>
        <w:rPr>
          <w:rFonts w:hint="default" w:ascii="Times New Roman" w:hAnsi="Times New Roman" w:eastAsia="仿宋" w:cs="Times New Roman"/>
          <w:b w:val="0"/>
          <w:bCs w:val="0"/>
          <w:szCs w:val="30"/>
          <w:highlight w:val="none"/>
          <w:lang w:val="en-US" w:eastAsia="zh-CN"/>
        </w:rPr>
        <w:t>本项目</w:t>
      </w:r>
      <w:r>
        <w:rPr>
          <w:rFonts w:hint="default" w:ascii="Times New Roman" w:hAnsi="Times New Roman" w:cs="Times New Roman"/>
          <w:b w:val="0"/>
          <w:bCs w:val="0"/>
          <w:szCs w:val="30"/>
          <w:highlight w:val="none"/>
          <w:lang w:val="en-US" w:eastAsia="zh-CN"/>
        </w:rPr>
        <w:t>为经常性项目，预算单位为</w:t>
      </w:r>
      <w:r>
        <w:rPr>
          <w:rFonts w:hint="eastAsia" w:ascii="Times New Roman" w:hAnsi="Times New Roman" w:eastAsia="仿宋" w:cs="Times New Roman"/>
          <w:kern w:val="30"/>
          <w:sz w:val="30"/>
          <w:szCs w:val="30"/>
          <w:lang w:val="en-US" w:eastAsia="zh-CN" w:bidi="ar-SA"/>
        </w:rPr>
        <w:t>区海口街道办</w:t>
      </w:r>
      <w:r>
        <w:rPr>
          <w:rFonts w:hint="default" w:ascii="Times New Roman" w:hAnsi="Times New Roman" w:cs="Times New Roman"/>
          <w:b w:val="0"/>
          <w:bCs w:val="0"/>
          <w:szCs w:val="30"/>
          <w:highlight w:val="none"/>
          <w:lang w:val="en-US" w:eastAsia="zh-CN"/>
        </w:rPr>
        <w:t>，资金来源为一般公共预算。2023年预算金额为538.97万元</w:t>
      </w:r>
      <w:r>
        <w:rPr>
          <w:rFonts w:hint="default" w:ascii="Times New Roman" w:hAnsi="Times New Roman" w:eastAsia="仿宋" w:cs="Times New Roman"/>
          <w:b w:val="0"/>
          <w:bCs w:val="0"/>
          <w:kern w:val="30"/>
          <w:sz w:val="30"/>
          <w:szCs w:val="30"/>
          <w:lang w:val="en-US" w:eastAsia="zh-CN" w:bidi="ar-SA"/>
        </w:rPr>
        <w:t>，</w:t>
      </w:r>
      <w:r>
        <w:rPr>
          <w:rFonts w:hint="default" w:ascii="Times New Roman" w:hAnsi="Times New Roman" w:cs="Times New Roman"/>
          <w:b w:val="0"/>
          <w:bCs w:val="0"/>
          <w:kern w:val="30"/>
          <w:sz w:val="30"/>
          <w:szCs w:val="30"/>
          <w:lang w:val="en-US" w:eastAsia="zh-CN" w:bidi="ar-SA"/>
        </w:rPr>
        <w:t>实际收入538.97万元，</w:t>
      </w:r>
      <w:r>
        <w:rPr>
          <w:rFonts w:hint="default" w:ascii="Times New Roman" w:hAnsi="Times New Roman" w:eastAsia="仿宋" w:cs="Times New Roman"/>
          <w:b w:val="0"/>
          <w:bCs w:val="0"/>
          <w:kern w:val="30"/>
          <w:sz w:val="30"/>
          <w:szCs w:val="30"/>
          <w:lang w:val="en-US" w:eastAsia="zh-CN" w:bidi="ar-SA"/>
        </w:rPr>
        <w:t>资金到位率100%。</w:t>
      </w:r>
    </w:p>
    <w:p w14:paraId="45A079E2">
      <w:pPr>
        <w:spacing w:line="600" w:lineRule="exact"/>
        <w:ind w:firstLine="630" w:firstLineChars="200"/>
        <w:rPr>
          <w:rFonts w:hint="default" w:ascii="Times New Roman" w:hAnsi="Times New Roman" w:eastAsia="仿宋" w:cs="Times New Roman"/>
          <w:b/>
          <w:bCs/>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2.资金使用情况</w:t>
      </w:r>
    </w:p>
    <w:p w14:paraId="30798E0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根据区海口街道办提供的支出明细表，本项目2023年共支出金额294.73万元，执行率54.68%。</w:t>
      </w:r>
    </w:p>
    <w:p w14:paraId="2FDE6132">
      <w:pPr>
        <w:pStyle w:val="35"/>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bookmarkStart w:id="5" w:name="_Toc16692"/>
      <w:bookmarkStart w:id="6" w:name="_Toc6479"/>
      <w:bookmarkStart w:id="7" w:name="_Toc22688"/>
      <w:r>
        <w:rPr>
          <w:rFonts w:hint="default" w:ascii="Times New Roman" w:hAnsi="Times New Roman" w:cs="Times New Roman"/>
          <w:lang w:val="en-US" w:eastAsia="zh-CN"/>
        </w:rPr>
        <w:t>二、绩效评价结论</w:t>
      </w:r>
      <w:bookmarkEnd w:id="5"/>
      <w:bookmarkEnd w:id="6"/>
      <w:bookmarkEnd w:id="7"/>
    </w:p>
    <w:p w14:paraId="68ABA979">
      <w:pPr>
        <w:spacing w:line="579" w:lineRule="exact"/>
        <w:ind w:firstLine="630" w:firstLineChars="200"/>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园林绿化维护专项经费项目绩效评价得分8</w:t>
      </w:r>
      <w:r>
        <w:rPr>
          <w:rFonts w:hint="eastAsia" w:ascii="Times New Roman" w:cs="Times New Roman"/>
          <w:kern w:val="30"/>
          <w:sz w:val="30"/>
          <w:szCs w:val="30"/>
          <w:lang w:val="en-US" w:eastAsia="zh-CN" w:bidi="ar-SA"/>
        </w:rPr>
        <w:t>7</w:t>
      </w:r>
      <w:r>
        <w:rPr>
          <w:rFonts w:hint="default" w:ascii="Times New Roman" w:hAnsi="Times New Roman" w:eastAsia="仿宋" w:cs="Times New Roman"/>
          <w:kern w:val="30"/>
          <w:sz w:val="30"/>
          <w:szCs w:val="30"/>
          <w:lang w:val="en-US" w:eastAsia="zh-CN" w:bidi="ar-SA"/>
        </w:rPr>
        <w:t>.64</w:t>
      </w:r>
      <w:r>
        <w:rPr>
          <w:rFonts w:hint="default" w:ascii="Times New Roman" w:hAnsi="Times New Roman" w:eastAsia="仿宋" w:cs="Times New Roman"/>
          <w:kern w:val="30"/>
          <w:sz w:val="30"/>
          <w:szCs w:val="30"/>
          <w:highlight w:val="none"/>
          <w:shd w:val="clear"/>
          <w:lang w:val="en-US" w:eastAsia="zh-CN" w:bidi="ar-SA"/>
        </w:rPr>
        <w:t>分，</w:t>
      </w:r>
      <w:r>
        <w:rPr>
          <w:rFonts w:hint="default" w:ascii="Times New Roman" w:hAnsi="Times New Roman" w:eastAsia="仿宋" w:cs="Times New Roman"/>
          <w:kern w:val="30"/>
          <w:sz w:val="30"/>
          <w:szCs w:val="30"/>
          <w:lang w:val="en-US" w:eastAsia="zh-CN" w:bidi="ar-SA"/>
        </w:rPr>
        <w:t>评价等级为</w:t>
      </w:r>
      <w:r>
        <w:rPr>
          <w:rFonts w:hint="default" w:ascii="Times New Roman" w:hAnsi="Times New Roman" w:cs="Times New Roman"/>
          <w:kern w:val="30"/>
          <w:sz w:val="30"/>
          <w:szCs w:val="30"/>
          <w:lang w:val="en-US" w:eastAsia="zh-CN" w:bidi="ar-SA"/>
        </w:rPr>
        <w:t>“良”</w:t>
      </w:r>
      <w:r>
        <w:rPr>
          <w:rFonts w:hint="default" w:ascii="Times New Roman" w:hAnsi="Times New Roman" w:eastAsia="仿宋" w:cs="Times New Roman"/>
          <w:kern w:val="30"/>
          <w:sz w:val="30"/>
          <w:szCs w:val="30"/>
          <w:lang w:val="en-US" w:eastAsia="zh-CN" w:bidi="ar-SA"/>
        </w:rPr>
        <w:t>。一级指标具体得分情况详见下表：</w:t>
      </w:r>
    </w:p>
    <w:p w14:paraId="45DBE7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eastAsia="黑体" w:cs="Times New Roman"/>
          <w:b w:val="0"/>
          <w:bCs/>
          <w:sz w:val="24"/>
          <w:szCs w:val="24"/>
          <w:lang w:val="en-US" w:eastAsia="zh-CN"/>
        </w:rPr>
        <w:t xml:space="preserve">表摘1 </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6268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A2123B9">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214EACD2">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72539549">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47D22C37">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3445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09187F7">
            <w:pPr>
              <w:snapToGrid w:val="0"/>
              <w:jc w:val="center"/>
              <w:rPr>
                <w:rFonts w:hint="default" w:ascii="Times New Roman" w:hAnsi="Times New Roman" w:eastAsia="仿宋"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5EECCB3F">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rPr>
              <w:t>15</w:t>
            </w:r>
            <w:r>
              <w:rPr>
                <w:rFonts w:hint="eastAsia" w:ascii="Times New Roman" w:cs="Times New Roman"/>
                <w:bCs/>
                <w:spacing w:val="6"/>
                <w:sz w:val="21"/>
                <w:lang w:val="en-US" w:eastAsia="zh-CN"/>
              </w:rPr>
              <w:t>.00</w:t>
            </w:r>
          </w:p>
        </w:tc>
        <w:tc>
          <w:tcPr>
            <w:tcW w:w="2211" w:type="dxa"/>
            <w:vAlign w:val="center"/>
          </w:tcPr>
          <w:p w14:paraId="1760E0AA">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w:t>
            </w:r>
            <w:r>
              <w:rPr>
                <w:rFonts w:hint="eastAsia" w:ascii="Times New Roman" w:cs="Times New Roman"/>
                <w:bCs/>
                <w:spacing w:val="6"/>
                <w:sz w:val="21"/>
                <w:lang w:val="en-US" w:eastAsia="zh-CN"/>
              </w:rPr>
              <w:t>3.00</w:t>
            </w:r>
          </w:p>
        </w:tc>
        <w:tc>
          <w:tcPr>
            <w:tcW w:w="2211" w:type="dxa"/>
            <w:vAlign w:val="center"/>
          </w:tcPr>
          <w:p w14:paraId="588B48B8">
            <w:pPr>
              <w:snapToGrid w:val="0"/>
              <w:jc w:val="center"/>
              <w:rPr>
                <w:rFonts w:hint="default" w:ascii="Times New Roman" w:hAnsi="Times New Roman" w:cs="Times New Roman"/>
                <w:bCs/>
                <w:spacing w:val="6"/>
                <w:sz w:val="21"/>
                <w:lang w:val="en-US" w:eastAsia="zh-CN"/>
              </w:rPr>
            </w:pPr>
            <w:r>
              <w:rPr>
                <w:rFonts w:hint="eastAsia" w:ascii="Times New Roman" w:cs="Times New Roman"/>
                <w:bCs/>
                <w:spacing w:val="6"/>
                <w:sz w:val="21"/>
                <w:lang w:val="en-US" w:eastAsia="zh-CN"/>
              </w:rPr>
              <w:t>86.67</w:t>
            </w:r>
            <w:r>
              <w:rPr>
                <w:rFonts w:hint="default" w:ascii="Times New Roman" w:hAnsi="Times New Roman" w:cs="Times New Roman"/>
                <w:bCs/>
                <w:spacing w:val="6"/>
                <w:sz w:val="21"/>
                <w:lang w:val="en-US" w:eastAsia="zh-CN"/>
              </w:rPr>
              <w:t>%</w:t>
            </w:r>
          </w:p>
        </w:tc>
      </w:tr>
      <w:tr w14:paraId="4818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4D7962C3">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10BA0839">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20</w:t>
            </w:r>
            <w:r>
              <w:rPr>
                <w:rFonts w:hint="eastAsia" w:ascii="Times New Roman" w:cs="Times New Roman"/>
                <w:bCs/>
                <w:spacing w:val="6"/>
                <w:sz w:val="21"/>
                <w:lang w:val="en-US" w:eastAsia="zh-CN"/>
              </w:rPr>
              <w:t>.00</w:t>
            </w:r>
          </w:p>
        </w:tc>
        <w:tc>
          <w:tcPr>
            <w:tcW w:w="2211" w:type="dxa"/>
            <w:vAlign w:val="center"/>
          </w:tcPr>
          <w:p w14:paraId="4989024C">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18.64</w:t>
            </w:r>
          </w:p>
        </w:tc>
        <w:tc>
          <w:tcPr>
            <w:tcW w:w="2211" w:type="dxa"/>
            <w:vAlign w:val="center"/>
          </w:tcPr>
          <w:p w14:paraId="552EA6D6">
            <w:pPr>
              <w:snapToGrid w:val="0"/>
              <w:jc w:val="center"/>
              <w:rPr>
                <w:rFonts w:hint="default" w:ascii="Times New Roman" w:hAnsi="Times New Roman" w:cs="Times New Roman"/>
                <w:bCs/>
                <w:spacing w:val="6"/>
                <w:sz w:val="21"/>
                <w:lang w:val="en-US" w:eastAsia="zh-CN"/>
              </w:rPr>
            </w:pPr>
            <w:r>
              <w:rPr>
                <w:rFonts w:hint="eastAsia" w:ascii="Times New Roman" w:cs="Times New Roman"/>
                <w:bCs/>
                <w:spacing w:val="6"/>
                <w:sz w:val="21"/>
                <w:lang w:val="en-US" w:eastAsia="zh-CN"/>
              </w:rPr>
              <w:t>93.33</w:t>
            </w:r>
            <w:r>
              <w:rPr>
                <w:rFonts w:hint="default" w:ascii="Times New Roman" w:hAnsi="Times New Roman" w:cs="Times New Roman"/>
                <w:bCs/>
                <w:spacing w:val="6"/>
                <w:sz w:val="21"/>
                <w:lang w:val="en-US" w:eastAsia="zh-CN"/>
              </w:rPr>
              <w:t>%</w:t>
            </w:r>
          </w:p>
        </w:tc>
      </w:tr>
      <w:tr w14:paraId="2329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58E03C3E">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3AB3ADFD">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35</w:t>
            </w:r>
            <w:r>
              <w:rPr>
                <w:rFonts w:hint="eastAsia" w:ascii="Times New Roman" w:cs="Times New Roman"/>
                <w:bCs/>
                <w:spacing w:val="6"/>
                <w:sz w:val="21"/>
                <w:lang w:val="en-US" w:eastAsia="zh-CN"/>
              </w:rPr>
              <w:t>.00</w:t>
            </w:r>
          </w:p>
        </w:tc>
        <w:tc>
          <w:tcPr>
            <w:tcW w:w="2211" w:type="dxa"/>
            <w:vAlign w:val="center"/>
          </w:tcPr>
          <w:p w14:paraId="410A1F74">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29</w:t>
            </w:r>
            <w:r>
              <w:rPr>
                <w:rFonts w:hint="eastAsia" w:ascii="Times New Roman" w:cs="Times New Roman"/>
                <w:bCs/>
                <w:spacing w:val="6"/>
                <w:sz w:val="21"/>
                <w:lang w:val="en-US" w:eastAsia="zh-CN"/>
              </w:rPr>
              <w:t>.00</w:t>
            </w:r>
          </w:p>
        </w:tc>
        <w:tc>
          <w:tcPr>
            <w:tcW w:w="2211" w:type="dxa"/>
            <w:vAlign w:val="center"/>
          </w:tcPr>
          <w:p w14:paraId="28C59490">
            <w:pPr>
              <w:snapToGrid w:val="0"/>
              <w:jc w:val="center"/>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82.86%</w:t>
            </w:r>
          </w:p>
        </w:tc>
      </w:tr>
      <w:tr w14:paraId="257E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19E42792">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效果</w:t>
            </w:r>
          </w:p>
        </w:tc>
        <w:tc>
          <w:tcPr>
            <w:tcW w:w="2211" w:type="dxa"/>
            <w:vAlign w:val="center"/>
          </w:tcPr>
          <w:p w14:paraId="0138C10E">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30</w:t>
            </w:r>
            <w:r>
              <w:rPr>
                <w:rFonts w:hint="eastAsia" w:ascii="Times New Roman" w:cs="Times New Roman"/>
                <w:bCs/>
                <w:spacing w:val="6"/>
                <w:sz w:val="21"/>
                <w:lang w:val="en-US" w:eastAsia="zh-CN"/>
              </w:rPr>
              <w:t>.00</w:t>
            </w:r>
          </w:p>
        </w:tc>
        <w:tc>
          <w:tcPr>
            <w:tcW w:w="2211" w:type="dxa"/>
            <w:vAlign w:val="center"/>
          </w:tcPr>
          <w:p w14:paraId="1C62B86F">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27</w:t>
            </w:r>
            <w:r>
              <w:rPr>
                <w:rFonts w:hint="eastAsia" w:ascii="Times New Roman" w:cs="Times New Roman"/>
                <w:bCs/>
                <w:spacing w:val="6"/>
                <w:sz w:val="21"/>
                <w:lang w:val="en-US" w:eastAsia="zh-CN"/>
              </w:rPr>
              <w:t>.00</w:t>
            </w:r>
          </w:p>
        </w:tc>
        <w:tc>
          <w:tcPr>
            <w:tcW w:w="2211" w:type="dxa"/>
            <w:vAlign w:val="center"/>
          </w:tcPr>
          <w:p w14:paraId="384317FB">
            <w:pPr>
              <w:snapToGrid w:val="0"/>
              <w:jc w:val="center"/>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90.00%</w:t>
            </w:r>
          </w:p>
        </w:tc>
      </w:tr>
      <w:tr w14:paraId="0BD8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49454E6">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合 计</w:t>
            </w:r>
          </w:p>
        </w:tc>
        <w:tc>
          <w:tcPr>
            <w:tcW w:w="2211" w:type="dxa"/>
            <w:vAlign w:val="center"/>
          </w:tcPr>
          <w:p w14:paraId="06AF0BF9">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100</w:t>
            </w:r>
            <w:r>
              <w:rPr>
                <w:rFonts w:hint="eastAsia" w:ascii="Times New Roman" w:cs="Times New Roman"/>
                <w:b/>
                <w:bCs/>
                <w:spacing w:val="6"/>
                <w:sz w:val="21"/>
                <w:lang w:val="en-US" w:eastAsia="zh-CN"/>
              </w:rPr>
              <w:t>.00</w:t>
            </w:r>
          </w:p>
        </w:tc>
        <w:tc>
          <w:tcPr>
            <w:tcW w:w="2211" w:type="dxa"/>
            <w:vAlign w:val="center"/>
          </w:tcPr>
          <w:p w14:paraId="6534AC07">
            <w:pPr>
              <w:snapToGrid w:val="0"/>
              <w:jc w:val="center"/>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8</w:t>
            </w:r>
            <w:r>
              <w:rPr>
                <w:rFonts w:hint="eastAsia" w:ascii="Times New Roman" w:cs="Times New Roman"/>
                <w:b/>
                <w:bCs/>
                <w:spacing w:val="6"/>
                <w:sz w:val="21"/>
                <w:lang w:val="en-US" w:eastAsia="zh-CN"/>
              </w:rPr>
              <w:t>7</w:t>
            </w:r>
            <w:r>
              <w:rPr>
                <w:rFonts w:hint="default" w:ascii="Times New Roman" w:hAnsi="Times New Roman" w:cs="Times New Roman"/>
                <w:b/>
                <w:bCs/>
                <w:spacing w:val="6"/>
                <w:sz w:val="21"/>
                <w:lang w:val="en-US" w:eastAsia="zh-CN"/>
              </w:rPr>
              <w:t>.64</w:t>
            </w:r>
          </w:p>
        </w:tc>
        <w:tc>
          <w:tcPr>
            <w:tcW w:w="2211" w:type="dxa"/>
            <w:vAlign w:val="center"/>
          </w:tcPr>
          <w:p w14:paraId="4CFF7400">
            <w:pPr>
              <w:snapToGrid w:val="0"/>
              <w:jc w:val="center"/>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8</w:t>
            </w:r>
            <w:r>
              <w:rPr>
                <w:rFonts w:hint="eastAsia" w:ascii="Times New Roman" w:cs="Times New Roman"/>
                <w:b/>
                <w:bCs/>
                <w:spacing w:val="6"/>
                <w:sz w:val="21"/>
                <w:lang w:val="en-US" w:eastAsia="zh-CN"/>
              </w:rPr>
              <w:t>7</w:t>
            </w:r>
            <w:r>
              <w:rPr>
                <w:rFonts w:hint="default" w:ascii="Times New Roman" w:hAnsi="Times New Roman" w:cs="Times New Roman"/>
                <w:b/>
                <w:bCs/>
                <w:spacing w:val="6"/>
                <w:sz w:val="21"/>
                <w:lang w:val="en-US" w:eastAsia="zh-CN"/>
              </w:rPr>
              <w:t>.64%</w:t>
            </w:r>
          </w:p>
        </w:tc>
      </w:tr>
    </w:tbl>
    <w:p w14:paraId="291BB474">
      <w:pPr>
        <w:spacing w:line="579" w:lineRule="exact"/>
        <w:ind w:firstLine="630" w:firstLineChars="200"/>
        <w:rPr>
          <w:rFonts w:hint="default" w:ascii="Times New Roman" w:hAnsi="Times New Roman" w:eastAsia="仿宋" w:cs="Times New Roman"/>
          <w:bCs/>
          <w:szCs w:val="30"/>
          <w:lang w:val="en-US" w:eastAsia="zh-CN"/>
        </w:rPr>
      </w:pPr>
      <w:bookmarkStart w:id="8" w:name="_Toc6160"/>
      <w:bookmarkStart w:id="9" w:name="_Toc13527"/>
      <w:bookmarkStart w:id="10" w:name="_Toc22605"/>
      <w:r>
        <w:rPr>
          <w:rFonts w:hint="eastAsia"/>
          <w:lang w:val="en-US" w:eastAsia="zh-CN"/>
        </w:rPr>
        <w:t>总体来说，园林绿化维护专项经费项目</w:t>
      </w:r>
      <w:r>
        <w:rPr>
          <w:rFonts w:hint="default" w:ascii="Times New Roman" w:hAnsi="Times New Roman" w:cs="Times New Roman"/>
          <w:szCs w:val="30"/>
        </w:rPr>
        <w:t>立项依据充分、立项程序规范，内容完善</w:t>
      </w:r>
      <w:r>
        <w:rPr>
          <w:rFonts w:hint="default" w:ascii="Times New Roman" w:hAnsi="Times New Roman" w:cs="Times New Roman"/>
          <w:szCs w:val="30"/>
          <w:lang w:eastAsia="zh-CN"/>
        </w:rPr>
        <w:t>，</w:t>
      </w:r>
      <w:r>
        <w:rPr>
          <w:rFonts w:hint="default" w:ascii="Times New Roman" w:hAnsi="Times New Roman" w:cs="Times New Roman"/>
          <w:szCs w:val="30"/>
          <w:lang w:val="en-US" w:eastAsia="zh-CN"/>
        </w:rPr>
        <w:t>绩效目标明确，项目实施方案及财务管理制度健全，项目实施效果良好，但是项目的预算编制不够科学，从现场来看，</w:t>
      </w:r>
      <w:r>
        <w:rPr>
          <w:rFonts w:hint="eastAsia" w:ascii="Times New Roman" w:cs="Times New Roman"/>
          <w:szCs w:val="30"/>
          <w:lang w:val="en-US" w:eastAsia="zh-CN"/>
        </w:rPr>
        <w:t>由于成本控制不够科学，导致区</w:t>
      </w:r>
      <w:r>
        <w:rPr>
          <w:rFonts w:hint="default" w:ascii="Times New Roman" w:hAnsi="Times New Roman" w:cs="Times New Roman"/>
          <w:szCs w:val="30"/>
          <w:lang w:val="en-US" w:eastAsia="zh-CN"/>
        </w:rPr>
        <w:t>海口街道的绿化</w:t>
      </w:r>
      <w:r>
        <w:rPr>
          <w:rFonts w:hint="eastAsia" w:ascii="Times New Roman" w:cs="Times New Roman"/>
          <w:szCs w:val="30"/>
          <w:lang w:val="en-US" w:eastAsia="zh-CN"/>
        </w:rPr>
        <w:t>目前缺乏</w:t>
      </w:r>
      <w:r>
        <w:rPr>
          <w:rFonts w:hint="default" w:ascii="Times New Roman" w:hAnsi="Times New Roman" w:cs="Times New Roman"/>
          <w:szCs w:val="30"/>
          <w:lang w:val="en-US" w:eastAsia="zh-CN"/>
        </w:rPr>
        <w:t>养护，</w:t>
      </w:r>
      <w:r>
        <w:rPr>
          <w:rFonts w:hint="eastAsia" w:ascii="Times New Roman" w:cs="Times New Roman"/>
          <w:szCs w:val="30"/>
          <w:lang w:val="en-US" w:eastAsia="zh-CN"/>
        </w:rPr>
        <w:t>出现部分苗木死亡以及</w:t>
      </w:r>
      <w:r>
        <w:rPr>
          <w:rFonts w:hint="default" w:ascii="Times New Roman" w:hAnsi="Times New Roman" w:cs="Times New Roman"/>
          <w:szCs w:val="30"/>
          <w:lang w:val="en-US" w:eastAsia="zh-CN"/>
        </w:rPr>
        <w:t>影响居民生活</w:t>
      </w:r>
      <w:r>
        <w:rPr>
          <w:rFonts w:hint="eastAsia" w:ascii="Times New Roman" w:cs="Times New Roman"/>
          <w:szCs w:val="30"/>
          <w:lang w:val="en-US" w:eastAsia="zh-CN"/>
        </w:rPr>
        <w:t>的情况</w:t>
      </w:r>
      <w:r>
        <w:rPr>
          <w:rFonts w:hint="default" w:ascii="Times New Roman" w:hAnsi="Times New Roman" w:cs="Times New Roman"/>
          <w:szCs w:val="30"/>
          <w:lang w:val="en-US" w:eastAsia="zh-CN"/>
        </w:rPr>
        <w:t>。</w:t>
      </w:r>
    </w:p>
    <w:p w14:paraId="3573A854">
      <w:pPr>
        <w:pStyle w:val="35"/>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三、</w:t>
      </w:r>
      <w:bookmarkEnd w:id="8"/>
      <w:bookmarkEnd w:id="9"/>
      <w:bookmarkEnd w:id="10"/>
      <w:bookmarkStart w:id="11" w:name="_Toc18700"/>
      <w:bookmarkStart w:id="12" w:name="_Toc6130"/>
      <w:bookmarkStart w:id="13" w:name="_Toc6891"/>
      <w:r>
        <w:rPr>
          <w:rFonts w:hint="default" w:ascii="Times New Roman" w:hAnsi="Times New Roman" w:cs="Times New Roman"/>
          <w:lang w:val="en-US" w:eastAsia="zh-CN"/>
        </w:rPr>
        <w:t>存在的主要问题</w:t>
      </w:r>
      <w:bookmarkEnd w:id="11"/>
      <w:bookmarkEnd w:id="12"/>
      <w:bookmarkEnd w:id="13"/>
    </w:p>
    <w:p w14:paraId="3FA68CF7">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4" w:name="_Toc19231"/>
      <w:bookmarkStart w:id="15" w:name="_Toc6606"/>
      <w:bookmarkStart w:id="16" w:name="_Toc233"/>
      <w:bookmarkStart w:id="17" w:name="_Toc27628"/>
      <w:r>
        <w:rPr>
          <w:rFonts w:hint="default" w:ascii="Times New Roman" w:hAnsi="Times New Roman" w:cs="Times New Roman"/>
          <w:lang w:val="en-US" w:eastAsia="zh-CN"/>
        </w:rPr>
        <w:t>（一）预算编制不科学，预算</w:t>
      </w:r>
      <w:r>
        <w:rPr>
          <w:rFonts w:hint="eastAsia" w:cs="Times New Roman"/>
          <w:lang w:val="en-US" w:eastAsia="zh-CN"/>
        </w:rPr>
        <w:t>编制</w:t>
      </w:r>
      <w:r>
        <w:rPr>
          <w:rFonts w:hint="default" w:ascii="Times New Roman" w:hAnsi="Times New Roman" w:cs="Times New Roman"/>
          <w:lang w:val="en-US" w:eastAsia="zh-CN"/>
        </w:rPr>
        <w:t>管理有待加强</w:t>
      </w:r>
      <w:bookmarkEnd w:id="14"/>
    </w:p>
    <w:p w14:paraId="55C0A28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kern w:val="2"/>
          <w:sz w:val="30"/>
          <w:szCs w:val="30"/>
          <w:highlight w:val="none"/>
          <w:lang w:val="en-US" w:eastAsia="zh-CN" w:bidi="ar-SA"/>
        </w:rPr>
        <w:t>项目组查看了合同，发现</w:t>
      </w:r>
      <w:r>
        <w:rPr>
          <w:rFonts w:hint="eastAsia" w:ascii="Times New Roman" w:cs="Times New Roman"/>
          <w:kern w:val="2"/>
          <w:sz w:val="30"/>
          <w:szCs w:val="30"/>
          <w:highlight w:val="none"/>
          <w:lang w:val="en-US" w:eastAsia="zh-CN" w:bidi="ar-SA"/>
        </w:rPr>
        <w:t>项目</w:t>
      </w:r>
      <w:r>
        <w:rPr>
          <w:rFonts w:hint="default" w:ascii="Times New Roman" w:hAnsi="Times New Roman" w:cs="Times New Roman"/>
          <w:kern w:val="2"/>
          <w:sz w:val="30"/>
          <w:szCs w:val="30"/>
          <w:highlight w:val="none"/>
          <w:lang w:val="en-US" w:eastAsia="zh-CN" w:bidi="ar-SA"/>
        </w:rPr>
        <w:t>预算细项编制不够科学，如2022年</w:t>
      </w:r>
      <w:r>
        <w:rPr>
          <w:rFonts w:hint="eastAsia" w:ascii="Times New Roman" w:cs="Times New Roman"/>
          <w:kern w:val="2"/>
          <w:sz w:val="30"/>
          <w:szCs w:val="30"/>
          <w:highlight w:val="none"/>
          <w:lang w:val="en-US" w:eastAsia="zh-CN" w:bidi="ar-SA"/>
        </w:rPr>
        <w:t>签订的</w:t>
      </w:r>
      <w:r>
        <w:rPr>
          <w:rFonts w:hint="default" w:ascii="Times New Roman" w:hAnsi="Times New Roman" w:cs="Times New Roman"/>
          <w:kern w:val="2"/>
          <w:sz w:val="30"/>
          <w:szCs w:val="30"/>
          <w:highlight w:val="none"/>
          <w:lang w:val="en-US" w:eastAsia="zh-CN" w:bidi="ar-SA"/>
        </w:rPr>
        <w:t>海口集镇中心绿化管养费项目合同，</w:t>
      </w:r>
      <w:r>
        <w:rPr>
          <w:rFonts w:hint="eastAsia" w:ascii="Times New Roman" w:cs="Times New Roman"/>
          <w:kern w:val="2"/>
          <w:sz w:val="30"/>
          <w:szCs w:val="30"/>
          <w:highlight w:val="none"/>
          <w:lang w:val="en-US" w:eastAsia="zh-CN" w:bidi="ar-SA"/>
        </w:rPr>
        <w:t>约定2023年</w:t>
      </w:r>
      <w:r>
        <w:rPr>
          <w:rFonts w:hint="default" w:ascii="Times New Roman" w:hAnsi="Times New Roman" w:cs="Times New Roman"/>
          <w:kern w:val="2"/>
          <w:sz w:val="30"/>
          <w:szCs w:val="30"/>
          <w:highlight w:val="none"/>
          <w:lang w:val="en-US" w:eastAsia="zh-CN" w:bidi="ar-SA"/>
        </w:rPr>
        <w:t>每个</w:t>
      </w:r>
      <w:r>
        <w:rPr>
          <w:rFonts w:hint="eastAsia" w:ascii="Times New Roman" w:cs="Times New Roman"/>
          <w:kern w:val="2"/>
          <w:sz w:val="30"/>
          <w:szCs w:val="30"/>
          <w:highlight w:val="none"/>
          <w:lang w:val="en-US" w:eastAsia="zh-CN" w:bidi="ar-SA"/>
        </w:rPr>
        <w:t>季度</w:t>
      </w:r>
      <w:r>
        <w:rPr>
          <w:rFonts w:hint="default" w:ascii="Times New Roman" w:hAnsi="Times New Roman" w:cs="Times New Roman"/>
          <w:kern w:val="2"/>
          <w:sz w:val="30"/>
          <w:szCs w:val="30"/>
          <w:highlight w:val="none"/>
          <w:lang w:val="en-US" w:eastAsia="zh-CN" w:bidi="ar-SA"/>
        </w:rPr>
        <w:t>根据考核结果支付合同总金额的12.5%，即为46.81万元，</w:t>
      </w:r>
      <w:r>
        <w:rPr>
          <w:rFonts w:hint="eastAsia" w:ascii="Times New Roman" w:cs="Times New Roman"/>
          <w:kern w:val="2"/>
          <w:sz w:val="30"/>
          <w:szCs w:val="30"/>
          <w:highlight w:val="none"/>
          <w:lang w:val="en-US" w:eastAsia="zh-CN" w:bidi="ar-SA"/>
        </w:rPr>
        <w:t>2023</w:t>
      </w:r>
      <w:r>
        <w:rPr>
          <w:rFonts w:hint="default" w:ascii="Times New Roman" w:hAnsi="Times New Roman" w:cs="Times New Roman"/>
          <w:kern w:val="2"/>
          <w:sz w:val="30"/>
          <w:szCs w:val="30"/>
          <w:highlight w:val="none"/>
          <w:lang w:val="en-US" w:eastAsia="zh-CN" w:bidi="ar-SA"/>
        </w:rPr>
        <w:t>年一共所需</w:t>
      </w:r>
      <w:r>
        <w:rPr>
          <w:rFonts w:hint="eastAsia" w:ascii="Times New Roman" w:cs="Times New Roman"/>
          <w:kern w:val="2"/>
          <w:sz w:val="30"/>
          <w:szCs w:val="30"/>
          <w:highlight w:val="none"/>
          <w:lang w:val="en-US" w:eastAsia="zh-CN" w:bidi="ar-SA"/>
        </w:rPr>
        <w:t>支付金额为</w:t>
      </w:r>
      <w:r>
        <w:rPr>
          <w:rFonts w:hint="default" w:ascii="Times New Roman" w:hAnsi="Times New Roman" w:cs="Times New Roman"/>
          <w:kern w:val="2"/>
          <w:sz w:val="30"/>
          <w:szCs w:val="30"/>
          <w:highlight w:val="none"/>
          <w:lang w:val="en-US" w:eastAsia="zh-CN" w:bidi="ar-SA"/>
        </w:rPr>
        <w:t>187.24万元。但</w:t>
      </w:r>
      <w:r>
        <w:rPr>
          <w:rFonts w:hint="eastAsia" w:ascii="Times New Roman" w:cs="Times New Roman"/>
          <w:kern w:val="2"/>
          <w:sz w:val="30"/>
          <w:szCs w:val="30"/>
          <w:highlight w:val="none"/>
          <w:lang w:val="en-US" w:eastAsia="zh-CN" w:bidi="ar-SA"/>
        </w:rPr>
        <w:t>2023年</w:t>
      </w:r>
      <w:r>
        <w:rPr>
          <w:rFonts w:hint="default" w:ascii="Times New Roman" w:hAnsi="Times New Roman" w:cs="Times New Roman"/>
          <w:kern w:val="2"/>
          <w:sz w:val="30"/>
          <w:szCs w:val="30"/>
          <w:highlight w:val="none"/>
          <w:lang w:val="en-US" w:eastAsia="zh-CN" w:bidi="ar-SA"/>
        </w:rPr>
        <w:t>预算</w:t>
      </w:r>
      <w:r>
        <w:rPr>
          <w:rFonts w:hint="eastAsia" w:ascii="Times New Roman" w:cs="Times New Roman"/>
          <w:kern w:val="2"/>
          <w:sz w:val="30"/>
          <w:szCs w:val="30"/>
          <w:highlight w:val="none"/>
          <w:lang w:val="en-US" w:eastAsia="zh-CN" w:bidi="ar-SA"/>
        </w:rPr>
        <w:t>编制时</w:t>
      </w:r>
      <w:r>
        <w:rPr>
          <w:rFonts w:hint="default" w:ascii="Times New Roman" w:hAnsi="Times New Roman" w:cs="Times New Roman"/>
          <w:kern w:val="2"/>
          <w:sz w:val="30"/>
          <w:szCs w:val="30"/>
          <w:highlight w:val="none"/>
          <w:lang w:val="en-US" w:eastAsia="zh-CN" w:bidi="ar-SA"/>
        </w:rPr>
        <w:t>，该项目</w:t>
      </w:r>
      <w:r>
        <w:rPr>
          <w:rFonts w:hint="eastAsia" w:ascii="Times New Roman" w:cs="Times New Roman"/>
          <w:kern w:val="2"/>
          <w:sz w:val="30"/>
          <w:szCs w:val="30"/>
          <w:highlight w:val="none"/>
          <w:lang w:val="en-US" w:eastAsia="zh-CN" w:bidi="ar-SA"/>
        </w:rPr>
        <w:t>实际编制</w:t>
      </w:r>
      <w:r>
        <w:rPr>
          <w:rFonts w:hint="default" w:ascii="Times New Roman" w:hAnsi="Times New Roman" w:cs="Times New Roman"/>
          <w:kern w:val="2"/>
          <w:sz w:val="30"/>
          <w:szCs w:val="30"/>
          <w:highlight w:val="none"/>
          <w:lang w:val="en-US" w:eastAsia="zh-CN" w:bidi="ar-SA"/>
        </w:rPr>
        <w:t>了192.42万元</w:t>
      </w:r>
      <w:r>
        <w:rPr>
          <w:rFonts w:hint="eastAsia" w:ascii="Times New Roman" w:cs="Times New Roman"/>
          <w:kern w:val="2"/>
          <w:sz w:val="30"/>
          <w:szCs w:val="30"/>
          <w:highlight w:val="none"/>
          <w:lang w:val="en-US" w:eastAsia="zh-CN" w:bidi="ar-SA"/>
        </w:rPr>
        <w:t>预算，预算编制不科学。</w:t>
      </w:r>
      <w:r>
        <w:rPr>
          <w:rFonts w:hint="default" w:ascii="Times New Roman" w:hAnsi="Times New Roman" w:cs="Times New Roman"/>
          <w:kern w:val="2"/>
          <w:sz w:val="30"/>
          <w:szCs w:val="30"/>
          <w:highlight w:val="none"/>
          <w:lang w:val="en-US" w:eastAsia="zh-CN" w:bidi="ar-SA"/>
        </w:rPr>
        <w:t>经了解，本项目主要是参考历年的预算情况</w:t>
      </w:r>
      <w:r>
        <w:rPr>
          <w:rFonts w:hint="eastAsia" w:ascii="Times New Roman" w:cs="Times New Roman"/>
          <w:kern w:val="2"/>
          <w:sz w:val="30"/>
          <w:szCs w:val="30"/>
          <w:highlight w:val="none"/>
          <w:lang w:val="en-US" w:eastAsia="zh-CN" w:bidi="ar-SA"/>
        </w:rPr>
        <w:t>进行编制</w:t>
      </w:r>
      <w:r>
        <w:rPr>
          <w:rFonts w:hint="default" w:ascii="Times New Roman" w:hAnsi="Times New Roman" w:cs="Times New Roman"/>
          <w:kern w:val="2"/>
          <w:sz w:val="30"/>
          <w:szCs w:val="30"/>
          <w:highlight w:val="none"/>
          <w:lang w:val="en-US" w:eastAsia="zh-CN" w:bidi="ar-SA"/>
        </w:rPr>
        <w:t>，未充分考虑</w:t>
      </w:r>
      <w:r>
        <w:rPr>
          <w:rFonts w:hint="eastAsia" w:ascii="Times New Roman" w:cs="Times New Roman"/>
          <w:kern w:val="2"/>
          <w:sz w:val="30"/>
          <w:szCs w:val="30"/>
          <w:highlight w:val="none"/>
          <w:lang w:val="en-US" w:eastAsia="zh-CN" w:bidi="ar-SA"/>
        </w:rPr>
        <w:t>实际</w:t>
      </w:r>
      <w:r>
        <w:rPr>
          <w:rFonts w:hint="default" w:ascii="Times New Roman" w:hAnsi="Times New Roman" w:cs="Times New Roman"/>
          <w:kern w:val="2"/>
          <w:sz w:val="30"/>
          <w:szCs w:val="30"/>
          <w:highlight w:val="none"/>
          <w:lang w:val="en-US" w:eastAsia="zh-CN" w:bidi="ar-SA"/>
        </w:rPr>
        <w:t>所需</w:t>
      </w:r>
      <w:r>
        <w:rPr>
          <w:rFonts w:hint="eastAsia" w:ascii="Times New Roman" w:cs="Times New Roman"/>
          <w:kern w:val="2"/>
          <w:sz w:val="30"/>
          <w:szCs w:val="30"/>
          <w:highlight w:val="none"/>
          <w:lang w:val="en-US" w:eastAsia="zh-CN" w:bidi="ar-SA"/>
        </w:rPr>
        <w:t>金额，</w:t>
      </w:r>
      <w:r>
        <w:rPr>
          <w:rFonts w:hint="default" w:ascii="Times New Roman" w:hAnsi="Times New Roman" w:cs="Times New Roman"/>
          <w:kern w:val="2"/>
          <w:sz w:val="30"/>
          <w:szCs w:val="30"/>
          <w:highlight w:val="none"/>
          <w:lang w:val="en-US" w:eastAsia="zh-CN" w:bidi="ar-SA"/>
        </w:rPr>
        <w:t>预算编制管理有待加强。</w:t>
      </w:r>
    </w:p>
    <w:p w14:paraId="59DC3F78">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8" w:name="_Toc8373"/>
      <w:r>
        <w:rPr>
          <w:rFonts w:hint="default" w:ascii="Times New Roman" w:hAnsi="Times New Roman" w:cs="Times New Roman"/>
          <w:lang w:val="en-US" w:eastAsia="zh-CN"/>
        </w:rPr>
        <w:t>（二）项目处于停滞状态，项目管理有待加强</w:t>
      </w:r>
      <w:bookmarkEnd w:id="18"/>
    </w:p>
    <w:p w14:paraId="00638A68">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eastAsia="仿宋" w:cs="Times New Roman"/>
          <w:kern w:val="2"/>
          <w:sz w:val="30"/>
          <w:szCs w:val="30"/>
          <w:highlight w:val="none"/>
          <w:lang w:val="en-US" w:eastAsia="zh-CN" w:bidi="ar-SA"/>
        </w:rPr>
      </w:pPr>
      <w:bookmarkStart w:id="19" w:name="_Toc16277"/>
      <w:r>
        <w:rPr>
          <w:rFonts w:hint="default" w:ascii="Times New Roman" w:hAnsi="Times New Roman" w:eastAsia="仿宋" w:cs="Times New Roman"/>
          <w:kern w:val="2"/>
          <w:sz w:val="30"/>
          <w:szCs w:val="30"/>
          <w:highlight w:val="none"/>
          <w:lang w:val="en-US" w:eastAsia="zh-CN" w:bidi="ar-SA"/>
        </w:rPr>
        <w:t>根据访谈，由于2024年部分预算用于支付上年度的项目款项，导致从2024年4月起，绿化养护工作资金紧张，未能继续开展采购委托相应的养护单位开展绿化养护工作，目前，路面上已出现部分苗木死亡的现象，而项目实施单位并未对树木进行自主养护。由于缺乏有效的后续管理和维护措施，这些问题在一定程度上影响了绿化效果，导致了绿化带影响了居民日常生活。</w:t>
      </w:r>
      <w:bookmarkEnd w:id="19"/>
    </w:p>
    <w:p w14:paraId="74987484">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cs="Times New Roman"/>
          <w:lang w:val="en-US" w:eastAsia="zh-CN"/>
        </w:rPr>
        <w:t>三</w:t>
      </w:r>
      <w:r>
        <w:rPr>
          <w:rFonts w:hint="default" w:ascii="Times New Roman" w:hAnsi="Times New Roman" w:cs="Times New Roman"/>
          <w:lang w:val="en-US" w:eastAsia="zh-CN"/>
        </w:rPr>
        <w:t>）</w:t>
      </w:r>
      <w:r>
        <w:rPr>
          <w:rFonts w:hint="eastAsia" w:cs="Times New Roman"/>
          <w:lang w:val="en-US" w:eastAsia="zh-CN"/>
        </w:rPr>
        <w:t>考核工作监管不到位，同类别问题出现频率高</w:t>
      </w:r>
    </w:p>
    <w:p w14:paraId="1FCF3C01">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根据台账资料，项目实施单位</w:t>
      </w:r>
      <w:r>
        <w:rPr>
          <w:rFonts w:hint="eastAsia" w:eastAsia="仿宋" w:cs="Times New Roman"/>
          <w:kern w:val="2"/>
          <w:sz w:val="30"/>
          <w:szCs w:val="30"/>
          <w:highlight w:val="none"/>
          <w:lang w:val="en-US" w:eastAsia="zh-CN" w:bidi="ar-SA"/>
        </w:rPr>
        <w:t>在考核中</w:t>
      </w:r>
      <w:r>
        <w:rPr>
          <w:rFonts w:hint="default" w:ascii="Times New Roman" w:hAnsi="Times New Roman" w:eastAsia="仿宋" w:cs="Times New Roman"/>
          <w:kern w:val="2"/>
          <w:sz w:val="30"/>
          <w:szCs w:val="30"/>
          <w:highlight w:val="none"/>
          <w:lang w:val="en-US" w:eastAsia="zh-CN" w:bidi="ar-SA"/>
        </w:rPr>
        <w:t>提出的一些问题存在重复。一是区海口街道办事处三供一业绿化管养项目中，第三季度和第四季度均出现了植物死亡情况以及台账查验不够细致的情况；二是2022年至2023年海口集镇中心绿化管养项目的台账</w:t>
      </w:r>
      <w:r>
        <w:rPr>
          <w:rFonts w:hint="eastAsia" w:eastAsia="仿宋" w:cs="Times New Roman"/>
          <w:kern w:val="2"/>
          <w:sz w:val="30"/>
          <w:szCs w:val="30"/>
          <w:highlight w:val="none"/>
          <w:lang w:val="en-US" w:eastAsia="zh-CN" w:bidi="ar-SA"/>
        </w:rPr>
        <w:t>每季度均</w:t>
      </w:r>
      <w:r>
        <w:rPr>
          <w:rFonts w:hint="default" w:ascii="Times New Roman" w:hAnsi="Times New Roman" w:eastAsia="仿宋" w:cs="Times New Roman"/>
          <w:kern w:val="2"/>
          <w:sz w:val="30"/>
          <w:szCs w:val="30"/>
          <w:highlight w:val="none"/>
          <w:lang w:val="en-US" w:eastAsia="zh-CN" w:bidi="ar-SA"/>
        </w:rPr>
        <w:t>存在不完整的情况。</w:t>
      </w:r>
    </w:p>
    <w:p w14:paraId="6D13284E">
      <w:pPr>
        <w:pStyle w:val="35"/>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四</w:t>
      </w:r>
      <w:r>
        <w:rPr>
          <w:rFonts w:hint="default" w:ascii="Times New Roman" w:hAnsi="Times New Roman" w:cs="Times New Roman"/>
          <w:lang w:val="en-US" w:eastAsia="zh-CN"/>
        </w:rPr>
        <w:t>、建议</w:t>
      </w:r>
      <w:bookmarkEnd w:id="15"/>
      <w:bookmarkEnd w:id="16"/>
      <w:bookmarkEnd w:id="17"/>
    </w:p>
    <w:bookmarkEnd w:id="1"/>
    <w:p w14:paraId="506C3C5F">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20" w:name="_Toc19134"/>
      <w:r>
        <w:rPr>
          <w:rFonts w:hint="default" w:ascii="Times New Roman" w:hAnsi="Times New Roman" w:cs="Times New Roman"/>
          <w:lang w:val="en-US" w:eastAsia="zh-CN"/>
        </w:rPr>
        <w:t>（一）</w:t>
      </w:r>
      <w:r>
        <w:rPr>
          <w:rFonts w:hint="eastAsia" w:cs="Times New Roman"/>
          <w:lang w:val="en-US" w:eastAsia="zh-CN"/>
        </w:rPr>
        <w:t>充分考虑预算需求</w:t>
      </w:r>
      <w:r>
        <w:rPr>
          <w:rFonts w:hint="default" w:ascii="Times New Roman" w:hAnsi="Times New Roman" w:cs="Times New Roman"/>
          <w:lang w:val="en-US" w:eastAsia="zh-CN"/>
        </w:rPr>
        <w:t>，</w:t>
      </w:r>
      <w:r>
        <w:rPr>
          <w:rFonts w:hint="eastAsia" w:cs="Times New Roman"/>
          <w:lang w:val="en-US" w:eastAsia="zh-CN"/>
        </w:rPr>
        <w:t>进一步提升</w:t>
      </w:r>
      <w:r>
        <w:rPr>
          <w:rFonts w:hint="default" w:ascii="Times New Roman" w:hAnsi="Times New Roman" w:cs="Times New Roman"/>
          <w:lang w:val="en-US" w:eastAsia="zh-CN"/>
        </w:rPr>
        <w:t>预算</w:t>
      </w:r>
      <w:r>
        <w:rPr>
          <w:rFonts w:hint="eastAsia" w:cs="Times New Roman"/>
          <w:lang w:val="en-US" w:eastAsia="zh-CN"/>
        </w:rPr>
        <w:t>编制的合理性</w:t>
      </w:r>
      <w:bookmarkEnd w:id="20"/>
    </w:p>
    <w:p w14:paraId="08B0C57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szCs w:val="30"/>
          <w:lang w:val="en-US" w:eastAsia="zh-CN"/>
        </w:rPr>
      </w:pPr>
      <w:r>
        <w:rPr>
          <w:rFonts w:hint="default" w:ascii="Times New Roman" w:hAnsi="Times New Roman" w:cs="Times New Roman"/>
          <w:kern w:val="2"/>
          <w:sz w:val="30"/>
          <w:szCs w:val="30"/>
          <w:highlight w:val="none"/>
          <w:lang w:val="en-US" w:eastAsia="zh-CN" w:bidi="ar-SA"/>
        </w:rPr>
        <w:t>建议区海口街道办严格按照合同规定的金额和时间节点，确保每个季度或月份的资金安排与合同实际执行情况相匹配。例如，本项目中提到的季度付款比例应准确反映在年度预算申请中，避免申请资金与实际需求出现偏差。</w:t>
      </w:r>
    </w:p>
    <w:p w14:paraId="321EC04E">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21" w:name="_Toc24022"/>
      <w:r>
        <w:rPr>
          <w:rFonts w:hint="default" w:ascii="Times New Roman" w:hAnsi="Times New Roman" w:cs="Times New Roman"/>
          <w:lang w:val="en-US" w:eastAsia="zh-CN"/>
        </w:rPr>
        <w:t>（二）加强项目管理工作，进一步保障项目的可持续性</w:t>
      </w:r>
      <w:bookmarkEnd w:id="21"/>
    </w:p>
    <w:p w14:paraId="742C4D77">
      <w:pPr>
        <w:pStyle w:val="36"/>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r>
        <w:rPr>
          <w:rFonts w:hint="default" w:ascii="Times New Roman" w:hAnsi="Times New Roman" w:eastAsia="仿宋" w:cs="Times New Roman"/>
          <w:kern w:val="30"/>
          <w:sz w:val="30"/>
          <w:szCs w:val="30"/>
          <w:lang w:val="en-US" w:eastAsia="zh-CN" w:bidi="ar-SA"/>
        </w:rPr>
        <w:t>建议优化项目管理和资金安排，以确保项目的持续性和稳定性。一是制定并实施有效的资金管理计划，确保项目资金按时到位，避免因资金紧张导致项目停滞；二是建立健全后续自主管理和维护机制，定期对绿化养护工作进行监督和检查，确保养护工作不因资金问题而中断。</w:t>
      </w:r>
    </w:p>
    <w:p w14:paraId="2178C71D">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cs="Times New Roman"/>
          <w:lang w:val="en-US" w:eastAsia="zh-CN"/>
        </w:rPr>
        <w:t>三</w:t>
      </w:r>
      <w:r>
        <w:rPr>
          <w:rFonts w:hint="default" w:ascii="Times New Roman" w:hAnsi="Times New Roman" w:cs="Times New Roman"/>
          <w:lang w:val="en-US" w:eastAsia="zh-CN"/>
        </w:rPr>
        <w:t>）</w:t>
      </w:r>
      <w:r>
        <w:rPr>
          <w:rFonts w:hint="eastAsia" w:cs="Times New Roman"/>
          <w:lang w:val="en-US" w:eastAsia="zh-CN"/>
        </w:rPr>
        <w:t>优化合同考核要求，加大监管力度，进一步提升服务单位的工作质量</w:t>
      </w:r>
    </w:p>
    <w:p w14:paraId="043CAC7C">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eastAsia="仿宋" w:cs="Times New Roman"/>
          <w:kern w:val="2"/>
          <w:sz w:val="30"/>
          <w:szCs w:val="30"/>
          <w:highlight w:val="none"/>
          <w:lang w:val="en-US" w:eastAsia="zh-CN" w:bidi="ar-SA"/>
        </w:rPr>
      </w:pPr>
      <w:r>
        <w:rPr>
          <w:rFonts w:hint="eastAsia" w:eastAsia="仿宋" w:cs="Times New Roman"/>
          <w:kern w:val="2"/>
          <w:sz w:val="30"/>
          <w:szCs w:val="30"/>
          <w:highlight w:val="none"/>
          <w:lang w:val="en-US" w:eastAsia="zh-CN" w:bidi="ar-SA"/>
        </w:rPr>
        <w:t>建议区海口街道办进一步优化合同条款，特别是考核细则中的评分指标，对于每季度重复出现的同类问题，应加大处罚力度，实施双倍扣分。同时，强化问题整改的监管机制，要求整改方在规定期限内提交整改报告，考核方需在实地核实整改情况后，方可进行资金拨款。进一步减少问题的反复出现。</w:t>
      </w:r>
    </w:p>
    <w:p w14:paraId="6C313D68">
      <w:pPr>
        <w:rPr>
          <w:rFonts w:hint="default" w:ascii="Times New Roman" w:hAnsi="Times New Roman" w:eastAsia="方正小标宋简体" w:cs="Times New Roman"/>
          <w:color w:val="auto"/>
          <w:kern w:val="36"/>
          <w:sz w:val="44"/>
          <w:szCs w:val="44"/>
          <w:highlight w:val="none"/>
          <w:lang w:val="en-US" w:eastAsia="zh-CN"/>
        </w:rPr>
      </w:pPr>
    </w:p>
    <w:p w14:paraId="5CED9E29">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简体" w:cs="Times New Roman"/>
          <w:color w:val="auto"/>
          <w:kern w:val="36"/>
          <w:sz w:val="44"/>
          <w:szCs w:val="44"/>
          <w:highlight w:val="none"/>
          <w:lang w:val="en-US" w:eastAsia="zh-CN"/>
        </w:rPr>
        <w:sectPr>
          <w:footerReference r:id="rId6" w:type="default"/>
          <w:footerReference r:id="rId7" w:type="even"/>
          <w:pgSz w:w="11906" w:h="16838"/>
          <w:pgMar w:top="2098" w:right="1474" w:bottom="1985" w:left="1588" w:header="851" w:footer="1474" w:gutter="0"/>
          <w:pgNumType w:fmt="decimal" w:start="1"/>
          <w:cols w:space="425" w:num="1"/>
          <w:docGrid w:type="linesAndChars" w:linePitch="579" w:charSpace="3247"/>
        </w:sectPr>
      </w:pPr>
    </w:p>
    <w:p w14:paraId="77CD8B41">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eastAsia="方正小标宋简体" w:cs="Times New Roman"/>
          <w:color w:val="auto"/>
          <w:kern w:val="36"/>
          <w:sz w:val="44"/>
          <w:szCs w:val="44"/>
          <w:highlight w:val="none"/>
          <w:lang w:val="en-US" w:eastAsia="zh-CN"/>
        </w:rPr>
      </w:pPr>
      <w:r>
        <w:rPr>
          <w:rFonts w:hint="default" w:ascii="Times New Roman" w:hAnsi="Times New Roman" w:eastAsia="方正小标宋简体" w:cs="Times New Roman"/>
          <w:color w:val="auto"/>
          <w:kern w:val="36"/>
          <w:sz w:val="44"/>
          <w:szCs w:val="44"/>
          <w:highlight w:val="none"/>
          <w:lang w:val="en-US" w:eastAsia="zh-CN"/>
        </w:rPr>
        <w:t>园林绿化维护专项经费项目</w:t>
      </w:r>
      <w:r>
        <w:rPr>
          <w:rFonts w:hint="eastAsia" w:ascii="Times New Roman" w:eastAsia="方正小标宋简体" w:cs="Times New Roman"/>
          <w:color w:val="auto"/>
          <w:kern w:val="36"/>
          <w:sz w:val="44"/>
          <w:szCs w:val="44"/>
          <w:highlight w:val="none"/>
          <w:lang w:val="en-US" w:eastAsia="zh-CN"/>
        </w:rPr>
        <w:t>支出</w:t>
      </w:r>
    </w:p>
    <w:p w14:paraId="5C4E5CE9">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简体" w:cs="Times New Roman"/>
          <w:color w:val="auto"/>
          <w:kern w:val="36"/>
          <w:sz w:val="44"/>
          <w:szCs w:val="44"/>
          <w:highlight w:val="none"/>
          <w:lang w:val="en-US" w:eastAsia="zh-CN"/>
        </w:rPr>
      </w:pPr>
      <w:r>
        <w:rPr>
          <w:rFonts w:hint="default" w:ascii="Times New Roman" w:hAnsi="Times New Roman" w:eastAsia="方正小标宋简体" w:cs="Times New Roman"/>
          <w:color w:val="auto"/>
          <w:kern w:val="36"/>
          <w:sz w:val="44"/>
          <w:szCs w:val="44"/>
          <w:highlight w:val="none"/>
          <w:lang w:val="en-US" w:eastAsia="zh-CN"/>
        </w:rPr>
        <w:t>绩效评价报告</w:t>
      </w:r>
    </w:p>
    <w:p w14:paraId="3EB45EEF">
      <w:pPr>
        <w:spacing w:line="579" w:lineRule="exact"/>
        <w:rPr>
          <w:rFonts w:hint="default" w:ascii="Times New Roman" w:hAnsi="Times New Roman" w:cs="Times New Roman"/>
          <w:sz w:val="36"/>
          <w:szCs w:val="36"/>
        </w:rPr>
      </w:pPr>
    </w:p>
    <w:p w14:paraId="463C43B5">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根据</w:t>
      </w:r>
      <w:r>
        <w:rPr>
          <w:rFonts w:hint="default" w:ascii="Times New Roman" w:hAnsi="Times New Roman" w:cs="Times New Roman"/>
          <w:szCs w:val="30"/>
          <w:lang w:val="en-US" w:eastAsia="zh-CN"/>
        </w:rPr>
        <w:t>《中华人民共和国预算法》《中共中央国务院关于全面实施预算绩效管理的意见》（中发〔2018〕34号）、《中共云南省委云南省人民政府关于全面实施预算绩效管理的实施意见》（云发〔2019〕11号）《云南省财政厅关于印发云南省财政厅绩效评价质量控制机制（试行）的通知》（云财办〔2022〕14号）</w:t>
      </w:r>
      <w:r>
        <w:rPr>
          <w:rFonts w:hint="default" w:ascii="Times New Roman" w:hAnsi="Times New Roman" w:eastAsia="仿宋" w:cs="Times New Roman"/>
          <w:kern w:val="30"/>
          <w:sz w:val="30"/>
          <w:szCs w:val="30"/>
          <w:lang w:val="en-US" w:eastAsia="zh-CN" w:bidi="ar-SA"/>
        </w:rPr>
        <w:t>的要求，</w:t>
      </w:r>
      <w:r>
        <w:rPr>
          <w:rFonts w:hint="default" w:ascii="Times New Roman" w:hAnsi="Times New Roman" w:cs="Times New Roman"/>
          <w:szCs w:val="30"/>
          <w:lang w:val="en-US" w:eastAsia="zh-CN"/>
        </w:rPr>
        <w:t>昆明市西山区财政局（以下简称“区财政局”）委托昆明池砾项目咨询有限责任公司（以下简称“池砾公司”）对园林绿化维护专项经费项目（以下简称“本项目”）开展绩效评价</w:t>
      </w:r>
      <w:r>
        <w:rPr>
          <w:rFonts w:hint="default" w:ascii="Times New Roman" w:hAnsi="Times New Roman" w:eastAsia="仿宋" w:cs="Times New Roman"/>
          <w:kern w:val="30"/>
          <w:sz w:val="30"/>
          <w:szCs w:val="30"/>
          <w:lang w:val="en-US" w:eastAsia="zh-CN" w:bidi="ar-SA"/>
        </w:rPr>
        <w:t>。现将评价情况报告如下：</w:t>
      </w:r>
    </w:p>
    <w:p w14:paraId="09AA8248">
      <w:pPr>
        <w:pStyle w:val="35"/>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22" w:name="_Toc778"/>
      <w:r>
        <w:rPr>
          <w:rFonts w:hint="default" w:ascii="Times New Roman" w:hAnsi="Times New Roman" w:cs="Times New Roman"/>
          <w:lang w:val="en-US" w:eastAsia="zh-CN"/>
        </w:rPr>
        <w:t>一、基本情况</w:t>
      </w:r>
      <w:bookmarkEnd w:id="22"/>
    </w:p>
    <w:p w14:paraId="6A0DBA4C">
      <w:pPr>
        <w:pStyle w:val="36"/>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23" w:name="_Toc17256"/>
      <w:r>
        <w:rPr>
          <w:rFonts w:hint="default" w:ascii="Times New Roman" w:hAnsi="Times New Roman" w:cs="Times New Roman"/>
        </w:rPr>
        <w:t>（一）项目概况</w:t>
      </w:r>
      <w:bookmarkEnd w:id="23"/>
    </w:p>
    <w:p w14:paraId="67A4DB3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bookmarkStart w:id="24" w:name="_Toc13322"/>
      <w:r>
        <w:rPr>
          <w:rFonts w:hint="default" w:ascii="Times New Roman" w:hAnsi="Times New Roman" w:eastAsia="仿宋" w:cs="Times New Roman"/>
          <w:lang w:val="en-US" w:eastAsia="zh-CN"/>
        </w:rPr>
        <w:t>1.项目设立背景</w:t>
      </w:r>
      <w:bookmarkEnd w:id="24"/>
    </w:p>
    <w:p w14:paraId="12F9500D">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为了促进城市绿化事业的发展，改善生态环境，美化生活环境，增进人民身心健康。国务院于2014年9月17日发布了国务院《城市绿化条例》，文件明确城市的公共绿地、风景林地、防护绿地、行道树及干道绿化带的绿化，由城市人民政府城市绿化行政主管部门管理；各单位管界内的防护绿地的绿化，由该单位按照国家有关规定管理；单位自建的公园和单位附属绿地的绿化，由该单位管理；居住区绿地的绿化，由城市人民政府城市绿化行政主管部门根据实际情况确定的单位管理；城市苗圃、草圃和花圃等，由其经营单位管理。</w:t>
      </w:r>
    </w:p>
    <w:p w14:paraId="69641DF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为响应国家号召和指示，</w:t>
      </w:r>
      <w:r>
        <w:rPr>
          <w:rFonts w:hint="eastAsia" w:ascii="Times New Roman" w:cs="Times New Roman"/>
          <w:kern w:val="30"/>
          <w:sz w:val="30"/>
          <w:szCs w:val="30"/>
          <w:lang w:val="en-US" w:eastAsia="zh-CN" w:bidi="ar-SA"/>
        </w:rPr>
        <w:t>区</w:t>
      </w:r>
      <w:r>
        <w:rPr>
          <w:rFonts w:hint="default" w:ascii="Times New Roman" w:hAnsi="Times New Roman" w:eastAsia="仿宋" w:cs="Times New Roman"/>
          <w:kern w:val="30"/>
          <w:sz w:val="30"/>
          <w:szCs w:val="30"/>
          <w:lang w:val="en-US" w:eastAsia="zh-CN" w:bidi="ar-SA"/>
        </w:rPr>
        <w:t>海口街道办设立了园林绿化维护专项经费项目，每年按照《园林绿化养护技术规范》（DG5301/T24-2017）以及《园林绿化养护标准》（CJJ/T287-2018）中二级养护标准，委托相关第三方养护公司对</w:t>
      </w:r>
      <w:r>
        <w:rPr>
          <w:rFonts w:hint="eastAsia" w:ascii="Times New Roman" w:cs="Times New Roman"/>
          <w:kern w:val="30"/>
          <w:sz w:val="30"/>
          <w:szCs w:val="30"/>
          <w:lang w:val="en-US" w:eastAsia="zh-CN" w:bidi="ar-SA"/>
        </w:rPr>
        <w:t>区</w:t>
      </w:r>
      <w:r>
        <w:rPr>
          <w:rFonts w:hint="default" w:ascii="Times New Roman" w:hAnsi="Times New Roman" w:eastAsia="仿宋" w:cs="Times New Roman"/>
          <w:kern w:val="30"/>
          <w:sz w:val="30"/>
          <w:szCs w:val="30"/>
          <w:lang w:val="en-US" w:eastAsia="zh-CN" w:bidi="ar-SA"/>
        </w:rPr>
        <w:t>海口街道</w:t>
      </w:r>
      <w:r>
        <w:rPr>
          <w:rFonts w:hint="eastAsia" w:ascii="Times New Roman" w:cs="Times New Roman"/>
          <w:kern w:val="30"/>
          <w:sz w:val="30"/>
          <w:szCs w:val="30"/>
          <w:lang w:val="en-US" w:eastAsia="zh-CN" w:bidi="ar-SA"/>
        </w:rPr>
        <w:t>办</w:t>
      </w:r>
      <w:r>
        <w:rPr>
          <w:rFonts w:hint="default" w:ascii="Times New Roman" w:hAnsi="Times New Roman" w:eastAsia="仿宋" w:cs="Times New Roman"/>
          <w:kern w:val="30"/>
          <w:sz w:val="30"/>
          <w:szCs w:val="30"/>
          <w:lang w:val="en-US" w:eastAsia="zh-CN" w:bidi="ar-SA"/>
        </w:rPr>
        <w:t>所负责范围内的绿化进行养护工作。并由下属单位昆明市西山区海口街道城市管理综合服务中心负责项目的考核、监管和管理。</w:t>
      </w:r>
    </w:p>
    <w:p w14:paraId="7216857C">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项目由三个子项目组成，分别对应昆明市西山区海口街道的三供一业片区、海口集镇中心片区和工业园片区。其中，工业园片区隶属于昆明市西山区海口工业园区管理委员会（以下简称“管委会”）的管辖范围，不属于本次评价的项目实施单位及区海口街道办的直接管辖范围。鉴于管委会尚未设立法人，无法独立建立预算系统，导致单位预算申请需通过区海口街道办负责。目前，管委会作为实际的项目实施单位，直接负责工业园区绿化项目的采购、合同签订、资金制度、考核及监管工作。</w:t>
      </w:r>
    </w:p>
    <w:p w14:paraId="66AFD3E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bookmarkStart w:id="25" w:name="_Toc23086"/>
      <w:r>
        <w:rPr>
          <w:rFonts w:hint="default" w:ascii="Times New Roman" w:hAnsi="Times New Roman" w:eastAsia="仿宋" w:cs="Times New Roman"/>
          <w:lang w:val="en-US" w:eastAsia="zh-CN"/>
        </w:rPr>
        <w:t>2.项目设立目的</w:t>
      </w:r>
      <w:bookmarkEnd w:id="25"/>
    </w:p>
    <w:p w14:paraId="6ADF391F">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color w:val="auto"/>
          <w:szCs w:val="30"/>
          <w:highlight w:val="none"/>
          <w:lang w:val="en-US" w:eastAsia="zh-CN"/>
        </w:rPr>
        <w:t>为响应国务院《城市绿化条例》的要求，</w:t>
      </w:r>
      <w:r>
        <w:rPr>
          <w:rFonts w:hint="eastAsia" w:ascii="Times New Roman" w:cs="Times New Roman"/>
          <w:color w:val="auto"/>
          <w:szCs w:val="30"/>
          <w:highlight w:val="none"/>
          <w:lang w:val="en-US" w:eastAsia="zh-CN"/>
        </w:rPr>
        <w:t>区</w:t>
      </w:r>
      <w:r>
        <w:rPr>
          <w:rFonts w:hint="default" w:ascii="Times New Roman" w:hAnsi="Times New Roman" w:cs="Times New Roman"/>
          <w:color w:val="auto"/>
          <w:szCs w:val="30"/>
          <w:highlight w:val="none"/>
          <w:lang w:val="en-US" w:eastAsia="zh-CN"/>
        </w:rPr>
        <w:t>海口街道办设立了园林绿化维护专项经费项目，并依据《园林绿化养护技术规范》（DG5301/T24-2017）及《园林绿化养护标准》（CJJ/T287-2018）二级养护标准，委托第三方养护公司对</w:t>
      </w:r>
      <w:r>
        <w:rPr>
          <w:rFonts w:hint="eastAsia" w:ascii="Times New Roman" w:cs="Times New Roman"/>
          <w:color w:val="auto"/>
          <w:szCs w:val="30"/>
          <w:highlight w:val="none"/>
          <w:lang w:val="en-US" w:eastAsia="zh-CN"/>
        </w:rPr>
        <w:t>区</w:t>
      </w:r>
      <w:r>
        <w:rPr>
          <w:rFonts w:hint="default" w:ascii="Times New Roman" w:hAnsi="Times New Roman" w:cs="Times New Roman"/>
          <w:color w:val="auto"/>
          <w:szCs w:val="30"/>
          <w:highlight w:val="none"/>
          <w:lang w:val="en-US" w:eastAsia="zh-CN"/>
        </w:rPr>
        <w:t>海口街道</w:t>
      </w:r>
      <w:r>
        <w:rPr>
          <w:rFonts w:hint="eastAsia" w:ascii="Times New Roman" w:cs="Times New Roman"/>
          <w:color w:val="auto"/>
          <w:szCs w:val="30"/>
          <w:highlight w:val="none"/>
          <w:lang w:val="en-US" w:eastAsia="zh-CN"/>
        </w:rPr>
        <w:t>办</w:t>
      </w:r>
      <w:r>
        <w:rPr>
          <w:rFonts w:hint="default" w:ascii="Times New Roman" w:hAnsi="Times New Roman" w:cs="Times New Roman"/>
          <w:color w:val="auto"/>
          <w:szCs w:val="30"/>
          <w:highlight w:val="none"/>
          <w:lang w:val="en-US" w:eastAsia="zh-CN"/>
        </w:rPr>
        <w:t>所辖范围内的绿化进行专业养护。通过系统化的绿化养护工作，提升城市绿地的覆盖率和绿化质量，从而优化空气质量、调节城市气候，增强城市生态系统的稳定性和健康性。</w:t>
      </w:r>
    </w:p>
    <w:p w14:paraId="082C0ECB">
      <w:pPr>
        <w:pStyle w:val="36"/>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26" w:name="_Toc20491"/>
      <w:r>
        <w:rPr>
          <w:rFonts w:hint="default" w:ascii="Times New Roman" w:hAnsi="Times New Roman" w:cs="Times New Roman"/>
        </w:rPr>
        <w:t>（二）项目资金安排情况</w:t>
      </w:r>
      <w:bookmarkEnd w:id="26"/>
    </w:p>
    <w:p w14:paraId="2C4E9A0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1.资金来源及到位情况</w:t>
      </w:r>
    </w:p>
    <w:p w14:paraId="4C2295D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szCs w:val="30"/>
          <w:highlight w:val="none"/>
          <w:lang w:val="en-US" w:eastAsia="zh-CN"/>
        </w:rPr>
      </w:pPr>
      <w:bookmarkStart w:id="27" w:name="_Toc28182"/>
      <w:bookmarkStart w:id="28" w:name="_Toc26587"/>
      <w:r>
        <w:rPr>
          <w:rFonts w:hint="default" w:ascii="Times New Roman" w:hAnsi="Times New Roman" w:eastAsia="仿宋" w:cs="Times New Roman"/>
          <w:b w:val="0"/>
          <w:bCs w:val="0"/>
          <w:szCs w:val="30"/>
          <w:highlight w:val="none"/>
          <w:lang w:val="en-US" w:eastAsia="zh-CN"/>
        </w:rPr>
        <w:t>本项目</w:t>
      </w:r>
      <w:r>
        <w:rPr>
          <w:rFonts w:hint="default" w:ascii="Times New Roman" w:hAnsi="Times New Roman" w:cs="Times New Roman"/>
          <w:b w:val="0"/>
          <w:bCs w:val="0"/>
          <w:szCs w:val="30"/>
          <w:highlight w:val="none"/>
          <w:lang w:val="en-US" w:eastAsia="zh-CN"/>
        </w:rPr>
        <w:t>为经常性项目，预算单位为</w:t>
      </w:r>
      <w:r>
        <w:rPr>
          <w:rFonts w:hint="eastAsia" w:ascii="Times New Roman" w:cs="Times New Roman"/>
          <w:b w:val="0"/>
          <w:bCs w:val="0"/>
          <w:szCs w:val="30"/>
          <w:highlight w:val="none"/>
          <w:lang w:val="en-US" w:eastAsia="zh-CN"/>
        </w:rPr>
        <w:t>区海口街道办</w:t>
      </w:r>
      <w:r>
        <w:rPr>
          <w:rFonts w:hint="default" w:ascii="Times New Roman" w:hAnsi="Times New Roman" w:cs="Times New Roman"/>
          <w:b w:val="0"/>
          <w:bCs w:val="0"/>
          <w:szCs w:val="30"/>
          <w:highlight w:val="none"/>
          <w:lang w:val="en-US" w:eastAsia="zh-CN"/>
        </w:rPr>
        <w:t>，资金来源为一般公共预算。2023年预算金额为538.97万元，主要用于委托第三方养护公司对</w:t>
      </w:r>
      <w:r>
        <w:rPr>
          <w:rFonts w:hint="eastAsia" w:ascii="Times New Roman" w:cs="Times New Roman"/>
          <w:b w:val="0"/>
          <w:bCs w:val="0"/>
          <w:szCs w:val="30"/>
          <w:highlight w:val="none"/>
          <w:lang w:val="en-US" w:eastAsia="zh-CN"/>
        </w:rPr>
        <w:t>区</w:t>
      </w:r>
      <w:r>
        <w:rPr>
          <w:rFonts w:hint="default" w:ascii="Times New Roman" w:hAnsi="Times New Roman" w:cs="Times New Roman"/>
          <w:b w:val="0"/>
          <w:bCs w:val="0"/>
          <w:szCs w:val="30"/>
          <w:highlight w:val="none"/>
          <w:lang w:val="en-US" w:eastAsia="zh-CN"/>
        </w:rPr>
        <w:t>海口街道</w:t>
      </w:r>
      <w:r>
        <w:rPr>
          <w:rFonts w:hint="eastAsia" w:ascii="Times New Roman" w:cs="Times New Roman"/>
          <w:b w:val="0"/>
          <w:bCs w:val="0"/>
          <w:szCs w:val="30"/>
          <w:highlight w:val="none"/>
          <w:lang w:val="en-US" w:eastAsia="zh-CN"/>
        </w:rPr>
        <w:t>办</w:t>
      </w:r>
      <w:r>
        <w:rPr>
          <w:rFonts w:hint="default" w:ascii="Times New Roman" w:hAnsi="Times New Roman" w:cs="Times New Roman"/>
          <w:b w:val="0"/>
          <w:bCs w:val="0"/>
          <w:szCs w:val="30"/>
          <w:highlight w:val="none"/>
          <w:lang w:val="en-US" w:eastAsia="zh-CN"/>
        </w:rPr>
        <w:t>的绿化提供养护服务。预算内容主要由3个子项目构成，一是昆明市西山区海口街道办事处三供一业</w:t>
      </w:r>
      <w:r>
        <w:rPr>
          <w:rFonts w:hint="default" w:ascii="Times New Roman" w:hAnsi="Times New Roman" w:cs="Times New Roman"/>
          <w:szCs w:val="30"/>
          <w:highlight w:val="none"/>
          <w:lang w:val="en-US" w:eastAsia="zh-CN"/>
        </w:rPr>
        <w:t>绿化管养项目，二是昆明海口工业园区产业片区2022年-2024年度绿化管护项目，三是2022年至2023 年海口集镇中心区绿化管养。具体预算明细如下：</w:t>
      </w:r>
      <w:bookmarkEnd w:id="27"/>
      <w:bookmarkEnd w:id="28"/>
    </w:p>
    <w:p w14:paraId="4B0609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kern w:val="2"/>
          <w:sz w:val="24"/>
          <w:szCs w:val="24"/>
          <w:highlight w:val="none"/>
          <w:lang w:val="en-US" w:eastAsia="zh-CN" w:bidi="ar-SA"/>
        </w:rPr>
      </w:pPr>
      <w:r>
        <w:rPr>
          <w:rFonts w:hint="eastAsia" w:ascii="Times New Roman" w:eastAsia="黑体" w:cs="Times New Roman"/>
          <w:b w:val="0"/>
          <w:bCs w:val="0"/>
          <w:kern w:val="2"/>
          <w:sz w:val="24"/>
          <w:szCs w:val="24"/>
          <w:highlight w:val="none"/>
          <w:lang w:val="en-US" w:eastAsia="zh-CN" w:bidi="ar-SA"/>
        </w:rPr>
        <w:t xml:space="preserve">表1 </w:t>
      </w:r>
      <w:r>
        <w:rPr>
          <w:rFonts w:hint="default" w:ascii="Times New Roman" w:hAnsi="Times New Roman" w:eastAsia="黑体" w:cs="Times New Roman"/>
          <w:b w:val="0"/>
          <w:bCs w:val="0"/>
          <w:kern w:val="2"/>
          <w:sz w:val="24"/>
          <w:szCs w:val="24"/>
          <w:highlight w:val="none"/>
          <w:lang w:val="en-US" w:eastAsia="zh-CN" w:bidi="ar-SA"/>
        </w:rPr>
        <w:t>预算明细表</w:t>
      </w:r>
    </w:p>
    <w:p w14:paraId="335C2EAA">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Times New Roman" w:hAnsi="Times New Roman" w:eastAsia="黑体" w:cs="Times New Roman"/>
          <w:b w:val="0"/>
          <w:bCs w:val="0"/>
          <w:kern w:val="2"/>
          <w:sz w:val="24"/>
          <w:szCs w:val="24"/>
          <w:highlight w:val="none"/>
          <w:lang w:val="en-US" w:eastAsia="zh-CN" w:bidi="ar-SA"/>
        </w:rPr>
      </w:pPr>
      <w:r>
        <w:rPr>
          <w:rFonts w:hint="default" w:ascii="Times New Roman" w:hAnsi="Times New Roman" w:eastAsia="黑体" w:cs="Times New Roman"/>
          <w:b w:val="0"/>
          <w:bCs w:val="0"/>
          <w:kern w:val="2"/>
          <w:sz w:val="24"/>
          <w:szCs w:val="24"/>
          <w:highlight w:val="none"/>
          <w:lang w:val="en-US" w:eastAsia="zh-CN" w:bidi="ar-SA"/>
        </w:rPr>
        <w:t>单位：万元</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5650"/>
        <w:gridCol w:w="2568"/>
      </w:tblGrid>
      <w:tr w14:paraId="748A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3" w:type="dxa"/>
            <w:vAlign w:val="center"/>
          </w:tcPr>
          <w:p w14:paraId="2A7F54C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29" w:name="_Toc12913"/>
            <w:bookmarkStart w:id="30" w:name="_Toc10976"/>
            <w:r>
              <w:rPr>
                <w:rFonts w:hint="default" w:ascii="Times New Roman" w:hAnsi="Times New Roman" w:eastAsia="仿宋" w:cs="Times New Roman"/>
                <w:b/>
                <w:bCs/>
                <w:sz w:val="21"/>
                <w:szCs w:val="21"/>
                <w:highlight w:val="none"/>
                <w:vertAlign w:val="baseline"/>
                <w:lang w:val="en-US" w:eastAsia="zh-CN"/>
              </w:rPr>
              <w:t>序号</w:t>
            </w:r>
            <w:bookmarkEnd w:id="29"/>
            <w:bookmarkEnd w:id="30"/>
          </w:p>
        </w:tc>
        <w:tc>
          <w:tcPr>
            <w:tcW w:w="5650" w:type="dxa"/>
            <w:vAlign w:val="center"/>
          </w:tcPr>
          <w:p w14:paraId="6BBA58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31" w:name="_Toc31504"/>
            <w:bookmarkStart w:id="32" w:name="_Toc1360"/>
            <w:r>
              <w:rPr>
                <w:rFonts w:hint="default" w:ascii="Times New Roman" w:hAnsi="Times New Roman" w:eastAsia="仿宋" w:cs="Times New Roman"/>
                <w:b/>
                <w:bCs/>
                <w:sz w:val="21"/>
                <w:szCs w:val="21"/>
                <w:highlight w:val="none"/>
                <w:vertAlign w:val="baseline"/>
                <w:lang w:val="en-US" w:eastAsia="zh-CN"/>
              </w:rPr>
              <w:t>项目名称</w:t>
            </w:r>
            <w:bookmarkEnd w:id="31"/>
            <w:bookmarkEnd w:id="32"/>
          </w:p>
        </w:tc>
        <w:tc>
          <w:tcPr>
            <w:tcW w:w="2568" w:type="dxa"/>
            <w:vAlign w:val="center"/>
          </w:tcPr>
          <w:p w14:paraId="5F85116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33" w:name="_Toc21635"/>
            <w:bookmarkStart w:id="34" w:name="_Toc19645"/>
            <w:r>
              <w:rPr>
                <w:rFonts w:hint="default" w:ascii="Times New Roman" w:hAnsi="Times New Roman" w:eastAsia="仿宋" w:cs="Times New Roman"/>
                <w:b/>
                <w:bCs/>
                <w:sz w:val="21"/>
                <w:szCs w:val="21"/>
                <w:highlight w:val="none"/>
                <w:vertAlign w:val="baseline"/>
                <w:lang w:val="en-US" w:eastAsia="zh-CN"/>
              </w:rPr>
              <w:t>预算金额</w:t>
            </w:r>
            <w:bookmarkEnd w:id="33"/>
            <w:bookmarkEnd w:id="34"/>
          </w:p>
        </w:tc>
      </w:tr>
      <w:tr w14:paraId="40D3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14:paraId="1DD1E29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35" w:name="_Toc9987"/>
            <w:bookmarkStart w:id="36" w:name="_Toc22679"/>
            <w:r>
              <w:rPr>
                <w:rFonts w:hint="default" w:ascii="Times New Roman" w:hAnsi="Times New Roman" w:eastAsia="仿宋" w:cs="Times New Roman"/>
                <w:sz w:val="21"/>
                <w:szCs w:val="21"/>
                <w:highlight w:val="none"/>
                <w:vertAlign w:val="baseline"/>
                <w:lang w:val="en-US" w:eastAsia="zh-CN"/>
              </w:rPr>
              <w:t>1</w:t>
            </w:r>
            <w:bookmarkEnd w:id="35"/>
            <w:bookmarkEnd w:id="36"/>
          </w:p>
        </w:tc>
        <w:tc>
          <w:tcPr>
            <w:tcW w:w="5650" w:type="dxa"/>
            <w:vAlign w:val="center"/>
          </w:tcPr>
          <w:p w14:paraId="459E65D2">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37" w:name="_Toc4040"/>
            <w:bookmarkStart w:id="38" w:name="_Toc29819"/>
            <w:r>
              <w:rPr>
                <w:rFonts w:hint="default" w:ascii="Times New Roman" w:hAnsi="Times New Roman" w:eastAsia="仿宋" w:cs="Times New Roman"/>
                <w:sz w:val="21"/>
                <w:szCs w:val="21"/>
                <w:highlight w:val="none"/>
                <w:lang w:val="en-US" w:eastAsia="zh-CN"/>
              </w:rPr>
              <w:t>昆明市西山区海口街道办事处三供一业绿化管养项目</w:t>
            </w:r>
            <w:bookmarkEnd w:id="37"/>
            <w:bookmarkEnd w:id="38"/>
          </w:p>
        </w:tc>
        <w:tc>
          <w:tcPr>
            <w:tcW w:w="2568" w:type="dxa"/>
            <w:vAlign w:val="center"/>
          </w:tcPr>
          <w:p w14:paraId="1DBA17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39" w:name="_Toc22695"/>
            <w:bookmarkStart w:id="40" w:name="_Toc5787"/>
            <w:r>
              <w:rPr>
                <w:rFonts w:hint="default" w:ascii="Times New Roman" w:hAnsi="Times New Roman" w:cs="Times New Roman"/>
                <w:sz w:val="21"/>
                <w:szCs w:val="21"/>
                <w:highlight w:val="none"/>
                <w:vertAlign w:val="baseline"/>
                <w:lang w:val="en-US" w:eastAsia="zh-CN"/>
              </w:rPr>
              <w:t>189.</w:t>
            </w:r>
            <w:r>
              <w:rPr>
                <w:rFonts w:hint="eastAsia" w:ascii="Times New Roman" w:cs="Times New Roman"/>
                <w:sz w:val="21"/>
                <w:szCs w:val="21"/>
                <w:highlight w:val="none"/>
                <w:vertAlign w:val="baseline"/>
                <w:lang w:val="en-US" w:eastAsia="zh-CN"/>
              </w:rPr>
              <w:t>4</w:t>
            </w:r>
            <w:r>
              <w:rPr>
                <w:rFonts w:hint="default" w:ascii="Times New Roman" w:hAnsi="Times New Roman" w:cs="Times New Roman"/>
                <w:sz w:val="21"/>
                <w:szCs w:val="21"/>
                <w:highlight w:val="none"/>
                <w:vertAlign w:val="baseline"/>
                <w:lang w:val="en-US" w:eastAsia="zh-CN"/>
              </w:rPr>
              <w:t>9</w:t>
            </w:r>
            <w:bookmarkEnd w:id="39"/>
            <w:bookmarkEnd w:id="40"/>
          </w:p>
        </w:tc>
      </w:tr>
      <w:tr w14:paraId="28C6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14:paraId="5845D65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41" w:name="_Toc25114"/>
            <w:bookmarkStart w:id="42" w:name="_Toc22751"/>
            <w:r>
              <w:rPr>
                <w:rFonts w:hint="default" w:ascii="Times New Roman" w:hAnsi="Times New Roman" w:eastAsia="仿宋" w:cs="Times New Roman"/>
                <w:sz w:val="21"/>
                <w:szCs w:val="21"/>
                <w:highlight w:val="none"/>
                <w:vertAlign w:val="baseline"/>
                <w:lang w:val="en-US" w:eastAsia="zh-CN"/>
              </w:rPr>
              <w:t>2</w:t>
            </w:r>
            <w:bookmarkEnd w:id="41"/>
            <w:bookmarkEnd w:id="42"/>
          </w:p>
        </w:tc>
        <w:tc>
          <w:tcPr>
            <w:tcW w:w="5650" w:type="dxa"/>
            <w:vAlign w:val="center"/>
          </w:tcPr>
          <w:p w14:paraId="3CC4BBB1">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43" w:name="_Toc14859"/>
            <w:bookmarkStart w:id="44" w:name="_Toc4301"/>
            <w:r>
              <w:rPr>
                <w:rFonts w:hint="default" w:ascii="Times New Roman" w:hAnsi="Times New Roman" w:eastAsia="仿宋" w:cs="Times New Roman"/>
                <w:sz w:val="21"/>
                <w:szCs w:val="21"/>
                <w:highlight w:val="none"/>
                <w:vertAlign w:val="baseline"/>
                <w:lang w:val="en-US" w:eastAsia="zh-CN"/>
              </w:rPr>
              <w:t>昆明海口工业园区产业片区2022年-2024年度绿化管护项目</w:t>
            </w:r>
            <w:bookmarkEnd w:id="43"/>
            <w:bookmarkEnd w:id="44"/>
          </w:p>
        </w:tc>
        <w:tc>
          <w:tcPr>
            <w:tcW w:w="2568" w:type="dxa"/>
            <w:vAlign w:val="center"/>
          </w:tcPr>
          <w:p w14:paraId="1F60F8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45" w:name="_Toc23055"/>
            <w:bookmarkStart w:id="46" w:name="_Toc7360"/>
            <w:r>
              <w:rPr>
                <w:rFonts w:hint="default" w:ascii="Times New Roman" w:hAnsi="Times New Roman" w:cs="Times New Roman"/>
                <w:color w:val="auto"/>
                <w:sz w:val="21"/>
                <w:szCs w:val="21"/>
                <w:lang w:val="en-US" w:eastAsia="zh-CN"/>
              </w:rPr>
              <w:t>157.06</w:t>
            </w:r>
            <w:bookmarkEnd w:id="45"/>
            <w:bookmarkEnd w:id="46"/>
          </w:p>
        </w:tc>
      </w:tr>
      <w:tr w14:paraId="4C42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14:paraId="7B2DB32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47" w:name="_Toc15645"/>
            <w:bookmarkStart w:id="48" w:name="_Toc1335"/>
            <w:r>
              <w:rPr>
                <w:rFonts w:hint="default" w:ascii="Times New Roman" w:hAnsi="Times New Roman" w:cs="Times New Roman"/>
                <w:sz w:val="21"/>
                <w:szCs w:val="21"/>
                <w:highlight w:val="none"/>
                <w:vertAlign w:val="baseline"/>
                <w:lang w:val="en-US" w:eastAsia="zh-CN"/>
              </w:rPr>
              <w:t>3</w:t>
            </w:r>
            <w:bookmarkEnd w:id="47"/>
            <w:bookmarkEnd w:id="48"/>
          </w:p>
        </w:tc>
        <w:tc>
          <w:tcPr>
            <w:tcW w:w="5650" w:type="dxa"/>
            <w:vAlign w:val="center"/>
          </w:tcPr>
          <w:p w14:paraId="33C13B43">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49" w:name="_Toc27022"/>
            <w:bookmarkStart w:id="50" w:name="_Toc24983"/>
            <w:r>
              <w:rPr>
                <w:rFonts w:hint="default" w:ascii="Times New Roman" w:hAnsi="Times New Roman" w:cs="Times New Roman"/>
                <w:sz w:val="21"/>
                <w:szCs w:val="21"/>
                <w:highlight w:val="none"/>
                <w:vertAlign w:val="baseline"/>
                <w:lang w:val="en-US" w:eastAsia="zh-CN"/>
              </w:rPr>
              <w:t>2022年至2023年海口集镇中心绿化管养费项目</w:t>
            </w:r>
            <w:bookmarkEnd w:id="49"/>
            <w:bookmarkEnd w:id="50"/>
          </w:p>
        </w:tc>
        <w:tc>
          <w:tcPr>
            <w:tcW w:w="2568" w:type="dxa"/>
            <w:vAlign w:val="center"/>
          </w:tcPr>
          <w:p w14:paraId="1EAA8B6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color w:val="auto"/>
                <w:sz w:val="21"/>
                <w:szCs w:val="21"/>
                <w:lang w:val="en-US" w:eastAsia="zh-CN"/>
              </w:rPr>
            </w:pPr>
            <w:bookmarkStart w:id="51" w:name="_Toc23362"/>
            <w:bookmarkStart w:id="52" w:name="_Toc1641"/>
            <w:r>
              <w:rPr>
                <w:rFonts w:hint="default" w:ascii="Times New Roman" w:hAnsi="Times New Roman" w:cs="Times New Roman"/>
                <w:color w:val="auto"/>
                <w:sz w:val="21"/>
                <w:szCs w:val="21"/>
                <w:lang w:val="en-US" w:eastAsia="zh-CN"/>
              </w:rPr>
              <w:t>192.42</w:t>
            </w:r>
            <w:bookmarkEnd w:id="51"/>
            <w:bookmarkEnd w:id="52"/>
          </w:p>
        </w:tc>
      </w:tr>
      <w:tr w14:paraId="250B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3" w:type="dxa"/>
            <w:gridSpan w:val="2"/>
            <w:vAlign w:val="center"/>
          </w:tcPr>
          <w:p w14:paraId="14CB6E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53" w:name="_Toc12194"/>
            <w:bookmarkStart w:id="54" w:name="_Toc558"/>
            <w:r>
              <w:rPr>
                <w:rFonts w:hint="default" w:ascii="Times New Roman" w:hAnsi="Times New Roman" w:cs="Times New Roman"/>
                <w:sz w:val="21"/>
                <w:szCs w:val="21"/>
                <w:highlight w:val="none"/>
                <w:vertAlign w:val="baseline"/>
                <w:lang w:val="en-US" w:eastAsia="zh-CN"/>
              </w:rPr>
              <w:t>合计</w:t>
            </w:r>
            <w:bookmarkEnd w:id="53"/>
            <w:bookmarkEnd w:id="54"/>
          </w:p>
        </w:tc>
        <w:tc>
          <w:tcPr>
            <w:tcW w:w="2568" w:type="dxa"/>
            <w:vAlign w:val="center"/>
          </w:tcPr>
          <w:p w14:paraId="612341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55" w:name="_Toc20677"/>
            <w:bookmarkStart w:id="56" w:name="_Toc16797"/>
            <w:r>
              <w:rPr>
                <w:rFonts w:hint="default" w:ascii="Times New Roman" w:hAnsi="Times New Roman" w:cs="Times New Roman"/>
                <w:color w:val="auto"/>
                <w:sz w:val="21"/>
                <w:szCs w:val="21"/>
                <w:lang w:val="en-US" w:eastAsia="zh-CN"/>
              </w:rPr>
              <w:t>538.97</w:t>
            </w:r>
            <w:bookmarkEnd w:id="55"/>
            <w:bookmarkEnd w:id="56"/>
          </w:p>
        </w:tc>
      </w:tr>
    </w:tbl>
    <w:p w14:paraId="52505FE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szCs w:val="30"/>
          <w:highlight w:val="none"/>
          <w:lang w:val="en-US" w:eastAsia="zh-CN"/>
        </w:rPr>
      </w:pPr>
      <w:bookmarkStart w:id="57" w:name="_Toc13472"/>
      <w:bookmarkStart w:id="58" w:name="_Toc9380"/>
      <w:r>
        <w:rPr>
          <w:rFonts w:hint="default" w:ascii="Times New Roman" w:hAnsi="Times New Roman" w:cs="Times New Roman"/>
          <w:szCs w:val="30"/>
          <w:highlight w:val="none"/>
          <w:lang w:val="en-US" w:eastAsia="zh-CN"/>
        </w:rPr>
        <w:t>预算编制方面，昆明市西山区海口街道办事处三供一业绿化管养项目：由于项目需开展新一轮的公开招投标，因此预算是由区海口街道办委托昆明建业工程造价咨询有限公司出具的《昆明市西山区海口街道办事处三供一业绿化管养项目项目招标工程量清单》进行确定。其余项目则是参照上年度预算情况进行编制。</w:t>
      </w:r>
      <w:bookmarkEnd w:id="57"/>
      <w:bookmarkEnd w:id="58"/>
    </w:p>
    <w:p w14:paraId="50021BD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2.资金使用情况</w:t>
      </w:r>
    </w:p>
    <w:p w14:paraId="42EC061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szCs w:val="30"/>
          <w:highlight w:val="none"/>
          <w:lang w:val="en-US" w:eastAsia="zh-CN"/>
        </w:rPr>
      </w:pPr>
      <w:bookmarkStart w:id="59" w:name="_Toc10966"/>
      <w:bookmarkStart w:id="60" w:name="_Toc3359"/>
      <w:r>
        <w:rPr>
          <w:rFonts w:hint="default" w:ascii="Times New Roman" w:hAnsi="Times New Roman" w:cs="Times New Roman"/>
          <w:highlight w:val="none"/>
          <w:lang w:val="en-US" w:eastAsia="zh-CN"/>
        </w:rPr>
        <w:t>根据</w:t>
      </w:r>
      <w:r>
        <w:rPr>
          <w:rFonts w:hint="default" w:ascii="Times New Roman" w:hAnsi="Times New Roman" w:cs="Times New Roman"/>
          <w:szCs w:val="30"/>
          <w:highlight w:val="none"/>
          <w:lang w:val="en-US" w:eastAsia="zh-CN"/>
        </w:rPr>
        <w:t>区海口街道办提供的支出明细表，</w:t>
      </w:r>
      <w:r>
        <w:rPr>
          <w:rFonts w:hint="default" w:ascii="Times New Roman" w:hAnsi="Times New Roman" w:cs="Times New Roman"/>
          <w:b w:val="0"/>
          <w:bCs w:val="0"/>
          <w:szCs w:val="30"/>
          <w:highlight w:val="none"/>
          <w:lang w:val="en-US" w:eastAsia="zh-CN"/>
        </w:rPr>
        <w:t>本项目2023年共支出金额294.73万元，执行率54.68%，主要原因：一是昆明市西山区海口街道办事处三供一业绿化管养项目，5月才开始委托养护单位开展实施，因此，仅支付了2个季度及2个月的费用；二是昆明海口工业园区产业片区2022年-2024年度绿化管护项目，经了解，该项目全年未发生支付</w:t>
      </w:r>
      <w:r>
        <w:rPr>
          <w:rFonts w:hint="default" w:ascii="Times New Roman" w:hAnsi="Times New Roman" w:cs="Times New Roman"/>
          <w:szCs w:val="30"/>
          <w:highlight w:val="none"/>
          <w:lang w:val="en-US" w:eastAsia="zh-CN"/>
        </w:rPr>
        <w:t>；三是2022年至2023年海口集镇中心绿化管养费项目是由于预算编制时未充分考虑合同所需进行编制，导致执行率未达90%。</w:t>
      </w:r>
      <w:bookmarkEnd w:id="59"/>
      <w:bookmarkEnd w:id="60"/>
    </w:p>
    <w:p w14:paraId="13D58B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kern w:val="2"/>
          <w:sz w:val="24"/>
          <w:szCs w:val="24"/>
          <w:highlight w:val="none"/>
          <w:lang w:val="en-US" w:eastAsia="zh-CN" w:bidi="ar-SA"/>
        </w:rPr>
      </w:pPr>
      <w:r>
        <w:rPr>
          <w:rFonts w:hint="eastAsia" w:ascii="Times New Roman" w:eastAsia="黑体" w:cs="Times New Roman"/>
          <w:b w:val="0"/>
          <w:bCs w:val="0"/>
          <w:kern w:val="2"/>
          <w:sz w:val="24"/>
          <w:szCs w:val="24"/>
          <w:highlight w:val="none"/>
          <w:lang w:val="en-US" w:eastAsia="zh-CN" w:bidi="ar-SA"/>
        </w:rPr>
        <w:t xml:space="preserve">表2 </w:t>
      </w:r>
      <w:r>
        <w:rPr>
          <w:rFonts w:hint="default" w:ascii="Times New Roman" w:hAnsi="Times New Roman" w:eastAsia="黑体" w:cs="Times New Roman"/>
          <w:b w:val="0"/>
          <w:bCs w:val="0"/>
          <w:kern w:val="2"/>
          <w:sz w:val="24"/>
          <w:szCs w:val="24"/>
          <w:highlight w:val="none"/>
          <w:lang w:val="en-US" w:eastAsia="zh-CN" w:bidi="ar-SA"/>
        </w:rPr>
        <w:t>支出明细表</w:t>
      </w:r>
    </w:p>
    <w:p w14:paraId="20961B17">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Times New Roman" w:hAnsi="Times New Roman" w:cs="Times New Roman"/>
          <w:szCs w:val="30"/>
          <w:highlight w:val="none"/>
          <w:lang w:val="en-US" w:eastAsia="zh-CN"/>
        </w:rPr>
      </w:pPr>
      <w:r>
        <w:rPr>
          <w:rFonts w:hint="default" w:ascii="Times New Roman" w:hAnsi="Times New Roman" w:eastAsia="黑体" w:cs="Times New Roman"/>
          <w:b w:val="0"/>
          <w:bCs w:val="0"/>
          <w:kern w:val="2"/>
          <w:sz w:val="24"/>
          <w:szCs w:val="24"/>
          <w:highlight w:val="none"/>
          <w:lang w:val="en-US" w:eastAsia="zh-CN" w:bidi="ar-SA"/>
        </w:rPr>
        <w:t>单位：万元</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3155"/>
        <w:gridCol w:w="1749"/>
        <w:gridCol w:w="1750"/>
        <w:gridCol w:w="1591"/>
      </w:tblGrid>
      <w:tr w14:paraId="7D1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826" w:type="dxa"/>
            <w:vAlign w:val="center"/>
          </w:tcPr>
          <w:p w14:paraId="2A47B8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61" w:name="_Toc23519"/>
            <w:bookmarkStart w:id="62" w:name="_Toc24224"/>
            <w:r>
              <w:rPr>
                <w:rFonts w:hint="default" w:ascii="Times New Roman" w:hAnsi="Times New Roman" w:eastAsia="仿宋" w:cs="Times New Roman"/>
                <w:b/>
                <w:bCs/>
                <w:sz w:val="21"/>
                <w:szCs w:val="21"/>
                <w:highlight w:val="none"/>
                <w:vertAlign w:val="baseline"/>
                <w:lang w:val="en-US" w:eastAsia="zh-CN"/>
              </w:rPr>
              <w:t>序号</w:t>
            </w:r>
            <w:bookmarkEnd w:id="61"/>
            <w:bookmarkEnd w:id="62"/>
          </w:p>
        </w:tc>
        <w:tc>
          <w:tcPr>
            <w:tcW w:w="3155" w:type="dxa"/>
            <w:vAlign w:val="center"/>
          </w:tcPr>
          <w:p w14:paraId="5CE078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63" w:name="_Toc18839"/>
            <w:bookmarkStart w:id="64" w:name="_Toc25486"/>
            <w:r>
              <w:rPr>
                <w:rFonts w:hint="default" w:ascii="Times New Roman" w:hAnsi="Times New Roman" w:eastAsia="仿宋" w:cs="Times New Roman"/>
                <w:b/>
                <w:bCs/>
                <w:sz w:val="21"/>
                <w:szCs w:val="21"/>
                <w:highlight w:val="none"/>
                <w:vertAlign w:val="baseline"/>
                <w:lang w:val="en-US" w:eastAsia="zh-CN"/>
              </w:rPr>
              <w:t>项目名称</w:t>
            </w:r>
            <w:bookmarkEnd w:id="63"/>
            <w:bookmarkEnd w:id="64"/>
          </w:p>
        </w:tc>
        <w:tc>
          <w:tcPr>
            <w:tcW w:w="1749" w:type="dxa"/>
            <w:vAlign w:val="center"/>
          </w:tcPr>
          <w:p w14:paraId="48D98F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65" w:name="_Toc2339"/>
            <w:bookmarkStart w:id="66" w:name="_Toc23271"/>
            <w:r>
              <w:rPr>
                <w:rFonts w:hint="default" w:ascii="Times New Roman" w:hAnsi="Times New Roman" w:eastAsia="仿宋" w:cs="Times New Roman"/>
                <w:b/>
                <w:bCs/>
                <w:sz w:val="21"/>
                <w:szCs w:val="21"/>
                <w:highlight w:val="none"/>
                <w:vertAlign w:val="baseline"/>
                <w:lang w:val="en-US" w:eastAsia="zh-CN"/>
              </w:rPr>
              <w:t>预算金额</w:t>
            </w:r>
            <w:bookmarkEnd w:id="65"/>
            <w:bookmarkEnd w:id="66"/>
          </w:p>
        </w:tc>
        <w:tc>
          <w:tcPr>
            <w:tcW w:w="1750" w:type="dxa"/>
            <w:vAlign w:val="center"/>
          </w:tcPr>
          <w:p w14:paraId="1BB7F98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67" w:name="_Toc22838"/>
            <w:bookmarkStart w:id="68" w:name="_Toc16574"/>
            <w:r>
              <w:rPr>
                <w:rFonts w:hint="default" w:ascii="Times New Roman" w:hAnsi="Times New Roman" w:cs="Times New Roman"/>
                <w:b/>
                <w:bCs/>
                <w:sz w:val="21"/>
                <w:szCs w:val="21"/>
                <w:highlight w:val="none"/>
                <w:vertAlign w:val="baseline"/>
                <w:lang w:val="en-US" w:eastAsia="zh-CN"/>
              </w:rPr>
              <w:t>实际执行金额</w:t>
            </w:r>
            <w:bookmarkEnd w:id="67"/>
            <w:bookmarkEnd w:id="68"/>
          </w:p>
        </w:tc>
        <w:tc>
          <w:tcPr>
            <w:tcW w:w="1591" w:type="dxa"/>
            <w:vAlign w:val="center"/>
          </w:tcPr>
          <w:p w14:paraId="20CF8A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b/>
                <w:bCs/>
                <w:sz w:val="21"/>
                <w:szCs w:val="21"/>
                <w:highlight w:val="none"/>
                <w:vertAlign w:val="baseline"/>
                <w:lang w:val="en-US" w:eastAsia="zh-CN"/>
              </w:rPr>
            </w:pPr>
            <w:bookmarkStart w:id="69" w:name="_Toc19634"/>
            <w:bookmarkStart w:id="70" w:name="_Toc1621"/>
            <w:r>
              <w:rPr>
                <w:rFonts w:hint="default" w:ascii="Times New Roman" w:hAnsi="Times New Roman" w:cs="Times New Roman"/>
                <w:b/>
                <w:bCs/>
                <w:sz w:val="21"/>
                <w:szCs w:val="21"/>
                <w:highlight w:val="none"/>
                <w:vertAlign w:val="baseline"/>
                <w:lang w:val="en-US" w:eastAsia="zh-CN"/>
              </w:rPr>
              <w:t>预算执行率</w:t>
            </w:r>
            <w:bookmarkEnd w:id="69"/>
            <w:bookmarkEnd w:id="70"/>
          </w:p>
        </w:tc>
      </w:tr>
      <w:tr w14:paraId="7FB1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vAlign w:val="center"/>
          </w:tcPr>
          <w:p w14:paraId="7B61E2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71" w:name="_Toc17130"/>
            <w:bookmarkStart w:id="72" w:name="_Toc5264"/>
            <w:r>
              <w:rPr>
                <w:rFonts w:hint="default" w:ascii="Times New Roman" w:hAnsi="Times New Roman" w:eastAsia="仿宋" w:cs="Times New Roman"/>
                <w:sz w:val="21"/>
                <w:szCs w:val="21"/>
                <w:highlight w:val="none"/>
                <w:vertAlign w:val="baseline"/>
                <w:lang w:val="en-US" w:eastAsia="zh-CN"/>
              </w:rPr>
              <w:t>1</w:t>
            </w:r>
            <w:bookmarkEnd w:id="71"/>
            <w:bookmarkEnd w:id="72"/>
          </w:p>
        </w:tc>
        <w:tc>
          <w:tcPr>
            <w:tcW w:w="3155" w:type="dxa"/>
            <w:vAlign w:val="center"/>
          </w:tcPr>
          <w:p w14:paraId="40058DC0">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73" w:name="_Toc19727"/>
            <w:bookmarkStart w:id="74" w:name="_Toc11697"/>
            <w:r>
              <w:rPr>
                <w:rFonts w:hint="default" w:ascii="Times New Roman" w:hAnsi="Times New Roman" w:eastAsia="仿宋" w:cs="Times New Roman"/>
                <w:sz w:val="21"/>
                <w:szCs w:val="21"/>
                <w:highlight w:val="none"/>
                <w:lang w:val="en-US" w:eastAsia="zh-CN"/>
              </w:rPr>
              <w:t>昆明市西山区海口街道办事处三供一业绿化管养项目</w:t>
            </w:r>
            <w:bookmarkEnd w:id="73"/>
            <w:bookmarkEnd w:id="74"/>
          </w:p>
        </w:tc>
        <w:tc>
          <w:tcPr>
            <w:tcW w:w="1749" w:type="dxa"/>
            <w:vAlign w:val="center"/>
          </w:tcPr>
          <w:p w14:paraId="5A577B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r>
              <w:rPr>
                <w:rFonts w:hint="eastAsia" w:ascii="Times New Roman" w:cs="Times New Roman"/>
                <w:sz w:val="21"/>
                <w:szCs w:val="21"/>
                <w:highlight w:val="none"/>
                <w:vertAlign w:val="baseline"/>
                <w:lang w:val="en-US" w:eastAsia="zh-CN"/>
              </w:rPr>
              <w:t>189.49</w:t>
            </w:r>
          </w:p>
        </w:tc>
        <w:tc>
          <w:tcPr>
            <w:tcW w:w="1750" w:type="dxa"/>
            <w:vAlign w:val="center"/>
          </w:tcPr>
          <w:p w14:paraId="5C3A78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75" w:name="_Toc22484"/>
            <w:bookmarkStart w:id="76" w:name="_Toc18123"/>
            <w:r>
              <w:rPr>
                <w:rFonts w:hint="default" w:ascii="Times New Roman" w:hAnsi="Times New Roman" w:cs="Times New Roman"/>
                <w:sz w:val="21"/>
                <w:szCs w:val="21"/>
                <w:highlight w:val="none"/>
                <w:vertAlign w:val="baseline"/>
                <w:lang w:val="en-US" w:eastAsia="zh-CN"/>
              </w:rPr>
              <w:t>123.09</w:t>
            </w:r>
            <w:bookmarkEnd w:id="75"/>
            <w:bookmarkEnd w:id="76"/>
          </w:p>
        </w:tc>
        <w:tc>
          <w:tcPr>
            <w:tcW w:w="1591" w:type="dxa"/>
            <w:vAlign w:val="center"/>
          </w:tcPr>
          <w:p w14:paraId="04401FB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77" w:name="_Toc14289"/>
            <w:bookmarkStart w:id="78" w:name="_Toc2380"/>
            <w:r>
              <w:rPr>
                <w:rFonts w:hint="default" w:ascii="Times New Roman" w:hAnsi="Times New Roman" w:cs="Times New Roman"/>
                <w:color w:val="auto"/>
                <w:sz w:val="21"/>
                <w:szCs w:val="21"/>
                <w:lang w:val="en-US" w:eastAsia="zh-CN"/>
              </w:rPr>
              <w:t>64.99%</w:t>
            </w:r>
            <w:bookmarkEnd w:id="77"/>
            <w:bookmarkEnd w:id="78"/>
          </w:p>
        </w:tc>
      </w:tr>
      <w:tr w14:paraId="7720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vAlign w:val="center"/>
          </w:tcPr>
          <w:p w14:paraId="3884FE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79" w:name="_Toc10172"/>
            <w:bookmarkStart w:id="80" w:name="_Toc6741"/>
            <w:r>
              <w:rPr>
                <w:rFonts w:hint="default" w:ascii="Times New Roman" w:hAnsi="Times New Roman" w:eastAsia="仿宋" w:cs="Times New Roman"/>
                <w:sz w:val="21"/>
                <w:szCs w:val="21"/>
                <w:highlight w:val="none"/>
                <w:vertAlign w:val="baseline"/>
                <w:lang w:val="en-US" w:eastAsia="zh-CN"/>
              </w:rPr>
              <w:t>2</w:t>
            </w:r>
            <w:bookmarkEnd w:id="79"/>
            <w:bookmarkEnd w:id="80"/>
          </w:p>
        </w:tc>
        <w:tc>
          <w:tcPr>
            <w:tcW w:w="3155" w:type="dxa"/>
            <w:vAlign w:val="center"/>
          </w:tcPr>
          <w:p w14:paraId="49F6B764">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81" w:name="_Toc31450"/>
            <w:bookmarkStart w:id="82" w:name="_Toc9782"/>
            <w:r>
              <w:rPr>
                <w:rFonts w:hint="default" w:ascii="Times New Roman" w:hAnsi="Times New Roman" w:eastAsia="仿宋" w:cs="Times New Roman"/>
                <w:sz w:val="21"/>
                <w:szCs w:val="21"/>
                <w:highlight w:val="none"/>
                <w:vertAlign w:val="baseline"/>
                <w:lang w:val="en-US" w:eastAsia="zh-CN"/>
              </w:rPr>
              <w:t>昆明海口工业园区产业片区2022年-2024年度绿化管护项目</w:t>
            </w:r>
            <w:bookmarkEnd w:id="81"/>
            <w:bookmarkEnd w:id="82"/>
          </w:p>
        </w:tc>
        <w:tc>
          <w:tcPr>
            <w:tcW w:w="1749" w:type="dxa"/>
            <w:vAlign w:val="center"/>
          </w:tcPr>
          <w:p w14:paraId="70ED82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83" w:name="_Toc21150"/>
            <w:bookmarkStart w:id="84" w:name="_Toc14980"/>
            <w:r>
              <w:rPr>
                <w:rFonts w:hint="default" w:ascii="Times New Roman" w:hAnsi="Times New Roman" w:cs="Times New Roman"/>
                <w:color w:val="auto"/>
                <w:sz w:val="21"/>
                <w:szCs w:val="21"/>
                <w:lang w:val="en-US" w:eastAsia="zh-CN"/>
              </w:rPr>
              <w:t>157.06</w:t>
            </w:r>
            <w:bookmarkEnd w:id="83"/>
            <w:bookmarkEnd w:id="84"/>
          </w:p>
        </w:tc>
        <w:tc>
          <w:tcPr>
            <w:tcW w:w="1750" w:type="dxa"/>
            <w:vAlign w:val="center"/>
          </w:tcPr>
          <w:p w14:paraId="67889FD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85" w:name="_Toc7956"/>
            <w:bookmarkStart w:id="86" w:name="_Toc715"/>
            <w:r>
              <w:rPr>
                <w:rFonts w:hint="default" w:ascii="Times New Roman" w:hAnsi="Times New Roman" w:cs="Times New Roman"/>
                <w:color w:val="auto"/>
                <w:sz w:val="21"/>
                <w:szCs w:val="21"/>
                <w:lang w:val="en-US" w:eastAsia="zh-CN"/>
              </w:rPr>
              <w:t>0</w:t>
            </w:r>
            <w:bookmarkEnd w:id="85"/>
            <w:bookmarkEnd w:id="86"/>
          </w:p>
        </w:tc>
        <w:tc>
          <w:tcPr>
            <w:tcW w:w="1591" w:type="dxa"/>
            <w:vAlign w:val="center"/>
          </w:tcPr>
          <w:p w14:paraId="77466C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87" w:name="_Toc23268"/>
            <w:bookmarkStart w:id="88" w:name="_Toc8584"/>
            <w:r>
              <w:rPr>
                <w:rFonts w:hint="default" w:ascii="Times New Roman" w:hAnsi="Times New Roman" w:cs="Times New Roman"/>
                <w:color w:val="auto"/>
                <w:sz w:val="21"/>
                <w:szCs w:val="21"/>
                <w:lang w:val="en-US" w:eastAsia="zh-CN"/>
              </w:rPr>
              <w:t>0.00%</w:t>
            </w:r>
            <w:bookmarkEnd w:id="87"/>
            <w:bookmarkEnd w:id="88"/>
          </w:p>
        </w:tc>
      </w:tr>
      <w:tr w14:paraId="16CD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vAlign w:val="center"/>
          </w:tcPr>
          <w:p w14:paraId="6C02E07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89" w:name="_Toc16677"/>
            <w:bookmarkStart w:id="90" w:name="_Toc30327"/>
            <w:r>
              <w:rPr>
                <w:rFonts w:hint="default" w:ascii="Times New Roman" w:hAnsi="Times New Roman" w:cs="Times New Roman"/>
                <w:sz w:val="21"/>
                <w:szCs w:val="21"/>
                <w:highlight w:val="none"/>
                <w:vertAlign w:val="baseline"/>
                <w:lang w:val="en-US" w:eastAsia="zh-CN"/>
              </w:rPr>
              <w:t>3</w:t>
            </w:r>
            <w:bookmarkEnd w:id="89"/>
            <w:bookmarkEnd w:id="90"/>
          </w:p>
        </w:tc>
        <w:tc>
          <w:tcPr>
            <w:tcW w:w="3155" w:type="dxa"/>
            <w:vAlign w:val="center"/>
          </w:tcPr>
          <w:p w14:paraId="78AF7801">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91" w:name="_Toc26468"/>
            <w:bookmarkStart w:id="92" w:name="_Toc32450"/>
            <w:r>
              <w:rPr>
                <w:rFonts w:hint="default" w:ascii="Times New Roman" w:hAnsi="Times New Roman" w:cs="Times New Roman"/>
                <w:sz w:val="21"/>
                <w:szCs w:val="21"/>
                <w:highlight w:val="none"/>
                <w:vertAlign w:val="baseline"/>
                <w:lang w:val="en-US" w:eastAsia="zh-CN"/>
              </w:rPr>
              <w:t>2022年至2023年海口集镇中心绿化管养费项目</w:t>
            </w:r>
            <w:bookmarkEnd w:id="91"/>
            <w:bookmarkEnd w:id="92"/>
          </w:p>
        </w:tc>
        <w:tc>
          <w:tcPr>
            <w:tcW w:w="1749" w:type="dxa"/>
            <w:vAlign w:val="center"/>
          </w:tcPr>
          <w:p w14:paraId="24B101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color w:val="auto"/>
                <w:sz w:val="21"/>
                <w:szCs w:val="21"/>
                <w:lang w:val="en-US" w:eastAsia="zh-CN"/>
              </w:rPr>
            </w:pPr>
            <w:bookmarkStart w:id="93" w:name="_Toc31872"/>
            <w:bookmarkStart w:id="94" w:name="_Toc31711"/>
            <w:r>
              <w:rPr>
                <w:rFonts w:hint="default" w:ascii="Times New Roman" w:hAnsi="Times New Roman" w:cs="Times New Roman"/>
                <w:color w:val="auto"/>
                <w:sz w:val="21"/>
                <w:szCs w:val="21"/>
                <w:lang w:val="en-US" w:eastAsia="zh-CN"/>
              </w:rPr>
              <w:t>192.42</w:t>
            </w:r>
            <w:bookmarkEnd w:id="93"/>
            <w:bookmarkEnd w:id="94"/>
          </w:p>
        </w:tc>
        <w:tc>
          <w:tcPr>
            <w:tcW w:w="1750" w:type="dxa"/>
            <w:vAlign w:val="center"/>
          </w:tcPr>
          <w:p w14:paraId="559035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95" w:name="_Toc9567"/>
            <w:bookmarkStart w:id="96" w:name="_Toc2167"/>
            <w:r>
              <w:rPr>
                <w:rFonts w:hint="default" w:ascii="Times New Roman" w:hAnsi="Times New Roman" w:cs="Times New Roman"/>
                <w:color w:val="auto"/>
                <w:sz w:val="21"/>
                <w:szCs w:val="21"/>
                <w:lang w:val="en-US" w:eastAsia="zh-CN"/>
              </w:rPr>
              <w:t>171.64</w:t>
            </w:r>
            <w:bookmarkEnd w:id="95"/>
            <w:bookmarkEnd w:id="96"/>
          </w:p>
        </w:tc>
        <w:tc>
          <w:tcPr>
            <w:tcW w:w="1591" w:type="dxa"/>
            <w:vAlign w:val="center"/>
          </w:tcPr>
          <w:p w14:paraId="4B2B13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97" w:name="_Toc6707"/>
            <w:bookmarkStart w:id="98" w:name="_Toc24057"/>
            <w:r>
              <w:rPr>
                <w:rFonts w:hint="default" w:ascii="Times New Roman" w:hAnsi="Times New Roman" w:cs="Times New Roman"/>
                <w:color w:val="auto"/>
                <w:sz w:val="21"/>
                <w:szCs w:val="21"/>
                <w:lang w:val="en-US" w:eastAsia="zh-CN"/>
              </w:rPr>
              <w:t>89.20%</w:t>
            </w:r>
            <w:bookmarkEnd w:id="97"/>
            <w:bookmarkEnd w:id="98"/>
          </w:p>
        </w:tc>
      </w:tr>
      <w:tr w14:paraId="6359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1" w:type="dxa"/>
            <w:gridSpan w:val="2"/>
            <w:vAlign w:val="center"/>
          </w:tcPr>
          <w:p w14:paraId="1BFA5F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99" w:name="_Toc5897"/>
            <w:bookmarkStart w:id="100" w:name="_Toc13449"/>
            <w:r>
              <w:rPr>
                <w:rFonts w:hint="default" w:ascii="Times New Roman" w:hAnsi="Times New Roman" w:cs="Times New Roman"/>
                <w:sz w:val="21"/>
                <w:szCs w:val="21"/>
                <w:highlight w:val="none"/>
                <w:vertAlign w:val="baseline"/>
                <w:lang w:val="en-US" w:eastAsia="zh-CN"/>
              </w:rPr>
              <w:t>合计</w:t>
            </w:r>
            <w:bookmarkEnd w:id="99"/>
            <w:bookmarkEnd w:id="100"/>
          </w:p>
        </w:tc>
        <w:tc>
          <w:tcPr>
            <w:tcW w:w="1749" w:type="dxa"/>
            <w:vAlign w:val="center"/>
          </w:tcPr>
          <w:p w14:paraId="14FA7D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101" w:name="_Toc26004"/>
            <w:bookmarkStart w:id="102" w:name="_Toc31915"/>
            <w:r>
              <w:rPr>
                <w:rFonts w:hint="default" w:ascii="Times New Roman" w:hAnsi="Times New Roman" w:cs="Times New Roman"/>
                <w:color w:val="auto"/>
                <w:sz w:val="21"/>
                <w:szCs w:val="21"/>
                <w:lang w:val="en-US" w:eastAsia="zh-CN"/>
              </w:rPr>
              <w:t>538.97</w:t>
            </w:r>
            <w:bookmarkEnd w:id="101"/>
            <w:bookmarkEnd w:id="102"/>
          </w:p>
        </w:tc>
        <w:tc>
          <w:tcPr>
            <w:tcW w:w="1750" w:type="dxa"/>
            <w:vAlign w:val="center"/>
          </w:tcPr>
          <w:p w14:paraId="6B1C48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103" w:name="_Toc11522"/>
            <w:bookmarkStart w:id="104" w:name="_Toc17982"/>
            <w:r>
              <w:rPr>
                <w:rFonts w:hint="default" w:ascii="Times New Roman" w:hAnsi="Times New Roman" w:cs="Times New Roman"/>
                <w:color w:val="auto"/>
                <w:sz w:val="21"/>
                <w:szCs w:val="21"/>
                <w:lang w:val="en-US" w:eastAsia="zh-CN"/>
              </w:rPr>
              <w:t>294.73</w:t>
            </w:r>
            <w:bookmarkEnd w:id="103"/>
            <w:bookmarkEnd w:id="104"/>
          </w:p>
        </w:tc>
        <w:tc>
          <w:tcPr>
            <w:tcW w:w="1591" w:type="dxa"/>
            <w:vAlign w:val="center"/>
          </w:tcPr>
          <w:p w14:paraId="269F98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105" w:name="_Toc32055"/>
            <w:bookmarkStart w:id="106" w:name="_Toc11534"/>
            <w:r>
              <w:rPr>
                <w:rFonts w:hint="default" w:ascii="Times New Roman" w:hAnsi="Times New Roman" w:cs="Times New Roman"/>
                <w:color w:val="auto"/>
                <w:sz w:val="21"/>
                <w:szCs w:val="21"/>
                <w:lang w:val="en-US" w:eastAsia="zh-CN"/>
              </w:rPr>
              <w:t>54.68%</w:t>
            </w:r>
            <w:bookmarkEnd w:id="105"/>
            <w:bookmarkEnd w:id="106"/>
          </w:p>
        </w:tc>
      </w:tr>
    </w:tbl>
    <w:p w14:paraId="0291212B">
      <w:pPr>
        <w:pStyle w:val="36"/>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107" w:name="_Toc6680"/>
      <w:r>
        <w:rPr>
          <w:rFonts w:hint="default" w:ascii="Times New Roman" w:hAnsi="Times New Roman" w:cs="Times New Roman"/>
        </w:rPr>
        <w:t>（三）项目实施内容</w:t>
      </w:r>
      <w:bookmarkEnd w:id="107"/>
      <w:r>
        <w:rPr>
          <w:rFonts w:hint="default" w:ascii="Times New Roman" w:hAnsi="Times New Roman" w:cs="Times New Roman"/>
          <w:lang w:val="en-US" w:eastAsia="zh-CN"/>
        </w:rPr>
        <w:t xml:space="preserve"> </w:t>
      </w:r>
    </w:p>
    <w:p w14:paraId="5FA881F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b/>
          <w:bCs/>
          <w:highlight w:val="none"/>
          <w:lang w:val="en-US" w:eastAsia="zh-CN"/>
        </w:rPr>
      </w:pPr>
      <w:bookmarkStart w:id="108" w:name="_Toc15997"/>
      <w:bookmarkStart w:id="109" w:name="_Toc18277"/>
      <w:r>
        <w:rPr>
          <w:rFonts w:hint="default" w:ascii="Times New Roman" w:hAnsi="Times New Roman" w:cs="Times New Roman"/>
          <w:b/>
          <w:bCs/>
          <w:highlight w:val="none"/>
          <w:lang w:val="en-US" w:eastAsia="zh-CN"/>
        </w:rPr>
        <w:t>1.计划实施内容</w:t>
      </w:r>
      <w:bookmarkEnd w:id="108"/>
      <w:bookmarkEnd w:id="109"/>
    </w:p>
    <w:p w14:paraId="24F92E7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b w:val="0"/>
          <w:bCs w:val="0"/>
          <w:highlight w:val="none"/>
          <w:lang w:val="en-US" w:eastAsia="zh-CN"/>
        </w:rPr>
      </w:pPr>
      <w:bookmarkStart w:id="110" w:name="_Toc28256"/>
      <w:bookmarkStart w:id="111" w:name="_Toc14089"/>
      <w:r>
        <w:rPr>
          <w:rFonts w:hint="default" w:ascii="Times New Roman" w:hAnsi="Times New Roman" w:cs="Times New Roman"/>
          <w:b w:val="0"/>
          <w:bCs w:val="0"/>
          <w:highlight w:val="none"/>
          <w:lang w:val="en-US" w:eastAsia="zh-CN"/>
        </w:rPr>
        <w:t>本项目共有3个项目组成，其中，昆明市西山区海口街道办事处三供一业绿化管养项目及2022年至2023年海口集镇中心绿化管养费项目由区海口街道办通过公开招投标的方式委托第三方养护单位开展实施；昆明海口工业园区产业片区2022年-2024年度绿化管护项目由管委会通过公开招投标的方式委托第三方养护单位开展实施。各单位名称、工作职责如下：</w:t>
      </w:r>
      <w:bookmarkEnd w:id="110"/>
      <w:bookmarkEnd w:id="111"/>
    </w:p>
    <w:p w14:paraId="03C599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kern w:val="2"/>
          <w:sz w:val="24"/>
          <w:szCs w:val="24"/>
          <w:highlight w:val="none"/>
          <w:lang w:val="en-US" w:eastAsia="zh-CN" w:bidi="ar-SA"/>
        </w:rPr>
      </w:pPr>
      <w:r>
        <w:rPr>
          <w:rFonts w:hint="eastAsia" w:ascii="Times New Roman" w:eastAsia="黑体" w:cs="Times New Roman"/>
          <w:b w:val="0"/>
          <w:bCs w:val="0"/>
          <w:kern w:val="2"/>
          <w:sz w:val="24"/>
          <w:szCs w:val="24"/>
          <w:highlight w:val="none"/>
          <w:lang w:val="en-US" w:eastAsia="zh-CN" w:bidi="ar-SA"/>
        </w:rPr>
        <w:t xml:space="preserve">表3 </w:t>
      </w:r>
      <w:r>
        <w:rPr>
          <w:rFonts w:hint="default" w:ascii="Times New Roman" w:hAnsi="Times New Roman" w:eastAsia="黑体" w:cs="Times New Roman"/>
          <w:b w:val="0"/>
          <w:bCs w:val="0"/>
          <w:kern w:val="2"/>
          <w:sz w:val="24"/>
          <w:szCs w:val="24"/>
          <w:highlight w:val="none"/>
          <w:lang w:val="en-US" w:eastAsia="zh-CN" w:bidi="ar-SA"/>
        </w:rPr>
        <w:t>各单位职责明细表</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819"/>
        <w:gridCol w:w="1434"/>
        <w:gridCol w:w="1603"/>
        <w:gridCol w:w="1843"/>
        <w:gridCol w:w="1790"/>
      </w:tblGrid>
      <w:tr w14:paraId="6579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2" w:type="dxa"/>
            <w:vAlign w:val="center"/>
          </w:tcPr>
          <w:p w14:paraId="17AB086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112" w:name="_Toc25436"/>
            <w:bookmarkStart w:id="113" w:name="_Toc31926"/>
            <w:r>
              <w:rPr>
                <w:rFonts w:hint="default" w:ascii="Times New Roman" w:hAnsi="Times New Roman" w:eastAsia="仿宋" w:cs="Times New Roman"/>
                <w:b/>
                <w:bCs/>
                <w:sz w:val="21"/>
                <w:szCs w:val="21"/>
                <w:highlight w:val="none"/>
                <w:vertAlign w:val="baseline"/>
                <w:lang w:val="en-US" w:eastAsia="zh-CN"/>
              </w:rPr>
              <w:t>序号</w:t>
            </w:r>
            <w:bookmarkEnd w:id="112"/>
            <w:bookmarkEnd w:id="113"/>
          </w:p>
        </w:tc>
        <w:tc>
          <w:tcPr>
            <w:tcW w:w="2283" w:type="dxa"/>
            <w:vAlign w:val="center"/>
          </w:tcPr>
          <w:p w14:paraId="0399E1F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114" w:name="_Toc22544"/>
            <w:bookmarkStart w:id="115" w:name="_Toc17135"/>
            <w:r>
              <w:rPr>
                <w:rFonts w:hint="default" w:ascii="Times New Roman" w:hAnsi="Times New Roman" w:eastAsia="仿宋" w:cs="Times New Roman"/>
                <w:b/>
                <w:bCs/>
                <w:sz w:val="21"/>
                <w:szCs w:val="21"/>
                <w:highlight w:val="none"/>
                <w:vertAlign w:val="baseline"/>
                <w:lang w:val="en-US" w:eastAsia="zh-CN"/>
              </w:rPr>
              <w:t>项目名称</w:t>
            </w:r>
            <w:bookmarkEnd w:id="114"/>
            <w:bookmarkEnd w:id="115"/>
          </w:p>
        </w:tc>
        <w:tc>
          <w:tcPr>
            <w:tcW w:w="1863" w:type="dxa"/>
            <w:vAlign w:val="center"/>
          </w:tcPr>
          <w:p w14:paraId="0B16FB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116" w:name="_Toc17221"/>
            <w:bookmarkStart w:id="117" w:name="_Toc16987"/>
            <w:r>
              <w:rPr>
                <w:rFonts w:hint="default" w:ascii="Times New Roman" w:hAnsi="Times New Roman" w:cs="Times New Roman"/>
                <w:b/>
                <w:bCs/>
                <w:sz w:val="21"/>
                <w:szCs w:val="21"/>
                <w:highlight w:val="none"/>
                <w:vertAlign w:val="baseline"/>
                <w:lang w:val="en-US" w:eastAsia="zh-CN"/>
              </w:rPr>
              <w:t>负责企业</w:t>
            </w:r>
            <w:bookmarkEnd w:id="116"/>
            <w:bookmarkEnd w:id="117"/>
          </w:p>
        </w:tc>
        <w:tc>
          <w:tcPr>
            <w:tcW w:w="2105" w:type="dxa"/>
            <w:vAlign w:val="center"/>
          </w:tcPr>
          <w:p w14:paraId="685AFC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b/>
                <w:bCs/>
                <w:sz w:val="21"/>
                <w:szCs w:val="21"/>
                <w:highlight w:val="none"/>
                <w:vertAlign w:val="baseline"/>
                <w:lang w:val="en-US" w:eastAsia="zh-CN"/>
              </w:rPr>
            </w:pPr>
            <w:bookmarkStart w:id="118" w:name="_Toc8225"/>
            <w:bookmarkStart w:id="119" w:name="_Toc16137"/>
            <w:r>
              <w:rPr>
                <w:rFonts w:hint="default" w:ascii="Times New Roman" w:hAnsi="Times New Roman" w:cs="Times New Roman"/>
                <w:b/>
                <w:bCs/>
                <w:sz w:val="21"/>
                <w:szCs w:val="21"/>
                <w:highlight w:val="none"/>
                <w:vertAlign w:val="baseline"/>
                <w:lang w:val="en-US" w:eastAsia="zh-CN"/>
              </w:rPr>
              <w:t>养护地点</w:t>
            </w:r>
            <w:bookmarkEnd w:id="118"/>
            <w:bookmarkEnd w:id="119"/>
          </w:p>
        </w:tc>
        <w:tc>
          <w:tcPr>
            <w:tcW w:w="2178" w:type="dxa"/>
            <w:vAlign w:val="center"/>
          </w:tcPr>
          <w:p w14:paraId="7D33F2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120" w:name="_Toc1943"/>
            <w:bookmarkStart w:id="121" w:name="_Toc15309"/>
            <w:r>
              <w:rPr>
                <w:rFonts w:hint="default" w:ascii="Times New Roman" w:hAnsi="Times New Roman" w:cs="Times New Roman"/>
                <w:b/>
                <w:bCs/>
                <w:sz w:val="21"/>
                <w:szCs w:val="21"/>
                <w:highlight w:val="none"/>
                <w:vertAlign w:val="baseline"/>
                <w:lang w:val="en-US" w:eastAsia="zh-CN"/>
              </w:rPr>
              <w:t>项目实施内容</w:t>
            </w:r>
            <w:bookmarkEnd w:id="120"/>
            <w:bookmarkEnd w:id="121"/>
          </w:p>
        </w:tc>
        <w:tc>
          <w:tcPr>
            <w:tcW w:w="2178" w:type="dxa"/>
            <w:vAlign w:val="center"/>
          </w:tcPr>
          <w:p w14:paraId="7AC875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b/>
                <w:bCs/>
                <w:sz w:val="21"/>
                <w:szCs w:val="21"/>
                <w:highlight w:val="none"/>
                <w:vertAlign w:val="baseline"/>
                <w:lang w:val="en-US" w:eastAsia="zh-CN"/>
              </w:rPr>
            </w:pPr>
            <w:bookmarkStart w:id="122" w:name="_Toc26880"/>
            <w:bookmarkStart w:id="123" w:name="_Toc9163"/>
            <w:r>
              <w:rPr>
                <w:rFonts w:hint="default" w:ascii="Times New Roman" w:hAnsi="Times New Roman" w:cs="Times New Roman"/>
                <w:b/>
                <w:bCs/>
                <w:sz w:val="21"/>
                <w:szCs w:val="21"/>
                <w:highlight w:val="none"/>
                <w:vertAlign w:val="baseline"/>
                <w:lang w:val="en-US" w:eastAsia="zh-CN"/>
              </w:rPr>
              <w:t>服务周期</w:t>
            </w:r>
            <w:bookmarkEnd w:id="122"/>
            <w:bookmarkEnd w:id="123"/>
          </w:p>
        </w:tc>
      </w:tr>
      <w:tr w14:paraId="70D9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restart"/>
            <w:vAlign w:val="center"/>
          </w:tcPr>
          <w:p w14:paraId="2DC661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124" w:name="_Toc17204"/>
            <w:bookmarkStart w:id="125" w:name="_Toc12615"/>
            <w:r>
              <w:rPr>
                <w:rFonts w:hint="default" w:ascii="Times New Roman" w:hAnsi="Times New Roman" w:eastAsia="仿宋" w:cs="Times New Roman"/>
                <w:sz w:val="21"/>
                <w:szCs w:val="21"/>
                <w:highlight w:val="none"/>
                <w:vertAlign w:val="baseline"/>
                <w:lang w:val="en-US" w:eastAsia="zh-CN"/>
              </w:rPr>
              <w:t>1</w:t>
            </w:r>
            <w:bookmarkEnd w:id="124"/>
            <w:bookmarkEnd w:id="125"/>
          </w:p>
        </w:tc>
        <w:tc>
          <w:tcPr>
            <w:tcW w:w="2283" w:type="dxa"/>
            <w:vMerge w:val="restart"/>
            <w:vAlign w:val="center"/>
          </w:tcPr>
          <w:p w14:paraId="325FEB6F">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126" w:name="_Toc22395"/>
            <w:bookmarkStart w:id="127" w:name="_Toc10204"/>
            <w:r>
              <w:rPr>
                <w:rFonts w:hint="default" w:ascii="Times New Roman" w:hAnsi="Times New Roman" w:eastAsia="仿宋" w:cs="Times New Roman"/>
                <w:sz w:val="21"/>
                <w:szCs w:val="21"/>
                <w:highlight w:val="none"/>
                <w:lang w:val="en-US" w:eastAsia="zh-CN"/>
              </w:rPr>
              <w:t>昆明市西山区海口街道办事处三供一业绿化管养项目</w:t>
            </w:r>
            <w:bookmarkEnd w:id="126"/>
            <w:bookmarkEnd w:id="127"/>
          </w:p>
        </w:tc>
        <w:tc>
          <w:tcPr>
            <w:tcW w:w="1863" w:type="dxa"/>
            <w:vMerge w:val="restart"/>
            <w:vAlign w:val="center"/>
          </w:tcPr>
          <w:p w14:paraId="4B9A60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128" w:name="_Toc23067"/>
            <w:bookmarkStart w:id="129" w:name="_Toc5638"/>
            <w:r>
              <w:rPr>
                <w:rFonts w:hint="default" w:ascii="Times New Roman" w:hAnsi="Times New Roman" w:cs="Times New Roman"/>
                <w:sz w:val="21"/>
                <w:szCs w:val="21"/>
                <w:highlight w:val="none"/>
                <w:vertAlign w:val="baseline"/>
                <w:lang w:val="en-US" w:eastAsia="zh-CN"/>
              </w:rPr>
              <w:t>云南维度建设工程有限公司</w:t>
            </w:r>
            <w:bookmarkEnd w:id="128"/>
            <w:bookmarkEnd w:id="129"/>
          </w:p>
        </w:tc>
        <w:tc>
          <w:tcPr>
            <w:tcW w:w="2105" w:type="dxa"/>
            <w:vAlign w:val="center"/>
          </w:tcPr>
          <w:p w14:paraId="168DA6C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130" w:name="_Toc3829"/>
            <w:bookmarkStart w:id="131" w:name="_Toc21844"/>
            <w:r>
              <w:rPr>
                <w:rFonts w:hint="default" w:ascii="Times New Roman" w:hAnsi="Times New Roman" w:cs="Times New Roman"/>
                <w:sz w:val="21"/>
                <w:szCs w:val="21"/>
                <w:highlight w:val="none"/>
                <w:vertAlign w:val="baseline"/>
                <w:lang w:val="en-US" w:eastAsia="zh-CN"/>
              </w:rPr>
              <w:t>区海口街道办事处三供一业</w:t>
            </w:r>
            <w:bookmarkEnd w:id="130"/>
            <w:bookmarkEnd w:id="131"/>
          </w:p>
        </w:tc>
        <w:tc>
          <w:tcPr>
            <w:tcW w:w="2178" w:type="dxa"/>
            <w:vAlign w:val="center"/>
          </w:tcPr>
          <w:p w14:paraId="397FB575">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bookmarkStart w:id="132" w:name="_Toc8057"/>
            <w:bookmarkStart w:id="133" w:name="_Toc9446"/>
            <w:r>
              <w:rPr>
                <w:rFonts w:hint="default" w:ascii="Times New Roman" w:hAnsi="Times New Roman" w:cs="Times New Roman"/>
                <w:sz w:val="21"/>
                <w:szCs w:val="21"/>
                <w:highlight w:val="none"/>
                <w:vertAlign w:val="baseline"/>
                <w:lang w:val="en-US" w:eastAsia="zh-CN"/>
              </w:rPr>
              <w:t>管养范围内的乔木 5463 棵，灌木 1670 棵，地被植物 38552.75 ㎡</w:t>
            </w:r>
            <w:bookmarkEnd w:id="132"/>
            <w:bookmarkEnd w:id="133"/>
          </w:p>
        </w:tc>
        <w:tc>
          <w:tcPr>
            <w:tcW w:w="2178" w:type="dxa"/>
            <w:vMerge w:val="restart"/>
            <w:vAlign w:val="center"/>
          </w:tcPr>
          <w:p w14:paraId="725DFDAC">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bookmarkStart w:id="134" w:name="_Toc30859"/>
            <w:bookmarkStart w:id="135" w:name="_Toc17798"/>
            <w:r>
              <w:rPr>
                <w:rFonts w:hint="default" w:ascii="Times New Roman" w:hAnsi="Times New Roman" w:cs="Times New Roman"/>
                <w:sz w:val="21"/>
                <w:szCs w:val="21"/>
                <w:highlight w:val="none"/>
                <w:vertAlign w:val="baseline"/>
                <w:lang w:val="en-US" w:eastAsia="zh-CN"/>
              </w:rPr>
              <w:t>2023年5月1日</w:t>
            </w:r>
            <w:r>
              <w:rPr>
                <w:rFonts w:hint="eastAsia" w:ascii="Times New Roman" w:cs="Times New Roman"/>
                <w:sz w:val="21"/>
                <w:szCs w:val="21"/>
                <w:highlight w:val="none"/>
                <w:vertAlign w:val="baseline"/>
                <w:lang w:val="en-US" w:eastAsia="zh-CN"/>
              </w:rPr>
              <w:t>—</w:t>
            </w:r>
            <w:r>
              <w:rPr>
                <w:rFonts w:hint="default" w:ascii="Times New Roman" w:hAnsi="Times New Roman" w:cs="Times New Roman"/>
                <w:sz w:val="21"/>
                <w:szCs w:val="21"/>
                <w:highlight w:val="none"/>
                <w:vertAlign w:val="baseline"/>
                <w:lang w:val="en-US" w:eastAsia="zh-CN"/>
              </w:rPr>
              <w:t>2024年4月30日</w:t>
            </w:r>
            <w:bookmarkEnd w:id="134"/>
            <w:bookmarkEnd w:id="135"/>
          </w:p>
        </w:tc>
      </w:tr>
      <w:tr w14:paraId="0B6D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7AC037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p>
        </w:tc>
        <w:tc>
          <w:tcPr>
            <w:tcW w:w="2283" w:type="dxa"/>
            <w:vMerge w:val="continue"/>
            <w:vAlign w:val="center"/>
          </w:tcPr>
          <w:p w14:paraId="18675DB2">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lang w:val="en-US" w:eastAsia="zh-CN"/>
              </w:rPr>
            </w:pPr>
          </w:p>
        </w:tc>
        <w:tc>
          <w:tcPr>
            <w:tcW w:w="1863" w:type="dxa"/>
            <w:vMerge w:val="continue"/>
            <w:vAlign w:val="center"/>
          </w:tcPr>
          <w:p w14:paraId="396B0B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p>
        </w:tc>
        <w:tc>
          <w:tcPr>
            <w:tcW w:w="2105" w:type="dxa"/>
            <w:vAlign w:val="center"/>
          </w:tcPr>
          <w:p w14:paraId="09ECD0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136" w:name="_Toc6086"/>
            <w:bookmarkStart w:id="137" w:name="_Toc3198"/>
            <w:r>
              <w:rPr>
                <w:rFonts w:hint="default" w:ascii="Times New Roman" w:hAnsi="Times New Roman" w:cs="Times New Roman"/>
                <w:sz w:val="21"/>
                <w:szCs w:val="21"/>
                <w:highlight w:val="none"/>
                <w:vertAlign w:val="baseline"/>
                <w:lang w:val="en-US" w:eastAsia="zh-CN"/>
              </w:rPr>
              <w:t>区海口街道办事处轴承厂沿线道路</w:t>
            </w:r>
            <w:bookmarkEnd w:id="136"/>
            <w:bookmarkEnd w:id="137"/>
          </w:p>
        </w:tc>
        <w:tc>
          <w:tcPr>
            <w:tcW w:w="2178" w:type="dxa"/>
            <w:vAlign w:val="center"/>
          </w:tcPr>
          <w:p w14:paraId="00F9DC3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bookmarkStart w:id="138" w:name="_Toc32638"/>
            <w:bookmarkStart w:id="139" w:name="_Toc2031"/>
            <w:r>
              <w:rPr>
                <w:rFonts w:hint="default" w:ascii="Times New Roman" w:hAnsi="Times New Roman" w:cs="Times New Roman"/>
                <w:sz w:val="21"/>
                <w:szCs w:val="21"/>
                <w:highlight w:val="none"/>
                <w:vertAlign w:val="baseline"/>
                <w:lang w:val="en-US" w:eastAsia="zh-CN"/>
              </w:rPr>
              <w:t>乔木 103棵，灌木11872 棵</w:t>
            </w:r>
            <w:bookmarkEnd w:id="138"/>
            <w:bookmarkEnd w:id="139"/>
          </w:p>
        </w:tc>
        <w:tc>
          <w:tcPr>
            <w:tcW w:w="2178" w:type="dxa"/>
            <w:vMerge w:val="continue"/>
            <w:vAlign w:val="center"/>
          </w:tcPr>
          <w:p w14:paraId="6B127513">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p>
        </w:tc>
      </w:tr>
      <w:tr w14:paraId="609B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Align w:val="center"/>
          </w:tcPr>
          <w:p w14:paraId="7805726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140" w:name="_Toc14439"/>
            <w:bookmarkStart w:id="141" w:name="_Toc9812"/>
            <w:r>
              <w:rPr>
                <w:rFonts w:hint="default" w:ascii="Times New Roman" w:hAnsi="Times New Roman" w:eastAsia="仿宋" w:cs="Times New Roman"/>
                <w:sz w:val="21"/>
                <w:szCs w:val="21"/>
                <w:highlight w:val="none"/>
                <w:vertAlign w:val="baseline"/>
                <w:lang w:val="en-US" w:eastAsia="zh-CN"/>
              </w:rPr>
              <w:t>2</w:t>
            </w:r>
            <w:bookmarkEnd w:id="140"/>
            <w:bookmarkEnd w:id="141"/>
          </w:p>
        </w:tc>
        <w:tc>
          <w:tcPr>
            <w:tcW w:w="2283" w:type="dxa"/>
            <w:vAlign w:val="center"/>
          </w:tcPr>
          <w:p w14:paraId="2E13FC0A">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142" w:name="_Toc10015"/>
            <w:bookmarkStart w:id="143" w:name="_Toc13628"/>
            <w:r>
              <w:rPr>
                <w:rFonts w:hint="default" w:ascii="Times New Roman" w:hAnsi="Times New Roman" w:eastAsia="仿宋" w:cs="Times New Roman"/>
                <w:sz w:val="21"/>
                <w:szCs w:val="21"/>
                <w:highlight w:val="none"/>
                <w:vertAlign w:val="baseline"/>
                <w:lang w:val="en-US" w:eastAsia="zh-CN"/>
              </w:rPr>
              <w:t>昆明海口工业园区产业片区2022年-2024年度绿化管护项目</w:t>
            </w:r>
            <w:bookmarkEnd w:id="142"/>
            <w:bookmarkEnd w:id="143"/>
          </w:p>
        </w:tc>
        <w:tc>
          <w:tcPr>
            <w:tcW w:w="1863" w:type="dxa"/>
            <w:vAlign w:val="center"/>
          </w:tcPr>
          <w:p w14:paraId="5C50A8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144" w:name="_Toc26161"/>
            <w:bookmarkStart w:id="145" w:name="_Toc24849"/>
            <w:r>
              <w:rPr>
                <w:rFonts w:hint="default" w:ascii="Times New Roman" w:hAnsi="Times New Roman" w:cs="Times New Roman"/>
                <w:sz w:val="21"/>
                <w:szCs w:val="21"/>
                <w:highlight w:val="none"/>
                <w:vertAlign w:val="baseline"/>
                <w:lang w:val="en-US" w:eastAsia="zh-CN"/>
              </w:rPr>
              <w:t>昆明高佩园林绿化工程有限公司</w:t>
            </w:r>
            <w:bookmarkEnd w:id="144"/>
            <w:bookmarkEnd w:id="145"/>
          </w:p>
        </w:tc>
        <w:tc>
          <w:tcPr>
            <w:tcW w:w="2105" w:type="dxa"/>
            <w:vAlign w:val="center"/>
          </w:tcPr>
          <w:p w14:paraId="3B0C3B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146" w:name="_Toc27035"/>
            <w:bookmarkStart w:id="147" w:name="_Toc9850"/>
            <w:r>
              <w:rPr>
                <w:rFonts w:hint="default" w:ascii="Times New Roman" w:hAnsi="Times New Roman" w:cs="Times New Roman"/>
                <w:color w:val="auto"/>
                <w:sz w:val="21"/>
                <w:szCs w:val="21"/>
                <w:lang w:val="en-US" w:eastAsia="zh-CN"/>
              </w:rPr>
              <w:t>海口工业园区域内</w:t>
            </w:r>
            <w:bookmarkEnd w:id="146"/>
            <w:bookmarkEnd w:id="147"/>
          </w:p>
        </w:tc>
        <w:tc>
          <w:tcPr>
            <w:tcW w:w="2178" w:type="dxa"/>
            <w:vAlign w:val="center"/>
          </w:tcPr>
          <w:p w14:paraId="220B3BC0">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148" w:name="_Toc26519"/>
            <w:bookmarkStart w:id="149" w:name="_Toc4811"/>
            <w:r>
              <w:rPr>
                <w:rFonts w:hint="default" w:ascii="Times New Roman" w:hAnsi="Times New Roman" w:cs="Times New Roman"/>
                <w:color w:val="auto"/>
                <w:sz w:val="21"/>
                <w:szCs w:val="21"/>
                <w:lang w:val="en-US" w:eastAsia="zh-CN"/>
              </w:rPr>
              <w:t>管养乔木数量9306棵，木养护4947棵，地被植物养护 51787 m'等。</w:t>
            </w:r>
            <w:bookmarkEnd w:id="148"/>
            <w:bookmarkEnd w:id="149"/>
          </w:p>
        </w:tc>
        <w:tc>
          <w:tcPr>
            <w:tcW w:w="2178" w:type="dxa"/>
            <w:vAlign w:val="center"/>
          </w:tcPr>
          <w:p w14:paraId="1639EFC7">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150" w:name="_Toc27657"/>
            <w:bookmarkStart w:id="151" w:name="_Toc23809"/>
            <w:r>
              <w:rPr>
                <w:rFonts w:hint="default" w:ascii="Times New Roman" w:hAnsi="Times New Roman" w:cs="Times New Roman"/>
                <w:color w:val="auto"/>
                <w:sz w:val="21"/>
                <w:szCs w:val="21"/>
                <w:lang w:val="en-US" w:eastAsia="zh-CN"/>
              </w:rPr>
              <w:t>2022年9月1日</w:t>
            </w:r>
            <w:r>
              <w:rPr>
                <w:rFonts w:hint="eastAsia" w:asci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2024年8月31日</w:t>
            </w:r>
            <w:bookmarkEnd w:id="150"/>
            <w:bookmarkEnd w:id="151"/>
          </w:p>
        </w:tc>
      </w:tr>
      <w:tr w14:paraId="2C1E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Align w:val="center"/>
          </w:tcPr>
          <w:p w14:paraId="391B3B1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152" w:name="_Toc17019"/>
            <w:bookmarkStart w:id="153" w:name="_Toc24136"/>
            <w:r>
              <w:rPr>
                <w:rFonts w:hint="default" w:ascii="Times New Roman" w:hAnsi="Times New Roman" w:cs="Times New Roman"/>
                <w:sz w:val="21"/>
                <w:szCs w:val="21"/>
                <w:highlight w:val="none"/>
                <w:vertAlign w:val="baseline"/>
                <w:lang w:val="en-US" w:eastAsia="zh-CN"/>
              </w:rPr>
              <w:t>3</w:t>
            </w:r>
            <w:bookmarkEnd w:id="152"/>
            <w:bookmarkEnd w:id="153"/>
          </w:p>
        </w:tc>
        <w:tc>
          <w:tcPr>
            <w:tcW w:w="2283" w:type="dxa"/>
            <w:vAlign w:val="center"/>
          </w:tcPr>
          <w:p w14:paraId="4047EBEF">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154" w:name="_Toc17769"/>
            <w:bookmarkStart w:id="155" w:name="_Toc17403"/>
            <w:r>
              <w:rPr>
                <w:rFonts w:hint="default" w:ascii="Times New Roman" w:hAnsi="Times New Roman" w:cs="Times New Roman"/>
                <w:sz w:val="21"/>
                <w:szCs w:val="21"/>
                <w:highlight w:val="none"/>
                <w:vertAlign w:val="baseline"/>
                <w:lang w:val="en-US" w:eastAsia="zh-CN"/>
              </w:rPr>
              <w:t>2022年至2023年海口集镇中心绿化管养费项目</w:t>
            </w:r>
            <w:bookmarkEnd w:id="154"/>
            <w:bookmarkEnd w:id="155"/>
          </w:p>
        </w:tc>
        <w:tc>
          <w:tcPr>
            <w:tcW w:w="1863" w:type="dxa"/>
            <w:vAlign w:val="center"/>
          </w:tcPr>
          <w:p w14:paraId="70A637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color w:val="auto"/>
                <w:sz w:val="21"/>
                <w:szCs w:val="21"/>
                <w:lang w:val="en-US" w:eastAsia="zh-CN"/>
              </w:rPr>
            </w:pPr>
            <w:bookmarkStart w:id="156" w:name="_Toc25468"/>
            <w:bookmarkStart w:id="157" w:name="_Toc27647"/>
            <w:r>
              <w:rPr>
                <w:rFonts w:hint="default" w:ascii="Times New Roman" w:hAnsi="Times New Roman" w:cs="Times New Roman"/>
                <w:color w:val="auto"/>
                <w:sz w:val="21"/>
                <w:szCs w:val="21"/>
                <w:lang w:val="en-US" w:eastAsia="zh-CN"/>
              </w:rPr>
              <w:t>云南熙盛建设工程有限公司</w:t>
            </w:r>
            <w:bookmarkEnd w:id="156"/>
            <w:bookmarkEnd w:id="157"/>
          </w:p>
        </w:tc>
        <w:tc>
          <w:tcPr>
            <w:tcW w:w="2105" w:type="dxa"/>
            <w:vAlign w:val="center"/>
          </w:tcPr>
          <w:p w14:paraId="750623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158" w:name="_Toc4570"/>
            <w:bookmarkStart w:id="159" w:name="_Toc32073"/>
            <w:r>
              <w:rPr>
                <w:rFonts w:hint="default" w:ascii="Times New Roman" w:hAnsi="Times New Roman" w:cs="Times New Roman"/>
                <w:color w:val="auto"/>
                <w:sz w:val="21"/>
                <w:szCs w:val="21"/>
                <w:lang w:val="en-US" w:eastAsia="zh-CN"/>
              </w:rPr>
              <w:t>海口集镇中心区</w:t>
            </w:r>
            <w:bookmarkEnd w:id="158"/>
            <w:bookmarkEnd w:id="159"/>
          </w:p>
        </w:tc>
        <w:tc>
          <w:tcPr>
            <w:tcW w:w="2178" w:type="dxa"/>
            <w:vAlign w:val="center"/>
          </w:tcPr>
          <w:p w14:paraId="6AF0710D">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160" w:name="_Toc13674"/>
            <w:bookmarkStart w:id="161" w:name="_Toc12116"/>
            <w:r>
              <w:rPr>
                <w:rFonts w:hint="default" w:ascii="Times New Roman" w:hAnsi="Times New Roman" w:cs="Times New Roman"/>
                <w:color w:val="auto"/>
                <w:sz w:val="21"/>
                <w:szCs w:val="21"/>
                <w:lang w:val="en-US" w:eastAsia="zh-CN"/>
              </w:rPr>
              <w:t>1.洒水车浇水养护乔木2634株，灌木3172株，地被26212.42平方米</w:t>
            </w:r>
            <w:bookmarkEnd w:id="160"/>
            <w:bookmarkEnd w:id="161"/>
          </w:p>
          <w:p w14:paraId="25094DB4">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162" w:name="_Toc9580"/>
            <w:bookmarkStart w:id="163" w:name="_Toc8617"/>
            <w:r>
              <w:rPr>
                <w:rFonts w:hint="default" w:ascii="Times New Roman" w:hAnsi="Times New Roman" w:cs="Times New Roman"/>
                <w:color w:val="auto"/>
                <w:sz w:val="21"/>
                <w:szCs w:val="21"/>
                <w:lang w:val="en-US" w:eastAsia="zh-CN"/>
              </w:rPr>
              <w:t>2.管网水养护：乔木5548株，灌木1614株，地被21961平方米。</w:t>
            </w:r>
            <w:bookmarkEnd w:id="162"/>
            <w:bookmarkEnd w:id="163"/>
          </w:p>
        </w:tc>
        <w:tc>
          <w:tcPr>
            <w:tcW w:w="2178" w:type="dxa"/>
            <w:vAlign w:val="center"/>
          </w:tcPr>
          <w:p w14:paraId="73F9E3A4">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164" w:name="_Toc17083"/>
            <w:bookmarkStart w:id="165" w:name="_Toc20800"/>
            <w:r>
              <w:rPr>
                <w:rFonts w:hint="default" w:ascii="Times New Roman" w:hAnsi="Times New Roman" w:cs="Times New Roman"/>
                <w:color w:val="auto"/>
                <w:sz w:val="21"/>
                <w:szCs w:val="21"/>
                <w:lang w:val="en-US" w:eastAsia="zh-CN"/>
              </w:rPr>
              <w:t>2022年1月-2024年1月</w:t>
            </w:r>
            <w:bookmarkEnd w:id="164"/>
            <w:bookmarkEnd w:id="165"/>
          </w:p>
        </w:tc>
      </w:tr>
    </w:tbl>
    <w:p w14:paraId="41360E9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b/>
          <w:bCs/>
          <w:highlight w:val="none"/>
          <w:lang w:val="en-US" w:eastAsia="zh-CN"/>
        </w:rPr>
      </w:pPr>
      <w:bookmarkStart w:id="166" w:name="_Toc776"/>
      <w:bookmarkStart w:id="167" w:name="_Toc30312"/>
      <w:r>
        <w:rPr>
          <w:rFonts w:hint="default" w:ascii="Times New Roman" w:hAnsi="Times New Roman" w:cs="Times New Roman"/>
          <w:b/>
          <w:bCs/>
          <w:highlight w:val="none"/>
          <w:lang w:val="en-US" w:eastAsia="zh-CN"/>
        </w:rPr>
        <w:t>2.实际实施内容</w:t>
      </w:r>
      <w:bookmarkEnd w:id="166"/>
      <w:bookmarkEnd w:id="167"/>
    </w:p>
    <w:p w14:paraId="5D154C7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b w:val="0"/>
          <w:bCs w:val="0"/>
          <w:highlight w:val="none"/>
          <w:lang w:val="en-US" w:eastAsia="zh-CN"/>
        </w:rPr>
      </w:pPr>
      <w:bookmarkStart w:id="168" w:name="_Toc29832"/>
      <w:bookmarkStart w:id="169" w:name="_Toc30837"/>
      <w:r>
        <w:rPr>
          <w:rFonts w:hint="default" w:ascii="Times New Roman" w:hAnsi="Times New Roman" w:cs="Times New Roman"/>
          <w:b w:val="0"/>
          <w:bCs w:val="0"/>
          <w:highlight w:val="none"/>
          <w:lang w:val="en-US" w:eastAsia="zh-CN"/>
        </w:rPr>
        <w:t>项目实施单位每季度会对养护单位进行考核工作，考核结果用作与当季度费用的结算证明，当考核结果低于90分时，会按照一定比例扣除当季度费用。根据材料，养护单位均完成了期限内合同的要求，并通过了项目单位的考核工作。各项考核情况如下：</w:t>
      </w:r>
      <w:bookmarkEnd w:id="168"/>
      <w:bookmarkEnd w:id="169"/>
    </w:p>
    <w:p w14:paraId="3F6AF2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highlight w:val="none"/>
          <w:lang w:val="en-US" w:eastAsia="zh-CN"/>
        </w:rPr>
      </w:pPr>
      <w:r>
        <w:rPr>
          <w:rFonts w:hint="eastAsia" w:ascii="Times New Roman" w:eastAsia="黑体" w:cs="Times New Roman"/>
          <w:b w:val="0"/>
          <w:bCs w:val="0"/>
          <w:kern w:val="2"/>
          <w:sz w:val="24"/>
          <w:szCs w:val="24"/>
          <w:highlight w:val="none"/>
          <w:lang w:val="en-US" w:eastAsia="zh-CN" w:bidi="ar-SA"/>
        </w:rPr>
        <w:t xml:space="preserve">表4 </w:t>
      </w:r>
      <w:r>
        <w:rPr>
          <w:rFonts w:hint="default" w:ascii="Times New Roman" w:hAnsi="Times New Roman" w:eastAsia="黑体" w:cs="Times New Roman"/>
          <w:b w:val="0"/>
          <w:bCs w:val="0"/>
          <w:kern w:val="2"/>
          <w:sz w:val="24"/>
          <w:szCs w:val="24"/>
          <w:highlight w:val="none"/>
          <w:lang w:val="en-US" w:eastAsia="zh-CN" w:bidi="ar-SA"/>
        </w:rPr>
        <w:t>各项考核明细表</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283"/>
        <w:gridCol w:w="1863"/>
        <w:gridCol w:w="1158"/>
        <w:gridCol w:w="3125"/>
      </w:tblGrid>
      <w:tr w14:paraId="7428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2" w:type="dxa"/>
            <w:vAlign w:val="center"/>
          </w:tcPr>
          <w:p w14:paraId="15A2997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170" w:name="_Toc29183"/>
            <w:bookmarkStart w:id="171" w:name="_Toc7025"/>
            <w:r>
              <w:rPr>
                <w:rFonts w:hint="default" w:ascii="Times New Roman" w:hAnsi="Times New Roman" w:eastAsia="仿宋" w:cs="Times New Roman"/>
                <w:b/>
                <w:bCs/>
                <w:sz w:val="21"/>
                <w:szCs w:val="21"/>
                <w:highlight w:val="none"/>
                <w:vertAlign w:val="baseline"/>
                <w:lang w:val="en-US" w:eastAsia="zh-CN"/>
              </w:rPr>
              <w:t>序号</w:t>
            </w:r>
            <w:bookmarkEnd w:id="170"/>
            <w:bookmarkEnd w:id="171"/>
          </w:p>
        </w:tc>
        <w:tc>
          <w:tcPr>
            <w:tcW w:w="2283" w:type="dxa"/>
            <w:vAlign w:val="center"/>
          </w:tcPr>
          <w:p w14:paraId="224124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172" w:name="_Toc32255"/>
            <w:bookmarkStart w:id="173" w:name="_Toc2088"/>
            <w:r>
              <w:rPr>
                <w:rFonts w:hint="default" w:ascii="Times New Roman" w:hAnsi="Times New Roman" w:eastAsia="仿宋" w:cs="Times New Roman"/>
                <w:b/>
                <w:bCs/>
                <w:sz w:val="21"/>
                <w:szCs w:val="21"/>
                <w:highlight w:val="none"/>
                <w:vertAlign w:val="baseline"/>
                <w:lang w:val="en-US" w:eastAsia="zh-CN"/>
              </w:rPr>
              <w:t>项目名称</w:t>
            </w:r>
            <w:bookmarkEnd w:id="172"/>
            <w:bookmarkEnd w:id="173"/>
          </w:p>
        </w:tc>
        <w:tc>
          <w:tcPr>
            <w:tcW w:w="1863" w:type="dxa"/>
            <w:vAlign w:val="center"/>
          </w:tcPr>
          <w:p w14:paraId="772276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174" w:name="_Toc19637"/>
            <w:bookmarkStart w:id="175" w:name="_Toc24324"/>
            <w:r>
              <w:rPr>
                <w:rFonts w:hint="default" w:ascii="Times New Roman" w:hAnsi="Times New Roman" w:cs="Times New Roman"/>
                <w:b/>
                <w:bCs/>
                <w:sz w:val="21"/>
                <w:szCs w:val="21"/>
                <w:highlight w:val="none"/>
                <w:vertAlign w:val="baseline"/>
                <w:lang w:val="en-US" w:eastAsia="zh-CN"/>
              </w:rPr>
              <w:t>考核月份</w:t>
            </w:r>
            <w:bookmarkEnd w:id="174"/>
            <w:bookmarkEnd w:id="175"/>
          </w:p>
        </w:tc>
        <w:tc>
          <w:tcPr>
            <w:tcW w:w="1158" w:type="dxa"/>
            <w:vAlign w:val="center"/>
          </w:tcPr>
          <w:p w14:paraId="0766FB4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b/>
                <w:bCs/>
                <w:sz w:val="21"/>
                <w:szCs w:val="21"/>
                <w:highlight w:val="none"/>
                <w:vertAlign w:val="baseline"/>
                <w:lang w:val="en-US" w:eastAsia="zh-CN"/>
              </w:rPr>
            </w:pPr>
            <w:bookmarkStart w:id="176" w:name="_Toc8285"/>
            <w:bookmarkStart w:id="177" w:name="_Toc4578"/>
            <w:r>
              <w:rPr>
                <w:rFonts w:hint="default" w:ascii="Times New Roman" w:hAnsi="Times New Roman" w:cs="Times New Roman"/>
                <w:b/>
                <w:bCs/>
                <w:sz w:val="21"/>
                <w:szCs w:val="21"/>
                <w:highlight w:val="none"/>
                <w:vertAlign w:val="baseline"/>
                <w:lang w:val="en-US" w:eastAsia="zh-CN"/>
              </w:rPr>
              <w:t>考核结果</w:t>
            </w:r>
            <w:bookmarkEnd w:id="176"/>
            <w:bookmarkEnd w:id="177"/>
          </w:p>
        </w:tc>
        <w:tc>
          <w:tcPr>
            <w:tcW w:w="3125" w:type="dxa"/>
            <w:vAlign w:val="center"/>
          </w:tcPr>
          <w:p w14:paraId="0D2923A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b/>
                <w:bCs/>
                <w:sz w:val="21"/>
                <w:szCs w:val="21"/>
                <w:highlight w:val="none"/>
                <w:vertAlign w:val="baseline"/>
                <w:lang w:val="en-US" w:eastAsia="zh-CN"/>
              </w:rPr>
            </w:pPr>
            <w:bookmarkStart w:id="178" w:name="_Toc29637"/>
            <w:bookmarkStart w:id="179" w:name="_Toc21007"/>
            <w:r>
              <w:rPr>
                <w:rFonts w:hint="default" w:ascii="Times New Roman" w:hAnsi="Times New Roman" w:cs="Times New Roman"/>
                <w:b/>
                <w:bCs/>
                <w:sz w:val="21"/>
                <w:szCs w:val="21"/>
                <w:highlight w:val="none"/>
                <w:vertAlign w:val="baseline"/>
                <w:lang w:val="en-US" w:eastAsia="zh-CN"/>
              </w:rPr>
              <w:t>扣分原因</w:t>
            </w:r>
            <w:bookmarkEnd w:id="178"/>
            <w:bookmarkEnd w:id="179"/>
          </w:p>
        </w:tc>
      </w:tr>
      <w:tr w14:paraId="0F0E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42" w:type="dxa"/>
            <w:vMerge w:val="restart"/>
            <w:vAlign w:val="center"/>
          </w:tcPr>
          <w:p w14:paraId="54DF89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180" w:name="_Toc18911"/>
            <w:bookmarkStart w:id="181" w:name="_Toc9507"/>
            <w:r>
              <w:rPr>
                <w:rFonts w:hint="default" w:ascii="Times New Roman" w:hAnsi="Times New Roman" w:eastAsia="仿宋" w:cs="Times New Roman"/>
                <w:sz w:val="21"/>
                <w:szCs w:val="21"/>
                <w:highlight w:val="none"/>
                <w:vertAlign w:val="baseline"/>
                <w:lang w:val="en-US" w:eastAsia="zh-CN"/>
              </w:rPr>
              <w:t>1</w:t>
            </w:r>
            <w:bookmarkEnd w:id="180"/>
            <w:bookmarkEnd w:id="181"/>
          </w:p>
        </w:tc>
        <w:tc>
          <w:tcPr>
            <w:tcW w:w="2283" w:type="dxa"/>
            <w:vMerge w:val="restart"/>
            <w:vAlign w:val="center"/>
          </w:tcPr>
          <w:p w14:paraId="4BA000ED">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182" w:name="_Toc17179"/>
            <w:bookmarkStart w:id="183" w:name="_Toc30841"/>
            <w:r>
              <w:rPr>
                <w:rFonts w:hint="default" w:ascii="Times New Roman" w:hAnsi="Times New Roman" w:eastAsia="仿宋" w:cs="Times New Roman"/>
                <w:sz w:val="21"/>
                <w:szCs w:val="21"/>
                <w:highlight w:val="none"/>
                <w:lang w:val="en-US" w:eastAsia="zh-CN"/>
              </w:rPr>
              <w:t>昆明市西山区海口街道办事处三供一业绿化管养项目</w:t>
            </w:r>
            <w:bookmarkEnd w:id="182"/>
            <w:bookmarkEnd w:id="183"/>
          </w:p>
        </w:tc>
        <w:tc>
          <w:tcPr>
            <w:tcW w:w="1863" w:type="dxa"/>
            <w:vAlign w:val="center"/>
          </w:tcPr>
          <w:p w14:paraId="520BFD6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184" w:name="_Toc18835"/>
            <w:bookmarkStart w:id="185" w:name="_Toc22610"/>
            <w:r>
              <w:rPr>
                <w:rFonts w:hint="default" w:ascii="Times New Roman" w:hAnsi="Times New Roman" w:cs="Times New Roman"/>
                <w:sz w:val="21"/>
                <w:szCs w:val="21"/>
                <w:highlight w:val="none"/>
                <w:vertAlign w:val="baseline"/>
                <w:lang w:val="en-US" w:eastAsia="zh-CN"/>
              </w:rPr>
              <w:t>5月-7月</w:t>
            </w:r>
            <w:bookmarkEnd w:id="184"/>
            <w:bookmarkEnd w:id="185"/>
          </w:p>
          <w:p w14:paraId="3D82ECE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186" w:name="_Toc12452"/>
            <w:bookmarkStart w:id="187" w:name="_Toc27929"/>
            <w:r>
              <w:rPr>
                <w:rFonts w:hint="default" w:ascii="Times New Roman" w:hAnsi="Times New Roman" w:cs="Times New Roman"/>
                <w:sz w:val="21"/>
                <w:szCs w:val="21"/>
                <w:highlight w:val="none"/>
                <w:vertAlign w:val="baseline"/>
                <w:lang w:val="en-US" w:eastAsia="zh-CN"/>
              </w:rPr>
              <w:t>（7月2日）</w:t>
            </w:r>
            <w:bookmarkEnd w:id="186"/>
            <w:bookmarkEnd w:id="187"/>
          </w:p>
        </w:tc>
        <w:tc>
          <w:tcPr>
            <w:tcW w:w="1158" w:type="dxa"/>
            <w:vAlign w:val="center"/>
          </w:tcPr>
          <w:p w14:paraId="5126034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188" w:name="_Toc31044"/>
            <w:bookmarkStart w:id="189" w:name="_Toc27633"/>
            <w:r>
              <w:rPr>
                <w:rFonts w:hint="default" w:ascii="Times New Roman" w:hAnsi="Times New Roman" w:cs="Times New Roman"/>
                <w:sz w:val="21"/>
                <w:szCs w:val="21"/>
                <w:highlight w:val="none"/>
                <w:vertAlign w:val="baseline"/>
                <w:lang w:val="en-US" w:eastAsia="zh-CN"/>
              </w:rPr>
              <w:t>95</w:t>
            </w:r>
            <w:bookmarkEnd w:id="188"/>
            <w:bookmarkEnd w:id="189"/>
          </w:p>
        </w:tc>
        <w:tc>
          <w:tcPr>
            <w:tcW w:w="3125" w:type="dxa"/>
            <w:vAlign w:val="center"/>
          </w:tcPr>
          <w:p w14:paraId="2CD217A6">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bookmarkStart w:id="190" w:name="_Toc18579"/>
            <w:bookmarkStart w:id="191" w:name="_Toc16150"/>
            <w:r>
              <w:rPr>
                <w:rFonts w:hint="default" w:ascii="Times New Roman" w:hAnsi="Times New Roman" w:cs="Times New Roman"/>
                <w:sz w:val="21"/>
                <w:szCs w:val="21"/>
                <w:highlight w:val="none"/>
                <w:vertAlign w:val="baseline"/>
                <w:lang w:val="en-US" w:eastAsia="zh-CN"/>
              </w:rPr>
              <w:t>管理台账不够完善</w:t>
            </w:r>
            <w:bookmarkEnd w:id="190"/>
            <w:bookmarkEnd w:id="191"/>
          </w:p>
          <w:p w14:paraId="387D1F24">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bookmarkStart w:id="192" w:name="_Toc762"/>
            <w:bookmarkStart w:id="193" w:name="_Toc13598"/>
            <w:r>
              <w:rPr>
                <w:rFonts w:hint="default" w:ascii="Times New Roman" w:hAnsi="Times New Roman" w:cs="Times New Roman"/>
                <w:sz w:val="21"/>
                <w:szCs w:val="21"/>
                <w:highlight w:val="none"/>
                <w:vertAlign w:val="baseline"/>
                <w:lang w:val="en-US" w:eastAsia="zh-CN"/>
              </w:rPr>
              <w:t>现场检查情况中等</w:t>
            </w:r>
            <w:bookmarkEnd w:id="192"/>
            <w:bookmarkEnd w:id="193"/>
          </w:p>
        </w:tc>
      </w:tr>
      <w:tr w14:paraId="5F8B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42" w:type="dxa"/>
            <w:vMerge w:val="continue"/>
            <w:vAlign w:val="center"/>
          </w:tcPr>
          <w:p w14:paraId="3DA8AB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p>
        </w:tc>
        <w:tc>
          <w:tcPr>
            <w:tcW w:w="2283" w:type="dxa"/>
            <w:vMerge w:val="continue"/>
            <w:vAlign w:val="center"/>
          </w:tcPr>
          <w:p w14:paraId="105F4B57">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lang w:val="en-US" w:eastAsia="zh-CN"/>
              </w:rPr>
            </w:pPr>
          </w:p>
        </w:tc>
        <w:tc>
          <w:tcPr>
            <w:tcW w:w="1863" w:type="dxa"/>
            <w:vAlign w:val="center"/>
          </w:tcPr>
          <w:p w14:paraId="760B21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194" w:name="_Toc23028"/>
            <w:bookmarkStart w:id="195" w:name="_Toc32348"/>
            <w:r>
              <w:rPr>
                <w:rFonts w:hint="default" w:ascii="Times New Roman" w:hAnsi="Times New Roman" w:cs="Times New Roman"/>
                <w:sz w:val="21"/>
                <w:szCs w:val="21"/>
                <w:highlight w:val="none"/>
                <w:vertAlign w:val="baseline"/>
                <w:lang w:val="en-US" w:eastAsia="zh-CN"/>
              </w:rPr>
              <w:t>8月-10月</w:t>
            </w:r>
            <w:bookmarkEnd w:id="194"/>
            <w:bookmarkEnd w:id="195"/>
          </w:p>
        </w:tc>
        <w:tc>
          <w:tcPr>
            <w:tcW w:w="1158" w:type="dxa"/>
            <w:vAlign w:val="center"/>
          </w:tcPr>
          <w:p w14:paraId="0CC82E7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196" w:name="_Toc1285"/>
            <w:bookmarkStart w:id="197" w:name="_Toc29553"/>
            <w:r>
              <w:rPr>
                <w:rFonts w:hint="default" w:ascii="Times New Roman" w:hAnsi="Times New Roman" w:cs="Times New Roman"/>
                <w:sz w:val="21"/>
                <w:szCs w:val="21"/>
                <w:highlight w:val="none"/>
                <w:vertAlign w:val="baseline"/>
                <w:lang w:val="en-US" w:eastAsia="zh-CN"/>
              </w:rPr>
              <w:t>94</w:t>
            </w:r>
            <w:bookmarkEnd w:id="196"/>
            <w:bookmarkEnd w:id="197"/>
          </w:p>
        </w:tc>
        <w:tc>
          <w:tcPr>
            <w:tcW w:w="3125" w:type="dxa"/>
            <w:vAlign w:val="center"/>
          </w:tcPr>
          <w:p w14:paraId="72164336">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bookmarkStart w:id="198" w:name="_Toc27650"/>
            <w:bookmarkStart w:id="199" w:name="_Toc26999"/>
            <w:r>
              <w:rPr>
                <w:rFonts w:hint="default" w:ascii="Times New Roman" w:hAnsi="Times New Roman" w:cs="Times New Roman"/>
                <w:sz w:val="21"/>
                <w:szCs w:val="21"/>
                <w:highlight w:val="none"/>
                <w:vertAlign w:val="baseline"/>
                <w:lang w:val="en-US" w:eastAsia="zh-CN"/>
              </w:rPr>
              <w:t>工作管理有待加强</w:t>
            </w:r>
            <w:bookmarkEnd w:id="198"/>
            <w:bookmarkEnd w:id="199"/>
          </w:p>
          <w:p w14:paraId="5E44B771">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bookmarkStart w:id="200" w:name="_Toc28805"/>
            <w:bookmarkStart w:id="201" w:name="_Toc21997"/>
            <w:r>
              <w:rPr>
                <w:rFonts w:hint="default" w:ascii="Times New Roman" w:hAnsi="Times New Roman" w:cs="Times New Roman"/>
                <w:sz w:val="21"/>
                <w:szCs w:val="21"/>
                <w:highlight w:val="none"/>
                <w:vertAlign w:val="baseline"/>
                <w:lang w:val="en-US" w:eastAsia="zh-CN"/>
              </w:rPr>
              <w:t>台账查验不够细致</w:t>
            </w:r>
            <w:bookmarkEnd w:id="200"/>
            <w:bookmarkEnd w:id="201"/>
          </w:p>
          <w:p w14:paraId="10C79377">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bookmarkStart w:id="202" w:name="_Toc30004"/>
            <w:bookmarkStart w:id="203" w:name="_Toc9516"/>
            <w:r>
              <w:rPr>
                <w:rFonts w:hint="default" w:ascii="Times New Roman" w:hAnsi="Times New Roman" w:cs="Times New Roman"/>
                <w:sz w:val="21"/>
                <w:szCs w:val="21"/>
                <w:highlight w:val="none"/>
                <w:vertAlign w:val="baseline"/>
                <w:lang w:val="en-US" w:eastAsia="zh-CN"/>
              </w:rPr>
              <w:t>部分管养存在，部分枯死苗木未及时报备</w:t>
            </w:r>
            <w:bookmarkEnd w:id="202"/>
            <w:bookmarkEnd w:id="203"/>
          </w:p>
        </w:tc>
      </w:tr>
      <w:tr w14:paraId="7ACD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2" w:type="dxa"/>
            <w:vMerge w:val="continue"/>
            <w:vAlign w:val="center"/>
          </w:tcPr>
          <w:p w14:paraId="4A2F36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p>
        </w:tc>
        <w:tc>
          <w:tcPr>
            <w:tcW w:w="2283" w:type="dxa"/>
            <w:vMerge w:val="continue"/>
            <w:vAlign w:val="center"/>
          </w:tcPr>
          <w:p w14:paraId="3BE24DBD">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lang w:val="en-US" w:eastAsia="zh-CN"/>
              </w:rPr>
            </w:pPr>
          </w:p>
        </w:tc>
        <w:tc>
          <w:tcPr>
            <w:tcW w:w="1863" w:type="dxa"/>
            <w:vAlign w:val="center"/>
          </w:tcPr>
          <w:p w14:paraId="64230FB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204" w:name="_Toc4921"/>
            <w:bookmarkStart w:id="205" w:name="_Toc23091"/>
            <w:r>
              <w:rPr>
                <w:rFonts w:hint="default" w:ascii="Times New Roman" w:hAnsi="Times New Roman" w:cs="Times New Roman"/>
                <w:sz w:val="21"/>
                <w:szCs w:val="21"/>
                <w:highlight w:val="none"/>
                <w:vertAlign w:val="baseline"/>
                <w:lang w:val="en-US" w:eastAsia="zh-CN"/>
              </w:rPr>
              <w:t>11月-12月</w:t>
            </w:r>
            <w:bookmarkEnd w:id="204"/>
            <w:bookmarkEnd w:id="205"/>
          </w:p>
        </w:tc>
        <w:tc>
          <w:tcPr>
            <w:tcW w:w="1158" w:type="dxa"/>
            <w:vAlign w:val="center"/>
          </w:tcPr>
          <w:p w14:paraId="1F531E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206" w:name="_Toc28889"/>
            <w:bookmarkStart w:id="207" w:name="_Toc19664"/>
            <w:r>
              <w:rPr>
                <w:rFonts w:hint="default" w:ascii="Times New Roman" w:hAnsi="Times New Roman" w:cs="Times New Roman"/>
                <w:sz w:val="21"/>
                <w:szCs w:val="21"/>
                <w:highlight w:val="none"/>
                <w:vertAlign w:val="baseline"/>
                <w:lang w:val="en-US" w:eastAsia="zh-CN"/>
              </w:rPr>
              <w:t>98</w:t>
            </w:r>
            <w:bookmarkEnd w:id="206"/>
            <w:bookmarkEnd w:id="207"/>
          </w:p>
        </w:tc>
        <w:tc>
          <w:tcPr>
            <w:tcW w:w="3125" w:type="dxa"/>
            <w:vAlign w:val="center"/>
          </w:tcPr>
          <w:p w14:paraId="6B50CD9C">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bookmarkStart w:id="208" w:name="_Toc3972"/>
            <w:bookmarkStart w:id="209" w:name="_Toc16291"/>
            <w:r>
              <w:rPr>
                <w:rFonts w:hint="default" w:ascii="Times New Roman" w:hAnsi="Times New Roman" w:cs="Times New Roman"/>
                <w:sz w:val="21"/>
                <w:szCs w:val="21"/>
                <w:highlight w:val="none"/>
                <w:vertAlign w:val="baseline"/>
                <w:lang w:val="en-US" w:eastAsia="zh-CN"/>
              </w:rPr>
              <w:t>台账查验不够细致</w:t>
            </w:r>
            <w:bookmarkEnd w:id="208"/>
            <w:bookmarkEnd w:id="209"/>
          </w:p>
          <w:p w14:paraId="5218F725">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sz w:val="21"/>
                <w:szCs w:val="21"/>
                <w:highlight w:val="none"/>
                <w:vertAlign w:val="baseline"/>
                <w:lang w:val="en-US" w:eastAsia="zh-CN"/>
              </w:rPr>
            </w:pPr>
            <w:bookmarkStart w:id="210" w:name="_Toc16197"/>
            <w:bookmarkStart w:id="211" w:name="_Toc14767"/>
            <w:r>
              <w:rPr>
                <w:rFonts w:hint="default" w:ascii="Times New Roman" w:hAnsi="Times New Roman" w:cs="Times New Roman"/>
                <w:sz w:val="21"/>
                <w:szCs w:val="21"/>
                <w:highlight w:val="none"/>
                <w:vertAlign w:val="baseline"/>
                <w:lang w:val="en-US" w:eastAsia="zh-CN"/>
              </w:rPr>
              <w:t>有死苗需加强养护</w:t>
            </w:r>
            <w:bookmarkEnd w:id="210"/>
            <w:bookmarkEnd w:id="211"/>
          </w:p>
        </w:tc>
      </w:tr>
      <w:tr w14:paraId="6EA6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restart"/>
            <w:vAlign w:val="center"/>
          </w:tcPr>
          <w:p w14:paraId="3B0157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212" w:name="_Toc25163"/>
            <w:bookmarkStart w:id="213" w:name="_Toc20436"/>
            <w:r>
              <w:rPr>
                <w:rFonts w:hint="default" w:ascii="Times New Roman" w:hAnsi="Times New Roman" w:eastAsia="仿宋" w:cs="Times New Roman"/>
                <w:sz w:val="21"/>
                <w:szCs w:val="21"/>
                <w:highlight w:val="none"/>
                <w:vertAlign w:val="baseline"/>
                <w:lang w:val="en-US" w:eastAsia="zh-CN"/>
              </w:rPr>
              <w:t>2</w:t>
            </w:r>
            <w:bookmarkEnd w:id="212"/>
            <w:bookmarkEnd w:id="213"/>
          </w:p>
        </w:tc>
        <w:tc>
          <w:tcPr>
            <w:tcW w:w="2283" w:type="dxa"/>
            <w:vMerge w:val="restart"/>
            <w:vAlign w:val="center"/>
          </w:tcPr>
          <w:p w14:paraId="6443AA2D">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214" w:name="_Toc14675"/>
            <w:bookmarkStart w:id="215" w:name="_Toc13685"/>
            <w:r>
              <w:rPr>
                <w:rFonts w:hint="default" w:ascii="Times New Roman" w:hAnsi="Times New Roman" w:eastAsia="仿宋" w:cs="Times New Roman"/>
                <w:sz w:val="21"/>
                <w:szCs w:val="21"/>
                <w:highlight w:val="none"/>
                <w:vertAlign w:val="baseline"/>
                <w:lang w:val="en-US" w:eastAsia="zh-CN"/>
              </w:rPr>
              <w:t>昆明海口工业园区产业片区2022年-2024年度绿化管护项目</w:t>
            </w:r>
            <w:bookmarkEnd w:id="214"/>
            <w:bookmarkEnd w:id="215"/>
          </w:p>
        </w:tc>
        <w:tc>
          <w:tcPr>
            <w:tcW w:w="1863" w:type="dxa"/>
            <w:vAlign w:val="center"/>
          </w:tcPr>
          <w:p w14:paraId="6CE9F97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216" w:name="_Toc11668"/>
            <w:bookmarkStart w:id="217" w:name="_Toc12051"/>
            <w:r>
              <w:rPr>
                <w:rFonts w:hint="default" w:ascii="Times New Roman" w:hAnsi="Times New Roman" w:cs="Times New Roman"/>
                <w:sz w:val="21"/>
                <w:szCs w:val="21"/>
                <w:highlight w:val="none"/>
                <w:vertAlign w:val="baseline"/>
                <w:lang w:val="en-US" w:eastAsia="zh-CN"/>
              </w:rPr>
              <w:t>1月-3月</w:t>
            </w:r>
            <w:bookmarkEnd w:id="216"/>
            <w:bookmarkEnd w:id="217"/>
          </w:p>
        </w:tc>
        <w:tc>
          <w:tcPr>
            <w:tcW w:w="1158" w:type="dxa"/>
            <w:vAlign w:val="center"/>
          </w:tcPr>
          <w:p w14:paraId="326D22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18" w:name="_Toc15711"/>
            <w:r>
              <w:rPr>
                <w:rFonts w:hint="eastAsia" w:ascii="Times New Roman" w:cs="Times New Roman"/>
                <w:color w:val="auto"/>
                <w:sz w:val="21"/>
                <w:szCs w:val="21"/>
                <w:lang w:val="en-US" w:eastAsia="zh-CN"/>
              </w:rPr>
              <w:t>/</w:t>
            </w:r>
            <w:bookmarkEnd w:id="218"/>
          </w:p>
        </w:tc>
        <w:tc>
          <w:tcPr>
            <w:tcW w:w="3125" w:type="dxa"/>
            <w:vAlign w:val="center"/>
          </w:tcPr>
          <w:p w14:paraId="3E4ECB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19" w:name="_Toc3066"/>
            <w:r>
              <w:rPr>
                <w:rFonts w:hint="eastAsia" w:ascii="Times New Roman" w:cs="Times New Roman"/>
                <w:color w:val="auto"/>
                <w:sz w:val="21"/>
                <w:szCs w:val="21"/>
                <w:lang w:val="en-US" w:eastAsia="zh-CN"/>
              </w:rPr>
              <w:t>/</w:t>
            </w:r>
            <w:bookmarkEnd w:id="219"/>
          </w:p>
        </w:tc>
      </w:tr>
      <w:tr w14:paraId="637C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5CD42F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p>
        </w:tc>
        <w:tc>
          <w:tcPr>
            <w:tcW w:w="2283" w:type="dxa"/>
            <w:vMerge w:val="continue"/>
            <w:vAlign w:val="center"/>
          </w:tcPr>
          <w:p w14:paraId="51C665A3">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p>
        </w:tc>
        <w:tc>
          <w:tcPr>
            <w:tcW w:w="1863" w:type="dxa"/>
            <w:vAlign w:val="center"/>
          </w:tcPr>
          <w:p w14:paraId="2C36B5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220" w:name="_Toc7092"/>
            <w:bookmarkStart w:id="221" w:name="_Toc13029"/>
            <w:r>
              <w:rPr>
                <w:rFonts w:hint="default" w:ascii="Times New Roman" w:hAnsi="Times New Roman" w:cs="Times New Roman"/>
                <w:sz w:val="21"/>
                <w:szCs w:val="21"/>
                <w:highlight w:val="none"/>
                <w:vertAlign w:val="baseline"/>
                <w:lang w:val="en-US" w:eastAsia="zh-CN"/>
              </w:rPr>
              <w:t>4月6月</w:t>
            </w:r>
            <w:bookmarkEnd w:id="220"/>
            <w:bookmarkEnd w:id="221"/>
          </w:p>
        </w:tc>
        <w:tc>
          <w:tcPr>
            <w:tcW w:w="1158" w:type="dxa"/>
            <w:vAlign w:val="center"/>
          </w:tcPr>
          <w:p w14:paraId="05D64D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22" w:name="_Toc8156"/>
            <w:r>
              <w:rPr>
                <w:rFonts w:hint="eastAsia" w:ascii="Times New Roman" w:cs="Times New Roman"/>
                <w:color w:val="auto"/>
                <w:sz w:val="21"/>
                <w:szCs w:val="21"/>
                <w:lang w:val="en-US" w:eastAsia="zh-CN"/>
              </w:rPr>
              <w:t>/</w:t>
            </w:r>
            <w:bookmarkEnd w:id="222"/>
          </w:p>
        </w:tc>
        <w:tc>
          <w:tcPr>
            <w:tcW w:w="3125" w:type="dxa"/>
            <w:vAlign w:val="center"/>
          </w:tcPr>
          <w:p w14:paraId="74EEC6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23" w:name="_Toc9730"/>
            <w:r>
              <w:rPr>
                <w:rFonts w:hint="eastAsia" w:ascii="Times New Roman" w:cs="Times New Roman"/>
                <w:color w:val="auto"/>
                <w:sz w:val="21"/>
                <w:szCs w:val="21"/>
                <w:lang w:val="en-US" w:eastAsia="zh-CN"/>
              </w:rPr>
              <w:t>/</w:t>
            </w:r>
            <w:bookmarkEnd w:id="223"/>
          </w:p>
        </w:tc>
      </w:tr>
      <w:tr w14:paraId="0B0D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6C687D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p>
        </w:tc>
        <w:tc>
          <w:tcPr>
            <w:tcW w:w="2283" w:type="dxa"/>
            <w:vMerge w:val="continue"/>
            <w:vAlign w:val="center"/>
          </w:tcPr>
          <w:p w14:paraId="46AA9742">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p>
        </w:tc>
        <w:tc>
          <w:tcPr>
            <w:tcW w:w="1863" w:type="dxa"/>
            <w:vAlign w:val="center"/>
          </w:tcPr>
          <w:p w14:paraId="762A9D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224" w:name="_Toc5597"/>
            <w:bookmarkStart w:id="225" w:name="_Toc8621"/>
            <w:r>
              <w:rPr>
                <w:rFonts w:hint="default" w:ascii="Times New Roman" w:hAnsi="Times New Roman" w:cs="Times New Roman"/>
                <w:sz w:val="21"/>
                <w:szCs w:val="21"/>
                <w:highlight w:val="none"/>
                <w:vertAlign w:val="baseline"/>
                <w:lang w:val="en-US" w:eastAsia="zh-CN"/>
              </w:rPr>
              <w:t>7月-9月</w:t>
            </w:r>
            <w:bookmarkEnd w:id="224"/>
            <w:bookmarkEnd w:id="225"/>
          </w:p>
        </w:tc>
        <w:tc>
          <w:tcPr>
            <w:tcW w:w="1158" w:type="dxa"/>
            <w:vAlign w:val="center"/>
          </w:tcPr>
          <w:p w14:paraId="139E3CA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26" w:name="_Toc17172"/>
            <w:r>
              <w:rPr>
                <w:rFonts w:hint="eastAsia" w:ascii="Times New Roman" w:cs="Times New Roman"/>
                <w:color w:val="auto"/>
                <w:sz w:val="21"/>
                <w:szCs w:val="21"/>
                <w:lang w:val="en-US" w:eastAsia="zh-CN"/>
              </w:rPr>
              <w:t>/</w:t>
            </w:r>
            <w:bookmarkEnd w:id="226"/>
          </w:p>
        </w:tc>
        <w:tc>
          <w:tcPr>
            <w:tcW w:w="3125" w:type="dxa"/>
            <w:vAlign w:val="center"/>
          </w:tcPr>
          <w:p w14:paraId="15A2AA4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27" w:name="_Toc31238"/>
            <w:r>
              <w:rPr>
                <w:rFonts w:hint="eastAsia" w:ascii="Times New Roman" w:cs="Times New Roman"/>
                <w:color w:val="auto"/>
                <w:sz w:val="21"/>
                <w:szCs w:val="21"/>
                <w:lang w:val="en-US" w:eastAsia="zh-CN"/>
              </w:rPr>
              <w:t>/</w:t>
            </w:r>
            <w:bookmarkEnd w:id="227"/>
          </w:p>
        </w:tc>
      </w:tr>
      <w:tr w14:paraId="2109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79E980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p>
        </w:tc>
        <w:tc>
          <w:tcPr>
            <w:tcW w:w="2283" w:type="dxa"/>
            <w:vMerge w:val="continue"/>
            <w:vAlign w:val="center"/>
          </w:tcPr>
          <w:p w14:paraId="74CF1AA7">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p>
        </w:tc>
        <w:tc>
          <w:tcPr>
            <w:tcW w:w="1863" w:type="dxa"/>
            <w:vAlign w:val="center"/>
          </w:tcPr>
          <w:p w14:paraId="07ED80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228" w:name="_Toc482"/>
            <w:bookmarkStart w:id="229" w:name="_Toc15004"/>
            <w:r>
              <w:rPr>
                <w:rFonts w:hint="default" w:ascii="Times New Roman" w:hAnsi="Times New Roman" w:cs="Times New Roman"/>
                <w:sz w:val="21"/>
                <w:szCs w:val="21"/>
                <w:highlight w:val="none"/>
                <w:vertAlign w:val="baseline"/>
                <w:lang w:val="en-US" w:eastAsia="zh-CN"/>
              </w:rPr>
              <w:t>10月-12月</w:t>
            </w:r>
            <w:bookmarkEnd w:id="228"/>
            <w:bookmarkEnd w:id="229"/>
          </w:p>
        </w:tc>
        <w:tc>
          <w:tcPr>
            <w:tcW w:w="1158" w:type="dxa"/>
            <w:vAlign w:val="center"/>
          </w:tcPr>
          <w:p w14:paraId="5C469B3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30" w:name="_Toc9479"/>
            <w:r>
              <w:rPr>
                <w:rFonts w:hint="eastAsia" w:ascii="Times New Roman" w:cs="Times New Roman"/>
                <w:color w:val="auto"/>
                <w:sz w:val="21"/>
                <w:szCs w:val="21"/>
                <w:lang w:val="en-US" w:eastAsia="zh-CN"/>
              </w:rPr>
              <w:t>/</w:t>
            </w:r>
            <w:bookmarkEnd w:id="230"/>
          </w:p>
        </w:tc>
        <w:tc>
          <w:tcPr>
            <w:tcW w:w="3125" w:type="dxa"/>
            <w:vAlign w:val="center"/>
          </w:tcPr>
          <w:p w14:paraId="2EEC93A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31" w:name="_Toc3061"/>
            <w:r>
              <w:rPr>
                <w:rFonts w:hint="eastAsia" w:ascii="Times New Roman" w:cs="Times New Roman"/>
                <w:color w:val="auto"/>
                <w:sz w:val="21"/>
                <w:szCs w:val="21"/>
                <w:lang w:val="en-US" w:eastAsia="zh-CN"/>
              </w:rPr>
              <w:t>/</w:t>
            </w:r>
            <w:bookmarkEnd w:id="231"/>
          </w:p>
        </w:tc>
      </w:tr>
      <w:tr w14:paraId="0269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restart"/>
            <w:vAlign w:val="center"/>
          </w:tcPr>
          <w:p w14:paraId="03D2A1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sz w:val="21"/>
                <w:szCs w:val="21"/>
                <w:highlight w:val="none"/>
                <w:vertAlign w:val="baseline"/>
                <w:lang w:val="en-US" w:eastAsia="zh-CN"/>
              </w:rPr>
            </w:pPr>
            <w:bookmarkStart w:id="232" w:name="_Toc9356"/>
            <w:bookmarkStart w:id="233" w:name="_Toc20598"/>
            <w:r>
              <w:rPr>
                <w:rFonts w:hint="default" w:ascii="Times New Roman" w:hAnsi="Times New Roman" w:cs="Times New Roman"/>
                <w:sz w:val="21"/>
                <w:szCs w:val="21"/>
                <w:highlight w:val="none"/>
                <w:vertAlign w:val="baseline"/>
                <w:lang w:val="en-US" w:eastAsia="zh-CN"/>
              </w:rPr>
              <w:t>3</w:t>
            </w:r>
            <w:bookmarkEnd w:id="232"/>
            <w:bookmarkEnd w:id="233"/>
          </w:p>
        </w:tc>
        <w:tc>
          <w:tcPr>
            <w:tcW w:w="2283" w:type="dxa"/>
            <w:vMerge w:val="restart"/>
            <w:vAlign w:val="center"/>
          </w:tcPr>
          <w:p w14:paraId="070CFA30">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eastAsia="仿宋" w:cs="Times New Roman"/>
                <w:sz w:val="21"/>
                <w:szCs w:val="21"/>
                <w:highlight w:val="none"/>
                <w:vertAlign w:val="baseline"/>
                <w:lang w:val="en-US" w:eastAsia="zh-CN"/>
              </w:rPr>
            </w:pPr>
            <w:bookmarkStart w:id="234" w:name="_Toc22918"/>
            <w:bookmarkStart w:id="235" w:name="_Toc29393"/>
            <w:r>
              <w:rPr>
                <w:rFonts w:hint="default" w:ascii="Times New Roman" w:hAnsi="Times New Roman" w:cs="Times New Roman"/>
                <w:sz w:val="21"/>
                <w:szCs w:val="21"/>
                <w:highlight w:val="none"/>
                <w:vertAlign w:val="baseline"/>
                <w:lang w:val="en-US" w:eastAsia="zh-CN"/>
              </w:rPr>
              <w:t>2022年至2023年海口集镇中心绿化管养费项目</w:t>
            </w:r>
            <w:bookmarkEnd w:id="234"/>
            <w:bookmarkEnd w:id="235"/>
          </w:p>
        </w:tc>
        <w:tc>
          <w:tcPr>
            <w:tcW w:w="1863" w:type="dxa"/>
            <w:vAlign w:val="center"/>
          </w:tcPr>
          <w:p w14:paraId="01DAB5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236" w:name="_Toc25530"/>
            <w:bookmarkStart w:id="237" w:name="_Toc32600"/>
            <w:r>
              <w:rPr>
                <w:rFonts w:hint="default" w:ascii="Times New Roman" w:hAnsi="Times New Roman" w:cs="Times New Roman"/>
                <w:sz w:val="21"/>
                <w:szCs w:val="21"/>
                <w:highlight w:val="none"/>
                <w:vertAlign w:val="baseline"/>
                <w:lang w:val="en-US" w:eastAsia="zh-CN"/>
              </w:rPr>
              <w:t>1月-3月</w:t>
            </w:r>
            <w:bookmarkEnd w:id="236"/>
            <w:bookmarkEnd w:id="237"/>
          </w:p>
          <w:p w14:paraId="6B262F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238" w:name="_Toc30501"/>
            <w:bookmarkStart w:id="239" w:name="_Toc30069"/>
            <w:r>
              <w:rPr>
                <w:rFonts w:hint="default" w:ascii="Times New Roman" w:hAnsi="Times New Roman" w:cs="Times New Roman"/>
                <w:sz w:val="21"/>
                <w:szCs w:val="21"/>
                <w:highlight w:val="none"/>
                <w:vertAlign w:val="baseline"/>
                <w:lang w:val="en-US" w:eastAsia="zh-CN"/>
              </w:rPr>
              <w:t>（3月22日）</w:t>
            </w:r>
            <w:bookmarkEnd w:id="238"/>
            <w:bookmarkEnd w:id="239"/>
          </w:p>
        </w:tc>
        <w:tc>
          <w:tcPr>
            <w:tcW w:w="1158" w:type="dxa"/>
            <w:vAlign w:val="center"/>
          </w:tcPr>
          <w:p w14:paraId="3FB055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40" w:name="_Toc31479"/>
            <w:bookmarkStart w:id="241" w:name="_Toc62"/>
            <w:r>
              <w:rPr>
                <w:rFonts w:hint="default" w:ascii="Times New Roman" w:hAnsi="Times New Roman" w:cs="Times New Roman"/>
                <w:color w:val="auto"/>
                <w:sz w:val="21"/>
                <w:szCs w:val="21"/>
                <w:lang w:val="en-US" w:eastAsia="zh-CN"/>
              </w:rPr>
              <w:t>93</w:t>
            </w:r>
            <w:bookmarkEnd w:id="240"/>
            <w:bookmarkEnd w:id="241"/>
          </w:p>
        </w:tc>
        <w:tc>
          <w:tcPr>
            <w:tcW w:w="3125" w:type="dxa"/>
            <w:vAlign w:val="center"/>
          </w:tcPr>
          <w:p w14:paraId="4A14B5AC">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242" w:name="_Toc16914"/>
            <w:bookmarkStart w:id="243" w:name="_Toc20120"/>
            <w:r>
              <w:rPr>
                <w:rFonts w:hint="default" w:ascii="Times New Roman" w:hAnsi="Times New Roman" w:cs="Times New Roman"/>
                <w:color w:val="auto"/>
                <w:sz w:val="21"/>
                <w:szCs w:val="21"/>
                <w:lang w:val="en-US" w:eastAsia="zh-CN"/>
              </w:rPr>
              <w:t>管理台账资金使用情况不完善</w:t>
            </w:r>
            <w:bookmarkEnd w:id="242"/>
            <w:bookmarkEnd w:id="243"/>
          </w:p>
          <w:p w14:paraId="339AF232">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244" w:name="_Toc30796"/>
            <w:bookmarkStart w:id="245" w:name="_Toc19340"/>
            <w:r>
              <w:rPr>
                <w:rFonts w:hint="default" w:ascii="Times New Roman" w:hAnsi="Times New Roman" w:cs="Times New Roman"/>
                <w:color w:val="auto"/>
                <w:sz w:val="21"/>
                <w:szCs w:val="21"/>
                <w:lang w:val="en-US" w:eastAsia="zh-CN"/>
              </w:rPr>
              <w:t>现场检查存在缺苗、死苗的情况</w:t>
            </w:r>
            <w:bookmarkEnd w:id="244"/>
            <w:bookmarkEnd w:id="245"/>
          </w:p>
          <w:p w14:paraId="5C63983B">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246" w:name="_Toc15278"/>
            <w:bookmarkStart w:id="247" w:name="_Toc28120"/>
            <w:r>
              <w:rPr>
                <w:rFonts w:hint="default" w:ascii="Times New Roman" w:hAnsi="Times New Roman" w:cs="Times New Roman"/>
                <w:color w:val="auto"/>
                <w:sz w:val="21"/>
                <w:szCs w:val="21"/>
                <w:lang w:val="en-US" w:eastAsia="zh-CN"/>
              </w:rPr>
              <w:t>临时性应急处置时限较长</w:t>
            </w:r>
            <w:bookmarkEnd w:id="246"/>
            <w:bookmarkEnd w:id="247"/>
          </w:p>
        </w:tc>
      </w:tr>
      <w:tr w14:paraId="11A2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708C36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p>
        </w:tc>
        <w:tc>
          <w:tcPr>
            <w:tcW w:w="2283" w:type="dxa"/>
            <w:vMerge w:val="continue"/>
            <w:vAlign w:val="center"/>
          </w:tcPr>
          <w:p w14:paraId="36EFC933">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cs="Times New Roman"/>
                <w:sz w:val="21"/>
                <w:szCs w:val="21"/>
                <w:highlight w:val="none"/>
                <w:vertAlign w:val="baseline"/>
                <w:lang w:val="en-US" w:eastAsia="zh-CN"/>
              </w:rPr>
            </w:pPr>
          </w:p>
        </w:tc>
        <w:tc>
          <w:tcPr>
            <w:tcW w:w="1863" w:type="dxa"/>
            <w:vAlign w:val="center"/>
          </w:tcPr>
          <w:p w14:paraId="67EB53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eastAsia="仿宋" w:cs="Times New Roman"/>
                <w:color w:val="auto"/>
                <w:sz w:val="21"/>
                <w:szCs w:val="21"/>
                <w:lang w:val="en-US" w:eastAsia="zh-CN"/>
              </w:rPr>
            </w:pPr>
            <w:bookmarkStart w:id="248" w:name="_Toc25927"/>
            <w:bookmarkStart w:id="249" w:name="_Toc2027"/>
            <w:r>
              <w:rPr>
                <w:rFonts w:hint="default" w:ascii="Times New Roman" w:hAnsi="Times New Roman" w:cs="Times New Roman"/>
                <w:sz w:val="21"/>
                <w:szCs w:val="21"/>
                <w:highlight w:val="none"/>
                <w:vertAlign w:val="baseline"/>
                <w:lang w:val="en-US" w:eastAsia="zh-CN"/>
              </w:rPr>
              <w:t>4月6月</w:t>
            </w:r>
            <w:bookmarkEnd w:id="248"/>
            <w:bookmarkEnd w:id="249"/>
          </w:p>
        </w:tc>
        <w:tc>
          <w:tcPr>
            <w:tcW w:w="1158" w:type="dxa"/>
            <w:vAlign w:val="center"/>
          </w:tcPr>
          <w:p w14:paraId="1E3336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r>
              <w:rPr>
                <w:rFonts w:hint="eastAsia" w:ascii="Times New Roman" w:cs="Times New Roman"/>
                <w:color w:val="auto"/>
                <w:sz w:val="21"/>
                <w:szCs w:val="21"/>
                <w:lang w:val="en-US" w:eastAsia="zh-CN"/>
              </w:rPr>
              <w:t>90</w:t>
            </w:r>
          </w:p>
        </w:tc>
        <w:tc>
          <w:tcPr>
            <w:tcW w:w="3125" w:type="dxa"/>
            <w:vAlign w:val="center"/>
          </w:tcPr>
          <w:p w14:paraId="29D0CC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r>
              <w:rPr>
                <w:rFonts w:hint="eastAsia" w:ascii="Times New Roman" w:cs="Times New Roman"/>
                <w:color w:val="auto"/>
                <w:sz w:val="21"/>
                <w:szCs w:val="21"/>
                <w:lang w:val="en-US" w:eastAsia="zh-CN"/>
              </w:rPr>
              <w:t>/</w:t>
            </w:r>
          </w:p>
        </w:tc>
      </w:tr>
      <w:tr w14:paraId="25AA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3A359A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p>
        </w:tc>
        <w:tc>
          <w:tcPr>
            <w:tcW w:w="2283" w:type="dxa"/>
            <w:vMerge w:val="continue"/>
            <w:vAlign w:val="center"/>
          </w:tcPr>
          <w:p w14:paraId="7C99BE73">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cs="Times New Roman"/>
                <w:sz w:val="21"/>
                <w:szCs w:val="21"/>
                <w:highlight w:val="none"/>
                <w:vertAlign w:val="baseline"/>
                <w:lang w:val="en-US" w:eastAsia="zh-CN"/>
              </w:rPr>
            </w:pPr>
          </w:p>
        </w:tc>
        <w:tc>
          <w:tcPr>
            <w:tcW w:w="1863" w:type="dxa"/>
            <w:vAlign w:val="center"/>
          </w:tcPr>
          <w:p w14:paraId="7D8E09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250" w:name="_Toc29021"/>
            <w:bookmarkStart w:id="251" w:name="_Toc12379"/>
            <w:r>
              <w:rPr>
                <w:rFonts w:hint="default" w:ascii="Times New Roman" w:hAnsi="Times New Roman" w:cs="Times New Roman"/>
                <w:sz w:val="21"/>
                <w:szCs w:val="21"/>
                <w:highlight w:val="none"/>
                <w:vertAlign w:val="baseline"/>
                <w:lang w:val="en-US" w:eastAsia="zh-CN"/>
              </w:rPr>
              <w:t>7月-9月</w:t>
            </w:r>
            <w:bookmarkEnd w:id="250"/>
            <w:bookmarkEnd w:id="251"/>
          </w:p>
          <w:p w14:paraId="2C2708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252" w:name="_Toc8341"/>
            <w:bookmarkStart w:id="253" w:name="_Toc802"/>
            <w:r>
              <w:rPr>
                <w:rFonts w:hint="default" w:ascii="Times New Roman" w:hAnsi="Times New Roman" w:cs="Times New Roman"/>
                <w:sz w:val="21"/>
                <w:szCs w:val="21"/>
                <w:highlight w:val="none"/>
                <w:vertAlign w:val="baseline"/>
                <w:lang w:val="en-US" w:eastAsia="zh-CN"/>
              </w:rPr>
              <w:t>（10月13日）</w:t>
            </w:r>
            <w:bookmarkEnd w:id="252"/>
            <w:bookmarkEnd w:id="253"/>
          </w:p>
        </w:tc>
        <w:tc>
          <w:tcPr>
            <w:tcW w:w="1158" w:type="dxa"/>
            <w:vAlign w:val="center"/>
          </w:tcPr>
          <w:p w14:paraId="727DE3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54" w:name="_Toc6361"/>
            <w:bookmarkStart w:id="255" w:name="_Toc26547"/>
            <w:r>
              <w:rPr>
                <w:rFonts w:hint="default" w:ascii="Times New Roman" w:hAnsi="Times New Roman" w:cs="Times New Roman"/>
                <w:color w:val="auto"/>
                <w:sz w:val="21"/>
                <w:szCs w:val="21"/>
                <w:lang w:val="en-US" w:eastAsia="zh-CN"/>
              </w:rPr>
              <w:t>97</w:t>
            </w:r>
            <w:bookmarkEnd w:id="254"/>
            <w:bookmarkEnd w:id="255"/>
          </w:p>
        </w:tc>
        <w:tc>
          <w:tcPr>
            <w:tcW w:w="3125" w:type="dxa"/>
            <w:vAlign w:val="center"/>
          </w:tcPr>
          <w:p w14:paraId="3417A7EB">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256" w:name="_Toc22651"/>
            <w:bookmarkStart w:id="257" w:name="_Toc7283"/>
            <w:r>
              <w:rPr>
                <w:rFonts w:hint="default" w:ascii="Times New Roman" w:hAnsi="Times New Roman" w:cs="Times New Roman"/>
                <w:color w:val="auto"/>
                <w:sz w:val="21"/>
                <w:szCs w:val="21"/>
                <w:lang w:val="en-US" w:eastAsia="zh-CN"/>
              </w:rPr>
              <w:t>台账查验不够细致</w:t>
            </w:r>
            <w:bookmarkEnd w:id="256"/>
            <w:bookmarkEnd w:id="257"/>
          </w:p>
          <w:p w14:paraId="18E43636">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258" w:name="_Toc22130"/>
            <w:bookmarkStart w:id="259" w:name="_Toc1686"/>
            <w:r>
              <w:rPr>
                <w:rFonts w:hint="default" w:ascii="Times New Roman" w:hAnsi="Times New Roman" w:cs="Times New Roman"/>
                <w:color w:val="auto"/>
                <w:sz w:val="21"/>
                <w:szCs w:val="21"/>
                <w:lang w:val="en-US" w:eastAsia="zh-CN"/>
              </w:rPr>
              <w:t>部分管养存在欠缺</w:t>
            </w:r>
            <w:bookmarkEnd w:id="258"/>
            <w:bookmarkEnd w:id="259"/>
          </w:p>
        </w:tc>
      </w:tr>
      <w:tr w14:paraId="36D4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5C7C72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p>
        </w:tc>
        <w:tc>
          <w:tcPr>
            <w:tcW w:w="2283" w:type="dxa"/>
            <w:vMerge w:val="continue"/>
            <w:vAlign w:val="center"/>
          </w:tcPr>
          <w:p w14:paraId="09C0E2EF">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Times New Roman" w:hAnsi="Times New Roman" w:cs="Times New Roman"/>
                <w:sz w:val="21"/>
                <w:szCs w:val="21"/>
                <w:highlight w:val="none"/>
                <w:vertAlign w:val="baseline"/>
                <w:lang w:val="en-US" w:eastAsia="zh-CN"/>
              </w:rPr>
            </w:pPr>
          </w:p>
        </w:tc>
        <w:tc>
          <w:tcPr>
            <w:tcW w:w="1863" w:type="dxa"/>
            <w:vAlign w:val="center"/>
          </w:tcPr>
          <w:p w14:paraId="5A97D7E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260" w:name="_Toc24999"/>
            <w:bookmarkStart w:id="261" w:name="_Toc10341"/>
            <w:r>
              <w:rPr>
                <w:rFonts w:hint="default" w:ascii="Times New Roman" w:hAnsi="Times New Roman" w:cs="Times New Roman"/>
                <w:sz w:val="21"/>
                <w:szCs w:val="21"/>
                <w:highlight w:val="none"/>
                <w:vertAlign w:val="baseline"/>
                <w:lang w:val="en-US" w:eastAsia="zh-CN"/>
              </w:rPr>
              <w:t>10月-12月</w:t>
            </w:r>
            <w:bookmarkEnd w:id="260"/>
            <w:bookmarkEnd w:id="261"/>
          </w:p>
          <w:p w14:paraId="164977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sz w:val="21"/>
                <w:szCs w:val="21"/>
                <w:highlight w:val="none"/>
                <w:vertAlign w:val="baseline"/>
                <w:lang w:val="en-US" w:eastAsia="zh-CN"/>
              </w:rPr>
            </w:pPr>
            <w:bookmarkStart w:id="262" w:name="_Toc1975"/>
            <w:bookmarkStart w:id="263" w:name="_Toc3466"/>
            <w:r>
              <w:rPr>
                <w:rFonts w:hint="default" w:ascii="Times New Roman" w:hAnsi="Times New Roman" w:cs="Times New Roman"/>
                <w:sz w:val="21"/>
                <w:szCs w:val="21"/>
                <w:highlight w:val="none"/>
                <w:vertAlign w:val="baseline"/>
                <w:lang w:val="en-US" w:eastAsia="zh-CN"/>
              </w:rPr>
              <w:t>（12月13日）</w:t>
            </w:r>
            <w:bookmarkEnd w:id="262"/>
            <w:bookmarkEnd w:id="263"/>
          </w:p>
        </w:tc>
        <w:tc>
          <w:tcPr>
            <w:tcW w:w="1158" w:type="dxa"/>
            <w:vAlign w:val="center"/>
          </w:tcPr>
          <w:p w14:paraId="79AA80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Times New Roman" w:hAnsi="Times New Roman" w:cs="Times New Roman"/>
                <w:color w:val="auto"/>
                <w:sz w:val="21"/>
                <w:szCs w:val="21"/>
                <w:lang w:val="en-US" w:eastAsia="zh-CN"/>
              </w:rPr>
            </w:pPr>
            <w:bookmarkStart w:id="264" w:name="_Toc10166"/>
            <w:bookmarkStart w:id="265" w:name="_Toc43"/>
            <w:r>
              <w:rPr>
                <w:rFonts w:hint="default" w:ascii="Times New Roman" w:hAnsi="Times New Roman" w:cs="Times New Roman"/>
                <w:color w:val="auto"/>
                <w:sz w:val="21"/>
                <w:szCs w:val="21"/>
                <w:lang w:val="en-US" w:eastAsia="zh-CN"/>
              </w:rPr>
              <w:t>97</w:t>
            </w:r>
            <w:bookmarkEnd w:id="264"/>
            <w:bookmarkEnd w:id="265"/>
          </w:p>
        </w:tc>
        <w:tc>
          <w:tcPr>
            <w:tcW w:w="3125" w:type="dxa"/>
            <w:vAlign w:val="center"/>
          </w:tcPr>
          <w:p w14:paraId="1E41093E">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266" w:name="_Toc20931"/>
            <w:bookmarkStart w:id="267" w:name="_Toc1700"/>
            <w:r>
              <w:rPr>
                <w:rFonts w:hint="default" w:ascii="Times New Roman" w:hAnsi="Times New Roman" w:cs="Times New Roman"/>
                <w:color w:val="auto"/>
                <w:sz w:val="21"/>
                <w:szCs w:val="21"/>
                <w:lang w:val="en-US" w:eastAsia="zh-CN"/>
              </w:rPr>
              <w:t>管养规范化程度不够</w:t>
            </w:r>
            <w:bookmarkEnd w:id="266"/>
            <w:bookmarkEnd w:id="267"/>
          </w:p>
          <w:p w14:paraId="45ABAE0B">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268" w:name="_Toc29075"/>
            <w:bookmarkStart w:id="269" w:name="_Toc3255"/>
            <w:r>
              <w:rPr>
                <w:rFonts w:hint="default" w:ascii="Times New Roman" w:hAnsi="Times New Roman" w:cs="Times New Roman"/>
                <w:color w:val="auto"/>
                <w:sz w:val="21"/>
                <w:szCs w:val="21"/>
                <w:lang w:val="en-US" w:eastAsia="zh-CN"/>
              </w:rPr>
              <w:t>台账数据有待进一步完善</w:t>
            </w:r>
            <w:bookmarkEnd w:id="268"/>
            <w:bookmarkEnd w:id="269"/>
          </w:p>
          <w:p w14:paraId="258DA9C7">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left"/>
              <w:textAlignment w:val="auto"/>
              <w:outlineLvl w:val="1"/>
              <w:rPr>
                <w:rFonts w:hint="default" w:ascii="Times New Roman" w:hAnsi="Times New Roman" w:cs="Times New Roman"/>
                <w:color w:val="auto"/>
                <w:sz w:val="21"/>
                <w:szCs w:val="21"/>
                <w:lang w:val="en-US" w:eastAsia="zh-CN"/>
              </w:rPr>
            </w:pPr>
            <w:bookmarkStart w:id="270" w:name="_Toc17419"/>
            <w:bookmarkStart w:id="271" w:name="_Toc20568"/>
            <w:r>
              <w:rPr>
                <w:rFonts w:hint="default" w:ascii="Times New Roman" w:hAnsi="Times New Roman" w:cs="Times New Roman"/>
                <w:color w:val="auto"/>
                <w:sz w:val="21"/>
                <w:szCs w:val="21"/>
                <w:lang w:val="en-US" w:eastAsia="zh-CN"/>
              </w:rPr>
              <w:t>部分枯死苗木未及时报备</w:t>
            </w:r>
            <w:bookmarkEnd w:id="270"/>
            <w:bookmarkEnd w:id="271"/>
          </w:p>
        </w:tc>
      </w:tr>
    </w:tbl>
    <w:p w14:paraId="2F5B6F1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 w:cs="Times New Roman"/>
          <w:szCs w:val="30"/>
        </w:rPr>
      </w:pPr>
      <w:bookmarkStart w:id="272" w:name="_Toc2202"/>
      <w:r>
        <w:rPr>
          <w:rFonts w:hint="default" w:ascii="Times New Roman" w:hAnsi="Times New Roman" w:eastAsia="楷体" w:cs="Times New Roman"/>
          <w:szCs w:val="30"/>
        </w:rPr>
        <w:t>（四）项目绩效目标设立情况</w:t>
      </w:r>
      <w:bookmarkEnd w:id="272"/>
    </w:p>
    <w:p w14:paraId="3AE7C0F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1.预算批复（申报）绩效目标和绩效指标情况</w:t>
      </w:r>
    </w:p>
    <w:p w14:paraId="162C8D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根据区海口街道办提供的项目绩效目标表，本项目的绩效目标如下：</w:t>
      </w:r>
    </w:p>
    <w:p w14:paraId="62D799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kern w:val="2"/>
          <w:sz w:val="24"/>
          <w:szCs w:val="24"/>
          <w:highlight w:val="none"/>
          <w:lang w:val="en-US" w:eastAsia="zh-CN" w:bidi="ar-SA"/>
        </w:rPr>
      </w:pPr>
      <w:r>
        <w:rPr>
          <w:rFonts w:hint="eastAsia" w:ascii="Times New Roman" w:eastAsia="黑体" w:cs="Times New Roman"/>
          <w:b w:val="0"/>
          <w:bCs w:val="0"/>
          <w:kern w:val="2"/>
          <w:sz w:val="24"/>
          <w:szCs w:val="24"/>
          <w:highlight w:val="none"/>
          <w:lang w:val="en-US" w:eastAsia="zh-CN" w:bidi="ar-SA"/>
        </w:rPr>
        <w:t xml:space="preserve">表5 </w:t>
      </w:r>
      <w:r>
        <w:rPr>
          <w:rFonts w:hint="default" w:ascii="Times New Roman" w:hAnsi="Times New Roman" w:eastAsia="黑体" w:cs="Times New Roman"/>
          <w:b w:val="0"/>
          <w:bCs w:val="0"/>
          <w:kern w:val="2"/>
          <w:sz w:val="24"/>
          <w:szCs w:val="24"/>
          <w:highlight w:val="none"/>
          <w:lang w:val="en-US" w:eastAsia="zh-CN" w:bidi="ar-SA"/>
        </w:rPr>
        <w:t>绩效目标表</w:t>
      </w:r>
    </w:p>
    <w:tbl>
      <w:tblPr>
        <w:tblStyle w:val="21"/>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2"/>
        <w:gridCol w:w="1472"/>
        <w:gridCol w:w="4253"/>
        <w:gridCol w:w="1674"/>
      </w:tblGrid>
      <w:tr w14:paraId="76A1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4D5A46">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一级指标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1C9E3EE7">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二级指标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1F5981BC">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三级指标</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3634926D">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指标值</w:t>
            </w:r>
          </w:p>
        </w:tc>
      </w:tr>
      <w:tr w14:paraId="290F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680C36">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产出指标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4A475471">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数量指标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6916002F">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2022年海口街道办事处绿化养护</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18B1DC86">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3块片区</w:t>
            </w:r>
          </w:p>
        </w:tc>
      </w:tr>
      <w:tr w14:paraId="4541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98159">
            <w:pPr>
              <w:spacing w:line="240" w:lineRule="auto"/>
              <w:jc w:val="center"/>
              <w:rPr>
                <w:rFonts w:hint="default" w:ascii="Times New Roman" w:hAnsi="Times New Roman" w:eastAsia="仿宋" w:cs="Times New Roman"/>
                <w:b w:val="0"/>
                <w:bCs w:val="0"/>
                <w:i w:val="0"/>
                <w:iCs w:val="0"/>
                <w:color w:val="000000"/>
                <w:sz w:val="21"/>
                <w:szCs w:val="21"/>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7F7F9910">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质量指标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3C2D4AEC">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2022年绿化养护率</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4BE5BCB9">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100%</w:t>
            </w:r>
          </w:p>
        </w:tc>
      </w:tr>
      <w:tr w14:paraId="1A9C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4E125">
            <w:pPr>
              <w:spacing w:line="240" w:lineRule="auto"/>
              <w:jc w:val="center"/>
              <w:rPr>
                <w:rFonts w:hint="default" w:ascii="Times New Roman" w:hAnsi="Times New Roman" w:eastAsia="仿宋" w:cs="Times New Roman"/>
                <w:b w:val="0"/>
                <w:bCs w:val="0"/>
                <w:i w:val="0"/>
                <w:iCs w:val="0"/>
                <w:color w:val="000000"/>
                <w:sz w:val="21"/>
                <w:szCs w:val="21"/>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27293E06">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时效指标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3D7DB06A">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2022年绿化养护维护完成时间</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133F1212">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2023年12月20日</w:t>
            </w:r>
          </w:p>
        </w:tc>
      </w:tr>
      <w:tr w14:paraId="4BA0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D0C2E">
            <w:pPr>
              <w:spacing w:line="240" w:lineRule="auto"/>
              <w:jc w:val="center"/>
              <w:rPr>
                <w:rFonts w:hint="default" w:ascii="Times New Roman" w:hAnsi="Times New Roman" w:eastAsia="仿宋" w:cs="Times New Roman"/>
                <w:b w:val="0"/>
                <w:bCs w:val="0"/>
                <w:i w:val="0"/>
                <w:iCs w:val="0"/>
                <w:color w:val="000000"/>
                <w:sz w:val="21"/>
                <w:szCs w:val="21"/>
                <w:u w:val="none"/>
              </w:rPr>
            </w:pPr>
          </w:p>
        </w:tc>
        <w:tc>
          <w:tcPr>
            <w:tcW w:w="14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B2018B">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成本指标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4A954575">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海口工业园区产业片区绿化管养费用</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1D50CF8B">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192</w:t>
            </w:r>
            <w:r>
              <w:rPr>
                <w:rFonts w:hint="eastAsia" w:ascii="Times New Roman" w:cs="Times New Roman"/>
                <w:i w:val="0"/>
                <w:iCs w:val="0"/>
                <w:color w:val="000000"/>
                <w:sz w:val="21"/>
                <w:szCs w:val="21"/>
                <w:u w:val="none"/>
                <w:lang w:val="en-US" w:eastAsia="zh-CN"/>
              </w:rPr>
              <w:t>.</w:t>
            </w:r>
            <w:r>
              <w:rPr>
                <w:rFonts w:hint="default" w:ascii="Times New Roman" w:hAnsi="Times New Roman" w:cs="Times New Roman"/>
                <w:i w:val="0"/>
                <w:iCs w:val="0"/>
                <w:color w:val="000000"/>
                <w:sz w:val="21"/>
                <w:szCs w:val="21"/>
                <w:u w:val="none"/>
                <w:lang w:val="en-US" w:eastAsia="zh-CN"/>
              </w:rPr>
              <w:t>4</w:t>
            </w:r>
            <w:r>
              <w:rPr>
                <w:rFonts w:hint="eastAsia" w:ascii="Times New Roman" w:cs="Times New Roman"/>
                <w:i w:val="0"/>
                <w:iCs w:val="0"/>
                <w:color w:val="000000"/>
                <w:sz w:val="21"/>
                <w:szCs w:val="21"/>
                <w:u w:val="none"/>
                <w:lang w:val="en-US" w:eastAsia="zh-CN"/>
              </w:rPr>
              <w:t>2万元</w:t>
            </w:r>
          </w:p>
        </w:tc>
      </w:tr>
      <w:tr w14:paraId="5808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B6F89">
            <w:pPr>
              <w:spacing w:line="240" w:lineRule="auto"/>
              <w:jc w:val="center"/>
              <w:rPr>
                <w:rFonts w:hint="default" w:ascii="Times New Roman" w:hAnsi="Times New Roman" w:eastAsia="仿宋" w:cs="Times New Roman"/>
                <w:b w:val="0"/>
                <w:bCs w:val="0"/>
                <w:i w:val="0"/>
                <w:iCs w:val="0"/>
                <w:color w:val="000000"/>
                <w:sz w:val="21"/>
                <w:szCs w:val="21"/>
                <w:u w:val="none"/>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C3BFE">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772627F6">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海口街道办事处三供一业绿化管养费用</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0811AE83">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189</w:t>
            </w:r>
            <w:r>
              <w:rPr>
                <w:rFonts w:hint="eastAsia" w:ascii="Times New Roman" w:cs="Times New Roman"/>
                <w:i w:val="0"/>
                <w:iCs w:val="0"/>
                <w:color w:val="000000"/>
                <w:sz w:val="21"/>
                <w:szCs w:val="21"/>
                <w:u w:val="none"/>
                <w:lang w:val="en-US" w:eastAsia="zh-CN"/>
              </w:rPr>
              <w:t>.</w:t>
            </w:r>
            <w:r>
              <w:rPr>
                <w:rFonts w:hint="default" w:ascii="Times New Roman" w:hAnsi="Times New Roman" w:cs="Times New Roman"/>
                <w:i w:val="0"/>
                <w:iCs w:val="0"/>
                <w:color w:val="000000"/>
                <w:sz w:val="21"/>
                <w:szCs w:val="21"/>
                <w:u w:val="none"/>
                <w:lang w:val="en-US" w:eastAsia="zh-CN"/>
              </w:rPr>
              <w:t>49</w:t>
            </w:r>
            <w:r>
              <w:rPr>
                <w:rFonts w:hint="eastAsia" w:ascii="Times New Roman" w:cs="Times New Roman"/>
                <w:i w:val="0"/>
                <w:iCs w:val="0"/>
                <w:color w:val="000000"/>
                <w:sz w:val="21"/>
                <w:szCs w:val="21"/>
                <w:u w:val="none"/>
                <w:lang w:val="en-US" w:eastAsia="zh-CN"/>
              </w:rPr>
              <w:t>万元</w:t>
            </w:r>
          </w:p>
        </w:tc>
      </w:tr>
      <w:tr w14:paraId="247D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907CC">
            <w:pPr>
              <w:spacing w:line="240" w:lineRule="auto"/>
              <w:jc w:val="center"/>
              <w:rPr>
                <w:rFonts w:hint="default" w:ascii="Times New Roman" w:hAnsi="Times New Roman" w:eastAsia="仿宋" w:cs="Times New Roman"/>
                <w:b w:val="0"/>
                <w:bCs w:val="0"/>
                <w:i w:val="0"/>
                <w:iCs w:val="0"/>
                <w:color w:val="000000"/>
                <w:sz w:val="21"/>
                <w:szCs w:val="21"/>
                <w:u w:val="none"/>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6EB37">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0CC0489E">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海口街道办事处中滩街绿化管养费用</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52FE7DFA">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157</w:t>
            </w:r>
            <w:r>
              <w:rPr>
                <w:rFonts w:hint="eastAsia" w:ascii="Times New Roman" w:cs="Times New Roman"/>
                <w:i w:val="0"/>
                <w:iCs w:val="0"/>
                <w:color w:val="000000"/>
                <w:sz w:val="21"/>
                <w:szCs w:val="21"/>
                <w:u w:val="none"/>
                <w:lang w:val="en-US" w:eastAsia="zh-CN"/>
              </w:rPr>
              <w:t>.</w:t>
            </w:r>
            <w:r>
              <w:rPr>
                <w:rFonts w:hint="default" w:ascii="Times New Roman" w:hAnsi="Times New Roman" w:cs="Times New Roman"/>
                <w:i w:val="0"/>
                <w:iCs w:val="0"/>
                <w:color w:val="000000"/>
                <w:sz w:val="21"/>
                <w:szCs w:val="21"/>
                <w:u w:val="none"/>
                <w:lang w:val="en-US" w:eastAsia="zh-CN"/>
              </w:rPr>
              <w:t>0</w:t>
            </w:r>
            <w:r>
              <w:rPr>
                <w:rFonts w:hint="eastAsia" w:ascii="Times New Roman" w:cs="Times New Roman"/>
                <w:i w:val="0"/>
                <w:iCs w:val="0"/>
                <w:color w:val="000000"/>
                <w:sz w:val="21"/>
                <w:szCs w:val="21"/>
                <w:u w:val="none"/>
                <w:lang w:val="en-US" w:eastAsia="zh-CN"/>
              </w:rPr>
              <w:t>6万元</w:t>
            </w:r>
          </w:p>
        </w:tc>
      </w:tr>
      <w:tr w14:paraId="0CE8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859E0F">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效益指标</w:t>
            </w:r>
          </w:p>
        </w:tc>
        <w:tc>
          <w:tcPr>
            <w:tcW w:w="14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35E7B9">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社会效益</w:t>
            </w:r>
            <w:r>
              <w:rPr>
                <w:rFonts w:hint="default" w:ascii="Times New Roman" w:hAnsi="Times New Roman" w:eastAsia="仿宋" w:cs="Times New Roman"/>
                <w:b w:val="0"/>
                <w:bCs w:val="0"/>
                <w:i w:val="0"/>
                <w:iCs w:val="0"/>
                <w:color w:val="000000"/>
                <w:kern w:val="0"/>
                <w:sz w:val="21"/>
                <w:szCs w:val="21"/>
                <w:u w:val="none"/>
                <w:lang w:val="en-US" w:eastAsia="zh-CN" w:bidi="ar"/>
              </w:rPr>
              <w:br w:type="textWrapping"/>
            </w:r>
            <w:r>
              <w:rPr>
                <w:rFonts w:hint="default" w:ascii="Times New Roman" w:hAnsi="Times New Roman" w:eastAsia="仿宋" w:cs="Times New Roman"/>
                <w:b w:val="0"/>
                <w:bCs w:val="0"/>
                <w:i w:val="0"/>
                <w:iCs w:val="0"/>
                <w:color w:val="000000"/>
                <w:kern w:val="0"/>
                <w:sz w:val="21"/>
                <w:szCs w:val="21"/>
                <w:u w:val="none"/>
                <w:lang w:val="en-US" w:eastAsia="zh-CN" w:bidi="ar"/>
              </w:rPr>
              <w:t>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5B1BAEDA">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农村出行条件</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2A1BC184">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cs="Times New Roman"/>
                <w:b w:val="0"/>
                <w:bCs w:val="0"/>
                <w:i w:val="0"/>
                <w:iCs w:val="0"/>
                <w:color w:val="000000"/>
                <w:kern w:val="0"/>
                <w:sz w:val="21"/>
                <w:szCs w:val="21"/>
                <w:u w:val="none"/>
                <w:lang w:val="en-US" w:eastAsia="zh-CN" w:bidi="ar"/>
              </w:rPr>
              <w:t>明显改善</w:t>
            </w:r>
          </w:p>
        </w:tc>
      </w:tr>
      <w:tr w14:paraId="06EB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34887">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288A3">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2C6BD516">
            <w:pPr>
              <w:keepNext w:val="0"/>
              <w:keepLines w:val="0"/>
              <w:widowControl/>
              <w:suppressLineNumbers w:val="0"/>
              <w:spacing w:line="240" w:lineRule="auto"/>
              <w:jc w:val="left"/>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美化环境，社会治安条件</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0FEAD6CD">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cs="Times New Roman"/>
                <w:b w:val="0"/>
                <w:bCs w:val="0"/>
                <w:i w:val="0"/>
                <w:iCs w:val="0"/>
                <w:color w:val="000000"/>
                <w:kern w:val="0"/>
                <w:sz w:val="21"/>
                <w:szCs w:val="21"/>
                <w:u w:val="none"/>
                <w:lang w:val="en-US" w:eastAsia="zh-CN" w:bidi="ar"/>
              </w:rPr>
              <w:t>明显改善</w:t>
            </w:r>
          </w:p>
        </w:tc>
      </w:tr>
      <w:tr w14:paraId="16A2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2A33D">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7A99A7EA">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cs="Times New Roman"/>
                <w:b w:val="0"/>
                <w:bCs w:val="0"/>
                <w:i w:val="0"/>
                <w:iCs w:val="0"/>
                <w:color w:val="000000"/>
                <w:kern w:val="0"/>
                <w:sz w:val="21"/>
                <w:szCs w:val="21"/>
                <w:u w:val="none"/>
                <w:lang w:val="en-US" w:eastAsia="zh-CN" w:bidi="ar"/>
              </w:rPr>
              <w:t>生态效益指标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0875B197">
            <w:pPr>
              <w:keepNext w:val="0"/>
              <w:keepLines w:val="0"/>
              <w:widowControl/>
              <w:suppressLineNumbers w:val="0"/>
              <w:spacing w:line="240" w:lineRule="auto"/>
              <w:jc w:val="left"/>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提高辖区群众生活环境</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5DBB741D">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cs="Times New Roman"/>
                <w:b w:val="0"/>
                <w:bCs w:val="0"/>
                <w:i w:val="0"/>
                <w:iCs w:val="0"/>
                <w:color w:val="000000"/>
                <w:kern w:val="0"/>
                <w:sz w:val="21"/>
                <w:szCs w:val="21"/>
                <w:u w:val="none"/>
                <w:lang w:val="en-US" w:eastAsia="zh-CN" w:bidi="ar"/>
              </w:rPr>
              <w:t>明显改善</w:t>
            </w:r>
          </w:p>
        </w:tc>
      </w:tr>
      <w:tr w14:paraId="2435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846459">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满意度指标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7E740016">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服务对象满意度指标等</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47979A78">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受益群众满意度</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408B0369">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cs="Times New Roman"/>
                <w:b w:val="0"/>
                <w:bCs w:val="0"/>
                <w:i w:val="0"/>
                <w:iCs w:val="0"/>
                <w:color w:val="000000"/>
                <w:sz w:val="21"/>
                <w:szCs w:val="21"/>
                <w:u w:val="none"/>
                <w:lang w:val="en-US" w:eastAsia="zh-CN"/>
              </w:rPr>
              <w:t>90%</w:t>
            </w:r>
          </w:p>
        </w:tc>
      </w:tr>
    </w:tbl>
    <w:p w14:paraId="73C26E5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2.绩效评价调整后的绩效目标和绩效指标情况</w:t>
      </w:r>
    </w:p>
    <w:p w14:paraId="2B24CB10">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outlineLvl w:val="9"/>
        <w:rPr>
          <w:rFonts w:hint="default" w:ascii="Times New Roman" w:hAnsi="Times New Roman" w:eastAsia="仿宋" w:cs="Times New Roman"/>
          <w:kern w:val="30"/>
          <w:sz w:val="30"/>
          <w:szCs w:val="30"/>
          <w:lang w:val="en-US" w:eastAsia="zh-CN" w:bidi="ar-SA"/>
        </w:rPr>
      </w:pPr>
      <w:bookmarkStart w:id="273" w:name="_Toc76"/>
      <w:bookmarkStart w:id="274" w:name="_Toc13974"/>
      <w:r>
        <w:rPr>
          <w:rFonts w:hint="default" w:ascii="Times New Roman" w:hAnsi="Times New Roman" w:eastAsia="仿宋" w:cs="Times New Roman"/>
          <w:kern w:val="30"/>
          <w:sz w:val="30"/>
          <w:szCs w:val="30"/>
          <w:lang w:val="en-US" w:eastAsia="zh-CN" w:bidi="ar-SA"/>
        </w:rPr>
        <w:t>通过对本项目的预算申报材料、绩效自评报告及部门职能职责进行分析，在与被评价单位充分沟通的基础上，确定本项目绩效目标，绩效评价调整后的绩效目标和绩效指标见附件</w:t>
      </w:r>
      <w:r>
        <w:rPr>
          <w:rFonts w:hint="eastAsia" w:ascii="Times New Roman" w:cs="Times New Roman"/>
          <w:kern w:val="30"/>
          <w:sz w:val="30"/>
          <w:szCs w:val="30"/>
          <w:lang w:val="en-US" w:eastAsia="zh-CN" w:bidi="ar-SA"/>
        </w:rPr>
        <w:t>1</w:t>
      </w:r>
      <w:r>
        <w:rPr>
          <w:rFonts w:hint="default" w:ascii="Times New Roman" w:hAnsi="Times New Roman" w:eastAsia="仿宋" w:cs="Times New Roman"/>
          <w:kern w:val="30"/>
          <w:sz w:val="30"/>
          <w:szCs w:val="30"/>
          <w:lang w:val="en-US" w:eastAsia="zh-CN" w:bidi="ar-SA"/>
        </w:rPr>
        <w:t>。</w:t>
      </w:r>
      <w:bookmarkEnd w:id="273"/>
      <w:bookmarkEnd w:id="274"/>
    </w:p>
    <w:p w14:paraId="7A9A3EF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_GB2312" w:cs="Times New Roman"/>
          <w:szCs w:val="30"/>
        </w:rPr>
      </w:pPr>
      <w:bookmarkStart w:id="275" w:name="_Toc2137"/>
      <w:r>
        <w:rPr>
          <w:rFonts w:hint="default" w:ascii="Times New Roman" w:hAnsi="Times New Roman" w:eastAsia="楷体" w:cs="Times New Roman"/>
          <w:szCs w:val="30"/>
        </w:rPr>
        <w:fldChar w:fldCharType="begin"/>
      </w:r>
      <w:r>
        <w:rPr>
          <w:rFonts w:hint="default" w:ascii="Times New Roman" w:hAnsi="Times New Roman" w:eastAsia="楷体" w:cs="Times New Roman"/>
          <w:szCs w:val="30"/>
        </w:rPr>
        <w:instrText xml:space="preserve"> HYPERLINK \l "_Toc434746189" </w:instrText>
      </w:r>
      <w:r>
        <w:rPr>
          <w:rFonts w:hint="default" w:ascii="Times New Roman" w:hAnsi="Times New Roman" w:eastAsia="楷体" w:cs="Times New Roman"/>
          <w:szCs w:val="30"/>
        </w:rPr>
        <w:fldChar w:fldCharType="separate"/>
      </w:r>
      <w:r>
        <w:rPr>
          <w:rFonts w:hint="default" w:ascii="Times New Roman" w:hAnsi="Times New Roman" w:eastAsia="楷体" w:cs="Times New Roman"/>
          <w:szCs w:val="30"/>
        </w:rPr>
        <w:t>（五）</w:t>
      </w:r>
      <w:r>
        <w:rPr>
          <w:rFonts w:hint="default" w:ascii="Times New Roman" w:hAnsi="Times New Roman" w:eastAsia="楷体" w:cs="Times New Roman"/>
          <w:szCs w:val="30"/>
        </w:rPr>
        <w:fldChar w:fldCharType="end"/>
      </w:r>
      <w:r>
        <w:rPr>
          <w:rFonts w:hint="default" w:ascii="Times New Roman" w:hAnsi="Times New Roman" w:eastAsia="楷体" w:cs="Times New Roman"/>
          <w:szCs w:val="30"/>
        </w:rPr>
        <w:t>组织管理情况</w:t>
      </w:r>
      <w:bookmarkEnd w:id="275"/>
    </w:p>
    <w:p w14:paraId="057A50D0">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rPr>
          <w:rFonts w:hint="default" w:ascii="Times New Roman" w:hAnsi="Times New Roman" w:eastAsia="仿宋" w:cs="Times New Roman"/>
          <w:sz w:val="30"/>
          <w:szCs w:val="30"/>
          <w:highlight w:val="none"/>
          <w:lang w:val="en-US" w:eastAsia="zh-CN"/>
        </w:rPr>
      </w:pPr>
      <w:bookmarkStart w:id="276" w:name="_Toc31860"/>
      <w:bookmarkStart w:id="277" w:name="_Toc11168"/>
      <w:bookmarkStart w:id="278" w:name="_Toc31380"/>
      <w:bookmarkStart w:id="279" w:name="_Toc15491"/>
      <w:bookmarkStart w:id="280" w:name="_Toc31869"/>
      <w:r>
        <w:rPr>
          <w:rFonts w:hint="default" w:ascii="Times New Roman" w:hAnsi="Times New Roman" w:eastAsia="仿宋" w:cs="Times New Roman"/>
          <w:sz w:val="30"/>
          <w:szCs w:val="30"/>
          <w:highlight w:val="none"/>
          <w:lang w:val="en-US" w:eastAsia="zh-CN"/>
        </w:rPr>
        <w:t>1.财务管理</w:t>
      </w:r>
    </w:p>
    <w:p w14:paraId="3D7665B3">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rPr>
          <w:rFonts w:hint="default" w:ascii="Times New Roman" w:hAnsi="Times New Roman" w:cs="Times New Roman"/>
          <w:sz w:val="30"/>
          <w:szCs w:val="30"/>
          <w:highlight w:val="none"/>
          <w:lang w:val="en-US" w:eastAsia="zh-CN"/>
        </w:rPr>
      </w:pPr>
      <w:r>
        <w:rPr>
          <w:rFonts w:hint="default" w:ascii="Times New Roman" w:hAnsi="Times New Roman" w:cs="Times New Roman"/>
          <w:sz w:val="30"/>
          <w:szCs w:val="30"/>
          <w:highlight w:val="none"/>
          <w:lang w:val="en-US" w:eastAsia="zh-CN"/>
        </w:rPr>
        <w:t>（1）预算管理</w:t>
      </w:r>
    </w:p>
    <w:p w14:paraId="7C30A51F">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rPr>
          <w:rFonts w:hint="default" w:ascii="Times New Roman" w:hAnsi="Times New Roman" w:cs="Times New Roman"/>
          <w:sz w:val="30"/>
          <w:szCs w:val="30"/>
          <w:highlight w:val="none"/>
          <w:lang w:val="en-US" w:eastAsia="zh-CN"/>
        </w:rPr>
      </w:pPr>
      <w:r>
        <w:rPr>
          <w:rFonts w:hint="default" w:ascii="Times New Roman" w:hAnsi="Times New Roman" w:cs="Times New Roman"/>
          <w:sz w:val="30"/>
          <w:szCs w:val="30"/>
          <w:highlight w:val="none"/>
          <w:lang w:val="en-US" w:eastAsia="zh-CN"/>
        </w:rPr>
        <w:t>项目预算由管委会总收支预算、区海口街道办综合收支预算两部分构成。其编制根据西山区人民政府制定的总体规划和辖区内、街道内事业发展计划及建设项目实施计划进行。预算计划编制完成，由区财政局审定并报西山区人民政府按法定程序批准执行。</w:t>
      </w:r>
    </w:p>
    <w:p w14:paraId="322981F4">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rPr>
          <w:rFonts w:hint="default" w:ascii="Times New Roman" w:hAnsi="Times New Roman" w:cs="Times New Roman"/>
          <w:sz w:val="30"/>
          <w:szCs w:val="30"/>
          <w:highlight w:val="none"/>
          <w:lang w:val="en-US" w:eastAsia="zh-CN"/>
        </w:rPr>
      </w:pPr>
      <w:r>
        <w:rPr>
          <w:rFonts w:hint="default" w:ascii="Times New Roman" w:hAnsi="Times New Roman" w:cs="Times New Roman"/>
          <w:sz w:val="30"/>
          <w:szCs w:val="30"/>
          <w:highlight w:val="none"/>
          <w:lang w:val="en-US" w:eastAsia="zh-CN"/>
        </w:rPr>
        <w:t>（2）支出管理</w:t>
      </w:r>
    </w:p>
    <w:p w14:paraId="423D3DEC">
      <w:pPr>
        <w:pageBreakBefore w:val="0"/>
        <w:kinsoku/>
        <w:wordWrap/>
        <w:overflowPunct/>
        <w:topLinePunct w:val="0"/>
        <w:autoSpaceDE/>
        <w:autoSpaceDN/>
        <w:bidi w:val="0"/>
        <w:adjustRightInd/>
        <w:snapToGrid/>
        <w:spacing w:line="560" w:lineRule="exact"/>
        <w:ind w:firstLine="617" w:firstLineChars="196"/>
        <w:textAlignment w:val="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color w:val="000000"/>
          <w:kern w:val="0"/>
          <w:sz w:val="30"/>
          <w:szCs w:val="30"/>
          <w:lang w:val="en-US" w:eastAsia="zh-CN"/>
        </w:rPr>
        <w:t>资金支出</w:t>
      </w:r>
      <w:r>
        <w:rPr>
          <w:rFonts w:hint="default" w:ascii="Times New Roman" w:hAnsi="Times New Roman" w:eastAsia="仿宋" w:cs="Times New Roman"/>
          <w:color w:val="000000"/>
          <w:kern w:val="0"/>
          <w:sz w:val="30"/>
          <w:szCs w:val="30"/>
          <w:lang w:eastAsia="zh-CN"/>
        </w:rPr>
        <w:t>由主要领导负责审批</w:t>
      </w:r>
      <w:r>
        <w:rPr>
          <w:rFonts w:hint="default" w:ascii="Times New Roman" w:hAnsi="Times New Roman" w:eastAsia="仿宋" w:cs="Times New Roman"/>
          <w:b w:val="0"/>
          <w:bCs w:val="0"/>
          <w:color w:val="000000"/>
          <w:kern w:val="0"/>
          <w:sz w:val="30"/>
          <w:szCs w:val="30"/>
          <w:lang w:eastAsia="zh-CN"/>
        </w:rPr>
        <w:t>，</w:t>
      </w:r>
      <w:r>
        <w:rPr>
          <w:rFonts w:hint="default" w:ascii="Times New Roman" w:hAnsi="Times New Roman" w:eastAsia="仿宋" w:cs="Times New Roman"/>
          <w:b w:val="0"/>
          <w:bCs w:val="0"/>
          <w:color w:val="000000"/>
          <w:kern w:val="0"/>
          <w:sz w:val="30"/>
          <w:szCs w:val="30"/>
          <w:lang w:val="en-US" w:eastAsia="zh-CN"/>
        </w:rPr>
        <w:t>其中，管委会的</w:t>
      </w:r>
      <w:r>
        <w:rPr>
          <w:rFonts w:hint="default" w:ascii="Times New Roman" w:hAnsi="Times New Roman" w:eastAsia="仿宋" w:cs="Times New Roman"/>
          <w:b w:val="0"/>
          <w:bCs w:val="0"/>
          <w:color w:val="000000"/>
          <w:kern w:val="0"/>
          <w:sz w:val="30"/>
          <w:szCs w:val="30"/>
          <w:lang w:eastAsia="zh-CN"/>
        </w:rPr>
        <w:t>资金支付审批由园区专职副书记（园区负责人）签批；</w:t>
      </w:r>
      <w:r>
        <w:rPr>
          <w:rFonts w:hint="default" w:ascii="Times New Roman" w:hAnsi="Times New Roman" w:eastAsia="仿宋" w:cs="Times New Roman"/>
          <w:b w:val="0"/>
          <w:bCs w:val="0"/>
          <w:color w:val="000000"/>
          <w:kern w:val="0"/>
          <w:sz w:val="30"/>
          <w:szCs w:val="30"/>
          <w:lang w:val="en-US" w:eastAsia="zh-CN"/>
        </w:rPr>
        <w:t>区海口</w:t>
      </w:r>
      <w:r>
        <w:rPr>
          <w:rFonts w:hint="default" w:ascii="Times New Roman" w:hAnsi="Times New Roman" w:eastAsia="仿宋" w:cs="Times New Roman"/>
          <w:b w:val="0"/>
          <w:bCs w:val="0"/>
          <w:color w:val="000000"/>
          <w:kern w:val="0"/>
          <w:sz w:val="30"/>
          <w:szCs w:val="30"/>
          <w:lang w:eastAsia="zh-CN"/>
        </w:rPr>
        <w:t>街道</w:t>
      </w:r>
      <w:r>
        <w:rPr>
          <w:rFonts w:hint="default" w:ascii="Times New Roman" w:hAnsi="Times New Roman" w:eastAsia="仿宋" w:cs="Times New Roman"/>
          <w:b w:val="0"/>
          <w:bCs w:val="0"/>
          <w:color w:val="000000"/>
          <w:kern w:val="0"/>
          <w:sz w:val="30"/>
          <w:szCs w:val="30"/>
          <w:lang w:val="en-US" w:eastAsia="zh-CN"/>
        </w:rPr>
        <w:t>办的</w:t>
      </w:r>
      <w:r>
        <w:rPr>
          <w:rFonts w:hint="default" w:ascii="Times New Roman" w:hAnsi="Times New Roman" w:eastAsia="仿宋" w:cs="Times New Roman"/>
          <w:b w:val="0"/>
          <w:bCs w:val="0"/>
          <w:color w:val="000000"/>
          <w:kern w:val="0"/>
          <w:sz w:val="30"/>
          <w:szCs w:val="30"/>
          <w:lang w:eastAsia="zh-CN"/>
        </w:rPr>
        <w:t>资金支付审批由街道办事处主任签批。</w:t>
      </w:r>
    </w:p>
    <w:p w14:paraId="1F481BA3">
      <w:pPr>
        <w:pageBreakBefore w:val="0"/>
        <w:widowControl/>
        <w:shd w:val="clear" w:color="auto" w:fill="auto"/>
        <w:kinsoku/>
        <w:wordWrap/>
        <w:overflowPunct/>
        <w:topLinePunct w:val="0"/>
        <w:autoSpaceDE/>
        <w:autoSpaceDN/>
        <w:bidi w:val="0"/>
        <w:adjustRightInd/>
        <w:snapToGrid/>
        <w:spacing w:line="560" w:lineRule="exact"/>
        <w:ind w:firstLine="630" w:firstLineChars="200"/>
        <w:jc w:val="left"/>
        <w:textAlignment w:val="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lang w:val="en-US" w:eastAsia="zh-CN"/>
        </w:rPr>
        <w:t>项目支出</w:t>
      </w:r>
      <w:r>
        <w:rPr>
          <w:rFonts w:hint="default" w:ascii="Times New Roman" w:hAnsi="Times New Roman" w:eastAsia="仿宋" w:cs="Times New Roman"/>
          <w:b w:val="0"/>
          <w:bCs w:val="0"/>
          <w:sz w:val="30"/>
          <w:szCs w:val="30"/>
        </w:rPr>
        <w:t>单笔资金超出10000元的报</w:t>
      </w:r>
      <w:r>
        <w:rPr>
          <w:rFonts w:hint="default" w:ascii="Times New Roman" w:hAnsi="Times New Roman" w:eastAsia="仿宋" w:cs="Times New Roman"/>
          <w:b w:val="0"/>
          <w:bCs w:val="0"/>
          <w:sz w:val="30"/>
          <w:szCs w:val="30"/>
          <w:lang w:val="en-US" w:eastAsia="zh-CN"/>
        </w:rPr>
        <w:t>区海口</w:t>
      </w:r>
      <w:r>
        <w:rPr>
          <w:rFonts w:hint="default" w:ascii="Times New Roman" w:hAnsi="Times New Roman" w:eastAsia="仿宋" w:cs="Times New Roman"/>
          <w:b w:val="0"/>
          <w:bCs w:val="0"/>
          <w:sz w:val="30"/>
          <w:szCs w:val="30"/>
        </w:rPr>
        <w:t>街道办主任办公会讨论，单笔资金超出50000元的报党工委会议讨论，上级专项补助资金经</w:t>
      </w:r>
      <w:r>
        <w:rPr>
          <w:rFonts w:hint="default" w:ascii="Times New Roman" w:hAnsi="Times New Roman" w:eastAsia="仿宋" w:cs="Times New Roman"/>
          <w:b w:val="0"/>
          <w:bCs w:val="0"/>
          <w:sz w:val="30"/>
          <w:szCs w:val="30"/>
          <w:lang w:val="en-US" w:eastAsia="zh-CN"/>
        </w:rPr>
        <w:t>区海口</w:t>
      </w:r>
      <w:r>
        <w:rPr>
          <w:rFonts w:hint="default" w:ascii="Times New Roman" w:hAnsi="Times New Roman" w:eastAsia="仿宋" w:cs="Times New Roman"/>
          <w:b w:val="0"/>
          <w:bCs w:val="0"/>
          <w:sz w:val="30"/>
          <w:szCs w:val="30"/>
        </w:rPr>
        <w:t>街道办主任办公会讨论研究后审批使用。</w:t>
      </w:r>
    </w:p>
    <w:p w14:paraId="03C151A0">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t>2.采购管理</w:t>
      </w:r>
    </w:p>
    <w:p w14:paraId="0DF558D6">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cs="Times New Roman"/>
          <w:b w:val="0"/>
          <w:bCs w:val="0"/>
          <w:sz w:val="30"/>
          <w:szCs w:val="30"/>
          <w:highlight w:val="none"/>
          <w:lang w:val="en-US" w:eastAsia="zh-CN"/>
        </w:rPr>
        <w:t>（1）采购限额标准</w:t>
      </w:r>
    </w:p>
    <w:p w14:paraId="11D02EB6">
      <w:pPr>
        <w:pageBreakBefore w:val="0"/>
        <w:widowControl/>
        <w:shd w:val="clear" w:color="auto" w:fill="auto"/>
        <w:kinsoku/>
        <w:wordWrap/>
        <w:overflowPunct/>
        <w:topLinePunct w:val="0"/>
        <w:autoSpaceDE/>
        <w:autoSpaceDN/>
        <w:bidi w:val="0"/>
        <w:adjustRightInd/>
        <w:snapToGrid/>
        <w:spacing w:line="560" w:lineRule="exact"/>
        <w:ind w:firstLine="63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①施工单项合同估算价在30万元人民币以上的工程建设项目；</w:t>
      </w:r>
    </w:p>
    <w:p w14:paraId="5A43AB37">
      <w:pPr>
        <w:pageBreakBefore w:val="0"/>
        <w:widowControl/>
        <w:shd w:val="clear" w:color="auto" w:fill="auto"/>
        <w:kinsoku/>
        <w:wordWrap/>
        <w:overflowPunct/>
        <w:topLinePunct w:val="0"/>
        <w:autoSpaceDE/>
        <w:autoSpaceDN/>
        <w:bidi w:val="0"/>
        <w:adjustRightInd/>
        <w:snapToGrid/>
        <w:spacing w:line="560" w:lineRule="exact"/>
        <w:ind w:firstLine="63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②重要设备、材料等货物的采购，单项合同估算价在20万元人民币以上的，多项合同估算价在30万元人民币以上的；</w:t>
      </w:r>
    </w:p>
    <w:p w14:paraId="11FD76F9">
      <w:pPr>
        <w:pageBreakBefore w:val="0"/>
        <w:widowControl/>
        <w:shd w:val="clear" w:color="auto" w:fill="auto"/>
        <w:kinsoku/>
        <w:wordWrap/>
        <w:overflowPunct/>
        <w:topLinePunct w:val="0"/>
        <w:autoSpaceDE/>
        <w:autoSpaceDN/>
        <w:bidi w:val="0"/>
        <w:adjustRightInd/>
        <w:snapToGrid/>
        <w:spacing w:line="560" w:lineRule="exact"/>
        <w:ind w:firstLine="63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③勘察、测绘、设计、造价、监理、审计等服务的采购，单项合同估算价在20万元人民币以上的；</w:t>
      </w:r>
    </w:p>
    <w:p w14:paraId="6B1415C5">
      <w:pPr>
        <w:pageBreakBefore w:val="0"/>
        <w:widowControl/>
        <w:shd w:val="clear" w:color="auto" w:fill="auto"/>
        <w:kinsoku/>
        <w:wordWrap/>
        <w:overflowPunct/>
        <w:topLinePunct w:val="0"/>
        <w:autoSpaceDE/>
        <w:autoSpaceDN/>
        <w:bidi w:val="0"/>
        <w:adjustRightInd/>
        <w:snapToGrid/>
        <w:spacing w:line="560" w:lineRule="exact"/>
        <w:ind w:firstLine="63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④单项合同估算价低于第</w:t>
      </w:r>
      <w:r>
        <w:rPr>
          <w:rFonts w:hint="eastAsia" w:ascii="仿宋" w:hAnsi="仿宋" w:eastAsia="仿宋" w:cs="仿宋"/>
          <w:sz w:val="30"/>
          <w:szCs w:val="30"/>
          <w:lang w:val="en-US" w:eastAsia="zh-CN"/>
        </w:rPr>
        <w:t>（一）（二）（三）</w:t>
      </w:r>
      <w:r>
        <w:rPr>
          <w:rFonts w:hint="eastAsia" w:ascii="仿宋" w:hAnsi="仿宋" w:eastAsia="仿宋" w:cs="仿宋"/>
          <w:b w:val="0"/>
          <w:bCs w:val="0"/>
          <w:sz w:val="30"/>
          <w:szCs w:val="30"/>
          <w:lang w:val="en-US" w:eastAsia="zh-CN"/>
        </w:rPr>
        <w:t>项规定的标准，但项目总投资额在100万元人民</w:t>
      </w:r>
      <w:r>
        <w:rPr>
          <w:rFonts w:hint="eastAsia" w:ascii="仿宋" w:hAnsi="仿宋" w:eastAsia="仿宋" w:cs="仿宋"/>
          <w:sz w:val="30"/>
          <w:szCs w:val="30"/>
          <w:lang w:val="en-US" w:eastAsia="zh-CN"/>
        </w:rPr>
        <w:t>币以上的；</w:t>
      </w:r>
    </w:p>
    <w:p w14:paraId="250C9659">
      <w:pPr>
        <w:pageBreakBefore w:val="0"/>
        <w:widowControl/>
        <w:shd w:val="clear" w:color="auto" w:fill="auto"/>
        <w:kinsoku/>
        <w:wordWrap/>
        <w:overflowPunct/>
        <w:topLinePunct w:val="0"/>
        <w:autoSpaceDE/>
        <w:autoSpaceDN/>
        <w:bidi w:val="0"/>
        <w:adjustRightInd/>
        <w:snapToGrid/>
        <w:spacing w:line="560" w:lineRule="exact"/>
        <w:ind w:firstLine="630" w:firstLineChars="200"/>
        <w:jc w:val="left"/>
        <w:textAlignment w:val="auto"/>
        <w:rPr>
          <w:rFonts w:hint="default" w:ascii="Times New Roman" w:hAnsi="Times New Roman" w:eastAsia="仿宋" w:cs="Times New Roman"/>
          <w:sz w:val="30"/>
          <w:szCs w:val="30"/>
          <w:lang w:val="en-US" w:eastAsia="zh-CN"/>
        </w:rPr>
      </w:pPr>
      <w:r>
        <w:rPr>
          <w:rFonts w:hint="eastAsia" w:ascii="仿宋" w:hAnsi="仿宋" w:eastAsia="仿宋" w:cs="仿宋"/>
          <w:sz w:val="30"/>
          <w:szCs w:val="30"/>
          <w:lang w:val="en-US" w:eastAsia="zh-CN"/>
        </w:rPr>
        <w:t>⑤单项合</w:t>
      </w:r>
      <w:r>
        <w:rPr>
          <w:rFonts w:hint="default" w:ascii="Times New Roman" w:hAnsi="Times New Roman" w:eastAsia="仿宋" w:cs="Times New Roman"/>
          <w:sz w:val="30"/>
          <w:szCs w:val="30"/>
          <w:lang w:val="en-US" w:eastAsia="zh-CN"/>
        </w:rPr>
        <w:t>同估算价高于第（一）（二）（三）项规定标准且项目总投资额在100万元人民币以下，属于应急处置项目或紧急工程，不能满足公开招标时间要求的，经相关会议研究决定，可直接委托年度入围单位实施。</w:t>
      </w:r>
    </w:p>
    <w:p w14:paraId="6169C27E">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rPr>
          <w:rFonts w:hint="default" w:ascii="Times New Roman" w:hAnsi="Times New Roman" w:cs="Times New Roman"/>
          <w:sz w:val="30"/>
          <w:szCs w:val="30"/>
          <w:highlight w:val="none"/>
          <w:lang w:val="en-US" w:eastAsia="zh-CN"/>
        </w:rPr>
      </w:pPr>
      <w:r>
        <w:rPr>
          <w:rFonts w:hint="default" w:ascii="Times New Roman" w:hAnsi="Times New Roman" w:cs="Times New Roman"/>
          <w:sz w:val="30"/>
          <w:szCs w:val="30"/>
          <w:highlight w:val="none"/>
          <w:lang w:val="en-US" w:eastAsia="zh-CN"/>
        </w:rPr>
        <w:t>（2）项目采购要求</w:t>
      </w:r>
    </w:p>
    <w:p w14:paraId="5F9088D3">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582" w:lineRule="exact"/>
        <w:ind w:right="0" w:rightChars="0" w:firstLine="630" w:firstLineChars="200"/>
        <w:jc w:val="left"/>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项目采购时，需填报采购申报单并报街道行政办公会议审议通过后，可开展采购工作。</w:t>
      </w:r>
    </w:p>
    <w:p w14:paraId="7A0B5D3E">
      <w:pPr>
        <w:pStyle w:val="35"/>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281" w:name="_Toc14781"/>
      <w:r>
        <w:rPr>
          <w:rFonts w:hint="default" w:ascii="Times New Roman" w:hAnsi="Times New Roman" w:cs="Times New Roman"/>
          <w:lang w:val="en-US" w:eastAsia="zh-CN"/>
        </w:rPr>
        <w:t>二、</w:t>
      </w:r>
      <w:bookmarkEnd w:id="276"/>
      <w:r>
        <w:rPr>
          <w:rFonts w:hint="default" w:ascii="Times New Roman" w:hAnsi="Times New Roman" w:cs="Times New Roman"/>
          <w:lang w:val="en-US" w:eastAsia="zh-CN"/>
        </w:rPr>
        <w:t>绩效评价工作开展情况</w:t>
      </w:r>
      <w:bookmarkEnd w:id="277"/>
      <w:bookmarkEnd w:id="278"/>
      <w:bookmarkEnd w:id="281"/>
    </w:p>
    <w:p w14:paraId="069ED48F">
      <w:pPr>
        <w:pStyle w:val="36"/>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282" w:name="_Toc32250"/>
      <w:bookmarkStart w:id="283" w:name="_Toc13545"/>
      <w:bookmarkStart w:id="284" w:name="_Toc21787"/>
      <w:r>
        <w:rPr>
          <w:rFonts w:hint="default" w:ascii="Times New Roman" w:hAnsi="Times New Roman" w:cs="Times New Roman"/>
          <w:lang w:val="en-US" w:eastAsia="zh-CN"/>
        </w:rPr>
        <w:t>（一）绩效评价目的、对象和范围</w:t>
      </w:r>
      <w:bookmarkEnd w:id="282"/>
      <w:bookmarkEnd w:id="283"/>
      <w:bookmarkEnd w:id="284"/>
    </w:p>
    <w:p w14:paraId="539567A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bookmarkStart w:id="285" w:name="_Toc23687"/>
      <w:r>
        <w:rPr>
          <w:rFonts w:hint="default" w:ascii="Times New Roman" w:hAnsi="Times New Roman" w:eastAsia="仿宋" w:cs="Times New Roman"/>
          <w:lang w:val="en-US" w:eastAsia="zh-CN"/>
        </w:rPr>
        <w:t>1.评价目的</w:t>
      </w:r>
    </w:p>
    <w:p w14:paraId="45F61434">
      <w:pPr>
        <w:keepNext w:val="0"/>
        <w:keepLines w:val="0"/>
        <w:pageBreakBefore w:val="0"/>
        <w:kinsoku/>
        <w:wordWrap/>
        <w:overflowPunct/>
        <w:topLinePunct w:val="0"/>
        <w:autoSpaceDE/>
        <w:autoSpaceDN/>
        <w:bidi w:val="0"/>
        <w:adjustRightInd/>
        <w:spacing w:line="579" w:lineRule="exact"/>
        <w:ind w:firstLine="64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通过分析项目立项情况、资金使用情况、项目实施情况、项目绩效表现情况，了解资金使用是否达到预期目标、资金管理是否规范、资金使用是否有效，检验资金支出效率和效果，分析存在问题及原因，及时总结经验，改进管理措施，不断增强和落实绩效管理责任，完善工作机制，有效提高资金管理水平和使用效益。</w:t>
      </w:r>
    </w:p>
    <w:p w14:paraId="473CAB3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2.评价对象及范围</w:t>
      </w:r>
    </w:p>
    <w:p w14:paraId="3A62D208">
      <w:pPr>
        <w:keepNext w:val="0"/>
        <w:keepLines w:val="0"/>
        <w:pageBreakBefore w:val="0"/>
        <w:kinsoku/>
        <w:wordWrap/>
        <w:overflowPunct/>
        <w:topLinePunct w:val="0"/>
        <w:autoSpaceDE/>
        <w:autoSpaceDN/>
        <w:bidi w:val="0"/>
        <w:adjustRightInd/>
        <w:spacing w:line="579" w:lineRule="exact"/>
        <w:ind w:firstLine="640"/>
        <w:textAlignment w:val="auto"/>
        <w:outlineLvl w:val="9"/>
        <w:rPr>
          <w:rFonts w:hint="default" w:ascii="Times New Roman" w:hAnsi="Times New Roman" w:eastAsia="仿宋" w:cs="Times New Roman"/>
          <w:kern w:val="30"/>
          <w:sz w:val="30"/>
          <w:szCs w:val="30"/>
          <w:lang w:val="en-US" w:eastAsia="zh-CN" w:bidi="ar-SA"/>
        </w:rPr>
      </w:pPr>
      <w:bookmarkStart w:id="286" w:name="_Toc11265"/>
      <w:bookmarkStart w:id="287" w:name="_Toc28767"/>
      <w:r>
        <w:rPr>
          <w:rFonts w:hint="default" w:ascii="Times New Roman" w:hAnsi="Times New Roman" w:eastAsia="仿宋" w:cs="Times New Roman"/>
          <w:kern w:val="30"/>
          <w:sz w:val="30"/>
          <w:szCs w:val="30"/>
          <w:lang w:val="en-US" w:eastAsia="zh-CN" w:bidi="ar-SA"/>
        </w:rPr>
        <w:t>本次评价对象为园林绿化维护专项经费项目，评价资金量538.97万元。评价的时间范围为202</w:t>
      </w:r>
      <w:r>
        <w:rPr>
          <w:rFonts w:hint="default" w:ascii="Times New Roman" w:hAnsi="Times New Roman" w:cs="Times New Roman"/>
          <w:kern w:val="30"/>
          <w:sz w:val="30"/>
          <w:szCs w:val="30"/>
          <w:lang w:val="en-US" w:eastAsia="zh-CN" w:bidi="ar-SA"/>
        </w:rPr>
        <w:t>3</w:t>
      </w:r>
      <w:r>
        <w:rPr>
          <w:rFonts w:hint="default" w:ascii="Times New Roman" w:hAnsi="Times New Roman" w:eastAsia="仿宋" w:cs="Times New Roman"/>
          <w:kern w:val="30"/>
          <w:sz w:val="30"/>
          <w:szCs w:val="30"/>
          <w:lang w:val="en-US" w:eastAsia="zh-CN" w:bidi="ar-SA"/>
        </w:rPr>
        <w:t>年1月1日—202</w:t>
      </w:r>
      <w:r>
        <w:rPr>
          <w:rFonts w:hint="default" w:ascii="Times New Roman" w:hAnsi="Times New Roman" w:cs="Times New Roman"/>
          <w:kern w:val="30"/>
          <w:sz w:val="30"/>
          <w:szCs w:val="30"/>
          <w:lang w:val="en-US" w:eastAsia="zh-CN" w:bidi="ar-SA"/>
        </w:rPr>
        <w:t>3</w:t>
      </w:r>
      <w:r>
        <w:rPr>
          <w:rFonts w:hint="default" w:ascii="Times New Roman" w:hAnsi="Times New Roman" w:eastAsia="仿宋" w:cs="Times New Roman"/>
          <w:kern w:val="30"/>
          <w:sz w:val="30"/>
          <w:szCs w:val="30"/>
          <w:lang w:val="en-US" w:eastAsia="zh-CN" w:bidi="ar-SA"/>
        </w:rPr>
        <w:t>年12月31日。</w:t>
      </w:r>
    </w:p>
    <w:p w14:paraId="1F158A2C">
      <w:pPr>
        <w:pStyle w:val="36"/>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288" w:name="_Toc28686"/>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w:t>
      </w:r>
      <w:r>
        <w:rPr>
          <w:rFonts w:hint="default" w:ascii="Times New Roman" w:hAnsi="Times New Roman" w:cs="Times New Roman"/>
          <w:lang w:val="en-US" w:eastAsia="zh-CN"/>
        </w:rPr>
        <w:t>绩效评价原则、评价指标体系和等级、评价方法、评价抽样</w:t>
      </w:r>
      <w:bookmarkEnd w:id="285"/>
      <w:bookmarkEnd w:id="286"/>
      <w:bookmarkEnd w:id="287"/>
      <w:bookmarkEnd w:id="288"/>
    </w:p>
    <w:p w14:paraId="44DF83D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1.绩效评价原则</w:t>
      </w:r>
    </w:p>
    <w:p w14:paraId="085F0AF0">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本次绩效评价严格遵循公平、客观、可行、公开的基本原则：</w:t>
      </w:r>
    </w:p>
    <w:p w14:paraId="67B4736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szCs w:val="30"/>
          <w:lang w:val="en-US" w:eastAsia="zh-CN"/>
        </w:rPr>
        <w:t>（1）公平性原则。坚持公平的原则客观真实地反映绩效评价结果，运用科学合理的方法，按照规范的程序，对项目绩效进行</w:t>
      </w:r>
      <w:r>
        <w:rPr>
          <w:rFonts w:hint="default" w:ascii="Times New Roman" w:hAnsi="Times New Roman" w:eastAsia="仿宋" w:cs="Times New Roman"/>
          <w:kern w:val="30"/>
          <w:sz w:val="30"/>
          <w:szCs w:val="30"/>
          <w:lang w:val="en-US" w:eastAsia="zh-CN" w:bidi="ar-SA"/>
        </w:rPr>
        <w:t>客观、公正地反映。</w:t>
      </w:r>
    </w:p>
    <w:p w14:paraId="7B740C8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（2）客观性原则。绩效评价过程中将考核标准与绩效目标进行紧密联系，采取公众评判法、成本分析法等方法，以事实为依据，以数据为基础，客观真实评价项目整体效益。</w:t>
      </w:r>
    </w:p>
    <w:p w14:paraId="332DE07D">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（3）可行性原则。绩效评价标准应客观反映被评价单位的履职情况，评价的数据来源应具备明确的收集渠道，绩效指标应具备可考核性，保证绩效评价工作的可操作性。</w:t>
      </w:r>
    </w:p>
    <w:p w14:paraId="503BFFE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（4）公开性原则。绩效评价过程中评价内容、评价标准、评价结果应对被评价单位公开，避免评价结论出现误判。</w:t>
      </w:r>
    </w:p>
    <w:p w14:paraId="592C3A5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2.绩效评价指标体系和等级</w:t>
      </w:r>
    </w:p>
    <w:p w14:paraId="623AF8C2">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bookmarkStart w:id="289" w:name="_Toc48250777"/>
      <w:bookmarkStart w:id="290" w:name="_Toc1625"/>
      <w:r>
        <w:rPr>
          <w:rFonts w:hint="default" w:ascii="Times New Roman" w:hAnsi="Times New Roman" w:eastAsia="仿宋" w:cs="Times New Roman"/>
          <w:lang w:val="en-US" w:eastAsia="zh-CN"/>
        </w:rPr>
        <w:t>根据《财政部关于印发〈预算绩效评价共性指标体系框架〉的通知》（财预〔2013〕53号）、《财政部关于印发〈项目支出绩效评价管理办法〉的通知》（财预〔2020〕10号）、《云南省财政厅关于印发〈云南省项目支出绩效评价管理办法〉的</w:t>
      </w:r>
      <w:r>
        <w:rPr>
          <w:rFonts w:hint="default" w:ascii="Times New Roman" w:hAnsi="Times New Roman" w:eastAsia="仿宋" w:cs="Times New Roman"/>
          <w:kern w:val="30"/>
          <w:sz w:val="30"/>
          <w:szCs w:val="30"/>
          <w:lang w:val="en-US" w:eastAsia="zh-CN" w:bidi="ar-SA"/>
        </w:rPr>
        <w:t>通知》（云财绩〔2020〕11号）等文件要求，按照绩效评价的基本原理、原则和项目特点，绩效评价工作组在绩效评价共性指标体系的基础上，结合项目实施内容，设置了针对本项目的指标体系及评价标准。</w:t>
      </w:r>
      <w:bookmarkEnd w:id="289"/>
      <w:bookmarkEnd w:id="290"/>
    </w:p>
    <w:p w14:paraId="206FA706">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评价指标体系包括决策、过程、产出和效益4个一级指标，下设1</w:t>
      </w:r>
      <w:r>
        <w:rPr>
          <w:rFonts w:hint="default" w:ascii="Times New Roman" w:hAnsi="Times New Roman" w:cs="Times New Roman"/>
          <w:kern w:val="30"/>
          <w:sz w:val="30"/>
          <w:szCs w:val="30"/>
          <w:lang w:val="en-US" w:eastAsia="zh-CN" w:bidi="ar-SA"/>
        </w:rPr>
        <w:t>0</w:t>
      </w:r>
      <w:r>
        <w:rPr>
          <w:rFonts w:hint="default" w:ascii="Times New Roman" w:hAnsi="Times New Roman" w:eastAsia="仿宋" w:cs="Times New Roman"/>
          <w:kern w:val="30"/>
          <w:sz w:val="30"/>
          <w:szCs w:val="30"/>
          <w:lang w:val="en-US" w:eastAsia="zh-CN" w:bidi="ar-SA"/>
        </w:rPr>
        <w:t>个二级指标和</w:t>
      </w:r>
      <w:r>
        <w:rPr>
          <w:rFonts w:hint="default" w:ascii="Times New Roman" w:hAnsi="Times New Roman" w:cs="Times New Roman"/>
          <w:kern w:val="30"/>
          <w:sz w:val="30"/>
          <w:szCs w:val="30"/>
          <w:lang w:val="en-US" w:eastAsia="zh-CN" w:bidi="ar-SA"/>
        </w:rPr>
        <w:t>20</w:t>
      </w:r>
      <w:r>
        <w:rPr>
          <w:rFonts w:hint="default" w:ascii="Times New Roman" w:hAnsi="Times New Roman" w:eastAsia="仿宋" w:cs="Times New Roman"/>
          <w:kern w:val="30"/>
          <w:sz w:val="30"/>
          <w:szCs w:val="30"/>
          <w:lang w:val="en-US" w:eastAsia="zh-CN" w:bidi="ar-SA"/>
        </w:rPr>
        <w:t>个三级指标。综合绩效评价总分值为100分，其中决策分值15分，过程分值20分，产出分值35分，效益分值30分。本次绩效评价结果共分为4个等级：综合得分在90</w:t>
      </w:r>
      <w:r>
        <w:rPr>
          <w:rFonts w:hint="eastAsia" w:ascii="Times New Roman" w:cs="Times New Roman"/>
          <w:kern w:val="30"/>
          <w:sz w:val="30"/>
          <w:szCs w:val="30"/>
          <w:lang w:val="en-US" w:eastAsia="zh-CN" w:bidi="ar-SA"/>
        </w:rPr>
        <w:t>—</w:t>
      </w:r>
      <w:r>
        <w:rPr>
          <w:rFonts w:hint="default" w:ascii="Times New Roman" w:hAnsi="Times New Roman" w:eastAsia="仿宋" w:cs="Times New Roman"/>
          <w:kern w:val="30"/>
          <w:sz w:val="30"/>
          <w:szCs w:val="30"/>
          <w:lang w:val="en-US" w:eastAsia="zh-CN" w:bidi="ar-SA"/>
        </w:rPr>
        <w:t>100分（含90分）为优；综合得分在80</w:t>
      </w:r>
      <w:r>
        <w:rPr>
          <w:rFonts w:hint="eastAsia" w:ascii="Times New Roman" w:cs="Times New Roman"/>
          <w:kern w:val="30"/>
          <w:sz w:val="30"/>
          <w:szCs w:val="30"/>
          <w:lang w:val="en-US" w:eastAsia="zh-CN" w:bidi="ar-SA"/>
        </w:rPr>
        <w:t>—</w:t>
      </w:r>
      <w:r>
        <w:rPr>
          <w:rFonts w:hint="default" w:ascii="Times New Roman" w:hAnsi="Times New Roman" w:eastAsia="仿宋" w:cs="Times New Roman"/>
          <w:kern w:val="30"/>
          <w:sz w:val="30"/>
          <w:szCs w:val="30"/>
          <w:lang w:val="en-US" w:eastAsia="zh-CN" w:bidi="ar-SA"/>
        </w:rPr>
        <w:t>89分（含80分）为良；综合得分在60</w:t>
      </w:r>
      <w:r>
        <w:rPr>
          <w:rFonts w:hint="eastAsia" w:ascii="Times New Roman" w:cs="Times New Roman"/>
          <w:kern w:val="30"/>
          <w:sz w:val="30"/>
          <w:szCs w:val="30"/>
          <w:lang w:val="en-US" w:eastAsia="zh-CN" w:bidi="ar-SA"/>
        </w:rPr>
        <w:t>—</w:t>
      </w:r>
      <w:r>
        <w:rPr>
          <w:rFonts w:hint="default" w:ascii="Times New Roman" w:hAnsi="Times New Roman" w:eastAsia="仿宋" w:cs="Times New Roman"/>
          <w:kern w:val="30"/>
          <w:sz w:val="30"/>
          <w:szCs w:val="30"/>
          <w:lang w:val="en-US" w:eastAsia="zh-CN" w:bidi="ar-SA"/>
        </w:rPr>
        <w:t>79分（含60分）为中；综合得分在60分以下为差。</w:t>
      </w:r>
    </w:p>
    <w:p w14:paraId="7603AD1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3.绩效评价方法</w:t>
      </w:r>
    </w:p>
    <w:p w14:paraId="52321B0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次绩效评价严格按照《财政部关于印发〈项目支出绩效评价管理办法〉的通知》（财预〔2020〕10号）、《云南省财政厅关于印发〈云南省项目支出绩效评价管理办法〉的通知》（云财绩〔2020〕11号）等文件规定，采用定量与定性相结合、审阅自评相结合，对收集的相关基础资料，在归集、整理、分析的基础上，选择比较法、因素分析法、公众评判法、专家评议等评价方法。</w:t>
      </w:r>
    </w:p>
    <w:p w14:paraId="4C256E1F">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（1）比较法。通过对绩效目标和实施效果、历史和当期情况、不同部门和地区同类支出的比较，综合分析其绩效目标的实现程度。</w:t>
      </w:r>
    </w:p>
    <w:p w14:paraId="4E44ED1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（2）因素分析法。通过综合分析影响项目资金支出绩效目标实现、实施效果的内外因素，评价项目绩效。</w:t>
      </w:r>
    </w:p>
    <w:p w14:paraId="25C5FC2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（3）公众评判法。通过专家评估、公众问卷及抽样调查等对财政支出效果进行评判，评价绩效目标实现程度。</w:t>
      </w:r>
    </w:p>
    <w:p w14:paraId="5CD4B341">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查问询证法和实地考察法。通过对项目采取书面材料检查、实地勘察、访谈等方式，对有关情况包括自评材料反映信息的真实性、准确性、全面性等进行深入具体、独立客观地了解与核实，形成书面及现场分析评价意见。</w:t>
      </w:r>
    </w:p>
    <w:p w14:paraId="3B8AF83C">
      <w:pPr>
        <w:pStyle w:val="36"/>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291" w:name="_Toc27181"/>
      <w:bookmarkStart w:id="292" w:name="_Toc28874"/>
      <w:bookmarkStart w:id="293" w:name="_Toc9467"/>
      <w:bookmarkStart w:id="294" w:name="_Toc14103"/>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w:t>
      </w:r>
      <w:r>
        <w:rPr>
          <w:rFonts w:hint="default" w:ascii="Times New Roman" w:hAnsi="Times New Roman" w:cs="Times New Roman"/>
          <w:lang w:val="en-US" w:eastAsia="zh-CN"/>
        </w:rPr>
        <w:t>绩效评价工作过程</w:t>
      </w:r>
      <w:bookmarkEnd w:id="291"/>
      <w:bookmarkEnd w:id="292"/>
      <w:bookmarkEnd w:id="293"/>
      <w:bookmarkEnd w:id="294"/>
    </w:p>
    <w:p w14:paraId="7713543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1.资料收集</w:t>
      </w:r>
    </w:p>
    <w:p w14:paraId="2827D39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池砾公司成立绩效评价工作组，了解并收集与绩效评价项目相关的文件、资料，为研究制定绩效评价工作方案做好前期准备。</w:t>
      </w:r>
    </w:p>
    <w:p w14:paraId="642E659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2.编制实施方案</w:t>
      </w:r>
    </w:p>
    <w:p w14:paraId="5A64904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结合项目资料设计绩效评价指标体系、调查问卷等工作底稿。</w:t>
      </w:r>
    </w:p>
    <w:p w14:paraId="63D121A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3.实施方案评审</w:t>
      </w:r>
    </w:p>
    <w:p w14:paraId="31EC9C0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由区财政局组织实施方案评审，形成方案修改意见，修改形成方案终稿。</w:t>
      </w:r>
    </w:p>
    <w:p w14:paraId="34F088F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4.实地调研</w:t>
      </w:r>
    </w:p>
    <w:p w14:paraId="6BA033A9">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根据项目分组安排，前往现场与相关部门对接并进行现场调研，包括资料核查、访谈、数据收集及问卷调查等工作。</w:t>
      </w:r>
    </w:p>
    <w:p w14:paraId="3DE6B22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5.撰写绩效评价报告</w:t>
      </w:r>
    </w:p>
    <w:p w14:paraId="369173B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分析资料，统计数据，根据相应标准，进行综合性评价，完成绩效评分，并形成评价结论；根据评价结论撰写绩效评价报告初稿。</w:t>
      </w:r>
    </w:p>
    <w:p w14:paraId="3E445DC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6.绩效评价报告评审</w:t>
      </w:r>
    </w:p>
    <w:p w14:paraId="5DB1AFF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由</w:t>
      </w:r>
      <w:r>
        <w:rPr>
          <w:rFonts w:hint="default" w:ascii="Times New Roman" w:hAnsi="Times New Roman" w:cs="Times New Roman"/>
          <w:color w:val="auto"/>
          <w:szCs w:val="30"/>
          <w:lang w:val="en-US" w:eastAsia="zh-CN"/>
        </w:rPr>
        <w:t>区</w:t>
      </w:r>
      <w:r>
        <w:rPr>
          <w:rFonts w:hint="default" w:ascii="Times New Roman" w:hAnsi="Times New Roman" w:eastAsia="仿宋" w:cs="Times New Roman"/>
          <w:color w:val="auto"/>
          <w:szCs w:val="30"/>
          <w:lang w:val="en-US" w:eastAsia="zh-CN"/>
        </w:rPr>
        <w:t>财政局组织绩效评价报告评审，形成报告修改意见；根据修改意见修改报告形成最终稿。</w:t>
      </w:r>
    </w:p>
    <w:p w14:paraId="662AC72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7.撰写绩效评价汇总报告</w:t>
      </w:r>
    </w:p>
    <w:p w14:paraId="23DE14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黑体" w:cs="Times New Roman"/>
          <w:szCs w:val="30"/>
          <w:lang w:val="en-US" w:eastAsia="zh-CN"/>
        </w:rPr>
      </w:pPr>
      <w:r>
        <w:rPr>
          <w:rFonts w:hint="default" w:ascii="Times New Roman" w:hAnsi="Times New Roman" w:cs="Times New Roman"/>
          <w:szCs w:val="30"/>
          <w:lang w:val="en-US" w:eastAsia="zh-CN"/>
        </w:rPr>
        <w:t>根据各项目绩效评价结果撰写绩效评价汇总报告。</w:t>
      </w:r>
      <w:bookmarkEnd w:id="279"/>
      <w:bookmarkEnd w:id="280"/>
    </w:p>
    <w:p w14:paraId="0595A9C5">
      <w:pPr>
        <w:pStyle w:val="35"/>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295" w:name="_Toc19992"/>
      <w:r>
        <w:rPr>
          <w:rFonts w:hint="default" w:ascii="Times New Roman" w:hAnsi="Times New Roman" w:cs="Times New Roman"/>
          <w:lang w:val="en-US" w:eastAsia="zh-CN"/>
        </w:rPr>
        <w:t>三、绩效评价结论</w:t>
      </w:r>
      <w:bookmarkEnd w:id="295"/>
    </w:p>
    <w:p w14:paraId="37A61746">
      <w:pPr>
        <w:pStyle w:val="36"/>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296" w:name="_Toc12170"/>
      <w:r>
        <w:rPr>
          <w:rFonts w:hint="default" w:ascii="Times New Roman" w:hAnsi="Times New Roman" w:cs="Times New Roman"/>
        </w:rPr>
        <w:t>（一）</w:t>
      </w:r>
      <w:r>
        <w:rPr>
          <w:rFonts w:hint="default" w:ascii="Times New Roman" w:hAnsi="Times New Roman" w:cs="Times New Roman"/>
          <w:shd w:val="clear" w:fill="auto"/>
          <w:lang w:eastAsia="zh-CN"/>
        </w:rPr>
        <w:t>绩效评价</w:t>
      </w:r>
      <w:r>
        <w:rPr>
          <w:rFonts w:hint="default" w:ascii="Times New Roman" w:hAnsi="Times New Roman" w:cs="Times New Roman"/>
          <w:shd w:val="clear" w:fill="auto"/>
        </w:rPr>
        <w:t>综合</w:t>
      </w:r>
      <w:r>
        <w:rPr>
          <w:rFonts w:hint="default" w:ascii="Times New Roman" w:hAnsi="Times New Roman" w:cs="Times New Roman"/>
        </w:rPr>
        <w:t>结论</w:t>
      </w:r>
      <w:bookmarkEnd w:id="296"/>
    </w:p>
    <w:p w14:paraId="0B67F5DB">
      <w:pPr>
        <w:spacing w:line="579" w:lineRule="exact"/>
        <w:ind w:firstLine="630" w:firstLineChars="200"/>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园林绿化维护专项经费项目绩效评价得分8</w:t>
      </w:r>
      <w:r>
        <w:rPr>
          <w:rFonts w:hint="eastAsia" w:ascii="Times New Roman" w:cs="Times New Roman"/>
          <w:kern w:val="30"/>
          <w:sz w:val="30"/>
          <w:szCs w:val="30"/>
          <w:lang w:val="en-US" w:eastAsia="zh-CN" w:bidi="ar-SA"/>
        </w:rPr>
        <w:t>7</w:t>
      </w:r>
      <w:r>
        <w:rPr>
          <w:rFonts w:hint="default" w:ascii="Times New Roman" w:hAnsi="Times New Roman" w:eastAsia="仿宋" w:cs="Times New Roman"/>
          <w:kern w:val="30"/>
          <w:sz w:val="30"/>
          <w:szCs w:val="30"/>
          <w:lang w:val="en-US" w:eastAsia="zh-CN" w:bidi="ar-SA"/>
        </w:rPr>
        <w:t>.64</w:t>
      </w:r>
      <w:r>
        <w:rPr>
          <w:rFonts w:hint="default" w:ascii="Times New Roman" w:hAnsi="Times New Roman" w:eastAsia="仿宋" w:cs="Times New Roman"/>
          <w:kern w:val="30"/>
          <w:sz w:val="30"/>
          <w:szCs w:val="30"/>
          <w:highlight w:val="none"/>
          <w:shd w:val="clear"/>
          <w:lang w:val="en-US" w:eastAsia="zh-CN" w:bidi="ar-SA"/>
        </w:rPr>
        <w:t>分，</w:t>
      </w:r>
      <w:r>
        <w:rPr>
          <w:rFonts w:hint="default" w:ascii="Times New Roman" w:hAnsi="Times New Roman" w:eastAsia="仿宋" w:cs="Times New Roman"/>
          <w:kern w:val="30"/>
          <w:sz w:val="30"/>
          <w:szCs w:val="30"/>
          <w:lang w:val="en-US" w:eastAsia="zh-CN" w:bidi="ar-SA"/>
        </w:rPr>
        <w:t>评价等级为</w:t>
      </w:r>
      <w:r>
        <w:rPr>
          <w:rFonts w:hint="default" w:ascii="Times New Roman" w:hAnsi="Times New Roman" w:cs="Times New Roman"/>
          <w:kern w:val="30"/>
          <w:sz w:val="30"/>
          <w:szCs w:val="30"/>
          <w:lang w:val="en-US" w:eastAsia="zh-CN" w:bidi="ar-SA"/>
        </w:rPr>
        <w:t>“良”</w:t>
      </w:r>
      <w:r>
        <w:rPr>
          <w:rFonts w:hint="default" w:ascii="Times New Roman" w:hAnsi="Times New Roman" w:eastAsia="仿宋" w:cs="Times New Roman"/>
          <w:kern w:val="30"/>
          <w:sz w:val="30"/>
          <w:szCs w:val="30"/>
          <w:lang w:val="en-US" w:eastAsia="zh-CN" w:bidi="ar-SA"/>
        </w:rPr>
        <w:t>。一级指标具体得分情况详见下表：</w:t>
      </w:r>
    </w:p>
    <w:p w14:paraId="15188C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eastAsia="黑体" w:cs="Times New Roman"/>
          <w:b w:val="0"/>
          <w:bCs/>
          <w:sz w:val="24"/>
          <w:szCs w:val="24"/>
          <w:lang w:val="en-US" w:eastAsia="zh-CN"/>
        </w:rPr>
        <w:t xml:space="preserve">表6 </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2124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512FD9C7">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45AAA8A5">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6E4FA064">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4C6B9111">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454C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1157DD6D">
            <w:pPr>
              <w:snapToGrid w:val="0"/>
              <w:jc w:val="center"/>
              <w:rPr>
                <w:rFonts w:hint="default" w:ascii="Times New Roman" w:hAnsi="Times New Roman" w:eastAsia="仿宋"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2749AB71">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15</w:t>
            </w:r>
            <w:r>
              <w:rPr>
                <w:rFonts w:hint="eastAsia" w:ascii="Times New Roman" w:cs="Times New Roman"/>
                <w:bCs/>
                <w:spacing w:val="6"/>
                <w:sz w:val="21"/>
                <w:lang w:val="en-US" w:eastAsia="zh-CN"/>
              </w:rPr>
              <w:t>.00</w:t>
            </w:r>
          </w:p>
        </w:tc>
        <w:tc>
          <w:tcPr>
            <w:tcW w:w="2211" w:type="dxa"/>
            <w:vAlign w:val="center"/>
          </w:tcPr>
          <w:p w14:paraId="6BA64564">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w:t>
            </w:r>
            <w:r>
              <w:rPr>
                <w:rFonts w:hint="eastAsia" w:ascii="Times New Roman" w:cs="Times New Roman"/>
                <w:bCs/>
                <w:spacing w:val="6"/>
                <w:sz w:val="21"/>
                <w:lang w:val="en-US" w:eastAsia="zh-CN"/>
              </w:rPr>
              <w:t>3.00</w:t>
            </w:r>
          </w:p>
        </w:tc>
        <w:tc>
          <w:tcPr>
            <w:tcW w:w="2211" w:type="dxa"/>
            <w:vAlign w:val="center"/>
          </w:tcPr>
          <w:p w14:paraId="4D68A363">
            <w:pPr>
              <w:snapToGrid w:val="0"/>
              <w:jc w:val="center"/>
              <w:rPr>
                <w:rFonts w:hint="default" w:ascii="Times New Roman" w:hAnsi="Times New Roman" w:cs="Times New Roman"/>
                <w:bCs/>
                <w:spacing w:val="6"/>
                <w:sz w:val="21"/>
                <w:lang w:val="en-US" w:eastAsia="zh-CN"/>
              </w:rPr>
            </w:pPr>
            <w:r>
              <w:rPr>
                <w:rFonts w:hint="eastAsia" w:ascii="Times New Roman" w:cs="Times New Roman"/>
                <w:bCs/>
                <w:spacing w:val="6"/>
                <w:sz w:val="21"/>
                <w:lang w:val="en-US" w:eastAsia="zh-CN"/>
              </w:rPr>
              <w:t>86.67</w:t>
            </w:r>
            <w:r>
              <w:rPr>
                <w:rFonts w:hint="default" w:ascii="Times New Roman" w:hAnsi="Times New Roman" w:cs="Times New Roman"/>
                <w:bCs/>
                <w:spacing w:val="6"/>
                <w:sz w:val="21"/>
                <w:lang w:val="en-US" w:eastAsia="zh-CN"/>
              </w:rPr>
              <w:t>%</w:t>
            </w:r>
          </w:p>
        </w:tc>
      </w:tr>
      <w:tr w14:paraId="225C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21D7B9DB">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67B0B7F1">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20</w:t>
            </w:r>
            <w:r>
              <w:rPr>
                <w:rFonts w:hint="eastAsia" w:ascii="Times New Roman" w:cs="Times New Roman"/>
                <w:bCs/>
                <w:spacing w:val="6"/>
                <w:sz w:val="21"/>
                <w:lang w:val="en-US" w:eastAsia="zh-CN"/>
              </w:rPr>
              <w:t>.00</w:t>
            </w:r>
          </w:p>
        </w:tc>
        <w:tc>
          <w:tcPr>
            <w:tcW w:w="2211" w:type="dxa"/>
            <w:vAlign w:val="center"/>
          </w:tcPr>
          <w:p w14:paraId="0FA8C90C">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18.64</w:t>
            </w:r>
          </w:p>
        </w:tc>
        <w:tc>
          <w:tcPr>
            <w:tcW w:w="2211" w:type="dxa"/>
            <w:vAlign w:val="center"/>
          </w:tcPr>
          <w:p w14:paraId="5A5F192E">
            <w:pPr>
              <w:snapToGrid w:val="0"/>
              <w:jc w:val="center"/>
              <w:rPr>
                <w:rFonts w:hint="default" w:ascii="Times New Roman" w:hAnsi="Times New Roman" w:cs="Times New Roman"/>
                <w:bCs/>
                <w:spacing w:val="6"/>
                <w:sz w:val="21"/>
                <w:lang w:val="en-US" w:eastAsia="zh-CN"/>
              </w:rPr>
            </w:pPr>
            <w:r>
              <w:rPr>
                <w:rFonts w:hint="eastAsia" w:ascii="Times New Roman" w:cs="Times New Roman"/>
                <w:bCs/>
                <w:spacing w:val="6"/>
                <w:sz w:val="21"/>
                <w:lang w:val="en-US" w:eastAsia="zh-CN"/>
              </w:rPr>
              <w:t>93.33</w:t>
            </w:r>
            <w:r>
              <w:rPr>
                <w:rFonts w:hint="default" w:ascii="Times New Roman" w:hAnsi="Times New Roman" w:cs="Times New Roman"/>
                <w:bCs/>
                <w:spacing w:val="6"/>
                <w:sz w:val="21"/>
                <w:lang w:val="en-US" w:eastAsia="zh-CN"/>
              </w:rPr>
              <w:t>%</w:t>
            </w:r>
          </w:p>
        </w:tc>
      </w:tr>
      <w:tr w14:paraId="04BE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2D9807EE">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30030A94">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35</w:t>
            </w:r>
            <w:r>
              <w:rPr>
                <w:rFonts w:hint="eastAsia" w:ascii="Times New Roman" w:cs="Times New Roman"/>
                <w:bCs/>
                <w:spacing w:val="6"/>
                <w:sz w:val="21"/>
                <w:lang w:val="en-US" w:eastAsia="zh-CN"/>
              </w:rPr>
              <w:t>.00</w:t>
            </w:r>
          </w:p>
        </w:tc>
        <w:tc>
          <w:tcPr>
            <w:tcW w:w="2211" w:type="dxa"/>
            <w:vAlign w:val="center"/>
          </w:tcPr>
          <w:p w14:paraId="4E04C5D1">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29</w:t>
            </w:r>
            <w:r>
              <w:rPr>
                <w:rFonts w:hint="eastAsia" w:ascii="Times New Roman" w:cs="Times New Roman"/>
                <w:bCs/>
                <w:spacing w:val="6"/>
                <w:sz w:val="21"/>
                <w:lang w:val="en-US" w:eastAsia="zh-CN"/>
              </w:rPr>
              <w:t>.00</w:t>
            </w:r>
          </w:p>
        </w:tc>
        <w:tc>
          <w:tcPr>
            <w:tcW w:w="2211" w:type="dxa"/>
            <w:vAlign w:val="center"/>
          </w:tcPr>
          <w:p w14:paraId="3EA777A5">
            <w:pPr>
              <w:snapToGrid w:val="0"/>
              <w:jc w:val="center"/>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82.86%</w:t>
            </w:r>
          </w:p>
        </w:tc>
      </w:tr>
      <w:tr w14:paraId="2CC1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28C48FB">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效果</w:t>
            </w:r>
          </w:p>
        </w:tc>
        <w:tc>
          <w:tcPr>
            <w:tcW w:w="2211" w:type="dxa"/>
            <w:vAlign w:val="center"/>
          </w:tcPr>
          <w:p w14:paraId="2408C1D0">
            <w:pPr>
              <w:snapToGrid w:val="0"/>
              <w:jc w:val="center"/>
              <w:rPr>
                <w:rFonts w:hint="default" w:ascii="Times New Roman" w:hAnsi="Times New Roman" w:cs="Times New Roman"/>
                <w:bCs/>
                <w:spacing w:val="6"/>
                <w:sz w:val="21"/>
              </w:rPr>
            </w:pPr>
            <w:r>
              <w:rPr>
                <w:rFonts w:hint="default" w:ascii="Times New Roman" w:hAnsi="Times New Roman" w:cs="Times New Roman"/>
                <w:bCs/>
                <w:spacing w:val="6"/>
                <w:sz w:val="21"/>
              </w:rPr>
              <w:t>30</w:t>
            </w:r>
            <w:r>
              <w:rPr>
                <w:rFonts w:hint="eastAsia" w:ascii="Times New Roman" w:cs="Times New Roman"/>
                <w:bCs/>
                <w:spacing w:val="6"/>
                <w:sz w:val="21"/>
                <w:lang w:val="en-US" w:eastAsia="zh-CN"/>
              </w:rPr>
              <w:t>.00</w:t>
            </w:r>
          </w:p>
        </w:tc>
        <w:tc>
          <w:tcPr>
            <w:tcW w:w="2211" w:type="dxa"/>
            <w:vAlign w:val="center"/>
          </w:tcPr>
          <w:p w14:paraId="768E65DE">
            <w:pPr>
              <w:snapToGrid w:val="0"/>
              <w:jc w:val="center"/>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27</w:t>
            </w:r>
            <w:r>
              <w:rPr>
                <w:rFonts w:hint="eastAsia" w:ascii="Times New Roman" w:cs="Times New Roman"/>
                <w:bCs/>
                <w:spacing w:val="6"/>
                <w:sz w:val="21"/>
                <w:lang w:val="en-US" w:eastAsia="zh-CN"/>
              </w:rPr>
              <w:t>.00</w:t>
            </w:r>
          </w:p>
        </w:tc>
        <w:tc>
          <w:tcPr>
            <w:tcW w:w="2211" w:type="dxa"/>
            <w:vAlign w:val="center"/>
          </w:tcPr>
          <w:p w14:paraId="6CF3F8D3">
            <w:pPr>
              <w:snapToGrid w:val="0"/>
              <w:jc w:val="center"/>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90.00%</w:t>
            </w:r>
          </w:p>
        </w:tc>
      </w:tr>
      <w:tr w14:paraId="74D6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5FE4E193">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合 计</w:t>
            </w:r>
          </w:p>
        </w:tc>
        <w:tc>
          <w:tcPr>
            <w:tcW w:w="2211" w:type="dxa"/>
            <w:vAlign w:val="center"/>
          </w:tcPr>
          <w:p w14:paraId="75302A97">
            <w:pPr>
              <w:snapToGrid w:val="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100</w:t>
            </w:r>
            <w:r>
              <w:rPr>
                <w:rFonts w:hint="eastAsia" w:ascii="Times New Roman" w:cs="Times New Roman"/>
                <w:b/>
                <w:bCs/>
                <w:spacing w:val="6"/>
                <w:sz w:val="21"/>
                <w:lang w:val="en-US" w:eastAsia="zh-CN"/>
              </w:rPr>
              <w:t>.00</w:t>
            </w:r>
          </w:p>
        </w:tc>
        <w:tc>
          <w:tcPr>
            <w:tcW w:w="2211" w:type="dxa"/>
            <w:vAlign w:val="center"/>
          </w:tcPr>
          <w:p w14:paraId="152938B3">
            <w:pPr>
              <w:snapToGrid w:val="0"/>
              <w:jc w:val="center"/>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8</w:t>
            </w:r>
            <w:r>
              <w:rPr>
                <w:rFonts w:hint="eastAsia" w:ascii="Times New Roman" w:cs="Times New Roman"/>
                <w:b/>
                <w:bCs/>
                <w:spacing w:val="6"/>
                <w:sz w:val="21"/>
                <w:lang w:val="en-US" w:eastAsia="zh-CN"/>
              </w:rPr>
              <w:t>7</w:t>
            </w:r>
            <w:r>
              <w:rPr>
                <w:rFonts w:hint="default" w:ascii="Times New Roman" w:hAnsi="Times New Roman" w:cs="Times New Roman"/>
                <w:b/>
                <w:bCs/>
                <w:spacing w:val="6"/>
                <w:sz w:val="21"/>
                <w:lang w:val="en-US" w:eastAsia="zh-CN"/>
              </w:rPr>
              <w:t>.64</w:t>
            </w:r>
          </w:p>
        </w:tc>
        <w:tc>
          <w:tcPr>
            <w:tcW w:w="2211" w:type="dxa"/>
            <w:vAlign w:val="center"/>
          </w:tcPr>
          <w:p w14:paraId="73992EE1">
            <w:pPr>
              <w:snapToGrid w:val="0"/>
              <w:jc w:val="center"/>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8</w:t>
            </w:r>
            <w:r>
              <w:rPr>
                <w:rFonts w:hint="eastAsia" w:ascii="Times New Roman" w:cs="Times New Roman"/>
                <w:b/>
                <w:bCs/>
                <w:spacing w:val="6"/>
                <w:sz w:val="21"/>
                <w:lang w:val="en-US" w:eastAsia="zh-CN"/>
              </w:rPr>
              <w:t>7</w:t>
            </w:r>
            <w:r>
              <w:rPr>
                <w:rFonts w:hint="default" w:ascii="Times New Roman" w:hAnsi="Times New Roman" w:cs="Times New Roman"/>
                <w:b/>
                <w:bCs/>
                <w:spacing w:val="6"/>
                <w:sz w:val="21"/>
                <w:lang w:val="en-US" w:eastAsia="zh-CN"/>
              </w:rPr>
              <w:t>.64%</w:t>
            </w:r>
          </w:p>
        </w:tc>
      </w:tr>
    </w:tbl>
    <w:p w14:paraId="15F9FCA2">
      <w:pPr>
        <w:spacing w:line="579" w:lineRule="exact"/>
        <w:ind w:firstLine="630" w:firstLineChars="200"/>
        <w:rPr>
          <w:rFonts w:hint="default" w:ascii="Times New Roman" w:hAnsi="Times New Roman" w:eastAsia="仿宋" w:cs="Times New Roman"/>
          <w:bCs/>
          <w:szCs w:val="30"/>
          <w:lang w:val="en-US" w:eastAsia="zh-CN"/>
        </w:rPr>
      </w:pPr>
      <w:r>
        <w:rPr>
          <w:rFonts w:hint="eastAsia"/>
          <w:lang w:val="en-US" w:eastAsia="zh-CN"/>
        </w:rPr>
        <w:t>总体来说，园林绿化维护专项经费项目</w:t>
      </w:r>
      <w:r>
        <w:rPr>
          <w:rFonts w:hint="default" w:ascii="Times New Roman" w:hAnsi="Times New Roman" w:cs="Times New Roman"/>
          <w:szCs w:val="30"/>
        </w:rPr>
        <w:t>立项依据充分、立项程序规范，内容完善</w:t>
      </w:r>
      <w:r>
        <w:rPr>
          <w:rFonts w:hint="default" w:ascii="Times New Roman" w:hAnsi="Times New Roman" w:cs="Times New Roman"/>
          <w:szCs w:val="30"/>
          <w:lang w:eastAsia="zh-CN"/>
        </w:rPr>
        <w:t>，</w:t>
      </w:r>
      <w:r>
        <w:rPr>
          <w:rFonts w:hint="default" w:ascii="Times New Roman" w:hAnsi="Times New Roman" w:cs="Times New Roman"/>
          <w:szCs w:val="30"/>
          <w:lang w:val="en-US" w:eastAsia="zh-CN"/>
        </w:rPr>
        <w:t>绩效目标明确，项目实施方案及财务管理制度健全，项目实施效果良好，但是项目的预算编制不够科学，从现场来看，</w:t>
      </w:r>
      <w:r>
        <w:rPr>
          <w:rFonts w:hint="eastAsia" w:ascii="Times New Roman" w:cs="Times New Roman"/>
          <w:szCs w:val="30"/>
          <w:lang w:val="en-US" w:eastAsia="zh-CN"/>
        </w:rPr>
        <w:t>由于成本控制不够科学，导致</w:t>
      </w:r>
      <w:r>
        <w:rPr>
          <w:rFonts w:hint="default" w:ascii="Times New Roman" w:hAnsi="Times New Roman" w:cs="Times New Roman"/>
          <w:szCs w:val="30"/>
          <w:lang w:val="en-US" w:eastAsia="zh-CN"/>
        </w:rPr>
        <w:t>海口街道的绿化</w:t>
      </w:r>
      <w:r>
        <w:rPr>
          <w:rFonts w:hint="eastAsia" w:ascii="Times New Roman" w:cs="Times New Roman"/>
          <w:szCs w:val="30"/>
          <w:lang w:val="en-US" w:eastAsia="zh-CN"/>
        </w:rPr>
        <w:t>目前缺乏</w:t>
      </w:r>
      <w:r>
        <w:rPr>
          <w:rFonts w:hint="default" w:ascii="Times New Roman" w:hAnsi="Times New Roman" w:cs="Times New Roman"/>
          <w:szCs w:val="30"/>
          <w:lang w:val="en-US" w:eastAsia="zh-CN"/>
        </w:rPr>
        <w:t>养护，</w:t>
      </w:r>
      <w:r>
        <w:rPr>
          <w:rFonts w:hint="eastAsia" w:ascii="Times New Roman" w:cs="Times New Roman"/>
          <w:szCs w:val="30"/>
          <w:lang w:val="en-US" w:eastAsia="zh-CN"/>
        </w:rPr>
        <w:t>出现部分苗木死亡以及</w:t>
      </w:r>
      <w:r>
        <w:rPr>
          <w:rFonts w:hint="default" w:ascii="Times New Roman" w:hAnsi="Times New Roman" w:cs="Times New Roman"/>
          <w:szCs w:val="30"/>
          <w:lang w:val="en-US" w:eastAsia="zh-CN"/>
        </w:rPr>
        <w:t>影响居民生活</w:t>
      </w:r>
      <w:r>
        <w:rPr>
          <w:rFonts w:hint="eastAsia" w:ascii="Times New Roman" w:cs="Times New Roman"/>
          <w:szCs w:val="30"/>
          <w:lang w:val="en-US" w:eastAsia="zh-CN"/>
        </w:rPr>
        <w:t>的情况</w:t>
      </w:r>
      <w:r>
        <w:rPr>
          <w:rFonts w:hint="default" w:ascii="Times New Roman" w:hAnsi="Times New Roman" w:cs="Times New Roman"/>
          <w:szCs w:val="30"/>
          <w:lang w:val="en-US" w:eastAsia="zh-CN"/>
        </w:rPr>
        <w:t>。</w:t>
      </w:r>
    </w:p>
    <w:p w14:paraId="6800FBA3">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297" w:name="_Toc6024"/>
      <w:r>
        <w:rPr>
          <w:rFonts w:hint="default" w:ascii="Times New Roman" w:hAnsi="Times New Roman" w:cs="Times New Roman"/>
        </w:rPr>
        <w:t>（二）绩效目标实现情</w:t>
      </w:r>
      <w:r>
        <w:rPr>
          <w:rFonts w:hint="default" w:ascii="Times New Roman" w:hAnsi="Times New Roman" w:cs="Times New Roman"/>
          <w:lang w:val="en-US" w:eastAsia="zh-CN"/>
        </w:rPr>
        <w:t>况</w:t>
      </w:r>
      <w:bookmarkEnd w:id="297"/>
    </w:p>
    <w:p w14:paraId="3154A4DF">
      <w:pPr>
        <w:ind w:firstLine="631"/>
        <w:jc w:val="left"/>
        <w:rPr>
          <w:rFonts w:hint="default" w:ascii="Times New Roman" w:hAnsi="Times New Roman" w:cs="Times New Roman"/>
          <w:szCs w:val="30"/>
          <w:highlight w:val="none"/>
          <w:lang w:bidi="ar"/>
        </w:rPr>
      </w:pPr>
      <w:bookmarkStart w:id="298" w:name="_Hlk525314457"/>
      <w:r>
        <w:rPr>
          <w:rFonts w:hint="default" w:ascii="Times New Roman" w:hAnsi="Times New Roman" w:cs="Times New Roman"/>
          <w:szCs w:val="30"/>
          <w:highlight w:val="none"/>
          <w:lang w:val="en-US" w:eastAsia="zh-CN" w:bidi="ar"/>
        </w:rPr>
        <w:t>根据本次绩效评价情况，</w:t>
      </w:r>
      <w:r>
        <w:rPr>
          <w:rFonts w:hint="eastAsia"/>
          <w:lang w:val="en-US" w:eastAsia="zh-CN"/>
        </w:rPr>
        <w:t xml:space="preserve"> 园林绿化维护专项经费项目</w:t>
      </w:r>
      <w:r>
        <w:rPr>
          <w:rFonts w:hint="eastAsia" w:ascii="Times New Roman" w:cs="Times New Roman"/>
          <w:szCs w:val="30"/>
          <w:highlight w:val="none"/>
          <w:lang w:val="en-US" w:eastAsia="zh-CN"/>
        </w:rPr>
        <w:t>10</w:t>
      </w:r>
      <w:r>
        <w:rPr>
          <w:rFonts w:hint="default" w:ascii="Times New Roman" w:hAnsi="Times New Roman" w:cs="Times New Roman"/>
          <w:szCs w:val="30"/>
          <w:highlight w:val="none"/>
          <w:lang w:bidi="ar"/>
        </w:rPr>
        <w:t>个具体绩效指标中，</w:t>
      </w:r>
      <w:r>
        <w:rPr>
          <w:rFonts w:hint="default" w:ascii="Times New Roman" w:hAnsi="Times New Roman" w:cs="Times New Roman"/>
          <w:szCs w:val="30"/>
          <w:highlight w:val="none"/>
          <w:lang w:val="en-US" w:eastAsia="zh-CN" w:bidi="ar"/>
        </w:rPr>
        <w:t>7</w:t>
      </w:r>
      <w:r>
        <w:rPr>
          <w:rFonts w:hint="default" w:ascii="Times New Roman" w:hAnsi="Times New Roman" w:cs="Times New Roman"/>
          <w:szCs w:val="30"/>
          <w:highlight w:val="none"/>
          <w:lang w:bidi="ar"/>
        </w:rPr>
        <w:t>项实现了预期目标，</w:t>
      </w:r>
      <w:r>
        <w:rPr>
          <w:rFonts w:hint="eastAsia" w:ascii="Times New Roman" w:cs="Times New Roman"/>
          <w:szCs w:val="30"/>
          <w:highlight w:val="none"/>
          <w:lang w:val="en-US" w:eastAsia="zh-CN" w:bidi="ar"/>
        </w:rPr>
        <w:t>3</w:t>
      </w:r>
      <w:r>
        <w:rPr>
          <w:rFonts w:hint="default" w:ascii="Times New Roman" w:hAnsi="Times New Roman" w:cs="Times New Roman"/>
          <w:szCs w:val="30"/>
          <w:highlight w:val="none"/>
          <w:lang w:bidi="ar"/>
        </w:rPr>
        <w:t>项部分实现了预期目标</w:t>
      </w:r>
      <w:r>
        <w:rPr>
          <w:rFonts w:hint="default" w:ascii="Times New Roman" w:hAnsi="Times New Roman" w:cs="Times New Roman"/>
          <w:szCs w:val="30"/>
          <w:highlight w:val="none"/>
          <w:lang w:eastAsia="zh-CN" w:bidi="ar"/>
        </w:rPr>
        <w:t>。</w:t>
      </w:r>
      <w:r>
        <w:rPr>
          <w:rFonts w:hint="default" w:ascii="Times New Roman" w:hAnsi="Times New Roman" w:cs="Times New Roman"/>
          <w:szCs w:val="30"/>
          <w:highlight w:val="none"/>
        </w:rPr>
        <w:t>本项目</w:t>
      </w:r>
      <w:r>
        <w:rPr>
          <w:rFonts w:hint="default" w:ascii="Times New Roman" w:hAnsi="Times New Roman" w:cs="Times New Roman"/>
          <w:szCs w:val="30"/>
          <w:highlight w:val="none"/>
          <w:lang w:bidi="ar"/>
        </w:rPr>
        <w:t>绩效指标总体实现情况良好，基本实现了</w:t>
      </w:r>
      <w:r>
        <w:rPr>
          <w:rFonts w:hint="eastAsia"/>
          <w:lang w:val="en-US" w:eastAsia="zh-CN"/>
        </w:rPr>
        <w:t>园林绿化维护专项经费项目</w:t>
      </w:r>
      <w:r>
        <w:rPr>
          <w:rFonts w:hint="default" w:ascii="Times New Roman" w:hAnsi="Times New Roman" w:cs="Times New Roman"/>
          <w:szCs w:val="30"/>
          <w:highlight w:val="none"/>
          <w:lang w:bidi="ar"/>
        </w:rPr>
        <w:t>的绩效目标，各指标完成情况详见</w:t>
      </w:r>
      <w:r>
        <w:rPr>
          <w:rFonts w:hint="eastAsia" w:ascii="Times New Roman" w:cs="Times New Roman"/>
          <w:szCs w:val="30"/>
          <w:highlight w:val="none"/>
          <w:lang w:val="en-US" w:eastAsia="zh-CN" w:bidi="ar"/>
        </w:rPr>
        <w:t>下表</w:t>
      </w:r>
      <w:r>
        <w:rPr>
          <w:rFonts w:hint="default" w:ascii="Times New Roman" w:hAnsi="Times New Roman" w:cs="Times New Roman"/>
          <w:szCs w:val="30"/>
          <w:highlight w:val="none"/>
          <w:lang w:bidi="ar"/>
        </w:rPr>
        <w:t>。</w:t>
      </w:r>
    </w:p>
    <w:p w14:paraId="07CFA2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eastAsia="黑体" w:cs="Times New Roman"/>
          <w:b w:val="0"/>
          <w:bCs/>
          <w:sz w:val="24"/>
          <w:szCs w:val="24"/>
          <w:lang w:val="en-US" w:eastAsia="zh-CN"/>
        </w:rPr>
        <w:t xml:space="preserve">表7 </w:t>
      </w:r>
      <w:r>
        <w:rPr>
          <w:rFonts w:hint="default" w:ascii="Times New Roman" w:hAnsi="Times New Roman" w:eastAsia="黑体" w:cs="Times New Roman"/>
          <w:b w:val="0"/>
          <w:bCs/>
          <w:sz w:val="24"/>
          <w:szCs w:val="24"/>
        </w:rPr>
        <w:t>绩效指标完成情况表</w:t>
      </w:r>
    </w:p>
    <w:bookmarkEnd w:id="298"/>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826"/>
        <w:gridCol w:w="1335"/>
        <w:gridCol w:w="1005"/>
        <w:gridCol w:w="1155"/>
        <w:gridCol w:w="3812"/>
      </w:tblGrid>
      <w:tr w14:paraId="1D74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17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E50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绩效指标名称</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B89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指标值</w:t>
            </w:r>
          </w:p>
        </w:tc>
        <w:tc>
          <w:tcPr>
            <w:tcW w:w="6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CB3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指标实现情况</w:t>
            </w:r>
          </w:p>
        </w:tc>
        <w:tc>
          <w:tcPr>
            <w:tcW w:w="21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F4D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完成情况说明</w:t>
            </w:r>
          </w:p>
        </w:tc>
      </w:tr>
      <w:tr w14:paraId="4C80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C0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一级指标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A1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894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三级指标</w:t>
            </w: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902E">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u w:val="none"/>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38AC">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u w:val="none"/>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24433">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u w:val="none"/>
              </w:rPr>
            </w:pPr>
          </w:p>
        </w:tc>
      </w:tr>
      <w:tr w14:paraId="7B7F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8CB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产出（35分）</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D7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产出数量</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AB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rPr>
            </w:pPr>
            <w:r>
              <w:rPr>
                <w:rFonts w:hint="default" w:ascii="Times New Roman" w:hAnsi="Times New Roman" w:eastAsia="仿宋" w:cs="Times New Roman"/>
                <w:i w:val="0"/>
                <w:iCs w:val="0"/>
                <w:color w:val="000000"/>
                <w:sz w:val="20"/>
                <w:szCs w:val="20"/>
                <w:u w:val="none"/>
                <w:lang w:val="en-US"/>
              </w:rPr>
              <w:t>绿化管养工作完成率</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3E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E1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5CF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三供一业绿化管养每季度按照二级养护标准，完成乔木养护5463棵、灌木养护1670棵、地被植物养护38552.75㎡。轴承厂沿线道路绿化养护按照二级养护标准，完成乔木养护103棵，灌木养护11872棵。海口集镇中心绿化管养项目，按照合同要求，每月使用洒水车养护乔木2634株、灌木3172株、地被26212.42平方米；管网浇水养护乔木5548株，灌木1614株，地被21961㎡。</w:t>
            </w:r>
          </w:p>
        </w:tc>
      </w:tr>
      <w:tr w14:paraId="2B59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9" w:type="pct"/>
            <w:vMerge w:val="continue"/>
            <w:tcBorders>
              <w:left w:val="single" w:color="000000" w:sz="4" w:space="0"/>
              <w:right w:val="single" w:color="000000" w:sz="4" w:space="0"/>
            </w:tcBorders>
            <w:shd w:val="clear" w:color="auto" w:fill="auto"/>
            <w:vAlign w:val="center"/>
          </w:tcPr>
          <w:p w14:paraId="26B18A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70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产出数量</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EE6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rPr>
            </w:pPr>
            <w:r>
              <w:rPr>
                <w:rFonts w:hint="default" w:ascii="Times New Roman" w:hAnsi="Times New Roman" w:eastAsia="仿宋" w:cs="Times New Roman"/>
                <w:i w:val="0"/>
                <w:iCs w:val="0"/>
                <w:color w:val="000000"/>
                <w:sz w:val="20"/>
                <w:szCs w:val="20"/>
                <w:u w:val="none"/>
                <w:lang w:val="en-US"/>
              </w:rPr>
              <w:t>考核工作完成率</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FA2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eastAsia" w:ascii="Times New Roman" w:cs="Times New Roman"/>
                <w:i w:val="0"/>
                <w:iCs w:val="0"/>
                <w:color w:val="000000"/>
                <w:sz w:val="20"/>
                <w:szCs w:val="20"/>
                <w:u w:val="none"/>
                <w:lang w:val="en-US" w:eastAsia="zh-CN"/>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CB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02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rPr>
            </w:pPr>
            <w:r>
              <w:rPr>
                <w:rFonts w:hint="eastAsia" w:ascii="Times New Roman" w:cs="Times New Roman"/>
                <w:i w:val="0"/>
                <w:iCs w:val="0"/>
                <w:color w:val="000000"/>
                <w:sz w:val="20"/>
                <w:szCs w:val="20"/>
                <w:u w:val="none"/>
                <w:lang w:val="en-US" w:eastAsia="zh-CN"/>
              </w:rPr>
              <w:t>根据材料，项目实施单位每季度末（1年4次）都会对养护单位进行考核，考核结果作为支付的依据，共计完成8次。</w:t>
            </w:r>
          </w:p>
        </w:tc>
      </w:tr>
      <w:tr w14:paraId="6AEE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73AFC">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02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产出质量</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13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考核达标率</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24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eastAsia" w:ascii="Times New Roman" w:cs="Times New Roman"/>
                <w:i w:val="0"/>
                <w:iCs w:val="0"/>
                <w:color w:val="000000"/>
                <w:sz w:val="20"/>
                <w:szCs w:val="20"/>
                <w:u w:val="none"/>
                <w:lang w:val="en-US" w:eastAsia="zh-CN"/>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B7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100%</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4F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cs="Times New Roman"/>
                <w:i w:val="0"/>
                <w:iCs w:val="0"/>
                <w:color w:val="000000"/>
                <w:sz w:val="20"/>
                <w:szCs w:val="20"/>
                <w:u w:val="none"/>
                <w:lang w:val="en-US" w:eastAsia="zh-CN"/>
              </w:rPr>
              <w:t>根据材料，2023年项目实施单位的考核结果中，未出现考核结果低于90分的情况。</w:t>
            </w:r>
          </w:p>
        </w:tc>
      </w:tr>
      <w:tr w14:paraId="03C9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E1868">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A5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产出质量</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F2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问题整改率</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B4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cs="Times New Roman"/>
                <w:i w:val="0"/>
                <w:iCs w:val="0"/>
                <w:color w:val="000000"/>
                <w:sz w:val="20"/>
                <w:szCs w:val="20"/>
                <w:u w:val="none"/>
                <w:lang w:val="en-US" w:eastAsia="zh-CN"/>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9D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eastAsia" w:ascii="Times New Roman" w:cs="Times New Roman"/>
                <w:i w:val="0"/>
                <w:iCs w:val="0"/>
                <w:color w:val="000000"/>
                <w:sz w:val="20"/>
                <w:szCs w:val="20"/>
                <w:u w:val="none"/>
                <w:lang w:val="en-US" w:eastAsia="zh-CN"/>
              </w:rPr>
              <w:t>100%</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6B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Times New Roman" w:hAnsi="Times New Roman" w:cs="Times New Roman"/>
                <w:i w:val="0"/>
                <w:iCs w:val="0"/>
                <w:color w:val="000000"/>
                <w:kern w:val="0"/>
                <w:sz w:val="20"/>
                <w:szCs w:val="20"/>
                <w:u w:val="none"/>
                <w:lang w:val="en-US" w:eastAsia="zh-CN" w:bidi="ar"/>
              </w:rPr>
            </w:pPr>
            <w:r>
              <w:rPr>
                <w:rFonts w:hint="eastAsia" w:ascii="Times New Roman" w:cs="Times New Roman"/>
                <w:i w:val="0"/>
                <w:iCs w:val="0"/>
                <w:color w:val="000000"/>
                <w:kern w:val="0"/>
                <w:sz w:val="20"/>
                <w:szCs w:val="20"/>
                <w:u w:val="none"/>
                <w:lang w:val="en-US" w:eastAsia="zh-CN" w:bidi="ar"/>
              </w:rPr>
              <w:t>一是昆明市西山区海口街道办事处三供一业绿化管养项目中，第三季度和第四季度均出现了植物死亡情况以及台账查验不够细致的情况；二是2022年至2023年海口集镇中心绿化管养项目的台账也一直存在不完整的情况。这表明项目实施单位在整改监督方面存在不足，导致问题未能得到有效解决。</w:t>
            </w:r>
          </w:p>
        </w:tc>
      </w:tr>
      <w:tr w14:paraId="7063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18B92">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C8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产出时效</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C44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养护工作完成及时性</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90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及时</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BF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完成</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14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cs="Times New Roman"/>
                <w:i w:val="0"/>
                <w:iCs w:val="0"/>
                <w:color w:val="000000"/>
                <w:sz w:val="20"/>
                <w:szCs w:val="20"/>
                <w:u w:val="none"/>
                <w:lang w:val="en-US" w:eastAsia="zh-CN"/>
              </w:rPr>
              <w:t>本项目养护工作均按照时间和计划开展，并未出现不及时的情况。</w:t>
            </w:r>
          </w:p>
        </w:tc>
      </w:tr>
      <w:tr w14:paraId="461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F9464">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44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产出成本</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3E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成本控制情况</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008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Times New Roman"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有效</w:t>
            </w:r>
          </w:p>
          <w:p w14:paraId="796148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控制</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56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未完成</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FC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2024年预算支付了上年度尾款，导致当年度项目停滞。</w:t>
            </w:r>
          </w:p>
        </w:tc>
      </w:tr>
      <w:tr w14:paraId="04C6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565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效益（30分</w:t>
            </w:r>
            <w:r>
              <w:rPr>
                <w:rFonts w:hint="default" w:ascii="Times New Roman" w:hAnsi="Times New Roman" w:cs="Times New Roman"/>
                <w:i w:val="0"/>
                <w:iCs w:val="0"/>
                <w:color w:val="000000"/>
                <w:kern w:val="0"/>
                <w:sz w:val="20"/>
                <w:szCs w:val="20"/>
                <w:u w:val="none"/>
                <w:lang w:val="en-US" w:eastAsia="zh-CN" w:bidi="ar"/>
              </w:rPr>
              <w:t>）</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4FB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社会效益</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E1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苗木死亡情况</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C9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未出现死亡</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92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部分完成</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BF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cs="Times New Roman"/>
                <w:i w:val="0"/>
                <w:iCs w:val="0"/>
                <w:color w:val="000000"/>
                <w:sz w:val="20"/>
                <w:szCs w:val="20"/>
                <w:u w:val="none"/>
                <w:lang w:val="en-US" w:eastAsia="zh-CN"/>
              </w:rPr>
              <w:t>根据访谈及相关考核材料，2023年的绿化养护工作中确实出现了苗木死亡的情况。通常，项目实施单位会要求养护单位对死亡的苗木进行补充。（现场调研情况见指标“市容提升情况”）。</w:t>
            </w:r>
          </w:p>
        </w:tc>
      </w:tr>
      <w:tr w14:paraId="2B3A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A73A">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9BC3">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35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市容提升情况</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C6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提升</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89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未完成</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BE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cs="Times New Roman"/>
                <w:i w:val="0"/>
                <w:iCs w:val="0"/>
                <w:color w:val="000000"/>
                <w:sz w:val="20"/>
                <w:szCs w:val="20"/>
                <w:u w:val="none"/>
                <w:lang w:val="en-US" w:eastAsia="zh-CN"/>
              </w:rPr>
              <w:t>根据调研，目前由于区海口办使用了2024年部分项目款用于支付上年度的项目尾款，导致2024年的资金紧张，目前，绿化工作已经停滞，导致路面的树枝长期未进行修剪，已经严重影响市容，并影响到路人行走。同时由于长期缺乏养护，路边绿化带出现不同程度的苗木死亡情况。</w:t>
            </w:r>
          </w:p>
        </w:tc>
      </w:tr>
      <w:tr w14:paraId="2CFE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7121C">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90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满意度</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D5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rPr>
              <w:t>主管单位的满意度</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05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eastAsia" w:ascii="Times New Roman" w:cs="Times New Roman"/>
                <w:i w:val="0"/>
                <w:iCs w:val="0"/>
                <w:color w:val="000000"/>
                <w:sz w:val="20"/>
                <w:szCs w:val="20"/>
                <w:highlight w:val="none"/>
                <w:u w:val="none"/>
                <w:lang w:val="en-US" w:eastAsia="zh-CN"/>
              </w:rPr>
              <w:t>80%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BD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eastAsia" w:ascii="Times New Roman" w:cs="Times New Roman"/>
                <w:i w:val="0"/>
                <w:iCs w:val="0"/>
                <w:color w:val="000000"/>
                <w:sz w:val="20"/>
                <w:szCs w:val="20"/>
                <w:highlight w:val="none"/>
                <w:u w:val="none"/>
                <w:lang w:val="en-US" w:eastAsia="zh-CN"/>
              </w:rPr>
              <w:t>完成</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0F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eastAsia" w:ascii="Times New Roman" w:cs="Times New Roman"/>
                <w:i w:val="0"/>
                <w:iCs w:val="0"/>
                <w:color w:val="000000"/>
                <w:sz w:val="20"/>
                <w:szCs w:val="20"/>
                <w:u w:val="none"/>
                <w:lang w:val="en-US" w:eastAsia="zh-CN"/>
              </w:rPr>
              <w:t>本次发放电子问卷共回收有效问卷50份，经项目组统计计算，受益对象满意度为96%。</w:t>
            </w:r>
          </w:p>
        </w:tc>
      </w:tr>
    </w:tbl>
    <w:p w14:paraId="757D65FB">
      <w:pPr>
        <w:pStyle w:val="35"/>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299" w:name="_Toc4733"/>
      <w:r>
        <w:rPr>
          <w:rFonts w:hint="default" w:ascii="Times New Roman" w:hAnsi="Times New Roman" w:cs="Times New Roman"/>
          <w:lang w:val="en-US" w:eastAsia="zh-CN"/>
        </w:rPr>
        <w:t>四、绩效评价情况分析</w:t>
      </w:r>
      <w:bookmarkEnd w:id="299"/>
    </w:p>
    <w:p w14:paraId="11D6EA4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bookmarkStart w:id="300" w:name="_Toc2767"/>
      <w:bookmarkStart w:id="301" w:name="_Toc14682"/>
      <w:r>
        <w:rPr>
          <w:rFonts w:hint="default" w:ascii="Times New Roman" w:hAnsi="Times New Roman" w:cs="Times New Roman"/>
          <w:kern w:val="2"/>
          <w:sz w:val="30"/>
          <w:szCs w:val="30"/>
          <w:lang w:val="en-US" w:eastAsia="zh-CN" w:bidi="ar-SA"/>
        </w:rPr>
        <w:t>池砾公司</w:t>
      </w:r>
      <w:r>
        <w:rPr>
          <w:rFonts w:hint="default" w:ascii="Times New Roman" w:hAnsi="Times New Roman" w:eastAsia="仿宋" w:cs="Times New Roman"/>
          <w:kern w:val="2"/>
          <w:sz w:val="30"/>
          <w:szCs w:val="30"/>
          <w:lang w:val="en-US" w:eastAsia="zh-CN" w:bidi="ar-SA"/>
        </w:rPr>
        <w:t>根据绩效管理基本原则，采用比较法、因素分析法、公众评议法等方法，按照《</w:t>
      </w:r>
      <w:r>
        <w:rPr>
          <w:rFonts w:hint="eastAsia"/>
          <w:lang w:val="en-US" w:eastAsia="zh-CN"/>
        </w:rPr>
        <w:t>园林绿化维护专项经费项目</w:t>
      </w:r>
      <w:r>
        <w:rPr>
          <w:rFonts w:hint="default" w:ascii="Times New Roman" w:hAnsi="Times New Roman" w:cs="Times New Roman"/>
          <w:kern w:val="2"/>
          <w:sz w:val="30"/>
          <w:szCs w:val="30"/>
          <w:lang w:val="en-US" w:eastAsia="zh-CN" w:bidi="ar-SA"/>
        </w:rPr>
        <w:t>绩效评价指标体系</w:t>
      </w:r>
      <w:r>
        <w:rPr>
          <w:rFonts w:hint="default" w:ascii="Times New Roman" w:hAnsi="Times New Roman" w:eastAsia="仿宋" w:cs="Times New Roman"/>
          <w:kern w:val="2"/>
          <w:sz w:val="30"/>
          <w:szCs w:val="30"/>
          <w:lang w:val="en-US" w:eastAsia="zh-CN" w:bidi="ar-SA"/>
        </w:rPr>
        <w:t>》，对</w:t>
      </w:r>
      <w:r>
        <w:rPr>
          <w:rFonts w:hint="eastAsia"/>
          <w:lang w:val="en-US" w:eastAsia="zh-CN"/>
        </w:rPr>
        <w:t>园林绿化维护专项经费项目</w:t>
      </w:r>
      <w:r>
        <w:rPr>
          <w:rFonts w:hint="default" w:ascii="Times New Roman" w:hAnsi="Times New Roman" w:eastAsia="仿宋" w:cs="Times New Roman"/>
          <w:kern w:val="2"/>
          <w:sz w:val="30"/>
          <w:szCs w:val="30"/>
          <w:lang w:val="en-US" w:eastAsia="zh-CN" w:bidi="ar-SA"/>
        </w:rPr>
        <w:t>的各项指标进行分析，具体内容如下：</w:t>
      </w:r>
      <w:bookmarkEnd w:id="300"/>
      <w:bookmarkEnd w:id="301"/>
    </w:p>
    <w:p w14:paraId="7A207F63">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302" w:name="_Toc16638"/>
      <w:r>
        <w:rPr>
          <w:rFonts w:hint="default" w:ascii="Times New Roman" w:hAnsi="Times New Roman" w:cs="Times New Roman"/>
        </w:rPr>
        <w:t>（一）</w:t>
      </w:r>
      <w:r>
        <w:rPr>
          <w:rFonts w:hint="default" w:ascii="Times New Roman" w:hAnsi="Times New Roman" w:cs="Times New Roman"/>
          <w:lang w:val="en-US" w:eastAsia="zh-CN"/>
        </w:rPr>
        <w:t>决策</w:t>
      </w:r>
      <w:r>
        <w:rPr>
          <w:rFonts w:hint="default" w:ascii="Times New Roman" w:hAnsi="Times New Roman" w:cs="Times New Roman"/>
        </w:rPr>
        <w:t>情况分析</w:t>
      </w:r>
      <w:bookmarkEnd w:id="302"/>
    </w:p>
    <w:p w14:paraId="460EA9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项目决策类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指标包括项目立项、绩效目标和资金投入三个方面，采用6个三级指标进行考察。权重分值15分，绩效评价得分</w:t>
      </w:r>
      <w:r>
        <w:rPr>
          <w:rFonts w:hint="default" w:ascii="Times New Roman" w:hAnsi="Times New Roman" w:cs="Times New Roman"/>
          <w:kern w:val="2"/>
          <w:sz w:val="30"/>
          <w:szCs w:val="30"/>
          <w:lang w:val="en-US" w:eastAsia="zh-CN" w:bidi="ar-SA"/>
        </w:rPr>
        <w:t>1</w:t>
      </w:r>
      <w:r>
        <w:rPr>
          <w:rFonts w:hint="eastAsia" w:asci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分，得分率为86.67%。</w:t>
      </w:r>
    </w:p>
    <w:p w14:paraId="6491CE7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1.项目立项</w:t>
      </w:r>
    </w:p>
    <w:p w14:paraId="365384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（1）立项依据充分性</w:t>
      </w:r>
    </w:p>
    <w:p w14:paraId="77A97CA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 xml:space="preserve"> 本项目立项依据包括《城市绿化条例》、</w:t>
      </w:r>
      <w:r>
        <w:rPr>
          <w:rFonts w:hint="eastAsia" w:ascii="Times New Roman" w:cs="Times New Roman"/>
          <w:kern w:val="2"/>
          <w:sz w:val="30"/>
          <w:szCs w:val="30"/>
          <w:lang w:val="en-US" w:eastAsia="zh-CN" w:bidi="ar-SA"/>
        </w:rPr>
        <w:t>区海口街道办</w:t>
      </w:r>
      <w:r>
        <w:rPr>
          <w:rFonts w:hint="default" w:ascii="Times New Roman" w:hAnsi="Times New Roman" w:eastAsia="仿宋" w:cs="Times New Roman"/>
          <w:kern w:val="2"/>
          <w:sz w:val="30"/>
          <w:szCs w:val="30"/>
          <w:lang w:val="en-US" w:eastAsia="zh-CN" w:bidi="ar-SA"/>
        </w:rPr>
        <w:t>设立园林绿化维护专项经费的相关文件，以及《园林绿化养护技术规范》和《园林绿化养护标准》。这些文件明确了城市绿化管理的政策框架和技术要求。项目立项符合国家及地方政府对城市绿化的政策指导，充分考虑了区域内的实际绿化需求，并得到相关部门的支持和批准。因此，项目立项依据充足，与政策要求一致，符合项目实施的背景和实际情况。</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w:t>
      </w:r>
    </w:p>
    <w:p w14:paraId="42ED033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（2）立项规范性</w:t>
      </w:r>
    </w:p>
    <w:p w14:paraId="5C09C1B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 xml:space="preserve"> 本项目的立项过程严格遵循了《城市绿化条例》和《园林绿化养护技术规范》等相关规范，确保项目符合国家和地方的管理要求。项目立项符合</w:t>
      </w:r>
      <w:r>
        <w:rPr>
          <w:rFonts w:hint="eastAsia" w:ascii="Times New Roman" w:cs="Times New Roman"/>
          <w:kern w:val="2"/>
          <w:sz w:val="30"/>
          <w:szCs w:val="30"/>
          <w:lang w:val="en-US" w:eastAsia="zh-CN" w:bidi="ar-SA"/>
        </w:rPr>
        <w:t>区海口街道办</w:t>
      </w:r>
      <w:r>
        <w:rPr>
          <w:rFonts w:hint="default" w:ascii="Times New Roman" w:hAnsi="Times New Roman" w:cs="Times New Roman"/>
          <w:kern w:val="2"/>
          <w:sz w:val="30"/>
          <w:szCs w:val="30"/>
          <w:lang w:val="en-US" w:eastAsia="zh-CN" w:bidi="ar-SA"/>
        </w:rPr>
        <w:t>的行政管理规范，并依据《园林绿化养护标准》进行资金申请和预算审批。项目在实施过程中明确了责任单位和管理程序，确保项目管理的规范性。立项文件和流程的规范性保证了项目在法律法规和行政程序下的合规操作，避免了与相关部门其他项目的重复。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7F9E212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2.绩效目标</w:t>
      </w:r>
    </w:p>
    <w:p w14:paraId="660A21F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（1）绩效目标合理性</w:t>
      </w:r>
    </w:p>
    <w:p w14:paraId="6F86ADDB">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w:t>
      </w:r>
      <w:r>
        <w:rPr>
          <w:rFonts w:hint="default" w:ascii="Times New Roman" w:hAns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的绩效目标与实际工作内容相关，绩效指标涵盖产出数量、质量、时效及效益指标；项目预期产出效益和效果符合正常的业绩水平；目标与预算确定的项目投资额或资金量相匹配。</w:t>
      </w:r>
    </w:p>
    <w:p w14:paraId="45D4BFE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6D9EB1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（2）绩效目标明确性</w:t>
      </w:r>
    </w:p>
    <w:p w14:paraId="2BBF497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highlight w:val="none"/>
          <w:lang w:val="en-US" w:eastAsia="zh-CN" w:bidi="ar-SA"/>
        </w:rPr>
        <w:t>根据项目绩效目标申报表，本项目已经将绩效目标细化为具体的绩效指标。这些指标涵盖了产出数量、质量、时效和效益等方面，并通过明确、可衡量的数值进行体现。各项指标与项目的目标任务或计划数量相匹配，确保了目标的可追踪性和实施的科学性。</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指标分值3分，评价得分</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w:t>
      </w:r>
    </w:p>
    <w:p w14:paraId="491ECBA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3.资金投入</w:t>
      </w:r>
    </w:p>
    <w:p w14:paraId="4F42263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（1）预算编制科学性</w:t>
      </w:r>
    </w:p>
    <w:p w14:paraId="5929357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项目组查看了合同，发现个别预算细项编制不够科学，如2022年至2023年海口集镇中心绿化管养费项目的合同约定，每个月根据考核结果支付合同总金额的12.5%，即为46.81万元，全年一共所需为187.24万元。但实际预算申请中，该项目申请了192.42万元，经了解，本项目的预算编制主要是参考历年的预算情况，未充分考虑合同所需或资金急迫性。此外，本项目在2023年实际执行中仅支出了171.64万元，是因为合同是2022年1月开始签订，因此每年只需支付3个季度（140.43万元）及2个月（31.21万元）的服务费。因此，</w:t>
      </w:r>
      <w:r>
        <w:rPr>
          <w:rFonts w:hint="default" w:ascii="Times New Roman" w:hAnsi="Times New Roman" w:eastAsia="仿宋" w:cs="Times New Roman"/>
          <w:kern w:val="2"/>
          <w:sz w:val="30"/>
          <w:szCs w:val="30"/>
          <w:highlight w:val="none"/>
          <w:lang w:val="en-US" w:eastAsia="zh-CN" w:bidi="ar-SA"/>
        </w:rPr>
        <w:t>指标分值3分，评价得分</w:t>
      </w:r>
      <w:r>
        <w:rPr>
          <w:rFonts w:hint="eastAsia" w:ascii="Times New Roman" w:cs="Times New Roman"/>
          <w:kern w:val="2"/>
          <w:sz w:val="30"/>
          <w:szCs w:val="30"/>
          <w:highlight w:val="none"/>
          <w:lang w:val="en-US" w:eastAsia="zh-CN" w:bidi="ar-SA"/>
        </w:rPr>
        <w:t>1</w:t>
      </w:r>
      <w:r>
        <w:rPr>
          <w:rFonts w:hint="default" w:ascii="Times New Roman" w:hAnsi="Times New Roman" w:eastAsia="仿宋" w:cs="Times New Roman"/>
          <w:kern w:val="2"/>
          <w:sz w:val="30"/>
          <w:szCs w:val="30"/>
          <w:highlight w:val="none"/>
          <w:lang w:val="en-US" w:eastAsia="zh-CN" w:bidi="ar-SA"/>
        </w:rPr>
        <w:t>分。</w:t>
      </w:r>
    </w:p>
    <w:p w14:paraId="42B7DB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（2）资金分配合理性</w:t>
      </w:r>
    </w:p>
    <w:p w14:paraId="512A924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根据</w:t>
      </w:r>
      <w:r>
        <w:rPr>
          <w:rFonts w:hint="default" w:ascii="Times New Roman" w:hAnsi="Times New Roman" w:cs="Times New Roman"/>
          <w:kern w:val="2"/>
          <w:sz w:val="30"/>
          <w:szCs w:val="30"/>
          <w:lang w:val="en-US" w:eastAsia="zh-CN" w:bidi="ar-SA"/>
        </w:rPr>
        <w:t>评估单位提供的报告以及实际支出名单</w:t>
      </w:r>
      <w:r>
        <w:rPr>
          <w:rFonts w:hint="default" w:ascii="Times New Roman" w:hAnsi="Times New Roman" w:eastAsia="仿宋" w:cs="Times New Roman"/>
          <w:kern w:val="2"/>
          <w:sz w:val="30"/>
          <w:szCs w:val="30"/>
          <w:lang w:val="en-US" w:eastAsia="zh-CN" w:bidi="ar-SA"/>
        </w:rPr>
        <w:t>等文件，本项目预算资金分配依据充分；资金分配额度合理，与项目单位</w:t>
      </w:r>
      <w:r>
        <w:rPr>
          <w:rFonts w:hint="default" w:ascii="Times New Roman" w:hAnsi="Times New Roman" w:cs="Times New Roman"/>
          <w:kern w:val="2"/>
          <w:sz w:val="30"/>
          <w:szCs w:val="30"/>
          <w:lang w:val="en-US" w:eastAsia="zh-CN" w:bidi="ar-SA"/>
        </w:rPr>
        <w:t>和</w:t>
      </w:r>
      <w:r>
        <w:rPr>
          <w:rFonts w:hint="default" w:ascii="Times New Roman" w:hAnsi="Times New Roman" w:eastAsia="仿宋" w:cs="Times New Roman"/>
          <w:kern w:val="2"/>
          <w:sz w:val="30"/>
          <w:szCs w:val="30"/>
          <w:lang w:val="en-US" w:eastAsia="zh-CN" w:bidi="ar-SA"/>
        </w:rPr>
        <w:t>地方实际相适应。</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0B284699">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303" w:name="_Toc28366"/>
      <w:r>
        <w:rPr>
          <w:rFonts w:hint="default" w:ascii="Times New Roman" w:hAnsi="Times New Roman" w:cs="Times New Roman"/>
        </w:rPr>
        <w:t>（二）过程情况分析</w:t>
      </w:r>
      <w:bookmarkEnd w:id="303"/>
    </w:p>
    <w:p w14:paraId="3A000D3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项目过程类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指标，包括资金管理和组织实施两个方面，采用</w:t>
      </w:r>
      <w:r>
        <w:rPr>
          <w:rFonts w:hint="default" w:ascii="Times New Roman" w:hAnsi="Times New Roman" w:cs="Times New Roman"/>
          <w:kern w:val="2"/>
          <w:sz w:val="30"/>
          <w:szCs w:val="30"/>
          <w:lang w:val="en-US" w:eastAsia="zh-CN" w:bidi="ar-SA"/>
        </w:rPr>
        <w:t>6</w:t>
      </w:r>
      <w:r>
        <w:rPr>
          <w:rFonts w:hint="default" w:ascii="Times New Roman" w:hAnsi="Times New Roman" w:eastAsia="仿宋" w:cs="Times New Roman"/>
          <w:kern w:val="2"/>
          <w:sz w:val="30"/>
          <w:szCs w:val="30"/>
          <w:lang w:val="en-US" w:eastAsia="zh-CN" w:bidi="ar-SA"/>
        </w:rPr>
        <w:t>个三级指标进行考察。权重分值20分，绩效评价得分</w:t>
      </w:r>
      <w:r>
        <w:rPr>
          <w:rFonts w:hint="eastAsia" w:ascii="Times New Roman" w:cs="Times New Roman"/>
          <w:kern w:val="2"/>
          <w:sz w:val="30"/>
          <w:szCs w:val="30"/>
          <w:lang w:val="en-US" w:eastAsia="zh-CN" w:bidi="ar-SA"/>
        </w:rPr>
        <w:t>18.64</w:t>
      </w:r>
      <w:r>
        <w:rPr>
          <w:rFonts w:hint="default" w:ascii="Times New Roman" w:hAnsi="Times New Roman" w:eastAsia="仿宋" w:cs="Times New Roman"/>
          <w:kern w:val="2"/>
          <w:sz w:val="30"/>
          <w:szCs w:val="30"/>
          <w:lang w:val="en-US" w:eastAsia="zh-CN" w:bidi="ar-SA"/>
        </w:rPr>
        <w:t>分，得分率为</w:t>
      </w:r>
      <w:r>
        <w:rPr>
          <w:rFonts w:hint="eastAsia" w:ascii="Times New Roman" w:cs="Times New Roman"/>
          <w:kern w:val="2"/>
          <w:sz w:val="30"/>
          <w:szCs w:val="30"/>
          <w:lang w:val="en-US" w:eastAsia="zh-CN" w:bidi="ar-SA"/>
        </w:rPr>
        <w:t>93.33</w:t>
      </w:r>
      <w:r>
        <w:rPr>
          <w:rFonts w:hint="default" w:ascii="Times New Roman" w:hAnsi="Times New Roman" w:eastAsia="仿宋" w:cs="Times New Roman"/>
          <w:kern w:val="2"/>
          <w:sz w:val="30"/>
          <w:szCs w:val="30"/>
          <w:lang w:val="en-US" w:eastAsia="zh-CN" w:bidi="ar-SA"/>
        </w:rPr>
        <w:t>%。</w:t>
      </w:r>
    </w:p>
    <w:p w14:paraId="28041943">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1.资金管理</w:t>
      </w:r>
    </w:p>
    <w:p w14:paraId="7D9FF13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（1）资金到位率</w:t>
      </w:r>
    </w:p>
    <w:p w14:paraId="7136D31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根据项目申报书，本项目202</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年共申报预算资金538.97万元</w:t>
      </w:r>
      <w:r>
        <w:rPr>
          <w:rFonts w:hint="default" w:ascii="Times New Roman" w:hAnsi="Times New Roman" w:cs="Times New Roman"/>
          <w:kern w:val="2"/>
          <w:sz w:val="30"/>
          <w:szCs w:val="30"/>
          <w:lang w:val="en-US" w:eastAsia="zh-CN" w:bidi="ar-SA"/>
        </w:rPr>
        <w:t>，截至2023年12月31日，本项目实际收到财政资金538.97万元</w:t>
      </w:r>
      <w:r>
        <w:rPr>
          <w:rFonts w:hint="default" w:ascii="Times New Roman" w:hAnsi="Times New Roman" w:eastAsia="仿宋" w:cs="Times New Roman"/>
          <w:kern w:val="2"/>
          <w:sz w:val="30"/>
          <w:szCs w:val="30"/>
          <w:lang w:val="en-US" w:eastAsia="zh-CN" w:bidi="ar-SA"/>
        </w:rPr>
        <w:t>；</w:t>
      </w:r>
      <w:r>
        <w:rPr>
          <w:rFonts w:hint="default" w:ascii="Times New Roman" w:hAnsi="Times New Roman" w:cs="Times New Roman"/>
          <w:szCs w:val="30"/>
          <w:lang w:val="en-US" w:eastAsia="zh-CN"/>
        </w:rPr>
        <w:t>资金到位率=（实际到位资金÷预算资金）×100%=（538.97÷538.97）×100%=100%。</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指标分值3分，评价得分3分。</w:t>
      </w:r>
    </w:p>
    <w:p w14:paraId="17FA247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（2）预算执行率</w:t>
      </w:r>
    </w:p>
    <w:p w14:paraId="778FE2D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根据项目财务资</w:t>
      </w:r>
      <w:r>
        <w:rPr>
          <w:rFonts w:hint="default" w:ascii="Times New Roman" w:hAnsi="Times New Roman" w:eastAsia="仿宋" w:cs="Times New Roman"/>
          <w:b w:val="0"/>
          <w:bCs w:val="0"/>
          <w:kern w:val="2"/>
          <w:sz w:val="30"/>
          <w:szCs w:val="30"/>
          <w:lang w:val="en-US" w:eastAsia="zh-CN" w:bidi="ar-SA"/>
        </w:rPr>
        <w:t>料，</w:t>
      </w:r>
      <w:r>
        <w:rPr>
          <w:rFonts w:hint="default" w:ascii="Times New Roman" w:hAnsi="Times New Roman" w:cs="Times New Roman"/>
          <w:b w:val="0"/>
          <w:bCs w:val="0"/>
          <w:kern w:val="2"/>
          <w:sz w:val="30"/>
          <w:szCs w:val="30"/>
          <w:lang w:val="en-US" w:eastAsia="zh-CN" w:bidi="ar-SA"/>
        </w:rPr>
        <w:t>本项目</w:t>
      </w:r>
      <w:r>
        <w:rPr>
          <w:rFonts w:hint="default" w:ascii="Times New Roman" w:hAnsi="Times New Roman" w:cs="Times New Roman"/>
          <w:b w:val="0"/>
          <w:bCs w:val="0"/>
          <w:szCs w:val="30"/>
          <w:lang w:val="en-US" w:eastAsia="zh-CN"/>
        </w:rPr>
        <w:t>共支出金额294.73万元，执行率54.68%</w:t>
      </w:r>
      <w:r>
        <w:rPr>
          <w:rFonts w:hint="default" w:ascii="Times New Roman" w:hAnsi="Times New Roman" w:eastAsia="仿宋" w:cs="Times New Roman"/>
          <w:b w:val="0"/>
          <w:bCs w:val="0"/>
          <w:kern w:val="2"/>
          <w:sz w:val="30"/>
          <w:szCs w:val="30"/>
          <w:lang w:val="en-US" w:eastAsia="zh-CN" w:bidi="ar-SA"/>
        </w:rPr>
        <w:t>。</w:t>
      </w:r>
      <w:r>
        <w:rPr>
          <w:rFonts w:hint="default" w:ascii="Times New Roman" w:hAnsi="Times New Roman" w:cs="Times New Roman"/>
          <w:b w:val="0"/>
          <w:bCs w:val="0"/>
          <w:kern w:val="2"/>
          <w:sz w:val="30"/>
          <w:szCs w:val="30"/>
          <w:lang w:val="en-US" w:eastAsia="zh-CN" w:bidi="ar-SA"/>
        </w:rPr>
        <w:t>因</w:t>
      </w:r>
      <w:r>
        <w:rPr>
          <w:rFonts w:hint="default" w:ascii="Times New Roman" w:hAnsi="Times New Roman" w:cs="Times New Roman"/>
          <w:kern w:val="2"/>
          <w:sz w:val="30"/>
          <w:szCs w:val="30"/>
          <w:lang w:val="en-US" w:eastAsia="zh-CN" w:bidi="ar-SA"/>
        </w:rPr>
        <w:t>此，</w:t>
      </w:r>
      <w:r>
        <w:rPr>
          <w:rFonts w:hint="default" w:ascii="Times New Roman" w:hAnsi="Times New Roman" w:eastAsia="仿宋" w:cs="Times New Roman"/>
          <w:kern w:val="2"/>
          <w:sz w:val="30"/>
          <w:szCs w:val="30"/>
          <w:lang w:val="en-US" w:eastAsia="zh-CN" w:bidi="ar-SA"/>
        </w:rPr>
        <w:t>指标分值3分，评价得分</w:t>
      </w:r>
      <w:r>
        <w:rPr>
          <w:rFonts w:hint="default" w:ascii="Times New Roman" w:hAnsi="Times New Roman" w:cs="Times New Roman"/>
          <w:kern w:val="2"/>
          <w:sz w:val="30"/>
          <w:szCs w:val="30"/>
          <w:lang w:val="en-US" w:eastAsia="zh-CN" w:bidi="ar-SA"/>
        </w:rPr>
        <w:t>1.64</w:t>
      </w:r>
      <w:r>
        <w:rPr>
          <w:rFonts w:hint="default" w:ascii="Times New Roman" w:hAnsi="Times New Roman" w:eastAsia="仿宋" w:cs="Times New Roman"/>
          <w:kern w:val="2"/>
          <w:sz w:val="30"/>
          <w:szCs w:val="30"/>
          <w:lang w:val="en-US" w:eastAsia="zh-CN" w:bidi="ar-SA"/>
        </w:rPr>
        <w:t>分。</w:t>
      </w:r>
    </w:p>
    <w:p w14:paraId="5F4FEBD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（3）资金使用合规性</w:t>
      </w:r>
    </w:p>
    <w:p w14:paraId="70BB319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经项目组现场评价，并查阅项目相关费用支出凭证，</w:t>
      </w:r>
      <w:r>
        <w:rPr>
          <w:rFonts w:hint="eastAsia"/>
          <w:lang w:val="en-US" w:eastAsia="zh-CN"/>
        </w:rPr>
        <w:t xml:space="preserve"> 园林绿化维护专项经费项目</w:t>
      </w:r>
      <w:r>
        <w:rPr>
          <w:rFonts w:hint="default" w:ascii="Times New Roman" w:hAnsi="Times New Roman" w:eastAsia="仿宋" w:cs="Times New Roman"/>
          <w:kern w:val="2"/>
          <w:sz w:val="30"/>
          <w:szCs w:val="30"/>
          <w:lang w:val="en-US" w:eastAsia="zh-CN" w:bidi="ar-SA"/>
        </w:rPr>
        <w:t>资金使用符合专项资金管理办法的规定，未发现存在截留、挤占、挪用、虚列支出等情况。</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分。</w:t>
      </w:r>
    </w:p>
    <w:p w14:paraId="3E2A60B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2.组织实施</w:t>
      </w:r>
    </w:p>
    <w:p w14:paraId="3D8CB89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（1）管理制度健全性</w:t>
      </w:r>
    </w:p>
    <w:p w14:paraId="04BFFA4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szCs w:val="30"/>
          <w:lang w:val="en-US" w:eastAsia="zh-CN"/>
        </w:rPr>
        <w:t>项目组查阅了相关资料，为规范单位内部工作，</w:t>
      </w:r>
      <w:r>
        <w:rPr>
          <w:rFonts w:hint="default" w:ascii="Times New Roman" w:hAnsi="Times New Roman" w:cs="Times New Roman"/>
          <w:szCs w:val="30"/>
          <w:highlight w:val="none"/>
          <w:lang w:val="en-US" w:eastAsia="zh-CN"/>
        </w:rPr>
        <w:t>区海口街道办制定了《西山区海口街道办事处工程建设招标投标管理制度》《海口街道财务报销制度》《海口街道办事处采购管理办法》等制度。明确了各</w:t>
      </w:r>
      <w:r>
        <w:rPr>
          <w:rFonts w:hint="default" w:ascii="Times New Roman" w:hAnsi="Times New Roman" w:cs="Times New Roman"/>
          <w:szCs w:val="30"/>
          <w:lang w:val="en-US" w:eastAsia="zh-CN"/>
        </w:rPr>
        <w:t>流程中的详细规范，确保了工作及项目开展的合规性和透明度。</w:t>
      </w:r>
      <w:r>
        <w:rPr>
          <w:rFonts w:hint="default" w:ascii="Times New Roman" w:hAnsi="Times New Roman" w:eastAsia="仿宋" w:cs="Times New Roman"/>
          <w:kern w:val="2"/>
          <w:sz w:val="30"/>
          <w:szCs w:val="30"/>
          <w:lang w:val="en-US" w:eastAsia="zh-CN" w:bidi="ar-SA"/>
        </w:rPr>
        <w:t>因此，指标分值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44F99B2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（2）采购管理合规性</w:t>
      </w:r>
    </w:p>
    <w:p w14:paraId="3E910BC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本项目由区海口街道办负责采购，项目实施单位负责考核。经核实，本项目的采购选取方式符合《中华人民共和国政府采购法》及相关法规要求。因此，指标分值4分，评价得分4分。</w:t>
      </w:r>
    </w:p>
    <w:p w14:paraId="3579D6D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（3）合同管理规范性</w:t>
      </w:r>
    </w:p>
    <w:p w14:paraId="3E3242E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项目组查阅了本项目相关合同，各类合同条款齐全，包含当事人的名称、标的、数量、质量、价款、地点和方式、验收方式、违约责任、解决争议的方法，合同内容与项目实施内容一致。因此，指标分值5分，评价得分5分。</w:t>
      </w:r>
    </w:p>
    <w:p w14:paraId="1E0BF95F">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304" w:name="_Toc13079"/>
      <w:r>
        <w:rPr>
          <w:rFonts w:hint="default" w:ascii="Times New Roman" w:hAnsi="Times New Roman" w:cs="Times New Roman"/>
        </w:rPr>
        <w:t>（三）产出情况分析</w:t>
      </w:r>
      <w:bookmarkEnd w:id="304"/>
    </w:p>
    <w:p w14:paraId="79AFCDB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项目产出类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指标，包括产出数量、产出质量、产出时效、产出成本四个方面，采用</w:t>
      </w:r>
      <w:r>
        <w:rPr>
          <w:rFonts w:hint="eastAsia" w:ascii="Times New Roman" w:cs="Times New Roman"/>
          <w:kern w:val="2"/>
          <w:sz w:val="30"/>
          <w:szCs w:val="30"/>
          <w:lang w:val="en-US" w:eastAsia="zh-CN" w:bidi="ar-SA"/>
        </w:rPr>
        <w:t>7</w:t>
      </w:r>
      <w:r>
        <w:rPr>
          <w:rFonts w:hint="default" w:ascii="Times New Roman" w:hAnsi="Times New Roman" w:eastAsia="仿宋" w:cs="Times New Roman"/>
          <w:kern w:val="2"/>
          <w:sz w:val="30"/>
          <w:szCs w:val="30"/>
          <w:lang w:val="en-US" w:eastAsia="zh-CN" w:bidi="ar-SA"/>
        </w:rPr>
        <w:t>个三级指标</w:t>
      </w:r>
      <w:r>
        <w:rPr>
          <w:rFonts w:hint="default" w:ascii="Times New Roman" w:hAnsi="Times New Roman" w:eastAsia="仿宋" w:cs="Times New Roman"/>
          <w:kern w:val="2"/>
          <w:sz w:val="30"/>
          <w:szCs w:val="30"/>
          <w:highlight w:val="none"/>
          <w:lang w:val="en-US" w:eastAsia="zh-CN" w:bidi="ar-SA"/>
        </w:rPr>
        <w:t>进行考察。权重分值35分，绩效评价得分</w:t>
      </w:r>
      <w:r>
        <w:rPr>
          <w:rFonts w:hint="eastAsia" w:ascii="Times New Roman" w:cs="Times New Roman"/>
          <w:kern w:val="2"/>
          <w:sz w:val="30"/>
          <w:szCs w:val="30"/>
          <w:highlight w:val="none"/>
          <w:lang w:val="en-US" w:eastAsia="zh-CN" w:bidi="ar-SA"/>
        </w:rPr>
        <w:t>29</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bCs w:val="0"/>
          <w:spacing w:val="0"/>
          <w:kern w:val="2"/>
          <w:sz w:val="30"/>
          <w:szCs w:val="30"/>
          <w:highlight w:val="none"/>
          <w:lang w:val="en-US" w:eastAsia="zh-CN"/>
        </w:rPr>
        <w:t>82.86</w:t>
      </w:r>
      <w:r>
        <w:rPr>
          <w:rFonts w:hint="default" w:ascii="Times New Roman" w:hAnsi="Times New Roman" w:eastAsia="仿宋" w:cs="Times New Roman"/>
          <w:kern w:val="2"/>
          <w:sz w:val="30"/>
          <w:szCs w:val="30"/>
          <w:highlight w:val="none"/>
          <w:lang w:val="en-US" w:eastAsia="zh-CN" w:bidi="ar-SA"/>
        </w:rPr>
        <w:t>%。</w:t>
      </w:r>
    </w:p>
    <w:p w14:paraId="3F1F779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1.产出数量</w:t>
      </w:r>
    </w:p>
    <w:p w14:paraId="7E180E8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（1）绿化管养工作完成率</w:t>
      </w:r>
    </w:p>
    <w:p w14:paraId="676B2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szCs w:val="30"/>
          <w:lang w:val="en-US" w:eastAsia="zh-CN"/>
        </w:rPr>
        <w:t>根据提供的材料，本项目的实施方云南维度建设工程有限公司和云南熙盛建设工程有限公司在2023年各季度均按计划完成了各自负责区域的绿化工作，养护结果均符合《园林绿化养护技术规范》（DG5301/T24-2017）和《园林绿化养护标准》（CJJ/T287-2018）的要求，绿化质量良好，没有出现重大质量问题。因此，指标分值6分，评价得分6分。</w:t>
      </w:r>
    </w:p>
    <w:p w14:paraId="64140C8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（2）考核工作完成率</w:t>
      </w:r>
    </w:p>
    <w:p w14:paraId="479A25D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kern w:val="2"/>
          <w:sz w:val="30"/>
          <w:szCs w:val="30"/>
          <w:lang w:val="en-US" w:eastAsia="zh-CN" w:bidi="ar-SA"/>
        </w:rPr>
        <w:t>根据材料，项目实施单位每季度末（1年4次）都会对养护单位进行考核，考核结果作为支付的依据。</w:t>
      </w:r>
      <w:r>
        <w:rPr>
          <w:rFonts w:hint="default" w:ascii="Times New Roman" w:hAnsi="Times New Roman" w:cs="Times New Roman"/>
          <w:szCs w:val="30"/>
          <w:lang w:val="en-US" w:eastAsia="zh-CN"/>
        </w:rPr>
        <w:t>因此，指标分值8分，评价得分8分。</w:t>
      </w:r>
    </w:p>
    <w:p w14:paraId="4A16B0B9">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2.产出质量</w:t>
      </w:r>
    </w:p>
    <w:p w14:paraId="2609320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（1）考核达标率</w:t>
      </w:r>
    </w:p>
    <w:p w14:paraId="6DDF3F0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根据材料，2023年项目实施单位的考核结果中，未出现考核结果低于90分的情况，</w:t>
      </w:r>
      <w:r>
        <w:rPr>
          <w:rFonts w:hint="default" w:ascii="Times New Roman" w:hAnsi="Times New Roman" w:cs="Times New Roman"/>
          <w:szCs w:val="30"/>
          <w:lang w:val="en-US" w:eastAsia="zh-CN"/>
        </w:rPr>
        <w:t>因此，指标分值5分，评价得分5分。</w:t>
      </w:r>
    </w:p>
    <w:p w14:paraId="3BACFDED">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leftChars="200"/>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问题整改率</w:t>
      </w:r>
    </w:p>
    <w:p w14:paraId="120BAF5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在考核过程中，项目实施单位会对养护单位存在的问题进行登记并要求其整改。然而，整改信息通常通过微信等社交平台告知考核单位，而没有正式的整改报告。</w:t>
      </w:r>
      <w:r>
        <w:rPr>
          <w:rFonts w:hint="eastAsia" w:ascii="Times New Roman" w:cs="Times New Roman"/>
          <w:kern w:val="2"/>
          <w:sz w:val="30"/>
          <w:szCs w:val="30"/>
          <w:lang w:val="en-US" w:eastAsia="zh-CN" w:bidi="ar-SA"/>
        </w:rPr>
        <w:t>但是根据台账资料，</w:t>
      </w:r>
      <w:r>
        <w:rPr>
          <w:rFonts w:hint="default" w:ascii="Times New Roman" w:hAnsi="Times New Roman" w:cs="Times New Roman"/>
          <w:kern w:val="2"/>
          <w:sz w:val="30"/>
          <w:szCs w:val="30"/>
          <w:lang w:val="en-US" w:eastAsia="zh-CN" w:bidi="ar-SA"/>
        </w:rPr>
        <w:t>项目实施单位提出的一些问题存在重复</w:t>
      </w:r>
      <w:r>
        <w:rPr>
          <w:rFonts w:hint="eastAsia" w:ascii="Times New Roman" w:cs="Times New Roman"/>
          <w:kern w:val="2"/>
          <w:sz w:val="30"/>
          <w:szCs w:val="30"/>
          <w:lang w:val="en-US" w:eastAsia="zh-CN" w:bidi="ar-SA"/>
        </w:rPr>
        <w:t>。一是</w:t>
      </w:r>
      <w:r>
        <w:rPr>
          <w:rFonts w:hint="default" w:ascii="Times New Roman" w:hAnsi="Times New Roman" w:cs="Times New Roman"/>
          <w:kern w:val="2"/>
          <w:sz w:val="30"/>
          <w:szCs w:val="30"/>
          <w:lang w:val="en-US" w:eastAsia="zh-CN" w:bidi="ar-SA"/>
        </w:rPr>
        <w:t>昆明市西山区海口街道办事处三供一业绿化管养项目中，第三季度和第四季度均出现了植物死亡情况以及台账查验不够细致的情况；</w:t>
      </w:r>
      <w:r>
        <w:rPr>
          <w:rFonts w:hint="eastAsia" w:ascii="Times New Roman" w:cs="Times New Roman"/>
          <w:kern w:val="2"/>
          <w:sz w:val="30"/>
          <w:szCs w:val="30"/>
          <w:lang w:val="en-US" w:eastAsia="zh-CN" w:bidi="ar-SA"/>
        </w:rPr>
        <w:t>二是</w:t>
      </w:r>
      <w:r>
        <w:rPr>
          <w:rFonts w:hint="default" w:ascii="Times New Roman" w:hAnsi="Times New Roman" w:cs="Times New Roman"/>
          <w:kern w:val="2"/>
          <w:sz w:val="30"/>
          <w:szCs w:val="30"/>
          <w:lang w:val="en-US" w:eastAsia="zh-CN" w:bidi="ar-SA"/>
        </w:rPr>
        <w:t>2022年至2023年海口集镇中心绿化管养项目的台账也一直存在不完整的情况。这表明项目实施单位在整改监督方面存在不足，导致问题未能得到有效解决。</w:t>
      </w:r>
      <w:r>
        <w:rPr>
          <w:rFonts w:hint="default" w:ascii="Times New Roman" w:hAnsi="Times New Roman" w:cs="Times New Roman"/>
          <w:szCs w:val="30"/>
          <w:lang w:val="en-US" w:eastAsia="zh-CN"/>
        </w:rPr>
        <w:t>因此，指标分值5分，评价得分2分。</w:t>
      </w:r>
    </w:p>
    <w:p w14:paraId="7671F7A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3.产出时效</w:t>
      </w:r>
    </w:p>
    <w:p w14:paraId="64BAA36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（1）养护工作完成及时性</w:t>
      </w:r>
    </w:p>
    <w:p w14:paraId="37DEEB4B">
      <w:pPr>
        <w:pStyle w:val="32"/>
        <w:keepNext w:val="0"/>
        <w:keepLines w:val="0"/>
        <w:pageBreakBefore w:val="0"/>
        <w:widowControl w:val="0"/>
        <w:kinsoku/>
        <w:wordWrap/>
        <w:overflowPunct/>
        <w:topLinePunct w:val="0"/>
        <w:autoSpaceDE/>
        <w:autoSpaceDN/>
        <w:bidi w:val="0"/>
        <w:adjustRightInd/>
        <w:snapToGrid w:val="0"/>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经了解，本项目养护工作均按照时间和计划开展，并未出现不及时的情况。因此，指标分值4分，评价得分4分。</w:t>
      </w:r>
    </w:p>
    <w:p w14:paraId="7F5640A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（2）考核工作开展及时性</w:t>
      </w:r>
    </w:p>
    <w:p w14:paraId="06FE84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经了解，本项目考核工作均按照时间和计划开展，并未出现不及时的情况。因此，指标分值4分，评价得分4分。</w:t>
      </w:r>
    </w:p>
    <w:p w14:paraId="7663544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4.产出成本</w:t>
      </w:r>
    </w:p>
    <w:p w14:paraId="2CE8819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（1）成本控制</w:t>
      </w:r>
      <w:r>
        <w:rPr>
          <w:rFonts w:hint="eastAsia" w:ascii="Times New Roman" w:cs="Times New Roman"/>
          <w:kern w:val="2"/>
          <w:sz w:val="30"/>
          <w:szCs w:val="30"/>
          <w:lang w:val="en-US" w:eastAsia="zh-CN" w:bidi="ar-SA"/>
        </w:rPr>
        <w:t>情况</w:t>
      </w:r>
    </w:p>
    <w:p w14:paraId="0DCD260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eastAsia" w:ascii="Times New Roman" w:cs="Times New Roman"/>
          <w:kern w:val="2"/>
          <w:sz w:val="30"/>
          <w:szCs w:val="30"/>
          <w:lang w:val="en-US" w:eastAsia="zh-CN" w:bidi="ar-SA"/>
        </w:rPr>
        <w:t>根据现场调研，本项目于2024年4月开始就已经出现了停滞，导致路面绿化出现了死亡，长期未修剪等情况，已经严重影响到了当地居民的生活和日常出行。经了解，主要原因是区海口办使用了2024年的预算支付上年度绿化工作的尾款，导致当年度没有足够预算进行招标</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4</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0</w:t>
      </w:r>
      <w:r>
        <w:rPr>
          <w:rFonts w:hint="default" w:ascii="Times New Roman" w:hAnsi="Times New Roman" w:eastAsia="仿宋" w:cs="Times New Roman"/>
          <w:kern w:val="2"/>
          <w:sz w:val="30"/>
          <w:szCs w:val="30"/>
          <w:lang w:val="en-US" w:eastAsia="zh-CN" w:bidi="ar-SA"/>
        </w:rPr>
        <w:t>分。</w:t>
      </w:r>
    </w:p>
    <w:p w14:paraId="43DF4AF1">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305" w:name="_Toc20484"/>
      <w:r>
        <w:rPr>
          <w:rFonts w:hint="default" w:ascii="Times New Roman" w:hAnsi="Times New Roman" w:cs="Times New Roman"/>
        </w:rPr>
        <w:t>（四）效果情况分析</w:t>
      </w:r>
      <w:bookmarkEnd w:id="305"/>
    </w:p>
    <w:p w14:paraId="5C5C986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w:t>
      </w:r>
      <w:r>
        <w:rPr>
          <w:rFonts w:hint="default" w:ascii="Times New Roman" w:hAnsi="Times New Roman" w:cs="Times New Roman"/>
          <w:kern w:val="2"/>
          <w:sz w:val="30"/>
          <w:szCs w:val="30"/>
          <w:lang w:val="en-US" w:eastAsia="zh-CN" w:bidi="ar-SA"/>
        </w:rPr>
        <w:t>效果</w:t>
      </w:r>
      <w:r>
        <w:rPr>
          <w:rFonts w:hint="default" w:ascii="Times New Roman" w:hAnsi="Times New Roman" w:eastAsia="仿宋" w:cs="Times New Roman"/>
          <w:kern w:val="2"/>
          <w:sz w:val="30"/>
          <w:szCs w:val="30"/>
          <w:lang w:val="en-US" w:eastAsia="zh-CN" w:bidi="ar-SA"/>
        </w:rPr>
        <w:t>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w:t>
      </w:r>
      <w:r>
        <w:rPr>
          <w:rFonts w:hint="default" w:ascii="Times New Roman" w:hAnsi="Times New Roman" w:cs="Times New Roman"/>
          <w:kern w:val="2"/>
          <w:sz w:val="30"/>
          <w:szCs w:val="30"/>
          <w:lang w:val="en-US" w:eastAsia="zh-CN" w:bidi="ar-SA"/>
        </w:rPr>
        <w:t>社会效益和满意度两</w:t>
      </w:r>
      <w:r>
        <w:rPr>
          <w:rFonts w:hint="default" w:ascii="Times New Roman" w:hAnsi="Times New Roman" w:eastAsia="仿宋" w:cs="Times New Roman"/>
          <w:kern w:val="2"/>
          <w:sz w:val="30"/>
          <w:szCs w:val="30"/>
          <w:lang w:val="en-US" w:eastAsia="zh-CN" w:bidi="ar-SA"/>
        </w:rPr>
        <w:t>个方面</w:t>
      </w:r>
      <w:r>
        <w:rPr>
          <w:rFonts w:hint="default" w:ascii="Times New Roman" w:hAnsi="Times New Roman" w:eastAsia="仿宋" w:cs="Times New Roman"/>
          <w:kern w:val="2"/>
          <w:sz w:val="30"/>
          <w:szCs w:val="30"/>
          <w:highlight w:val="none"/>
          <w:lang w:val="en-US" w:eastAsia="zh-CN" w:bidi="ar-SA"/>
        </w:rPr>
        <w:t>，采用</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个三级指标进行考察。权重分值3</w:t>
      </w:r>
      <w:r>
        <w:rPr>
          <w:rFonts w:hint="default" w:ascii="Times New Roman" w:hAnsi="Times New Roman" w:cs="Times New Roman"/>
          <w:kern w:val="2"/>
          <w:sz w:val="30"/>
          <w:szCs w:val="30"/>
          <w:highlight w:val="none"/>
          <w:lang w:val="en-US" w:eastAsia="zh-CN" w:bidi="ar-SA"/>
        </w:rPr>
        <w:t>0</w:t>
      </w:r>
      <w:r>
        <w:rPr>
          <w:rFonts w:hint="default" w:ascii="Times New Roman" w:hAnsi="Times New Roman" w:eastAsia="仿宋" w:cs="Times New Roman"/>
          <w:kern w:val="2"/>
          <w:sz w:val="30"/>
          <w:szCs w:val="30"/>
          <w:highlight w:val="none"/>
          <w:lang w:val="en-US" w:eastAsia="zh-CN" w:bidi="ar-SA"/>
        </w:rPr>
        <w:t>分，绩效评价得分</w:t>
      </w:r>
      <w:r>
        <w:rPr>
          <w:rFonts w:hint="default" w:ascii="Times New Roman" w:hAnsi="Times New Roman" w:cs="Times New Roman"/>
          <w:kern w:val="2"/>
          <w:sz w:val="30"/>
          <w:szCs w:val="30"/>
          <w:highlight w:val="none"/>
          <w:lang w:val="en-US" w:eastAsia="zh-CN" w:bidi="ar-SA"/>
        </w:rPr>
        <w:t>27</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90</w:t>
      </w:r>
      <w:r>
        <w:rPr>
          <w:rFonts w:hint="default" w:ascii="Times New Roman" w:hAnsi="Times New Roman" w:eastAsia="仿宋" w:cs="Times New Roman"/>
          <w:kern w:val="2"/>
          <w:sz w:val="30"/>
          <w:szCs w:val="30"/>
          <w:highlight w:val="none"/>
          <w:lang w:val="en-US" w:eastAsia="zh-CN" w:bidi="ar-SA"/>
        </w:rPr>
        <w:t>%。</w:t>
      </w:r>
    </w:p>
    <w:p w14:paraId="0938F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1.社会效益</w:t>
      </w:r>
    </w:p>
    <w:p w14:paraId="168619E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（1）苗木死亡</w:t>
      </w:r>
      <w:r>
        <w:rPr>
          <w:rFonts w:hint="default" w:ascii="Times New Roman" w:hAnsi="Times New Roman" w:cs="Times New Roman"/>
          <w:kern w:val="2"/>
          <w:sz w:val="30"/>
          <w:szCs w:val="30"/>
          <w:lang w:val="en-US" w:eastAsia="zh-CN" w:bidi="ar-SA"/>
        </w:rPr>
        <w:t>情况</w:t>
      </w:r>
    </w:p>
    <w:p w14:paraId="6282E622">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根据访谈及相关考核材料，2023年的绿化养护工作中确实出现了苗木死亡的情况。通常，项目实施单位会要求养护单位对死亡的苗木进行补充。</w:t>
      </w:r>
      <w:r>
        <w:rPr>
          <w:rFonts w:hint="eastAsia" w:ascii="Times New Roman" w:cs="Times New Roman"/>
          <w:kern w:val="2"/>
          <w:sz w:val="30"/>
          <w:szCs w:val="30"/>
          <w:highlight w:val="none"/>
          <w:lang w:val="en-US" w:eastAsia="zh-CN" w:bidi="ar-SA"/>
        </w:rPr>
        <w:t>（现场调研情况见指标“</w:t>
      </w:r>
      <w:r>
        <w:rPr>
          <w:rFonts w:hint="default" w:ascii="Times New Roman" w:hAnsi="Times New Roman" w:eastAsia="仿宋" w:cs="Times New Roman"/>
          <w:kern w:val="2"/>
          <w:sz w:val="30"/>
          <w:szCs w:val="30"/>
          <w:lang w:val="en-US" w:eastAsia="zh-CN" w:bidi="ar-SA"/>
        </w:rPr>
        <w:t>市容提升情况</w:t>
      </w:r>
      <w:r>
        <w:rPr>
          <w:rFonts w:hint="eastAsia" w:ascii="Times New Roman" w:cs="Times New Roman"/>
          <w:kern w:val="2"/>
          <w:sz w:val="30"/>
          <w:szCs w:val="30"/>
          <w:highlight w:val="none"/>
          <w:lang w:val="en-US" w:eastAsia="zh-CN" w:bidi="ar-SA"/>
        </w:rPr>
        <w:t>”）</w:t>
      </w:r>
    </w:p>
    <w:p w14:paraId="2DA467AA">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8</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8</w:t>
      </w:r>
      <w:r>
        <w:rPr>
          <w:rFonts w:hint="default" w:ascii="Times New Roman" w:hAnsi="Times New Roman" w:eastAsia="仿宋" w:cs="Times New Roman"/>
          <w:kern w:val="2"/>
          <w:sz w:val="30"/>
          <w:szCs w:val="30"/>
          <w:highlight w:val="none"/>
          <w:lang w:val="en-US" w:eastAsia="zh-CN" w:bidi="ar-SA"/>
        </w:rPr>
        <w:t>分。</w:t>
      </w:r>
    </w:p>
    <w:p w14:paraId="6999F77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（2）市容提升情况</w:t>
      </w:r>
    </w:p>
    <w:p w14:paraId="7A0F9F7A">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eastAsia" w:ascii="Times New Roman" w:cs="Times New Roman"/>
          <w:kern w:val="2"/>
          <w:sz w:val="30"/>
          <w:szCs w:val="30"/>
          <w:highlight w:val="none"/>
          <w:lang w:val="en-US" w:eastAsia="zh-CN" w:bidi="ar-SA"/>
        </w:rPr>
        <w:t>根据调研，目前由于区海口办使用了2024年部分项目款用于支付上年度的项目尾款，导致2024年的资金紧张，目前，绿化工作已经停滞，导致路面的树枝长期未进行修剪，已经严重影响市容，并影响到路人行走。同时由于长期缺乏养护，路边绿化带出现不同程度的苗木死亡情况</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8</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分。</w:t>
      </w:r>
    </w:p>
    <w:p w14:paraId="1507538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3.满意度</w:t>
      </w:r>
    </w:p>
    <w:p w14:paraId="2166578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受益对象满意度：本次发放电子问卷</w:t>
      </w:r>
      <w:r>
        <w:rPr>
          <w:rFonts w:hint="eastAsia" w:ascii="Times New Roman" w:cs="Times New Roman"/>
          <w:kern w:val="2"/>
          <w:sz w:val="30"/>
          <w:szCs w:val="30"/>
          <w:highlight w:val="none"/>
          <w:lang w:val="en-US" w:eastAsia="zh-CN" w:bidi="ar-SA"/>
        </w:rPr>
        <w:t>共</w:t>
      </w:r>
      <w:r>
        <w:rPr>
          <w:rFonts w:hint="default" w:ascii="Times New Roman" w:hAnsi="Times New Roman" w:cs="Times New Roman"/>
          <w:kern w:val="2"/>
          <w:sz w:val="30"/>
          <w:szCs w:val="30"/>
          <w:highlight w:val="none"/>
          <w:lang w:val="en-US" w:eastAsia="zh-CN" w:bidi="ar-SA"/>
        </w:rPr>
        <w:t>回收有效问卷</w:t>
      </w:r>
      <w:r>
        <w:rPr>
          <w:rFonts w:hint="eastAsia" w:ascii="Times New Roman" w:cs="Times New Roman"/>
          <w:kern w:val="2"/>
          <w:sz w:val="30"/>
          <w:szCs w:val="30"/>
          <w:highlight w:val="none"/>
          <w:lang w:val="en-US" w:eastAsia="zh-CN" w:bidi="ar-SA"/>
        </w:rPr>
        <w:t>50</w:t>
      </w:r>
      <w:r>
        <w:rPr>
          <w:rFonts w:hint="default" w:ascii="Times New Roman" w:hAnsi="Times New Roman" w:cs="Times New Roman"/>
          <w:kern w:val="2"/>
          <w:sz w:val="30"/>
          <w:szCs w:val="30"/>
          <w:highlight w:val="none"/>
          <w:lang w:val="en-US" w:eastAsia="zh-CN" w:bidi="ar-SA"/>
        </w:rPr>
        <w:t>份，经项目组统计计算，受益对象满意度为</w:t>
      </w:r>
      <w:r>
        <w:rPr>
          <w:rFonts w:hint="eastAsia" w:ascii="Times New Roman" w:cs="Times New Roman"/>
          <w:kern w:val="2"/>
          <w:sz w:val="30"/>
          <w:szCs w:val="30"/>
          <w:highlight w:val="none"/>
          <w:lang w:val="en-US" w:eastAsia="zh-CN" w:bidi="ar-SA"/>
        </w:rPr>
        <w:t>96</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15</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15</w:t>
      </w:r>
      <w:r>
        <w:rPr>
          <w:rFonts w:hint="default" w:ascii="Times New Roman" w:hAnsi="Times New Roman" w:eastAsia="仿宋" w:cs="Times New Roman"/>
          <w:kern w:val="2"/>
          <w:sz w:val="30"/>
          <w:szCs w:val="30"/>
          <w:highlight w:val="none"/>
          <w:lang w:val="en-US" w:eastAsia="zh-CN" w:bidi="ar-SA"/>
        </w:rPr>
        <w:t>分。</w:t>
      </w:r>
    </w:p>
    <w:p w14:paraId="46AC6891">
      <w:pPr>
        <w:pStyle w:val="35"/>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306" w:name="_Toc787"/>
      <w:r>
        <w:rPr>
          <w:rFonts w:hint="eastAsia" w:ascii="Times New Roman" w:hAnsi="Times New Roman" w:cs="Times New Roman"/>
          <w:lang w:val="en-US" w:eastAsia="zh-CN"/>
        </w:rPr>
        <w:t>五</w:t>
      </w:r>
      <w:r>
        <w:rPr>
          <w:rFonts w:hint="default" w:ascii="Times New Roman" w:hAnsi="Times New Roman" w:cs="Times New Roman"/>
          <w:lang w:val="en-US" w:eastAsia="zh-CN"/>
        </w:rPr>
        <w:t>、存在问题及原因分析</w:t>
      </w:r>
      <w:bookmarkEnd w:id="306"/>
    </w:p>
    <w:p w14:paraId="47957F90">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07" w:name="_Toc17755"/>
      <w:bookmarkStart w:id="308" w:name="_Toc14030"/>
      <w:r>
        <w:rPr>
          <w:rFonts w:hint="default" w:ascii="Times New Roman" w:hAnsi="Times New Roman" w:cs="Times New Roman"/>
          <w:lang w:val="en-US" w:eastAsia="zh-CN"/>
        </w:rPr>
        <w:t>（一）</w:t>
      </w:r>
      <w:bookmarkEnd w:id="307"/>
      <w:r>
        <w:rPr>
          <w:rFonts w:hint="default" w:ascii="Times New Roman" w:hAnsi="Times New Roman" w:cs="Times New Roman"/>
          <w:lang w:val="en-US" w:eastAsia="zh-CN"/>
        </w:rPr>
        <w:t>预算编制不科学，预算</w:t>
      </w:r>
      <w:r>
        <w:rPr>
          <w:rFonts w:hint="eastAsia" w:cs="Times New Roman"/>
          <w:lang w:val="en-US" w:eastAsia="zh-CN"/>
        </w:rPr>
        <w:t>编制</w:t>
      </w:r>
      <w:r>
        <w:rPr>
          <w:rFonts w:hint="default" w:ascii="Times New Roman" w:hAnsi="Times New Roman" w:cs="Times New Roman"/>
          <w:lang w:val="en-US" w:eastAsia="zh-CN"/>
        </w:rPr>
        <w:t>管理有待加强</w:t>
      </w:r>
      <w:bookmarkEnd w:id="308"/>
    </w:p>
    <w:p w14:paraId="45DF230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kern w:val="2"/>
          <w:sz w:val="30"/>
          <w:szCs w:val="30"/>
          <w:highlight w:val="none"/>
          <w:lang w:val="en-US" w:eastAsia="zh-CN" w:bidi="ar-SA"/>
        </w:rPr>
        <w:t>项目组查看了合同，发现</w:t>
      </w:r>
      <w:r>
        <w:rPr>
          <w:rFonts w:hint="eastAsia" w:ascii="Times New Roman" w:cs="Times New Roman"/>
          <w:kern w:val="2"/>
          <w:sz w:val="30"/>
          <w:szCs w:val="30"/>
          <w:highlight w:val="none"/>
          <w:lang w:val="en-US" w:eastAsia="zh-CN" w:bidi="ar-SA"/>
        </w:rPr>
        <w:t>项目</w:t>
      </w:r>
      <w:r>
        <w:rPr>
          <w:rFonts w:hint="default" w:ascii="Times New Roman" w:hAnsi="Times New Roman" w:cs="Times New Roman"/>
          <w:kern w:val="2"/>
          <w:sz w:val="30"/>
          <w:szCs w:val="30"/>
          <w:highlight w:val="none"/>
          <w:lang w:val="en-US" w:eastAsia="zh-CN" w:bidi="ar-SA"/>
        </w:rPr>
        <w:t>预算细项编制不够科学，如2022年</w:t>
      </w:r>
      <w:r>
        <w:rPr>
          <w:rFonts w:hint="eastAsia" w:ascii="Times New Roman" w:cs="Times New Roman"/>
          <w:kern w:val="2"/>
          <w:sz w:val="30"/>
          <w:szCs w:val="30"/>
          <w:highlight w:val="none"/>
          <w:lang w:val="en-US" w:eastAsia="zh-CN" w:bidi="ar-SA"/>
        </w:rPr>
        <w:t>签订的</w:t>
      </w:r>
      <w:r>
        <w:rPr>
          <w:rFonts w:hint="default" w:ascii="Times New Roman" w:hAnsi="Times New Roman" w:cs="Times New Roman"/>
          <w:kern w:val="2"/>
          <w:sz w:val="30"/>
          <w:szCs w:val="30"/>
          <w:highlight w:val="none"/>
          <w:lang w:val="en-US" w:eastAsia="zh-CN" w:bidi="ar-SA"/>
        </w:rPr>
        <w:t>海口集镇中心绿化管养费项目合同，</w:t>
      </w:r>
      <w:r>
        <w:rPr>
          <w:rFonts w:hint="eastAsia" w:ascii="Times New Roman" w:cs="Times New Roman"/>
          <w:kern w:val="2"/>
          <w:sz w:val="30"/>
          <w:szCs w:val="30"/>
          <w:highlight w:val="none"/>
          <w:lang w:val="en-US" w:eastAsia="zh-CN" w:bidi="ar-SA"/>
        </w:rPr>
        <w:t>约定2023年</w:t>
      </w:r>
      <w:r>
        <w:rPr>
          <w:rFonts w:hint="default" w:ascii="Times New Roman" w:hAnsi="Times New Roman" w:cs="Times New Roman"/>
          <w:kern w:val="2"/>
          <w:sz w:val="30"/>
          <w:szCs w:val="30"/>
          <w:highlight w:val="none"/>
          <w:lang w:val="en-US" w:eastAsia="zh-CN" w:bidi="ar-SA"/>
        </w:rPr>
        <w:t>每个</w:t>
      </w:r>
      <w:r>
        <w:rPr>
          <w:rFonts w:hint="eastAsia" w:ascii="Times New Roman" w:cs="Times New Roman"/>
          <w:kern w:val="2"/>
          <w:sz w:val="30"/>
          <w:szCs w:val="30"/>
          <w:highlight w:val="none"/>
          <w:lang w:val="en-US" w:eastAsia="zh-CN" w:bidi="ar-SA"/>
        </w:rPr>
        <w:t>季度</w:t>
      </w:r>
      <w:r>
        <w:rPr>
          <w:rFonts w:hint="default" w:ascii="Times New Roman" w:hAnsi="Times New Roman" w:cs="Times New Roman"/>
          <w:kern w:val="2"/>
          <w:sz w:val="30"/>
          <w:szCs w:val="30"/>
          <w:highlight w:val="none"/>
          <w:lang w:val="en-US" w:eastAsia="zh-CN" w:bidi="ar-SA"/>
        </w:rPr>
        <w:t>根据考核结果支付合同总金额的12.5%，即为46.81万元，</w:t>
      </w:r>
      <w:r>
        <w:rPr>
          <w:rFonts w:hint="eastAsia" w:ascii="Times New Roman" w:cs="Times New Roman"/>
          <w:kern w:val="2"/>
          <w:sz w:val="30"/>
          <w:szCs w:val="30"/>
          <w:highlight w:val="none"/>
          <w:lang w:val="en-US" w:eastAsia="zh-CN" w:bidi="ar-SA"/>
        </w:rPr>
        <w:t>2023</w:t>
      </w:r>
      <w:r>
        <w:rPr>
          <w:rFonts w:hint="default" w:ascii="Times New Roman" w:hAnsi="Times New Roman" w:cs="Times New Roman"/>
          <w:kern w:val="2"/>
          <w:sz w:val="30"/>
          <w:szCs w:val="30"/>
          <w:highlight w:val="none"/>
          <w:lang w:val="en-US" w:eastAsia="zh-CN" w:bidi="ar-SA"/>
        </w:rPr>
        <w:t>年一共所需</w:t>
      </w:r>
      <w:r>
        <w:rPr>
          <w:rFonts w:hint="eastAsia" w:ascii="Times New Roman" w:cs="Times New Roman"/>
          <w:kern w:val="2"/>
          <w:sz w:val="30"/>
          <w:szCs w:val="30"/>
          <w:highlight w:val="none"/>
          <w:lang w:val="en-US" w:eastAsia="zh-CN" w:bidi="ar-SA"/>
        </w:rPr>
        <w:t>支付金额为</w:t>
      </w:r>
      <w:r>
        <w:rPr>
          <w:rFonts w:hint="default" w:ascii="Times New Roman" w:hAnsi="Times New Roman" w:cs="Times New Roman"/>
          <w:kern w:val="2"/>
          <w:sz w:val="30"/>
          <w:szCs w:val="30"/>
          <w:highlight w:val="none"/>
          <w:lang w:val="en-US" w:eastAsia="zh-CN" w:bidi="ar-SA"/>
        </w:rPr>
        <w:t>187.24万元。但</w:t>
      </w:r>
      <w:r>
        <w:rPr>
          <w:rFonts w:hint="eastAsia" w:ascii="Times New Roman" w:cs="Times New Roman"/>
          <w:kern w:val="2"/>
          <w:sz w:val="30"/>
          <w:szCs w:val="30"/>
          <w:highlight w:val="none"/>
          <w:lang w:val="en-US" w:eastAsia="zh-CN" w:bidi="ar-SA"/>
        </w:rPr>
        <w:t>2023年</w:t>
      </w:r>
      <w:r>
        <w:rPr>
          <w:rFonts w:hint="default" w:ascii="Times New Roman" w:hAnsi="Times New Roman" w:cs="Times New Roman"/>
          <w:kern w:val="2"/>
          <w:sz w:val="30"/>
          <w:szCs w:val="30"/>
          <w:highlight w:val="none"/>
          <w:lang w:val="en-US" w:eastAsia="zh-CN" w:bidi="ar-SA"/>
        </w:rPr>
        <w:t>预算</w:t>
      </w:r>
      <w:r>
        <w:rPr>
          <w:rFonts w:hint="eastAsia" w:ascii="Times New Roman" w:cs="Times New Roman"/>
          <w:kern w:val="2"/>
          <w:sz w:val="30"/>
          <w:szCs w:val="30"/>
          <w:highlight w:val="none"/>
          <w:lang w:val="en-US" w:eastAsia="zh-CN" w:bidi="ar-SA"/>
        </w:rPr>
        <w:t>编制时</w:t>
      </w:r>
      <w:r>
        <w:rPr>
          <w:rFonts w:hint="default" w:ascii="Times New Roman" w:hAnsi="Times New Roman" w:cs="Times New Roman"/>
          <w:kern w:val="2"/>
          <w:sz w:val="30"/>
          <w:szCs w:val="30"/>
          <w:highlight w:val="none"/>
          <w:lang w:val="en-US" w:eastAsia="zh-CN" w:bidi="ar-SA"/>
        </w:rPr>
        <w:t>，该项目</w:t>
      </w:r>
      <w:r>
        <w:rPr>
          <w:rFonts w:hint="eastAsia" w:ascii="Times New Roman" w:cs="Times New Roman"/>
          <w:kern w:val="2"/>
          <w:sz w:val="30"/>
          <w:szCs w:val="30"/>
          <w:highlight w:val="none"/>
          <w:lang w:val="en-US" w:eastAsia="zh-CN" w:bidi="ar-SA"/>
        </w:rPr>
        <w:t>实际编制</w:t>
      </w:r>
      <w:r>
        <w:rPr>
          <w:rFonts w:hint="default" w:ascii="Times New Roman" w:hAnsi="Times New Roman" w:cs="Times New Roman"/>
          <w:kern w:val="2"/>
          <w:sz w:val="30"/>
          <w:szCs w:val="30"/>
          <w:highlight w:val="none"/>
          <w:lang w:val="en-US" w:eastAsia="zh-CN" w:bidi="ar-SA"/>
        </w:rPr>
        <w:t>了192.42万元</w:t>
      </w:r>
      <w:r>
        <w:rPr>
          <w:rFonts w:hint="eastAsia" w:ascii="Times New Roman" w:cs="Times New Roman"/>
          <w:kern w:val="2"/>
          <w:sz w:val="30"/>
          <w:szCs w:val="30"/>
          <w:highlight w:val="none"/>
          <w:lang w:val="en-US" w:eastAsia="zh-CN" w:bidi="ar-SA"/>
        </w:rPr>
        <w:t>预算，预算编制不科学。</w:t>
      </w:r>
      <w:r>
        <w:rPr>
          <w:rFonts w:hint="default" w:ascii="Times New Roman" w:hAnsi="Times New Roman" w:cs="Times New Roman"/>
          <w:kern w:val="2"/>
          <w:sz w:val="30"/>
          <w:szCs w:val="30"/>
          <w:highlight w:val="none"/>
          <w:lang w:val="en-US" w:eastAsia="zh-CN" w:bidi="ar-SA"/>
        </w:rPr>
        <w:t>经了解，本项目主要是参考历年的预算情况</w:t>
      </w:r>
      <w:r>
        <w:rPr>
          <w:rFonts w:hint="eastAsia" w:ascii="Times New Roman" w:cs="Times New Roman"/>
          <w:kern w:val="2"/>
          <w:sz w:val="30"/>
          <w:szCs w:val="30"/>
          <w:highlight w:val="none"/>
          <w:lang w:val="en-US" w:eastAsia="zh-CN" w:bidi="ar-SA"/>
        </w:rPr>
        <w:t>进行编制</w:t>
      </w:r>
      <w:r>
        <w:rPr>
          <w:rFonts w:hint="default" w:ascii="Times New Roman" w:hAnsi="Times New Roman" w:cs="Times New Roman"/>
          <w:kern w:val="2"/>
          <w:sz w:val="30"/>
          <w:szCs w:val="30"/>
          <w:highlight w:val="none"/>
          <w:lang w:val="en-US" w:eastAsia="zh-CN" w:bidi="ar-SA"/>
        </w:rPr>
        <w:t>，未充分考虑</w:t>
      </w:r>
      <w:r>
        <w:rPr>
          <w:rFonts w:hint="eastAsia" w:ascii="Times New Roman" w:cs="Times New Roman"/>
          <w:kern w:val="2"/>
          <w:sz w:val="30"/>
          <w:szCs w:val="30"/>
          <w:highlight w:val="none"/>
          <w:lang w:val="en-US" w:eastAsia="zh-CN" w:bidi="ar-SA"/>
        </w:rPr>
        <w:t>实际</w:t>
      </w:r>
      <w:r>
        <w:rPr>
          <w:rFonts w:hint="default" w:ascii="Times New Roman" w:hAnsi="Times New Roman" w:cs="Times New Roman"/>
          <w:kern w:val="2"/>
          <w:sz w:val="30"/>
          <w:szCs w:val="30"/>
          <w:highlight w:val="none"/>
          <w:lang w:val="en-US" w:eastAsia="zh-CN" w:bidi="ar-SA"/>
        </w:rPr>
        <w:t>所需</w:t>
      </w:r>
      <w:r>
        <w:rPr>
          <w:rFonts w:hint="eastAsia" w:ascii="Times New Roman" w:cs="Times New Roman"/>
          <w:kern w:val="2"/>
          <w:sz w:val="30"/>
          <w:szCs w:val="30"/>
          <w:highlight w:val="none"/>
          <w:lang w:val="en-US" w:eastAsia="zh-CN" w:bidi="ar-SA"/>
        </w:rPr>
        <w:t>金额，</w:t>
      </w:r>
      <w:r>
        <w:rPr>
          <w:rFonts w:hint="default" w:ascii="Times New Roman" w:hAnsi="Times New Roman" w:cs="Times New Roman"/>
          <w:kern w:val="2"/>
          <w:sz w:val="30"/>
          <w:szCs w:val="30"/>
          <w:highlight w:val="none"/>
          <w:lang w:val="en-US" w:eastAsia="zh-CN" w:bidi="ar-SA"/>
        </w:rPr>
        <w:t>预算编制管理有待加强。</w:t>
      </w:r>
    </w:p>
    <w:p w14:paraId="4F974039">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09" w:name="_Toc8747"/>
      <w:bookmarkStart w:id="310" w:name="_Toc13718"/>
      <w:r>
        <w:rPr>
          <w:rFonts w:hint="default" w:ascii="Times New Roman" w:hAnsi="Times New Roman" w:cs="Times New Roman"/>
          <w:lang w:val="en-US" w:eastAsia="zh-CN"/>
        </w:rPr>
        <w:t>（二）</w:t>
      </w:r>
      <w:bookmarkEnd w:id="309"/>
      <w:r>
        <w:rPr>
          <w:rFonts w:hint="default" w:ascii="Times New Roman" w:hAnsi="Times New Roman" w:cs="Times New Roman"/>
          <w:lang w:val="en-US" w:eastAsia="zh-CN"/>
        </w:rPr>
        <w:t>项目处于停滞状态，项目管理有待加强</w:t>
      </w:r>
      <w:bookmarkEnd w:id="310"/>
    </w:p>
    <w:p w14:paraId="5920FFA4">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11" w:name="_Toc10569"/>
      <w:bookmarkStart w:id="312" w:name="_Toc24299"/>
      <w:r>
        <w:rPr>
          <w:rFonts w:hint="default" w:ascii="Times New Roman" w:hAnsi="Times New Roman" w:eastAsia="仿宋" w:cs="Times New Roman"/>
          <w:kern w:val="2"/>
          <w:sz w:val="30"/>
          <w:szCs w:val="30"/>
          <w:highlight w:val="none"/>
          <w:lang w:val="en-US" w:eastAsia="zh-CN" w:bidi="ar-SA"/>
        </w:rPr>
        <w:t>根据访谈，由于2024年部分预算用于支付上年度的项目款项，导致从2024年4月起，绿化养护工作资金紧张，未能继续开展采购委托相应的养护单位开展绿化养护工作，目前，路面上已出现部分苗木死亡的现象，而项目实施单位并未对树木进行自主养护。由于缺乏有效的后续管理和维护措施，这些问题在一定程度上影响了绿化效果，导致了绿化带影响了居民日常生活。</w:t>
      </w:r>
      <w:bookmarkEnd w:id="311"/>
      <w:bookmarkEnd w:id="312"/>
    </w:p>
    <w:p w14:paraId="35EC5746">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13" w:name="_Toc1083"/>
      <w:r>
        <w:rPr>
          <w:rFonts w:hint="default" w:ascii="Times New Roman" w:hAnsi="Times New Roman" w:cs="Times New Roman"/>
          <w:lang w:val="en-US" w:eastAsia="zh-CN"/>
        </w:rPr>
        <w:t>（</w:t>
      </w:r>
      <w:r>
        <w:rPr>
          <w:rFonts w:hint="eastAsia" w:cs="Times New Roman"/>
          <w:lang w:val="en-US" w:eastAsia="zh-CN"/>
        </w:rPr>
        <w:t>三</w:t>
      </w:r>
      <w:r>
        <w:rPr>
          <w:rFonts w:hint="default" w:ascii="Times New Roman" w:hAnsi="Times New Roman" w:cs="Times New Roman"/>
          <w:lang w:val="en-US" w:eastAsia="zh-CN"/>
        </w:rPr>
        <w:t>）</w:t>
      </w:r>
      <w:r>
        <w:rPr>
          <w:rFonts w:hint="eastAsia" w:cs="Times New Roman"/>
          <w:lang w:val="en-US" w:eastAsia="zh-CN"/>
        </w:rPr>
        <w:t>考核工作监管不到位，同类别问题出现频率高</w:t>
      </w:r>
    </w:p>
    <w:p w14:paraId="5FD9F678">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根据台账资料，项目实施单位</w:t>
      </w:r>
      <w:r>
        <w:rPr>
          <w:rFonts w:hint="eastAsia" w:eastAsia="仿宋" w:cs="Times New Roman"/>
          <w:kern w:val="2"/>
          <w:sz w:val="30"/>
          <w:szCs w:val="30"/>
          <w:highlight w:val="none"/>
          <w:lang w:val="en-US" w:eastAsia="zh-CN" w:bidi="ar-SA"/>
        </w:rPr>
        <w:t>在考核中</w:t>
      </w:r>
      <w:r>
        <w:rPr>
          <w:rFonts w:hint="default" w:ascii="Times New Roman" w:hAnsi="Times New Roman" w:eastAsia="仿宋" w:cs="Times New Roman"/>
          <w:kern w:val="2"/>
          <w:sz w:val="30"/>
          <w:szCs w:val="30"/>
          <w:highlight w:val="none"/>
          <w:lang w:val="en-US" w:eastAsia="zh-CN" w:bidi="ar-SA"/>
        </w:rPr>
        <w:t>提出的一些问题存在重复。一是昆明市西山区海口街道办事处三供一业绿化管养项目中，第三季度和第四季度均出现了植物死亡情况以及台账查验不够细致的情况；二是2022年至2023年海口集镇中心绿化管养项目的台账</w:t>
      </w:r>
      <w:r>
        <w:rPr>
          <w:rFonts w:hint="eastAsia" w:eastAsia="仿宋" w:cs="Times New Roman"/>
          <w:kern w:val="2"/>
          <w:sz w:val="30"/>
          <w:szCs w:val="30"/>
          <w:highlight w:val="none"/>
          <w:lang w:val="en-US" w:eastAsia="zh-CN" w:bidi="ar-SA"/>
        </w:rPr>
        <w:t>每季度均</w:t>
      </w:r>
      <w:r>
        <w:rPr>
          <w:rFonts w:hint="default" w:ascii="Times New Roman" w:hAnsi="Times New Roman" w:eastAsia="仿宋" w:cs="Times New Roman"/>
          <w:kern w:val="2"/>
          <w:sz w:val="30"/>
          <w:szCs w:val="30"/>
          <w:highlight w:val="none"/>
          <w:lang w:val="en-US" w:eastAsia="zh-CN" w:bidi="ar-SA"/>
        </w:rPr>
        <w:t>存在不完整的情况。</w:t>
      </w:r>
    </w:p>
    <w:p w14:paraId="629F2E9B">
      <w:pPr>
        <w:pStyle w:val="35"/>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六</w:t>
      </w:r>
      <w:r>
        <w:rPr>
          <w:rFonts w:hint="default" w:ascii="Times New Roman" w:hAnsi="Times New Roman" w:cs="Times New Roman"/>
          <w:lang w:val="en-US" w:eastAsia="zh-CN"/>
        </w:rPr>
        <w:t>、建议</w:t>
      </w:r>
      <w:bookmarkEnd w:id="313"/>
      <w:bookmarkStart w:id="314" w:name="_Toc4297"/>
    </w:p>
    <w:bookmarkEnd w:id="314"/>
    <w:p w14:paraId="4F61E737">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15" w:name="_Toc32431"/>
      <w:r>
        <w:rPr>
          <w:rFonts w:hint="default" w:ascii="Times New Roman" w:hAnsi="Times New Roman" w:cs="Times New Roman"/>
          <w:lang w:val="en-US" w:eastAsia="zh-CN"/>
        </w:rPr>
        <w:t>（一）</w:t>
      </w:r>
      <w:r>
        <w:rPr>
          <w:rFonts w:hint="eastAsia" w:cs="Times New Roman"/>
          <w:lang w:val="en-US" w:eastAsia="zh-CN"/>
        </w:rPr>
        <w:t>充分考虑预算需求</w:t>
      </w:r>
      <w:r>
        <w:rPr>
          <w:rFonts w:hint="default" w:ascii="Times New Roman" w:hAnsi="Times New Roman" w:cs="Times New Roman"/>
          <w:lang w:val="en-US" w:eastAsia="zh-CN"/>
        </w:rPr>
        <w:t>，</w:t>
      </w:r>
      <w:r>
        <w:rPr>
          <w:rFonts w:hint="eastAsia" w:cs="Times New Roman"/>
          <w:lang w:val="en-US" w:eastAsia="zh-CN"/>
        </w:rPr>
        <w:t>进一步提升</w:t>
      </w:r>
      <w:r>
        <w:rPr>
          <w:rFonts w:hint="default" w:ascii="Times New Roman" w:hAnsi="Times New Roman" w:cs="Times New Roman"/>
          <w:lang w:val="en-US" w:eastAsia="zh-CN"/>
        </w:rPr>
        <w:t>预算</w:t>
      </w:r>
      <w:r>
        <w:rPr>
          <w:rFonts w:hint="eastAsia" w:cs="Times New Roman"/>
          <w:lang w:val="en-US" w:eastAsia="zh-CN"/>
        </w:rPr>
        <w:t>编制的合理性</w:t>
      </w:r>
      <w:bookmarkEnd w:id="315"/>
    </w:p>
    <w:p w14:paraId="44F106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szCs w:val="30"/>
          <w:lang w:val="en-US" w:eastAsia="zh-CN"/>
        </w:rPr>
      </w:pPr>
      <w:r>
        <w:rPr>
          <w:rFonts w:hint="default" w:ascii="Times New Roman" w:hAnsi="Times New Roman" w:cs="Times New Roman"/>
          <w:kern w:val="2"/>
          <w:sz w:val="30"/>
          <w:szCs w:val="30"/>
          <w:highlight w:val="none"/>
          <w:lang w:val="en-US" w:eastAsia="zh-CN" w:bidi="ar-SA"/>
        </w:rPr>
        <w:t>建议区海口街道办严格按照合同规定的金额和时间节点，确保每个季度或月份的资金安排与合同实际执行情况相匹配。例如，本项目中提到的季度付款比例应准确反映在年度预算申请中，避免申请资金与实际需求出现偏差。</w:t>
      </w:r>
    </w:p>
    <w:p w14:paraId="6B527D0B">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16" w:name="_Toc9509"/>
      <w:r>
        <w:rPr>
          <w:rFonts w:hint="default" w:ascii="Times New Roman" w:hAnsi="Times New Roman" w:cs="Times New Roman"/>
          <w:lang w:val="en-US" w:eastAsia="zh-CN"/>
        </w:rPr>
        <w:t>（二）加强项目管理工作，进一步保障项目的可持续性</w:t>
      </w:r>
      <w:bookmarkEnd w:id="316"/>
    </w:p>
    <w:p w14:paraId="30829F69">
      <w:pPr>
        <w:pStyle w:val="36"/>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建议优化项目管理和资金安排，以确保项目的持续性和稳定性。一是制定并实施有效的资金管理计划，确保项目资金按时到位，避免因资金紧张导致项目停滞；二是建立健全后续自主管理和维护机制，定期对绿化养护工作进行监督和检查，确保养护工作不因资金问题而中断。</w:t>
      </w:r>
    </w:p>
    <w:p w14:paraId="3A8A97D7">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17" w:name="_Hlk525314575"/>
      <w:r>
        <w:rPr>
          <w:rFonts w:hint="default" w:ascii="Times New Roman" w:hAnsi="Times New Roman" w:cs="Times New Roman"/>
          <w:lang w:val="en-US" w:eastAsia="zh-CN"/>
        </w:rPr>
        <w:t>（</w:t>
      </w:r>
      <w:r>
        <w:rPr>
          <w:rFonts w:hint="eastAsia" w:cs="Times New Roman"/>
          <w:lang w:val="en-US" w:eastAsia="zh-CN"/>
        </w:rPr>
        <w:t>三</w:t>
      </w:r>
      <w:r>
        <w:rPr>
          <w:rFonts w:hint="default" w:ascii="Times New Roman" w:hAnsi="Times New Roman" w:cs="Times New Roman"/>
          <w:lang w:val="en-US" w:eastAsia="zh-CN"/>
        </w:rPr>
        <w:t>）</w:t>
      </w:r>
      <w:r>
        <w:rPr>
          <w:rFonts w:hint="eastAsia" w:cs="Times New Roman"/>
          <w:lang w:val="en-US" w:eastAsia="zh-CN"/>
        </w:rPr>
        <w:t>优化合同考核要求，加大监管力度，进一步提升服务单位的工作质量</w:t>
      </w:r>
    </w:p>
    <w:p w14:paraId="74DFE5F0">
      <w:pPr>
        <w:pStyle w:val="36"/>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eastAsia="仿宋" w:cs="Times New Roman"/>
          <w:kern w:val="2"/>
          <w:sz w:val="30"/>
          <w:szCs w:val="30"/>
          <w:highlight w:val="none"/>
          <w:lang w:val="en-US" w:eastAsia="zh-CN" w:bidi="ar-SA"/>
        </w:rPr>
      </w:pPr>
      <w:r>
        <w:rPr>
          <w:rFonts w:hint="eastAsia" w:eastAsia="仿宋" w:cs="Times New Roman"/>
          <w:kern w:val="2"/>
          <w:sz w:val="30"/>
          <w:szCs w:val="30"/>
          <w:highlight w:val="none"/>
          <w:lang w:val="en-US" w:eastAsia="zh-CN" w:bidi="ar-SA"/>
        </w:rPr>
        <w:t>建议区海口街道办进一步优化合同条款，特别是考核细则中的评分指标，对于每季度重复出现的同类问题，应加大处罚力度。同时，强化问题整改的监管机制，要求整改方在规定期限内提交整改报告，考核方需在实地核实整改情况后，方可进行资金拨款。进一步减少问题的反复出现。</w:t>
      </w:r>
      <w:bookmarkStart w:id="319" w:name="_GoBack"/>
      <w:bookmarkEnd w:id="319"/>
    </w:p>
    <w:p w14:paraId="64A2A894">
      <w:pPr>
        <w:rPr>
          <w:rFonts w:hint="default" w:ascii="Times New Roman" w:hAnsi="Times New Roman" w:cs="Times New Roman"/>
          <w:b/>
          <w:bCs/>
          <w:szCs w:val="30"/>
        </w:rPr>
      </w:pPr>
    </w:p>
    <w:p w14:paraId="4418A720">
      <w:pPr>
        <w:rPr>
          <w:rFonts w:hint="default" w:ascii="Times New Roman" w:hAnsi="Times New Roman" w:cs="Times New Roman"/>
          <w:b/>
          <w:bCs/>
          <w:szCs w:val="30"/>
        </w:rPr>
      </w:pPr>
      <w:r>
        <w:rPr>
          <w:rFonts w:hint="default" w:ascii="Times New Roman" w:hAnsi="Times New Roman" w:cs="Times New Roman"/>
          <w:b/>
          <w:bCs/>
          <w:szCs w:val="30"/>
        </w:rPr>
        <w:br w:type="page"/>
      </w:r>
    </w:p>
    <w:p w14:paraId="5F324A44">
      <w:pPr>
        <w:spacing w:line="579" w:lineRule="exact"/>
        <w:ind w:firstLine="630" w:firstLineChars="200"/>
        <w:rPr>
          <w:rFonts w:hint="default" w:ascii="Times New Roman" w:hAnsi="Times New Roman" w:cs="Times New Roman"/>
          <w:b/>
          <w:bCs/>
          <w:szCs w:val="30"/>
        </w:rPr>
      </w:pPr>
      <w:r>
        <w:rPr>
          <w:rFonts w:hint="default" w:ascii="Times New Roman" w:hAnsi="Times New Roman" w:cs="Times New Roman"/>
          <w:b/>
          <w:bCs/>
          <w:szCs w:val="30"/>
        </w:rPr>
        <w:t>附件：</w:t>
      </w:r>
    </w:p>
    <w:p w14:paraId="3A257D34">
      <w:pPr>
        <w:spacing w:line="579" w:lineRule="exact"/>
        <w:ind w:firstLine="630" w:firstLineChars="200"/>
        <w:rPr>
          <w:rFonts w:hint="default" w:ascii="Times New Roman" w:hAnsi="Times New Roman" w:cs="Times New Roman"/>
          <w:szCs w:val="30"/>
        </w:rPr>
      </w:pPr>
      <w:r>
        <w:rPr>
          <w:rFonts w:hint="default" w:ascii="Times New Roman" w:hAnsi="Times New Roman" w:cs="Times New Roman"/>
          <w:szCs w:val="30"/>
          <w:lang w:val="en-US" w:eastAsia="zh-CN"/>
        </w:rPr>
        <w:t>附件</w:t>
      </w:r>
      <w:r>
        <w:rPr>
          <w:rFonts w:hint="default" w:ascii="Times New Roman" w:hAnsi="Times New Roman" w:cs="Times New Roman"/>
          <w:szCs w:val="30"/>
        </w:rPr>
        <w:t>1</w:t>
      </w:r>
      <w:r>
        <w:rPr>
          <w:rFonts w:hint="default" w:ascii="Times New Roman" w:hAnsi="Times New Roman" w:cs="Times New Roman"/>
          <w:szCs w:val="30"/>
          <w:lang w:eastAsia="zh-CN"/>
        </w:rPr>
        <w:t>：</w:t>
      </w:r>
      <w:r>
        <w:rPr>
          <w:rFonts w:hint="eastAsia"/>
          <w:lang w:val="en-US" w:eastAsia="zh-CN"/>
        </w:rPr>
        <w:t xml:space="preserve"> 园林绿化维护专项经费项目</w:t>
      </w:r>
      <w:r>
        <w:rPr>
          <w:rFonts w:hint="default" w:ascii="Times New Roman" w:hAnsi="Times New Roman" w:cs="Times New Roman"/>
          <w:szCs w:val="30"/>
        </w:rPr>
        <w:t>绩效目标表</w:t>
      </w:r>
    </w:p>
    <w:p w14:paraId="70D72DB9">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附件2</w:t>
      </w:r>
      <w:bookmarkStart w:id="318" w:name="_Hlk527019547"/>
      <w:r>
        <w:rPr>
          <w:rFonts w:hint="default" w:ascii="Times New Roman" w:hAnsi="Times New Roman" w:cs="Times New Roman"/>
          <w:szCs w:val="30"/>
          <w:lang w:val="en-US" w:eastAsia="zh-CN"/>
        </w:rPr>
        <w:t>：</w:t>
      </w:r>
      <w:r>
        <w:rPr>
          <w:rFonts w:hint="eastAsia"/>
          <w:lang w:val="en-US" w:eastAsia="zh-CN"/>
        </w:rPr>
        <w:t xml:space="preserve"> 园林绿化维护专项经费项目</w:t>
      </w:r>
      <w:r>
        <w:rPr>
          <w:rFonts w:hint="default" w:ascii="Times New Roman" w:hAnsi="Times New Roman" w:cs="Times New Roman"/>
          <w:szCs w:val="30"/>
          <w:lang w:val="en-US" w:eastAsia="zh-CN"/>
        </w:rPr>
        <w:t>绩效评价指标体系</w:t>
      </w:r>
      <w:bookmarkEnd w:id="318"/>
      <w:r>
        <w:rPr>
          <w:rFonts w:hint="default" w:ascii="Times New Roman" w:hAnsi="Times New Roman" w:cs="Times New Roman"/>
          <w:szCs w:val="30"/>
          <w:lang w:val="en-US" w:eastAsia="zh-CN"/>
        </w:rPr>
        <w:t>表</w:t>
      </w:r>
    </w:p>
    <w:p w14:paraId="61DD8281">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附件3：</w:t>
      </w:r>
      <w:r>
        <w:rPr>
          <w:rFonts w:hint="eastAsia"/>
          <w:lang w:val="en-US" w:eastAsia="zh-CN"/>
        </w:rPr>
        <w:t xml:space="preserve"> 园林绿化维护专项经费项目</w:t>
      </w:r>
      <w:r>
        <w:rPr>
          <w:rFonts w:hint="default" w:ascii="Times New Roman" w:hAnsi="Times New Roman" w:cs="Times New Roman"/>
          <w:szCs w:val="30"/>
          <w:lang w:val="en-US" w:eastAsia="zh-CN"/>
        </w:rPr>
        <w:t>调查问卷</w:t>
      </w:r>
    </w:p>
    <w:bookmarkEnd w:id="317"/>
    <w:p w14:paraId="40771698">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4</w:t>
      </w:r>
      <w:r>
        <w:rPr>
          <w:rFonts w:hint="default" w:ascii="Times New Roman" w:hAnsi="Times New Roman" w:cs="Times New Roman"/>
          <w:szCs w:val="30"/>
          <w:lang w:val="en-US" w:eastAsia="zh-CN"/>
        </w:rPr>
        <w:t>：</w:t>
      </w:r>
      <w:r>
        <w:rPr>
          <w:rFonts w:hint="eastAsia"/>
          <w:lang w:val="en-US" w:eastAsia="zh-CN"/>
        </w:rPr>
        <w:t xml:space="preserve"> 绩效评价报告意见反馈表（单位）</w:t>
      </w:r>
    </w:p>
    <w:p w14:paraId="695B2FA2">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5</w:t>
      </w:r>
      <w:r>
        <w:rPr>
          <w:rFonts w:hint="default" w:ascii="Times New Roman" w:hAnsi="Times New Roman" w:cs="Times New Roman"/>
          <w:szCs w:val="30"/>
          <w:lang w:val="en-US" w:eastAsia="zh-CN"/>
        </w:rPr>
        <w:t>：</w:t>
      </w:r>
      <w:r>
        <w:rPr>
          <w:rFonts w:hint="eastAsia"/>
          <w:lang w:val="en-US" w:eastAsia="zh-CN"/>
        </w:rPr>
        <w:t xml:space="preserve"> 绩效评价报告意见反馈表（科室）</w:t>
      </w:r>
    </w:p>
    <w:p w14:paraId="792762A8">
      <w:pPr>
        <w:pStyle w:val="20"/>
        <w:ind w:left="0" w:leftChars="0" w:firstLine="0" w:firstLineChars="0"/>
        <w:rPr>
          <w:rFonts w:hint="default" w:ascii="Times New Roman" w:hAnsi="Times New Roman" w:cs="Times New Roman"/>
          <w:szCs w:val="30"/>
          <w:lang w:val="en-US" w:eastAsia="zh-CN"/>
        </w:rPr>
      </w:pPr>
    </w:p>
    <w:p w14:paraId="591BDD25">
      <w:pPr>
        <w:bidi w:val="0"/>
        <w:jc w:val="right"/>
        <w:rPr>
          <w:rFonts w:hint="default" w:ascii="Times New Roman" w:hAnsi="Times New Roman" w:eastAsia="宋体" w:cs="Times New Roman"/>
          <w:kern w:val="30"/>
          <w:sz w:val="21"/>
          <w:szCs w:val="21"/>
          <w:lang w:val="en-US" w:eastAsia="zh-CN" w:bidi="ar-SA"/>
        </w:rPr>
      </w:pPr>
      <w:r>
        <w:rPr>
          <w:rFonts w:hint="default" w:ascii="Times New Roman" w:hAnsi="Times New Roman" w:cs="Times New Roman"/>
          <w:lang w:val="en-US" w:eastAsia="zh-CN"/>
        </w:rPr>
        <w:t>昆明池砾项目咨询有限责任公司</w:t>
      </w:r>
    </w:p>
    <w:p w14:paraId="37082044">
      <w:pPr>
        <w:pStyle w:val="20"/>
        <w:jc w:val="center"/>
        <w:rPr>
          <w:rFonts w:hint="default" w:ascii="Times New Roman" w:hAnsi="Times New Roman" w:cs="Times New Roman"/>
          <w:szCs w:val="30"/>
        </w:rPr>
      </w:pPr>
      <w:r>
        <w:rPr>
          <w:rFonts w:hint="default" w:ascii="Times New Roman" w:hAnsi="Times New Roman" w:eastAsia="宋体" w:cs="Times New Roman"/>
          <w:kern w:val="30"/>
          <w:sz w:val="21"/>
          <w:szCs w:val="21"/>
          <w:lang w:val="en-US" w:eastAsia="zh-CN" w:bidi="ar-SA"/>
        </w:rPr>
        <w:t xml:space="preserve">                         </w:t>
      </w:r>
      <w:r>
        <w:rPr>
          <w:rFonts w:hint="default" w:ascii="Times New Roman" w:hAnsi="Times New Roman" w:eastAsia="仿宋" w:cs="Times New Roman"/>
          <w:kern w:val="30"/>
          <w:sz w:val="21"/>
          <w:szCs w:val="21"/>
          <w:lang w:val="en-US" w:eastAsia="zh-CN" w:bidi="ar-SA"/>
        </w:rPr>
        <w:t xml:space="preserve">                 </w:t>
      </w:r>
      <w:r>
        <w:rPr>
          <w:rFonts w:hint="default" w:ascii="Times New Roman" w:hAnsi="Times New Roman" w:eastAsia="仿宋" w:cs="Times New Roman"/>
          <w:szCs w:val="30"/>
          <w:lang w:val="en-US" w:eastAsia="zh-CN"/>
        </w:rPr>
        <w:t>2024年9月</w:t>
      </w:r>
    </w:p>
    <w:sectPr>
      <w:footerReference r:id="rId8" w:type="default"/>
      <w:footerReference r:id="rId9" w:type="even"/>
      <w:pgSz w:w="11906" w:h="16838"/>
      <w:pgMar w:top="2098" w:right="1474" w:bottom="1985" w:left="1588" w:header="851" w:footer="1474" w:gutter="0"/>
      <w:pgNumType w:fmt="decimal"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AA3E57-7C35-4329-8A67-FDD99EE4F7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1FDB603-471D-4DFB-A336-B5E334F93AE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6C15AD9C-789D-4E09-92E7-714EB818FE36}"/>
  </w:font>
  <w:font w:name="楷体">
    <w:panose1 w:val="02010609060101010101"/>
    <w:charset w:val="86"/>
    <w:family w:val="modern"/>
    <w:pitch w:val="default"/>
    <w:sig w:usb0="800002BF" w:usb1="38CF7CFA" w:usb2="00000016" w:usb3="00000000" w:csb0="00040001" w:csb1="00000000"/>
    <w:embedRegular r:id="rId4" w:fontKey="{66974EA1-6273-4DB8-B051-63C383EB184D}"/>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B978">
    <w:pPr>
      <w:pStyle w:val="11"/>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0B58">
    <w:pPr>
      <w:pStyle w:val="11"/>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E9770">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Ddl/0wAAAAYBAAAPAAAA&#10;AAAAAAEAIAAAACIAAABkcnMvZG93bnJldi54bWxQSwECFAAUAAAACACHTuJAg5iJueEBAADBAwAA&#10;DgAAAAAAAAABACAAAAAiAQAAZHJzL2Uyb0RvYy54bWxQSwUGAAAAAAYABgBZAQAAdQUAAAAA&#10;">
              <v:fill on="f" focussize="0,0"/>
              <v:stroke on="f"/>
              <v:imagedata o:title=""/>
              <o:lock v:ext="edit" aspectratio="f"/>
              <v:textbox inset="0mm,0mm,0mm,0mm" style="mso-fit-shape-to-text:t;">
                <w:txbxContent>
                  <w:p w14:paraId="124E9770">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F754">
    <w:pPr>
      <w:pStyle w:val="11"/>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76A5C">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3Zf9MAAAAGAQAADwAAAAAA&#10;AAABACAAAAAiAAAAZHJzL2Rvd25yZXYueG1sUEsBAhQAFAAAAAgAh07iQANlitTfAQAAwQMAAA4A&#10;AAAAAAAAAQAgAAAAIgEAAGRycy9lMm9Eb2MueG1sUEsFBgAAAAAGAAYAWQEAAHMFAAAAAA==&#10;">
              <v:fill on="f" focussize="0,0"/>
              <v:stroke on="f"/>
              <v:imagedata o:title=""/>
              <o:lock v:ext="edit" aspectratio="f"/>
              <v:textbox inset="0mm,0mm,0mm,0mm" style="mso-fit-shape-to-text:t;">
                <w:txbxContent>
                  <w:p w14:paraId="30076A5C">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2419C">
    <w:pPr>
      <w:pStyle w:val="11"/>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E268C4">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1.2pt;height:144pt;width:144pt;mso-position-horizontal:outside;mso-position-horizontal-relative:margin;mso-wrap-style:none;z-index:251661312;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3Zf9MAAAAGAQAADwAAAAAA&#10;AAABACAAAAAiAAAAZHJzL2Rvd25yZXYueG1sUEsBAhQAFAAAAAgAh07iQFdM1RHfAQAAwQMAAA4A&#10;AAAAAAAAAQAgAAAAIgEAAGRycy9lMm9Eb2MueG1sUEsFBgAAAAAGAAYAWQEAAHMFAAAAAA==&#10;">
              <v:fill on="f" focussize="0,0"/>
              <v:stroke on="f"/>
              <v:imagedata o:title=""/>
              <o:lock v:ext="edit" aspectratio="f"/>
              <v:textbox inset="0mm,0mm,0mm,0mm" style="mso-fit-shape-to-text:t;">
                <w:txbxContent>
                  <w:p w14:paraId="49E268C4">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2A82">
    <w:pPr>
      <w:pStyle w:val="11"/>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A2017">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1.2pt;height:144pt;width:144pt;mso-position-horizontal:outside;mso-position-horizontal-relative:margin;mso-wrap-style:none;z-index:251662336;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3Zf9MAAAAGAQAADwAAAAAA&#10;AAABACAAAAAiAAAAZHJzL2Rvd25yZXYueG1sUEsBAhQAFAAAAAgAh07iQEo4FFTfAQAAwQMAAA4A&#10;AAAAAAAAAQAgAAAAIgEAAGRycy9lMm9Eb2MueG1sUEsFBgAAAAAGAAYAWQEAAHMFAAAAAA==&#10;">
              <v:fill on="f" focussize="0,0"/>
              <v:stroke on="f"/>
              <v:imagedata o:title=""/>
              <o:lock v:ext="edit" aspectratio="f"/>
              <v:textbox inset="0mm,0mm,0mm,0mm" style="mso-fit-shape-to-text:t;">
                <w:txbxContent>
                  <w:p w14:paraId="5EFA2017">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867E">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r>
      <w:rPr>
        <w:rFonts w:hint="eastAsia"/>
        <w:lang w:val="en-US" w:eastAsia="zh-CN"/>
      </w:rPr>
      <w:br w:type="textWrapping"/>
    </w:r>
  </w:p>
  <w:p w14:paraId="3E6007F3">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sz w:val="21"/>
        <w:szCs w:val="21"/>
      </w:rPr>
    </w:pPr>
    <w:r>
      <w:rPr>
        <w:rFonts w:hint="eastAsia"/>
        <w:lang w:val="en-US" w:eastAsia="zh-CN"/>
      </w:rPr>
      <w:t xml:space="preserve">       园林绿化维护专项经费项目支出绩效评价报告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A191">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4AC10112">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DBEA175">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pPr>
    <w:r>
      <w:rPr>
        <w:rFonts w:hint="eastAsia"/>
        <w:lang w:val="en-US" w:eastAsia="zh-CN"/>
      </w:rPr>
      <w:t xml:space="preserve">        园林绿化维护专项经费项目支出绩效评价报告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4373"/>
    <w:multiLevelType w:val="singleLevel"/>
    <w:tmpl w:val="8A054373"/>
    <w:lvl w:ilvl="0" w:tentative="0">
      <w:start w:val="1"/>
      <w:numFmt w:val="decimal"/>
      <w:lvlText w:val="%1."/>
      <w:lvlJc w:val="left"/>
      <w:pPr>
        <w:tabs>
          <w:tab w:val="left" w:pos="312"/>
        </w:tabs>
      </w:pPr>
    </w:lvl>
  </w:abstractNum>
  <w:abstractNum w:abstractNumId="1">
    <w:nsid w:val="903DAAE1"/>
    <w:multiLevelType w:val="singleLevel"/>
    <w:tmpl w:val="903DAAE1"/>
    <w:lvl w:ilvl="0" w:tentative="0">
      <w:start w:val="2"/>
      <w:numFmt w:val="decimal"/>
      <w:suff w:val="nothing"/>
      <w:lvlText w:val="（%1）"/>
      <w:lvlJc w:val="left"/>
    </w:lvl>
  </w:abstractNum>
  <w:abstractNum w:abstractNumId="2">
    <w:nsid w:val="B51A55DB"/>
    <w:multiLevelType w:val="singleLevel"/>
    <w:tmpl w:val="B51A55DB"/>
    <w:lvl w:ilvl="0" w:tentative="0">
      <w:start w:val="1"/>
      <w:numFmt w:val="decimal"/>
      <w:lvlText w:val="%1."/>
      <w:lvlJc w:val="left"/>
      <w:pPr>
        <w:tabs>
          <w:tab w:val="left" w:pos="312"/>
        </w:tabs>
      </w:pPr>
    </w:lvl>
  </w:abstractNum>
  <w:abstractNum w:abstractNumId="3">
    <w:nsid w:val="53877525"/>
    <w:multiLevelType w:val="singleLevel"/>
    <w:tmpl w:val="53877525"/>
    <w:lvl w:ilvl="0" w:tentative="0">
      <w:start w:val="1"/>
      <w:numFmt w:val="decimal"/>
      <w:lvlText w:val="%1."/>
      <w:lvlJc w:val="left"/>
      <w:pPr>
        <w:tabs>
          <w:tab w:val="left" w:pos="312"/>
        </w:tabs>
      </w:pPr>
    </w:lvl>
  </w:abstractNum>
  <w:abstractNum w:abstractNumId="4">
    <w:nsid w:val="55B28A9B"/>
    <w:multiLevelType w:val="singleLevel"/>
    <w:tmpl w:val="55B28A9B"/>
    <w:lvl w:ilvl="0" w:tentative="0">
      <w:start w:val="1"/>
      <w:numFmt w:val="decimal"/>
      <w:lvlText w:val="%1."/>
      <w:lvlJc w:val="left"/>
      <w:pPr>
        <w:tabs>
          <w:tab w:val="left" w:pos="312"/>
        </w:tabs>
      </w:pPr>
    </w:lvl>
  </w:abstractNum>
  <w:abstractNum w:abstractNumId="5">
    <w:nsid w:val="5D467B40"/>
    <w:multiLevelType w:val="singleLevel"/>
    <w:tmpl w:val="5D467B40"/>
    <w:lvl w:ilvl="0" w:tentative="0">
      <w:start w:val="1"/>
      <w:numFmt w:val="decimal"/>
      <w:lvlText w:val="%1."/>
      <w:lvlJc w:val="left"/>
      <w:pPr>
        <w:tabs>
          <w:tab w:val="left" w:pos="312"/>
        </w:tabs>
      </w:pPr>
    </w:lvl>
  </w:abstractNum>
  <w:abstractNum w:abstractNumId="6">
    <w:nsid w:val="7530C1A4"/>
    <w:multiLevelType w:val="singleLevel"/>
    <w:tmpl w:val="7530C1A4"/>
    <w:lvl w:ilvl="0" w:tentative="0">
      <w:start w:val="1"/>
      <w:numFmt w:val="decimal"/>
      <w:lvlText w:val="%1."/>
      <w:lvlJc w:val="left"/>
      <w:pPr>
        <w:tabs>
          <w:tab w:val="left" w:pos="312"/>
        </w:tabs>
      </w:p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DRlOWRmNGQ4ZTVlMWVmNzk2MzIyMzRhMzBmZGIifQ=="/>
  </w:docVars>
  <w:rsids>
    <w:rsidRoot w:val="00763D8D"/>
    <w:rsid w:val="000027B8"/>
    <w:rsid w:val="00003457"/>
    <w:rsid w:val="000053D4"/>
    <w:rsid w:val="000101DC"/>
    <w:rsid w:val="000109E6"/>
    <w:rsid w:val="00011162"/>
    <w:rsid w:val="000163D2"/>
    <w:rsid w:val="00021B6D"/>
    <w:rsid w:val="00022FFA"/>
    <w:rsid w:val="00023FF0"/>
    <w:rsid w:val="000302F4"/>
    <w:rsid w:val="00030BA6"/>
    <w:rsid w:val="00032A27"/>
    <w:rsid w:val="00032BAE"/>
    <w:rsid w:val="000377E6"/>
    <w:rsid w:val="00037F46"/>
    <w:rsid w:val="0004014B"/>
    <w:rsid w:val="00044EEC"/>
    <w:rsid w:val="00046291"/>
    <w:rsid w:val="00046463"/>
    <w:rsid w:val="00050813"/>
    <w:rsid w:val="00073C73"/>
    <w:rsid w:val="00075831"/>
    <w:rsid w:val="000761D2"/>
    <w:rsid w:val="00077515"/>
    <w:rsid w:val="0008006D"/>
    <w:rsid w:val="0008270C"/>
    <w:rsid w:val="00082DC6"/>
    <w:rsid w:val="000910C9"/>
    <w:rsid w:val="000913F5"/>
    <w:rsid w:val="000926D7"/>
    <w:rsid w:val="00093656"/>
    <w:rsid w:val="00095539"/>
    <w:rsid w:val="000A3ED9"/>
    <w:rsid w:val="000A4562"/>
    <w:rsid w:val="000A60AC"/>
    <w:rsid w:val="000C04DE"/>
    <w:rsid w:val="000C0984"/>
    <w:rsid w:val="000C1909"/>
    <w:rsid w:val="000C3CE0"/>
    <w:rsid w:val="000C5033"/>
    <w:rsid w:val="000D71DD"/>
    <w:rsid w:val="000E21D8"/>
    <w:rsid w:val="000E6F75"/>
    <w:rsid w:val="000F1534"/>
    <w:rsid w:val="000F3E60"/>
    <w:rsid w:val="000F46ED"/>
    <w:rsid w:val="000F6595"/>
    <w:rsid w:val="00106A8B"/>
    <w:rsid w:val="001075E2"/>
    <w:rsid w:val="001114F0"/>
    <w:rsid w:val="00114580"/>
    <w:rsid w:val="001146BA"/>
    <w:rsid w:val="00116445"/>
    <w:rsid w:val="00122361"/>
    <w:rsid w:val="00124FFE"/>
    <w:rsid w:val="00125D9C"/>
    <w:rsid w:val="001308E4"/>
    <w:rsid w:val="00142242"/>
    <w:rsid w:val="001439E1"/>
    <w:rsid w:val="00147856"/>
    <w:rsid w:val="00147F84"/>
    <w:rsid w:val="00150F3E"/>
    <w:rsid w:val="001513E5"/>
    <w:rsid w:val="00152B2B"/>
    <w:rsid w:val="001537D8"/>
    <w:rsid w:val="00153BC6"/>
    <w:rsid w:val="00155A7C"/>
    <w:rsid w:val="00157E96"/>
    <w:rsid w:val="0016290B"/>
    <w:rsid w:val="00162B90"/>
    <w:rsid w:val="00167E57"/>
    <w:rsid w:val="001722F7"/>
    <w:rsid w:val="00175976"/>
    <w:rsid w:val="00182613"/>
    <w:rsid w:val="001836BB"/>
    <w:rsid w:val="00183D89"/>
    <w:rsid w:val="001844AE"/>
    <w:rsid w:val="00184577"/>
    <w:rsid w:val="0018788E"/>
    <w:rsid w:val="001905A5"/>
    <w:rsid w:val="001A2410"/>
    <w:rsid w:val="001A2D6F"/>
    <w:rsid w:val="001A644B"/>
    <w:rsid w:val="001A77EE"/>
    <w:rsid w:val="001A7B0F"/>
    <w:rsid w:val="001B4784"/>
    <w:rsid w:val="001D4E03"/>
    <w:rsid w:val="001D58D7"/>
    <w:rsid w:val="001E07CC"/>
    <w:rsid w:val="001E410D"/>
    <w:rsid w:val="001E6E29"/>
    <w:rsid w:val="001E713D"/>
    <w:rsid w:val="001F1285"/>
    <w:rsid w:val="001F1844"/>
    <w:rsid w:val="001F1E4B"/>
    <w:rsid w:val="001F3638"/>
    <w:rsid w:val="001F46E7"/>
    <w:rsid w:val="001F566D"/>
    <w:rsid w:val="00200263"/>
    <w:rsid w:val="00201C2D"/>
    <w:rsid w:val="002115B2"/>
    <w:rsid w:val="00212FA7"/>
    <w:rsid w:val="00217869"/>
    <w:rsid w:val="0021797F"/>
    <w:rsid w:val="00217AA8"/>
    <w:rsid w:val="002229E2"/>
    <w:rsid w:val="0022365E"/>
    <w:rsid w:val="002260C9"/>
    <w:rsid w:val="00226E95"/>
    <w:rsid w:val="00227678"/>
    <w:rsid w:val="00227EAF"/>
    <w:rsid w:val="00230719"/>
    <w:rsid w:val="00230C67"/>
    <w:rsid w:val="00235C5D"/>
    <w:rsid w:val="002422DC"/>
    <w:rsid w:val="00243F53"/>
    <w:rsid w:val="00246276"/>
    <w:rsid w:val="00251346"/>
    <w:rsid w:val="00252898"/>
    <w:rsid w:val="002532A4"/>
    <w:rsid w:val="00254804"/>
    <w:rsid w:val="00254B91"/>
    <w:rsid w:val="002554E5"/>
    <w:rsid w:val="002567E0"/>
    <w:rsid w:val="00256D4E"/>
    <w:rsid w:val="002606F4"/>
    <w:rsid w:val="00274648"/>
    <w:rsid w:val="00277ACC"/>
    <w:rsid w:val="00282CC8"/>
    <w:rsid w:val="00283F38"/>
    <w:rsid w:val="00285265"/>
    <w:rsid w:val="00290595"/>
    <w:rsid w:val="002917E5"/>
    <w:rsid w:val="0029356B"/>
    <w:rsid w:val="002A020A"/>
    <w:rsid w:val="002A1DF7"/>
    <w:rsid w:val="002A5AD2"/>
    <w:rsid w:val="002A6EAA"/>
    <w:rsid w:val="002B3F00"/>
    <w:rsid w:val="002B7B5E"/>
    <w:rsid w:val="002C46F4"/>
    <w:rsid w:val="002C555C"/>
    <w:rsid w:val="002D1D67"/>
    <w:rsid w:val="002D3C45"/>
    <w:rsid w:val="002D498A"/>
    <w:rsid w:val="002D55A2"/>
    <w:rsid w:val="002E06C9"/>
    <w:rsid w:val="002E1041"/>
    <w:rsid w:val="002E280F"/>
    <w:rsid w:val="002E5BDD"/>
    <w:rsid w:val="002E60CA"/>
    <w:rsid w:val="002F4221"/>
    <w:rsid w:val="002F516E"/>
    <w:rsid w:val="002F59F0"/>
    <w:rsid w:val="002F7BE7"/>
    <w:rsid w:val="00301F5D"/>
    <w:rsid w:val="003020B9"/>
    <w:rsid w:val="00307963"/>
    <w:rsid w:val="00307B63"/>
    <w:rsid w:val="003116BB"/>
    <w:rsid w:val="00313C52"/>
    <w:rsid w:val="00321FF5"/>
    <w:rsid w:val="003270CD"/>
    <w:rsid w:val="003305B8"/>
    <w:rsid w:val="0033130B"/>
    <w:rsid w:val="0033489A"/>
    <w:rsid w:val="00337586"/>
    <w:rsid w:val="0033762E"/>
    <w:rsid w:val="0034304B"/>
    <w:rsid w:val="00347579"/>
    <w:rsid w:val="00347950"/>
    <w:rsid w:val="00353796"/>
    <w:rsid w:val="003568A8"/>
    <w:rsid w:val="00357576"/>
    <w:rsid w:val="0036565B"/>
    <w:rsid w:val="00365B28"/>
    <w:rsid w:val="00371BB6"/>
    <w:rsid w:val="00371CAA"/>
    <w:rsid w:val="00375AF4"/>
    <w:rsid w:val="003761AE"/>
    <w:rsid w:val="00376534"/>
    <w:rsid w:val="00376A60"/>
    <w:rsid w:val="00380118"/>
    <w:rsid w:val="003807BD"/>
    <w:rsid w:val="00381F0D"/>
    <w:rsid w:val="0038336A"/>
    <w:rsid w:val="00384495"/>
    <w:rsid w:val="00392745"/>
    <w:rsid w:val="00393295"/>
    <w:rsid w:val="003A3987"/>
    <w:rsid w:val="003A5711"/>
    <w:rsid w:val="003A6AB4"/>
    <w:rsid w:val="003B2603"/>
    <w:rsid w:val="003B355C"/>
    <w:rsid w:val="003B5FE1"/>
    <w:rsid w:val="003B74B5"/>
    <w:rsid w:val="003D112A"/>
    <w:rsid w:val="003D12B5"/>
    <w:rsid w:val="003D2104"/>
    <w:rsid w:val="003D35C0"/>
    <w:rsid w:val="003D6830"/>
    <w:rsid w:val="003E0E49"/>
    <w:rsid w:val="003E28AB"/>
    <w:rsid w:val="003E37CD"/>
    <w:rsid w:val="003F1515"/>
    <w:rsid w:val="003F16E7"/>
    <w:rsid w:val="003F402E"/>
    <w:rsid w:val="003F6354"/>
    <w:rsid w:val="00400D06"/>
    <w:rsid w:val="0040239B"/>
    <w:rsid w:val="00402CE7"/>
    <w:rsid w:val="00405226"/>
    <w:rsid w:val="00405C75"/>
    <w:rsid w:val="00406D6A"/>
    <w:rsid w:val="00420BEC"/>
    <w:rsid w:val="0042251D"/>
    <w:rsid w:val="00426FE5"/>
    <w:rsid w:val="004272A6"/>
    <w:rsid w:val="0043119F"/>
    <w:rsid w:val="00433CAA"/>
    <w:rsid w:val="00436B3B"/>
    <w:rsid w:val="00437980"/>
    <w:rsid w:val="004401ED"/>
    <w:rsid w:val="00440843"/>
    <w:rsid w:val="0044349C"/>
    <w:rsid w:val="00452585"/>
    <w:rsid w:val="00452895"/>
    <w:rsid w:val="00453319"/>
    <w:rsid w:val="004542C8"/>
    <w:rsid w:val="004549D1"/>
    <w:rsid w:val="00457099"/>
    <w:rsid w:val="00460E4C"/>
    <w:rsid w:val="00462343"/>
    <w:rsid w:val="00464A91"/>
    <w:rsid w:val="00465B8C"/>
    <w:rsid w:val="004671F2"/>
    <w:rsid w:val="00472258"/>
    <w:rsid w:val="00474787"/>
    <w:rsid w:val="0048081D"/>
    <w:rsid w:val="0048089A"/>
    <w:rsid w:val="004811D4"/>
    <w:rsid w:val="004839EA"/>
    <w:rsid w:val="00484612"/>
    <w:rsid w:val="004860CD"/>
    <w:rsid w:val="004866EA"/>
    <w:rsid w:val="004949AC"/>
    <w:rsid w:val="004A0A75"/>
    <w:rsid w:val="004A3DDB"/>
    <w:rsid w:val="004A4700"/>
    <w:rsid w:val="004A711A"/>
    <w:rsid w:val="004B34FB"/>
    <w:rsid w:val="004B448D"/>
    <w:rsid w:val="004C51F5"/>
    <w:rsid w:val="004C5D7B"/>
    <w:rsid w:val="004C6BF0"/>
    <w:rsid w:val="004D0D4D"/>
    <w:rsid w:val="004D2649"/>
    <w:rsid w:val="004D31B0"/>
    <w:rsid w:val="004D34AD"/>
    <w:rsid w:val="004D5F2D"/>
    <w:rsid w:val="004D678B"/>
    <w:rsid w:val="004E013B"/>
    <w:rsid w:val="004E0906"/>
    <w:rsid w:val="004E5E85"/>
    <w:rsid w:val="004F0288"/>
    <w:rsid w:val="004F0B47"/>
    <w:rsid w:val="004F43AA"/>
    <w:rsid w:val="004F47FC"/>
    <w:rsid w:val="004F5DE3"/>
    <w:rsid w:val="004F6CCC"/>
    <w:rsid w:val="005102A2"/>
    <w:rsid w:val="00510BAB"/>
    <w:rsid w:val="00514671"/>
    <w:rsid w:val="00515734"/>
    <w:rsid w:val="00522A6C"/>
    <w:rsid w:val="00526431"/>
    <w:rsid w:val="00536F5B"/>
    <w:rsid w:val="00542670"/>
    <w:rsid w:val="00545001"/>
    <w:rsid w:val="00550937"/>
    <w:rsid w:val="0055330D"/>
    <w:rsid w:val="005578D6"/>
    <w:rsid w:val="00561795"/>
    <w:rsid w:val="00562BA8"/>
    <w:rsid w:val="0056376A"/>
    <w:rsid w:val="00564552"/>
    <w:rsid w:val="00566921"/>
    <w:rsid w:val="005750C4"/>
    <w:rsid w:val="00576CB6"/>
    <w:rsid w:val="00576FBF"/>
    <w:rsid w:val="00577FAD"/>
    <w:rsid w:val="00585784"/>
    <w:rsid w:val="00587462"/>
    <w:rsid w:val="00587C8D"/>
    <w:rsid w:val="00591EF2"/>
    <w:rsid w:val="00592198"/>
    <w:rsid w:val="0059320E"/>
    <w:rsid w:val="005953FB"/>
    <w:rsid w:val="00597B52"/>
    <w:rsid w:val="005A2E6F"/>
    <w:rsid w:val="005A3998"/>
    <w:rsid w:val="005A50E5"/>
    <w:rsid w:val="005B0482"/>
    <w:rsid w:val="005B6066"/>
    <w:rsid w:val="005B70F0"/>
    <w:rsid w:val="005C40D3"/>
    <w:rsid w:val="005D06E4"/>
    <w:rsid w:val="005E0F3C"/>
    <w:rsid w:val="005E4ABD"/>
    <w:rsid w:val="005E6172"/>
    <w:rsid w:val="005F1102"/>
    <w:rsid w:val="00613763"/>
    <w:rsid w:val="00620526"/>
    <w:rsid w:val="00621602"/>
    <w:rsid w:val="00623AF9"/>
    <w:rsid w:val="006251E6"/>
    <w:rsid w:val="00626208"/>
    <w:rsid w:val="00627439"/>
    <w:rsid w:val="006323C6"/>
    <w:rsid w:val="00634466"/>
    <w:rsid w:val="00636016"/>
    <w:rsid w:val="00643CC5"/>
    <w:rsid w:val="0064402F"/>
    <w:rsid w:val="0065445B"/>
    <w:rsid w:val="00655674"/>
    <w:rsid w:val="00656020"/>
    <w:rsid w:val="00656A9A"/>
    <w:rsid w:val="00656F7D"/>
    <w:rsid w:val="006571CA"/>
    <w:rsid w:val="00657FEB"/>
    <w:rsid w:val="006633E2"/>
    <w:rsid w:val="00663BBB"/>
    <w:rsid w:val="00671269"/>
    <w:rsid w:val="00674DB5"/>
    <w:rsid w:val="00682BA0"/>
    <w:rsid w:val="0068495B"/>
    <w:rsid w:val="00687D46"/>
    <w:rsid w:val="00693295"/>
    <w:rsid w:val="00694B78"/>
    <w:rsid w:val="00694EAF"/>
    <w:rsid w:val="006960BB"/>
    <w:rsid w:val="006A28E5"/>
    <w:rsid w:val="006A2942"/>
    <w:rsid w:val="006A2A32"/>
    <w:rsid w:val="006A5995"/>
    <w:rsid w:val="006A5FFB"/>
    <w:rsid w:val="006A6752"/>
    <w:rsid w:val="006B5BCF"/>
    <w:rsid w:val="006B610A"/>
    <w:rsid w:val="006B70DE"/>
    <w:rsid w:val="006C0244"/>
    <w:rsid w:val="006C0E35"/>
    <w:rsid w:val="006D012E"/>
    <w:rsid w:val="006D2836"/>
    <w:rsid w:val="006E342B"/>
    <w:rsid w:val="006E36CF"/>
    <w:rsid w:val="006E3A23"/>
    <w:rsid w:val="006E76CA"/>
    <w:rsid w:val="006E79B8"/>
    <w:rsid w:val="006F09DA"/>
    <w:rsid w:val="00701599"/>
    <w:rsid w:val="00703419"/>
    <w:rsid w:val="00704906"/>
    <w:rsid w:val="00704B20"/>
    <w:rsid w:val="0070532D"/>
    <w:rsid w:val="007061AB"/>
    <w:rsid w:val="00706C0E"/>
    <w:rsid w:val="00707272"/>
    <w:rsid w:val="00711BD6"/>
    <w:rsid w:val="0071646D"/>
    <w:rsid w:val="00723885"/>
    <w:rsid w:val="007258CC"/>
    <w:rsid w:val="0072647A"/>
    <w:rsid w:val="00727017"/>
    <w:rsid w:val="007319A2"/>
    <w:rsid w:val="00733D12"/>
    <w:rsid w:val="00733E02"/>
    <w:rsid w:val="0073677A"/>
    <w:rsid w:val="007431B7"/>
    <w:rsid w:val="00746DEF"/>
    <w:rsid w:val="007474F3"/>
    <w:rsid w:val="0075085D"/>
    <w:rsid w:val="00751985"/>
    <w:rsid w:val="00752CA1"/>
    <w:rsid w:val="00753514"/>
    <w:rsid w:val="00754346"/>
    <w:rsid w:val="007622C7"/>
    <w:rsid w:val="00763D8D"/>
    <w:rsid w:val="00763F0B"/>
    <w:rsid w:val="00771DBA"/>
    <w:rsid w:val="00774689"/>
    <w:rsid w:val="00775421"/>
    <w:rsid w:val="00780354"/>
    <w:rsid w:val="00780EAF"/>
    <w:rsid w:val="00780F68"/>
    <w:rsid w:val="00783983"/>
    <w:rsid w:val="007854FB"/>
    <w:rsid w:val="00786B54"/>
    <w:rsid w:val="00795893"/>
    <w:rsid w:val="00796558"/>
    <w:rsid w:val="007A0D31"/>
    <w:rsid w:val="007A1C7C"/>
    <w:rsid w:val="007A2BCD"/>
    <w:rsid w:val="007A58C0"/>
    <w:rsid w:val="007A6474"/>
    <w:rsid w:val="007A7277"/>
    <w:rsid w:val="007B064B"/>
    <w:rsid w:val="007B2D33"/>
    <w:rsid w:val="007B72C4"/>
    <w:rsid w:val="007C023F"/>
    <w:rsid w:val="007C1423"/>
    <w:rsid w:val="007C2CA2"/>
    <w:rsid w:val="007C38FA"/>
    <w:rsid w:val="007C3BD4"/>
    <w:rsid w:val="007C3CB2"/>
    <w:rsid w:val="007C7E73"/>
    <w:rsid w:val="007D051F"/>
    <w:rsid w:val="007D0BBA"/>
    <w:rsid w:val="007D2550"/>
    <w:rsid w:val="007D3332"/>
    <w:rsid w:val="007D333C"/>
    <w:rsid w:val="007D6583"/>
    <w:rsid w:val="007D778F"/>
    <w:rsid w:val="007E0FFD"/>
    <w:rsid w:val="007E18FC"/>
    <w:rsid w:val="007E494F"/>
    <w:rsid w:val="007E5BBF"/>
    <w:rsid w:val="007E68BF"/>
    <w:rsid w:val="007F0B94"/>
    <w:rsid w:val="007F26DD"/>
    <w:rsid w:val="007F2884"/>
    <w:rsid w:val="007F2CFD"/>
    <w:rsid w:val="007F3CED"/>
    <w:rsid w:val="00801696"/>
    <w:rsid w:val="00803FFB"/>
    <w:rsid w:val="00805C6A"/>
    <w:rsid w:val="00807246"/>
    <w:rsid w:val="00812AFF"/>
    <w:rsid w:val="00814803"/>
    <w:rsid w:val="00814C48"/>
    <w:rsid w:val="00822129"/>
    <w:rsid w:val="00832C5F"/>
    <w:rsid w:val="00833991"/>
    <w:rsid w:val="00834B6A"/>
    <w:rsid w:val="008369B8"/>
    <w:rsid w:val="00837E6A"/>
    <w:rsid w:val="0084288D"/>
    <w:rsid w:val="008429AF"/>
    <w:rsid w:val="008444BD"/>
    <w:rsid w:val="00846B79"/>
    <w:rsid w:val="00851B24"/>
    <w:rsid w:val="00851F54"/>
    <w:rsid w:val="00866AB0"/>
    <w:rsid w:val="00867F1E"/>
    <w:rsid w:val="00870D8D"/>
    <w:rsid w:val="008735D5"/>
    <w:rsid w:val="00873D83"/>
    <w:rsid w:val="00877854"/>
    <w:rsid w:val="00882E11"/>
    <w:rsid w:val="00884635"/>
    <w:rsid w:val="00885EF1"/>
    <w:rsid w:val="00890F31"/>
    <w:rsid w:val="00893649"/>
    <w:rsid w:val="00894CB7"/>
    <w:rsid w:val="00896267"/>
    <w:rsid w:val="00896DBE"/>
    <w:rsid w:val="008A096F"/>
    <w:rsid w:val="008A3471"/>
    <w:rsid w:val="008A5EF0"/>
    <w:rsid w:val="008B035B"/>
    <w:rsid w:val="008B4790"/>
    <w:rsid w:val="008C134F"/>
    <w:rsid w:val="008C1413"/>
    <w:rsid w:val="008C33C4"/>
    <w:rsid w:val="008C3699"/>
    <w:rsid w:val="008D007F"/>
    <w:rsid w:val="008D5ECA"/>
    <w:rsid w:val="008D6C00"/>
    <w:rsid w:val="008D7D2E"/>
    <w:rsid w:val="008E077D"/>
    <w:rsid w:val="008E0FBB"/>
    <w:rsid w:val="008E70EF"/>
    <w:rsid w:val="008F0F5E"/>
    <w:rsid w:val="008F2F92"/>
    <w:rsid w:val="008F689B"/>
    <w:rsid w:val="00901D0E"/>
    <w:rsid w:val="009034E6"/>
    <w:rsid w:val="00903C2E"/>
    <w:rsid w:val="0090678C"/>
    <w:rsid w:val="00910CE3"/>
    <w:rsid w:val="00915956"/>
    <w:rsid w:val="00920E07"/>
    <w:rsid w:val="0092374D"/>
    <w:rsid w:val="00923BAA"/>
    <w:rsid w:val="00924970"/>
    <w:rsid w:val="009267F6"/>
    <w:rsid w:val="009317C0"/>
    <w:rsid w:val="009326BF"/>
    <w:rsid w:val="0093787B"/>
    <w:rsid w:val="00937BC1"/>
    <w:rsid w:val="00942C8E"/>
    <w:rsid w:val="0095111A"/>
    <w:rsid w:val="00954F31"/>
    <w:rsid w:val="009607A3"/>
    <w:rsid w:val="00961330"/>
    <w:rsid w:val="00961BEE"/>
    <w:rsid w:val="00963095"/>
    <w:rsid w:val="00964F1C"/>
    <w:rsid w:val="00965869"/>
    <w:rsid w:val="009672A4"/>
    <w:rsid w:val="00973859"/>
    <w:rsid w:val="00974A70"/>
    <w:rsid w:val="00983C33"/>
    <w:rsid w:val="00983EB5"/>
    <w:rsid w:val="009900E6"/>
    <w:rsid w:val="00990F17"/>
    <w:rsid w:val="009912B5"/>
    <w:rsid w:val="00991437"/>
    <w:rsid w:val="009914DC"/>
    <w:rsid w:val="00993E30"/>
    <w:rsid w:val="009A3DA3"/>
    <w:rsid w:val="009A3DE0"/>
    <w:rsid w:val="009B2564"/>
    <w:rsid w:val="009B4C1C"/>
    <w:rsid w:val="009C07AA"/>
    <w:rsid w:val="009C3ECB"/>
    <w:rsid w:val="009C5FAB"/>
    <w:rsid w:val="009C6BDC"/>
    <w:rsid w:val="009C6D8D"/>
    <w:rsid w:val="009D25F6"/>
    <w:rsid w:val="009D3B4B"/>
    <w:rsid w:val="009D4D5E"/>
    <w:rsid w:val="009E56D5"/>
    <w:rsid w:val="009E662A"/>
    <w:rsid w:val="009E7A09"/>
    <w:rsid w:val="009F0910"/>
    <w:rsid w:val="009F17BE"/>
    <w:rsid w:val="009F2679"/>
    <w:rsid w:val="009F41F3"/>
    <w:rsid w:val="00A000D9"/>
    <w:rsid w:val="00A00612"/>
    <w:rsid w:val="00A02D03"/>
    <w:rsid w:val="00A02E94"/>
    <w:rsid w:val="00A057DC"/>
    <w:rsid w:val="00A0725B"/>
    <w:rsid w:val="00A10153"/>
    <w:rsid w:val="00A11EC9"/>
    <w:rsid w:val="00A121FB"/>
    <w:rsid w:val="00A12F69"/>
    <w:rsid w:val="00A17A74"/>
    <w:rsid w:val="00A22A04"/>
    <w:rsid w:val="00A23FCD"/>
    <w:rsid w:val="00A24E49"/>
    <w:rsid w:val="00A25F38"/>
    <w:rsid w:val="00A27411"/>
    <w:rsid w:val="00A27C51"/>
    <w:rsid w:val="00A31048"/>
    <w:rsid w:val="00A33005"/>
    <w:rsid w:val="00A34C99"/>
    <w:rsid w:val="00A36910"/>
    <w:rsid w:val="00A370A6"/>
    <w:rsid w:val="00A375F1"/>
    <w:rsid w:val="00A41B24"/>
    <w:rsid w:val="00A43DC7"/>
    <w:rsid w:val="00A444BF"/>
    <w:rsid w:val="00A5152D"/>
    <w:rsid w:val="00A57205"/>
    <w:rsid w:val="00A57436"/>
    <w:rsid w:val="00A605F9"/>
    <w:rsid w:val="00A60E45"/>
    <w:rsid w:val="00A63BA5"/>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2D96"/>
    <w:rsid w:val="00AB0EEC"/>
    <w:rsid w:val="00AB312A"/>
    <w:rsid w:val="00AB5B2F"/>
    <w:rsid w:val="00AB738C"/>
    <w:rsid w:val="00AC240E"/>
    <w:rsid w:val="00AC318C"/>
    <w:rsid w:val="00AC3F10"/>
    <w:rsid w:val="00AC42D0"/>
    <w:rsid w:val="00AC5A44"/>
    <w:rsid w:val="00AC66C5"/>
    <w:rsid w:val="00AD619D"/>
    <w:rsid w:val="00AD6AB3"/>
    <w:rsid w:val="00AD6DA0"/>
    <w:rsid w:val="00AD712B"/>
    <w:rsid w:val="00AE0A63"/>
    <w:rsid w:val="00AE1D02"/>
    <w:rsid w:val="00AE1EF8"/>
    <w:rsid w:val="00AE4EBF"/>
    <w:rsid w:val="00AF0B62"/>
    <w:rsid w:val="00B020FB"/>
    <w:rsid w:val="00B0556F"/>
    <w:rsid w:val="00B06A9C"/>
    <w:rsid w:val="00B07B88"/>
    <w:rsid w:val="00B10C1D"/>
    <w:rsid w:val="00B2516C"/>
    <w:rsid w:val="00B2587E"/>
    <w:rsid w:val="00B300AD"/>
    <w:rsid w:val="00B327D2"/>
    <w:rsid w:val="00B35B22"/>
    <w:rsid w:val="00B36265"/>
    <w:rsid w:val="00B45B74"/>
    <w:rsid w:val="00B53412"/>
    <w:rsid w:val="00B54DC6"/>
    <w:rsid w:val="00B55B57"/>
    <w:rsid w:val="00B567D7"/>
    <w:rsid w:val="00B57693"/>
    <w:rsid w:val="00B61B4E"/>
    <w:rsid w:val="00B70DE9"/>
    <w:rsid w:val="00B74E74"/>
    <w:rsid w:val="00B873B5"/>
    <w:rsid w:val="00B93260"/>
    <w:rsid w:val="00B93F28"/>
    <w:rsid w:val="00B972CB"/>
    <w:rsid w:val="00BA0FD9"/>
    <w:rsid w:val="00BA40D9"/>
    <w:rsid w:val="00BB0BA8"/>
    <w:rsid w:val="00BB37A8"/>
    <w:rsid w:val="00BB6206"/>
    <w:rsid w:val="00BC66F9"/>
    <w:rsid w:val="00BC6820"/>
    <w:rsid w:val="00BC6C03"/>
    <w:rsid w:val="00BC6F02"/>
    <w:rsid w:val="00BC6F77"/>
    <w:rsid w:val="00BD1031"/>
    <w:rsid w:val="00BD455D"/>
    <w:rsid w:val="00BE2CD8"/>
    <w:rsid w:val="00BE2E79"/>
    <w:rsid w:val="00BE36D4"/>
    <w:rsid w:val="00BF212F"/>
    <w:rsid w:val="00BF373E"/>
    <w:rsid w:val="00BF43FA"/>
    <w:rsid w:val="00BF652B"/>
    <w:rsid w:val="00C045BB"/>
    <w:rsid w:val="00C06CB9"/>
    <w:rsid w:val="00C12472"/>
    <w:rsid w:val="00C127E3"/>
    <w:rsid w:val="00C12993"/>
    <w:rsid w:val="00C14194"/>
    <w:rsid w:val="00C1562E"/>
    <w:rsid w:val="00C15C47"/>
    <w:rsid w:val="00C20FD7"/>
    <w:rsid w:val="00C21C6A"/>
    <w:rsid w:val="00C226BA"/>
    <w:rsid w:val="00C25D38"/>
    <w:rsid w:val="00C3203F"/>
    <w:rsid w:val="00C322A8"/>
    <w:rsid w:val="00C342E1"/>
    <w:rsid w:val="00C377A0"/>
    <w:rsid w:val="00C40B0E"/>
    <w:rsid w:val="00C40CCE"/>
    <w:rsid w:val="00C41346"/>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5119"/>
    <w:rsid w:val="00C67B4F"/>
    <w:rsid w:val="00C71AC0"/>
    <w:rsid w:val="00C72787"/>
    <w:rsid w:val="00C80468"/>
    <w:rsid w:val="00C82510"/>
    <w:rsid w:val="00C83288"/>
    <w:rsid w:val="00C83A49"/>
    <w:rsid w:val="00C846E1"/>
    <w:rsid w:val="00C90211"/>
    <w:rsid w:val="00C90783"/>
    <w:rsid w:val="00C95C0B"/>
    <w:rsid w:val="00CA0927"/>
    <w:rsid w:val="00CA0E05"/>
    <w:rsid w:val="00CA4623"/>
    <w:rsid w:val="00CA4B6A"/>
    <w:rsid w:val="00CA4C0D"/>
    <w:rsid w:val="00CA7A9C"/>
    <w:rsid w:val="00CB007D"/>
    <w:rsid w:val="00CB0544"/>
    <w:rsid w:val="00CB140F"/>
    <w:rsid w:val="00CC1977"/>
    <w:rsid w:val="00CC1F56"/>
    <w:rsid w:val="00CC2185"/>
    <w:rsid w:val="00CC28DD"/>
    <w:rsid w:val="00CC4601"/>
    <w:rsid w:val="00CC75A2"/>
    <w:rsid w:val="00CD2162"/>
    <w:rsid w:val="00CD49EF"/>
    <w:rsid w:val="00CE0348"/>
    <w:rsid w:val="00CE423E"/>
    <w:rsid w:val="00CE67AF"/>
    <w:rsid w:val="00D02747"/>
    <w:rsid w:val="00D029A4"/>
    <w:rsid w:val="00D03FFF"/>
    <w:rsid w:val="00D107B7"/>
    <w:rsid w:val="00D1120B"/>
    <w:rsid w:val="00D11B8A"/>
    <w:rsid w:val="00D14664"/>
    <w:rsid w:val="00D175D4"/>
    <w:rsid w:val="00D226A0"/>
    <w:rsid w:val="00D27175"/>
    <w:rsid w:val="00D304CE"/>
    <w:rsid w:val="00D3157C"/>
    <w:rsid w:val="00D32626"/>
    <w:rsid w:val="00D33D96"/>
    <w:rsid w:val="00D35671"/>
    <w:rsid w:val="00D364E5"/>
    <w:rsid w:val="00D37658"/>
    <w:rsid w:val="00D41184"/>
    <w:rsid w:val="00D42666"/>
    <w:rsid w:val="00D428E9"/>
    <w:rsid w:val="00D434B3"/>
    <w:rsid w:val="00D47CF4"/>
    <w:rsid w:val="00D5212F"/>
    <w:rsid w:val="00D52D57"/>
    <w:rsid w:val="00D52EB8"/>
    <w:rsid w:val="00D53012"/>
    <w:rsid w:val="00D543E3"/>
    <w:rsid w:val="00D557FA"/>
    <w:rsid w:val="00D56D8A"/>
    <w:rsid w:val="00D6208B"/>
    <w:rsid w:val="00D6323D"/>
    <w:rsid w:val="00D65736"/>
    <w:rsid w:val="00D67916"/>
    <w:rsid w:val="00D70277"/>
    <w:rsid w:val="00D7082A"/>
    <w:rsid w:val="00D76498"/>
    <w:rsid w:val="00D86780"/>
    <w:rsid w:val="00D86E4E"/>
    <w:rsid w:val="00D878B0"/>
    <w:rsid w:val="00D94156"/>
    <w:rsid w:val="00D94439"/>
    <w:rsid w:val="00DA15E3"/>
    <w:rsid w:val="00DB4813"/>
    <w:rsid w:val="00DB6228"/>
    <w:rsid w:val="00DC5F49"/>
    <w:rsid w:val="00DC77D8"/>
    <w:rsid w:val="00DC7BEC"/>
    <w:rsid w:val="00DE073C"/>
    <w:rsid w:val="00DE16E9"/>
    <w:rsid w:val="00DE4365"/>
    <w:rsid w:val="00DE4C6F"/>
    <w:rsid w:val="00E01B46"/>
    <w:rsid w:val="00E05F95"/>
    <w:rsid w:val="00E06324"/>
    <w:rsid w:val="00E109B2"/>
    <w:rsid w:val="00E11C47"/>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503CA"/>
    <w:rsid w:val="00E57717"/>
    <w:rsid w:val="00E6040B"/>
    <w:rsid w:val="00E610C7"/>
    <w:rsid w:val="00E66C39"/>
    <w:rsid w:val="00E67AC7"/>
    <w:rsid w:val="00E70CC7"/>
    <w:rsid w:val="00E727B4"/>
    <w:rsid w:val="00E758B8"/>
    <w:rsid w:val="00E773A0"/>
    <w:rsid w:val="00E77F0E"/>
    <w:rsid w:val="00E82285"/>
    <w:rsid w:val="00E85022"/>
    <w:rsid w:val="00E85235"/>
    <w:rsid w:val="00E91702"/>
    <w:rsid w:val="00E9493D"/>
    <w:rsid w:val="00EA48FC"/>
    <w:rsid w:val="00EA69C3"/>
    <w:rsid w:val="00EB0D59"/>
    <w:rsid w:val="00EB2203"/>
    <w:rsid w:val="00EB3CD1"/>
    <w:rsid w:val="00EB3FD4"/>
    <w:rsid w:val="00EB5501"/>
    <w:rsid w:val="00EB75FE"/>
    <w:rsid w:val="00EC031D"/>
    <w:rsid w:val="00EC2985"/>
    <w:rsid w:val="00EC33B7"/>
    <w:rsid w:val="00EC366B"/>
    <w:rsid w:val="00EC5738"/>
    <w:rsid w:val="00EC5BA4"/>
    <w:rsid w:val="00ED063F"/>
    <w:rsid w:val="00ED7CDD"/>
    <w:rsid w:val="00ED7FF2"/>
    <w:rsid w:val="00EE7F07"/>
    <w:rsid w:val="00EF18F6"/>
    <w:rsid w:val="00EF6E58"/>
    <w:rsid w:val="00F00DC9"/>
    <w:rsid w:val="00F03A6F"/>
    <w:rsid w:val="00F078B5"/>
    <w:rsid w:val="00F12E05"/>
    <w:rsid w:val="00F15CE1"/>
    <w:rsid w:val="00F15F42"/>
    <w:rsid w:val="00F1642E"/>
    <w:rsid w:val="00F1677C"/>
    <w:rsid w:val="00F22E84"/>
    <w:rsid w:val="00F24F9C"/>
    <w:rsid w:val="00F30AB9"/>
    <w:rsid w:val="00F361CB"/>
    <w:rsid w:val="00F3751F"/>
    <w:rsid w:val="00F448F4"/>
    <w:rsid w:val="00F50FEA"/>
    <w:rsid w:val="00F51A53"/>
    <w:rsid w:val="00F52C04"/>
    <w:rsid w:val="00F53597"/>
    <w:rsid w:val="00F56C74"/>
    <w:rsid w:val="00F57207"/>
    <w:rsid w:val="00F5747F"/>
    <w:rsid w:val="00F606DB"/>
    <w:rsid w:val="00F63A66"/>
    <w:rsid w:val="00F644D9"/>
    <w:rsid w:val="00F656A9"/>
    <w:rsid w:val="00F66DF8"/>
    <w:rsid w:val="00F67ECF"/>
    <w:rsid w:val="00F70120"/>
    <w:rsid w:val="00F72138"/>
    <w:rsid w:val="00F72CA9"/>
    <w:rsid w:val="00F73E58"/>
    <w:rsid w:val="00F74539"/>
    <w:rsid w:val="00F842CC"/>
    <w:rsid w:val="00F8543D"/>
    <w:rsid w:val="00F86C2F"/>
    <w:rsid w:val="00F9086D"/>
    <w:rsid w:val="00F908C4"/>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9E1"/>
    <w:rsid w:val="00FD1537"/>
    <w:rsid w:val="00FD7AFE"/>
    <w:rsid w:val="00FE0ABD"/>
    <w:rsid w:val="00FE12EB"/>
    <w:rsid w:val="00FE1A58"/>
    <w:rsid w:val="00FE2D4E"/>
    <w:rsid w:val="00FE3AFA"/>
    <w:rsid w:val="00FE6D8D"/>
    <w:rsid w:val="00FF362B"/>
    <w:rsid w:val="01487061"/>
    <w:rsid w:val="017D4F5C"/>
    <w:rsid w:val="019E4ED3"/>
    <w:rsid w:val="01B31EA0"/>
    <w:rsid w:val="01C71945"/>
    <w:rsid w:val="022278B2"/>
    <w:rsid w:val="0227311A"/>
    <w:rsid w:val="02497534"/>
    <w:rsid w:val="026558D4"/>
    <w:rsid w:val="0295277A"/>
    <w:rsid w:val="02AD361F"/>
    <w:rsid w:val="02F079B0"/>
    <w:rsid w:val="0314369E"/>
    <w:rsid w:val="03230731"/>
    <w:rsid w:val="0332621A"/>
    <w:rsid w:val="03547F3F"/>
    <w:rsid w:val="037C1244"/>
    <w:rsid w:val="03CF5817"/>
    <w:rsid w:val="03FF60FC"/>
    <w:rsid w:val="040631D7"/>
    <w:rsid w:val="041D2A27"/>
    <w:rsid w:val="042C4A18"/>
    <w:rsid w:val="05746809"/>
    <w:rsid w:val="05A21435"/>
    <w:rsid w:val="05B922DB"/>
    <w:rsid w:val="065344DE"/>
    <w:rsid w:val="066A7A79"/>
    <w:rsid w:val="06734B80"/>
    <w:rsid w:val="06A50AB1"/>
    <w:rsid w:val="06ED4932"/>
    <w:rsid w:val="074A1D85"/>
    <w:rsid w:val="084E1401"/>
    <w:rsid w:val="086C4384"/>
    <w:rsid w:val="0955056D"/>
    <w:rsid w:val="098B3F8E"/>
    <w:rsid w:val="099B3082"/>
    <w:rsid w:val="09A757B4"/>
    <w:rsid w:val="09D73678"/>
    <w:rsid w:val="09EA33AB"/>
    <w:rsid w:val="0A4505E1"/>
    <w:rsid w:val="0AB93C3A"/>
    <w:rsid w:val="0B397F4D"/>
    <w:rsid w:val="0B5C5BE2"/>
    <w:rsid w:val="0B7C44D7"/>
    <w:rsid w:val="0B8B64C8"/>
    <w:rsid w:val="0BB80875"/>
    <w:rsid w:val="0C061FF2"/>
    <w:rsid w:val="0C3D1EB8"/>
    <w:rsid w:val="0C5E1E2E"/>
    <w:rsid w:val="0C7D76AC"/>
    <w:rsid w:val="0C8952EC"/>
    <w:rsid w:val="0CC55A09"/>
    <w:rsid w:val="0D074274"/>
    <w:rsid w:val="0D110C4F"/>
    <w:rsid w:val="0D673E7E"/>
    <w:rsid w:val="0D7F205C"/>
    <w:rsid w:val="0D837D9E"/>
    <w:rsid w:val="0DBD4932"/>
    <w:rsid w:val="0DC70C8E"/>
    <w:rsid w:val="0DF13BA7"/>
    <w:rsid w:val="0E034A3B"/>
    <w:rsid w:val="0E26697C"/>
    <w:rsid w:val="0E43308A"/>
    <w:rsid w:val="0E52151F"/>
    <w:rsid w:val="0E701D89"/>
    <w:rsid w:val="0E8F62CF"/>
    <w:rsid w:val="0E9B1118"/>
    <w:rsid w:val="0EAC6E81"/>
    <w:rsid w:val="0EED1247"/>
    <w:rsid w:val="0F056591"/>
    <w:rsid w:val="0F20786F"/>
    <w:rsid w:val="0F661726"/>
    <w:rsid w:val="0F751969"/>
    <w:rsid w:val="0FCB3337"/>
    <w:rsid w:val="101A42BE"/>
    <w:rsid w:val="104B4477"/>
    <w:rsid w:val="105511B8"/>
    <w:rsid w:val="10CD30DE"/>
    <w:rsid w:val="10D2137D"/>
    <w:rsid w:val="113E3FDC"/>
    <w:rsid w:val="114E06C3"/>
    <w:rsid w:val="11733C86"/>
    <w:rsid w:val="11965BC6"/>
    <w:rsid w:val="11BF336F"/>
    <w:rsid w:val="11C269BB"/>
    <w:rsid w:val="11DB182B"/>
    <w:rsid w:val="123E24E6"/>
    <w:rsid w:val="128679E9"/>
    <w:rsid w:val="13174AE5"/>
    <w:rsid w:val="131B45D5"/>
    <w:rsid w:val="13842085"/>
    <w:rsid w:val="14180B15"/>
    <w:rsid w:val="145558C5"/>
    <w:rsid w:val="148B7538"/>
    <w:rsid w:val="14A423A8"/>
    <w:rsid w:val="15670DB0"/>
    <w:rsid w:val="157E0E4B"/>
    <w:rsid w:val="15892E91"/>
    <w:rsid w:val="15D373E9"/>
    <w:rsid w:val="15EC2259"/>
    <w:rsid w:val="16481B85"/>
    <w:rsid w:val="16A30ACD"/>
    <w:rsid w:val="16B03286"/>
    <w:rsid w:val="16BC7E7D"/>
    <w:rsid w:val="172872C1"/>
    <w:rsid w:val="177E5132"/>
    <w:rsid w:val="18D07C10"/>
    <w:rsid w:val="192817FA"/>
    <w:rsid w:val="1929525A"/>
    <w:rsid w:val="193B777F"/>
    <w:rsid w:val="196D36B1"/>
    <w:rsid w:val="19D618FD"/>
    <w:rsid w:val="19F94F44"/>
    <w:rsid w:val="1A1B464E"/>
    <w:rsid w:val="1A8A3DEE"/>
    <w:rsid w:val="1AD5150D"/>
    <w:rsid w:val="1ADF238C"/>
    <w:rsid w:val="1AE71241"/>
    <w:rsid w:val="1B040045"/>
    <w:rsid w:val="1B8F49C6"/>
    <w:rsid w:val="1B9E0588"/>
    <w:rsid w:val="1C19367C"/>
    <w:rsid w:val="1C314E69"/>
    <w:rsid w:val="1CC23D13"/>
    <w:rsid w:val="1D3C5874"/>
    <w:rsid w:val="1D5F77B4"/>
    <w:rsid w:val="1D686669"/>
    <w:rsid w:val="1D976F4E"/>
    <w:rsid w:val="1E7D6144"/>
    <w:rsid w:val="1ED0096A"/>
    <w:rsid w:val="1EEC32CA"/>
    <w:rsid w:val="1F0E4FEE"/>
    <w:rsid w:val="1F595ACC"/>
    <w:rsid w:val="1F6D440A"/>
    <w:rsid w:val="1F707A57"/>
    <w:rsid w:val="1FD224BF"/>
    <w:rsid w:val="1FE67D19"/>
    <w:rsid w:val="20086079"/>
    <w:rsid w:val="203E7B55"/>
    <w:rsid w:val="20586E69"/>
    <w:rsid w:val="20A53730"/>
    <w:rsid w:val="21336F8E"/>
    <w:rsid w:val="21520F94"/>
    <w:rsid w:val="217E5254"/>
    <w:rsid w:val="21C83B7A"/>
    <w:rsid w:val="21EA1D42"/>
    <w:rsid w:val="220646A2"/>
    <w:rsid w:val="22121299"/>
    <w:rsid w:val="22821F7B"/>
    <w:rsid w:val="22947277"/>
    <w:rsid w:val="22A75EA3"/>
    <w:rsid w:val="22DF268F"/>
    <w:rsid w:val="22F302EB"/>
    <w:rsid w:val="230F7587"/>
    <w:rsid w:val="237F67AF"/>
    <w:rsid w:val="241237D2"/>
    <w:rsid w:val="2423153B"/>
    <w:rsid w:val="2443398C"/>
    <w:rsid w:val="246B4024"/>
    <w:rsid w:val="24B2466D"/>
    <w:rsid w:val="24C17028"/>
    <w:rsid w:val="25B82157"/>
    <w:rsid w:val="2629095F"/>
    <w:rsid w:val="262D48F3"/>
    <w:rsid w:val="26396DF4"/>
    <w:rsid w:val="26686535"/>
    <w:rsid w:val="26881B2A"/>
    <w:rsid w:val="26D11723"/>
    <w:rsid w:val="26D66D39"/>
    <w:rsid w:val="26FE3B9A"/>
    <w:rsid w:val="273870AC"/>
    <w:rsid w:val="276205CD"/>
    <w:rsid w:val="27893DAB"/>
    <w:rsid w:val="27D45508"/>
    <w:rsid w:val="28017DE6"/>
    <w:rsid w:val="28137B19"/>
    <w:rsid w:val="282B09BF"/>
    <w:rsid w:val="283C2BCC"/>
    <w:rsid w:val="28802805"/>
    <w:rsid w:val="28D472A8"/>
    <w:rsid w:val="28ED3EC6"/>
    <w:rsid w:val="29194CBB"/>
    <w:rsid w:val="295E3016"/>
    <w:rsid w:val="298365D8"/>
    <w:rsid w:val="29A0609E"/>
    <w:rsid w:val="29F00112"/>
    <w:rsid w:val="2A383867"/>
    <w:rsid w:val="2A63351A"/>
    <w:rsid w:val="2AA66A22"/>
    <w:rsid w:val="2ACB46DB"/>
    <w:rsid w:val="2AE8528D"/>
    <w:rsid w:val="2B7E50A1"/>
    <w:rsid w:val="2BFD6B16"/>
    <w:rsid w:val="2C536736"/>
    <w:rsid w:val="2C8114F5"/>
    <w:rsid w:val="2C923702"/>
    <w:rsid w:val="2D6055AE"/>
    <w:rsid w:val="2D7921CC"/>
    <w:rsid w:val="2DAA6F41"/>
    <w:rsid w:val="2DAE631A"/>
    <w:rsid w:val="2DC72F38"/>
    <w:rsid w:val="2DF16206"/>
    <w:rsid w:val="2E075A2A"/>
    <w:rsid w:val="2E165C6D"/>
    <w:rsid w:val="2EB11931"/>
    <w:rsid w:val="2EBD433B"/>
    <w:rsid w:val="2ED022C0"/>
    <w:rsid w:val="2EFA76D2"/>
    <w:rsid w:val="2F0D52C2"/>
    <w:rsid w:val="2F2E6FE6"/>
    <w:rsid w:val="2F6D5D61"/>
    <w:rsid w:val="2F9432ED"/>
    <w:rsid w:val="300E30A0"/>
    <w:rsid w:val="302E3742"/>
    <w:rsid w:val="30443FDF"/>
    <w:rsid w:val="30DD2A72"/>
    <w:rsid w:val="30EB33E1"/>
    <w:rsid w:val="30F304E8"/>
    <w:rsid w:val="31E57E30"/>
    <w:rsid w:val="320C1861"/>
    <w:rsid w:val="32284BF5"/>
    <w:rsid w:val="32496611"/>
    <w:rsid w:val="32700042"/>
    <w:rsid w:val="32841131"/>
    <w:rsid w:val="329C7EE7"/>
    <w:rsid w:val="32AA2E28"/>
    <w:rsid w:val="32D22AAA"/>
    <w:rsid w:val="3369683F"/>
    <w:rsid w:val="343230D5"/>
    <w:rsid w:val="343E1A7A"/>
    <w:rsid w:val="345474EF"/>
    <w:rsid w:val="34A51AF9"/>
    <w:rsid w:val="34A90093"/>
    <w:rsid w:val="35A95619"/>
    <w:rsid w:val="36602767"/>
    <w:rsid w:val="366652B8"/>
    <w:rsid w:val="367D2D2D"/>
    <w:rsid w:val="368A369C"/>
    <w:rsid w:val="371F54FA"/>
    <w:rsid w:val="372E4027"/>
    <w:rsid w:val="378E4AC6"/>
    <w:rsid w:val="37CD1A92"/>
    <w:rsid w:val="385C2E16"/>
    <w:rsid w:val="38710670"/>
    <w:rsid w:val="38A071A7"/>
    <w:rsid w:val="38DF7CCF"/>
    <w:rsid w:val="390E4110"/>
    <w:rsid w:val="39227BBC"/>
    <w:rsid w:val="39603D9F"/>
    <w:rsid w:val="3A86417A"/>
    <w:rsid w:val="3ABB02C8"/>
    <w:rsid w:val="3B765F9D"/>
    <w:rsid w:val="3BD827B4"/>
    <w:rsid w:val="3BED0C54"/>
    <w:rsid w:val="3BF375EE"/>
    <w:rsid w:val="3C1F6635"/>
    <w:rsid w:val="3C5C33E5"/>
    <w:rsid w:val="3C720E5A"/>
    <w:rsid w:val="3CF07013"/>
    <w:rsid w:val="3D622C7D"/>
    <w:rsid w:val="3DA23079"/>
    <w:rsid w:val="3E3E7246"/>
    <w:rsid w:val="3E7E6DCD"/>
    <w:rsid w:val="3E7E7642"/>
    <w:rsid w:val="3EB7637B"/>
    <w:rsid w:val="3ECE4ADB"/>
    <w:rsid w:val="3EE85404"/>
    <w:rsid w:val="3F0264C5"/>
    <w:rsid w:val="3F480EDE"/>
    <w:rsid w:val="3F520ACF"/>
    <w:rsid w:val="3FB20368"/>
    <w:rsid w:val="3FEE6A4A"/>
    <w:rsid w:val="40760500"/>
    <w:rsid w:val="408B6047"/>
    <w:rsid w:val="40B804C9"/>
    <w:rsid w:val="41253E3C"/>
    <w:rsid w:val="4162324B"/>
    <w:rsid w:val="41A47EAA"/>
    <w:rsid w:val="41B94E35"/>
    <w:rsid w:val="41C757A4"/>
    <w:rsid w:val="423D1B0D"/>
    <w:rsid w:val="42530DE6"/>
    <w:rsid w:val="42D31F27"/>
    <w:rsid w:val="42F223AD"/>
    <w:rsid w:val="42F500EF"/>
    <w:rsid w:val="43087E22"/>
    <w:rsid w:val="43596C77"/>
    <w:rsid w:val="438104E1"/>
    <w:rsid w:val="43893EEA"/>
    <w:rsid w:val="43A13550"/>
    <w:rsid w:val="43E066A9"/>
    <w:rsid w:val="43F108B7"/>
    <w:rsid w:val="440A0C47"/>
    <w:rsid w:val="44255497"/>
    <w:rsid w:val="44316F05"/>
    <w:rsid w:val="44421112"/>
    <w:rsid w:val="450E5498"/>
    <w:rsid w:val="45194C57"/>
    <w:rsid w:val="459B4F7E"/>
    <w:rsid w:val="45F56F48"/>
    <w:rsid w:val="463B22BD"/>
    <w:rsid w:val="46AE2A8F"/>
    <w:rsid w:val="46C027C2"/>
    <w:rsid w:val="471548BC"/>
    <w:rsid w:val="471843AC"/>
    <w:rsid w:val="47887784"/>
    <w:rsid w:val="4792415F"/>
    <w:rsid w:val="47BC11DC"/>
    <w:rsid w:val="47D429C9"/>
    <w:rsid w:val="48B545A9"/>
    <w:rsid w:val="48CE7418"/>
    <w:rsid w:val="49172B6D"/>
    <w:rsid w:val="499917D4"/>
    <w:rsid w:val="49EC3FFA"/>
    <w:rsid w:val="4A1E7F2C"/>
    <w:rsid w:val="4A275032"/>
    <w:rsid w:val="4A5646C6"/>
    <w:rsid w:val="4A9D70A2"/>
    <w:rsid w:val="4AB34B18"/>
    <w:rsid w:val="4AF8077D"/>
    <w:rsid w:val="4B0C5FD6"/>
    <w:rsid w:val="4B447E66"/>
    <w:rsid w:val="4B614574"/>
    <w:rsid w:val="4B78366B"/>
    <w:rsid w:val="4BD905AE"/>
    <w:rsid w:val="4BF058F8"/>
    <w:rsid w:val="4C3954F1"/>
    <w:rsid w:val="4C5D7084"/>
    <w:rsid w:val="4C987480"/>
    <w:rsid w:val="4CC21042"/>
    <w:rsid w:val="4D243AAB"/>
    <w:rsid w:val="4D4B2839"/>
    <w:rsid w:val="4DBA61BD"/>
    <w:rsid w:val="4E086F29"/>
    <w:rsid w:val="4E8F764A"/>
    <w:rsid w:val="4F1D07B2"/>
    <w:rsid w:val="4F251D5C"/>
    <w:rsid w:val="4F532425"/>
    <w:rsid w:val="4F552641"/>
    <w:rsid w:val="4F870321"/>
    <w:rsid w:val="4FA669F9"/>
    <w:rsid w:val="4FB70C06"/>
    <w:rsid w:val="4FF97471"/>
    <w:rsid w:val="50297C96"/>
    <w:rsid w:val="50302767"/>
    <w:rsid w:val="504D156B"/>
    <w:rsid w:val="50854D82"/>
    <w:rsid w:val="50A218B6"/>
    <w:rsid w:val="50CA2BBB"/>
    <w:rsid w:val="50CA4969"/>
    <w:rsid w:val="5184540C"/>
    <w:rsid w:val="51A21442"/>
    <w:rsid w:val="51A659C7"/>
    <w:rsid w:val="51B64EEE"/>
    <w:rsid w:val="51D830B6"/>
    <w:rsid w:val="523C1897"/>
    <w:rsid w:val="52426781"/>
    <w:rsid w:val="52CF6267"/>
    <w:rsid w:val="53A9514E"/>
    <w:rsid w:val="53DB0C3B"/>
    <w:rsid w:val="542B1BC3"/>
    <w:rsid w:val="54662BFB"/>
    <w:rsid w:val="54A84109"/>
    <w:rsid w:val="54A93F3B"/>
    <w:rsid w:val="54F75F49"/>
    <w:rsid w:val="55142657"/>
    <w:rsid w:val="554C06D4"/>
    <w:rsid w:val="555111B5"/>
    <w:rsid w:val="55564A1D"/>
    <w:rsid w:val="55603AEE"/>
    <w:rsid w:val="5575291E"/>
    <w:rsid w:val="56020701"/>
    <w:rsid w:val="56466840"/>
    <w:rsid w:val="565076BF"/>
    <w:rsid w:val="566273F2"/>
    <w:rsid w:val="56FD4225"/>
    <w:rsid w:val="573E1C0D"/>
    <w:rsid w:val="576F0018"/>
    <w:rsid w:val="5778511F"/>
    <w:rsid w:val="57914433"/>
    <w:rsid w:val="57D90083"/>
    <w:rsid w:val="58711B6E"/>
    <w:rsid w:val="58A31C3C"/>
    <w:rsid w:val="58B33A31"/>
    <w:rsid w:val="58ED5699"/>
    <w:rsid w:val="597D4C6F"/>
    <w:rsid w:val="598B6C60"/>
    <w:rsid w:val="59AC5554"/>
    <w:rsid w:val="5A643739"/>
    <w:rsid w:val="5A6B3136"/>
    <w:rsid w:val="5A706581"/>
    <w:rsid w:val="5AA247F9"/>
    <w:rsid w:val="5B10566E"/>
    <w:rsid w:val="5B5A4B3C"/>
    <w:rsid w:val="5B9462A0"/>
    <w:rsid w:val="5BDB5C7C"/>
    <w:rsid w:val="5BFD0E7B"/>
    <w:rsid w:val="5C361105"/>
    <w:rsid w:val="5C381321"/>
    <w:rsid w:val="5C3D6937"/>
    <w:rsid w:val="5CB0535B"/>
    <w:rsid w:val="5CC46711"/>
    <w:rsid w:val="5CE96177"/>
    <w:rsid w:val="5D170F36"/>
    <w:rsid w:val="5D6879E4"/>
    <w:rsid w:val="5D880074"/>
    <w:rsid w:val="5D9C768D"/>
    <w:rsid w:val="5E145476"/>
    <w:rsid w:val="5E6F3446"/>
    <w:rsid w:val="5E8819C0"/>
    <w:rsid w:val="5E9A1E1F"/>
    <w:rsid w:val="5EA44A4C"/>
    <w:rsid w:val="5EA467FA"/>
    <w:rsid w:val="5F011E9E"/>
    <w:rsid w:val="5F8B0797"/>
    <w:rsid w:val="5FE1582B"/>
    <w:rsid w:val="6052563D"/>
    <w:rsid w:val="60F03F78"/>
    <w:rsid w:val="611D0AE5"/>
    <w:rsid w:val="61493688"/>
    <w:rsid w:val="617947F2"/>
    <w:rsid w:val="61A21044"/>
    <w:rsid w:val="61A9664A"/>
    <w:rsid w:val="61AD3C17"/>
    <w:rsid w:val="61E67129"/>
    <w:rsid w:val="61F60246"/>
    <w:rsid w:val="62165C60"/>
    <w:rsid w:val="62404A8B"/>
    <w:rsid w:val="62514C75"/>
    <w:rsid w:val="62F85366"/>
    <w:rsid w:val="63260125"/>
    <w:rsid w:val="632C5010"/>
    <w:rsid w:val="639257BA"/>
    <w:rsid w:val="63D01E3F"/>
    <w:rsid w:val="63D57455"/>
    <w:rsid w:val="63E36016"/>
    <w:rsid w:val="63FB1729"/>
    <w:rsid w:val="64340B77"/>
    <w:rsid w:val="64632CB3"/>
    <w:rsid w:val="647C1FC7"/>
    <w:rsid w:val="64BE613B"/>
    <w:rsid w:val="64DB6CED"/>
    <w:rsid w:val="6545060B"/>
    <w:rsid w:val="654B3E73"/>
    <w:rsid w:val="6580532C"/>
    <w:rsid w:val="662E7568"/>
    <w:rsid w:val="670858C3"/>
    <w:rsid w:val="67360434"/>
    <w:rsid w:val="674D37A6"/>
    <w:rsid w:val="67E05761"/>
    <w:rsid w:val="681E6D9B"/>
    <w:rsid w:val="688558EE"/>
    <w:rsid w:val="6931512E"/>
    <w:rsid w:val="69AB1384"/>
    <w:rsid w:val="69B018C1"/>
    <w:rsid w:val="69E74C9F"/>
    <w:rsid w:val="6A026ACA"/>
    <w:rsid w:val="6A38073E"/>
    <w:rsid w:val="6AA81420"/>
    <w:rsid w:val="6AEA7C8A"/>
    <w:rsid w:val="6B2A7872"/>
    <w:rsid w:val="6BD46244"/>
    <w:rsid w:val="6BEC5C84"/>
    <w:rsid w:val="6C076B5D"/>
    <w:rsid w:val="6C1D48F5"/>
    <w:rsid w:val="6C240F7A"/>
    <w:rsid w:val="6C8F526F"/>
    <w:rsid w:val="6C9500C9"/>
    <w:rsid w:val="6C983716"/>
    <w:rsid w:val="6C9B27B9"/>
    <w:rsid w:val="6CAE4CE7"/>
    <w:rsid w:val="6CF7043C"/>
    <w:rsid w:val="6CFA7F2C"/>
    <w:rsid w:val="6D487076"/>
    <w:rsid w:val="6D667370"/>
    <w:rsid w:val="6DC5053A"/>
    <w:rsid w:val="6DE07122"/>
    <w:rsid w:val="6E142972"/>
    <w:rsid w:val="6E2656F3"/>
    <w:rsid w:val="6E2C2368"/>
    <w:rsid w:val="6E445903"/>
    <w:rsid w:val="6E7D0E15"/>
    <w:rsid w:val="6E867CCA"/>
    <w:rsid w:val="6EAD16FA"/>
    <w:rsid w:val="6ED21161"/>
    <w:rsid w:val="6F285225"/>
    <w:rsid w:val="6F347726"/>
    <w:rsid w:val="6F5002D8"/>
    <w:rsid w:val="6F59718C"/>
    <w:rsid w:val="6F773AB6"/>
    <w:rsid w:val="6F8D5088"/>
    <w:rsid w:val="6FF46EB5"/>
    <w:rsid w:val="70090BB2"/>
    <w:rsid w:val="70716758"/>
    <w:rsid w:val="70903082"/>
    <w:rsid w:val="70DD5B9B"/>
    <w:rsid w:val="70E4517B"/>
    <w:rsid w:val="716167CC"/>
    <w:rsid w:val="717402AD"/>
    <w:rsid w:val="71744751"/>
    <w:rsid w:val="718F158B"/>
    <w:rsid w:val="71BA0A53"/>
    <w:rsid w:val="71EF3DD8"/>
    <w:rsid w:val="72536115"/>
    <w:rsid w:val="72C05E22"/>
    <w:rsid w:val="72F42ADE"/>
    <w:rsid w:val="72F9501D"/>
    <w:rsid w:val="733D0B73"/>
    <w:rsid w:val="7349576A"/>
    <w:rsid w:val="735A34D3"/>
    <w:rsid w:val="73CD0149"/>
    <w:rsid w:val="741119F9"/>
    <w:rsid w:val="745110F2"/>
    <w:rsid w:val="74F55BA9"/>
    <w:rsid w:val="74F847DA"/>
    <w:rsid w:val="757B6B58"/>
    <w:rsid w:val="75894543"/>
    <w:rsid w:val="758D7B90"/>
    <w:rsid w:val="759C6025"/>
    <w:rsid w:val="75A34C39"/>
    <w:rsid w:val="75DB4D9F"/>
    <w:rsid w:val="75F23E97"/>
    <w:rsid w:val="76481691"/>
    <w:rsid w:val="765E777E"/>
    <w:rsid w:val="76A2766B"/>
    <w:rsid w:val="76B33626"/>
    <w:rsid w:val="76CA0970"/>
    <w:rsid w:val="770C0F88"/>
    <w:rsid w:val="776A072F"/>
    <w:rsid w:val="77846D70"/>
    <w:rsid w:val="779372B6"/>
    <w:rsid w:val="77FB188A"/>
    <w:rsid w:val="782F3180"/>
    <w:rsid w:val="78D62CE1"/>
    <w:rsid w:val="792F71B0"/>
    <w:rsid w:val="79B71206"/>
    <w:rsid w:val="7A146AD1"/>
    <w:rsid w:val="7A560E98"/>
    <w:rsid w:val="7A652E89"/>
    <w:rsid w:val="7A990D85"/>
    <w:rsid w:val="7AD3663F"/>
    <w:rsid w:val="7AE67CE9"/>
    <w:rsid w:val="7B430CF1"/>
    <w:rsid w:val="7BA23C69"/>
    <w:rsid w:val="7C091F3A"/>
    <w:rsid w:val="7C392FCB"/>
    <w:rsid w:val="7C49196C"/>
    <w:rsid w:val="7C701FB9"/>
    <w:rsid w:val="7C865339"/>
    <w:rsid w:val="7D0C7F34"/>
    <w:rsid w:val="7DD32800"/>
    <w:rsid w:val="7E1E7F1F"/>
    <w:rsid w:val="7E265025"/>
    <w:rsid w:val="7E971A7F"/>
    <w:rsid w:val="7F2E23E3"/>
    <w:rsid w:val="7F65392B"/>
    <w:rsid w:val="7F6F6558"/>
    <w:rsid w:val="7FCF6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30"/>
      <w:sz w:val="30"/>
      <w:szCs w:val="21"/>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9"/>
    <w:autoRedefine/>
    <w:qFormat/>
    <w:uiPriority w:val="99"/>
    <w:pPr>
      <w:keepNext/>
      <w:keepLines/>
      <w:spacing w:before="260" w:after="260" w:line="416" w:lineRule="auto"/>
      <w:outlineLvl w:val="2"/>
    </w:pPr>
    <w:rPr>
      <w:b/>
      <w:bCs/>
      <w:kern w:val="0"/>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link w:val="43"/>
    <w:autoRedefine/>
    <w:semiHidden/>
    <w:unhideWhenUsed/>
    <w:qFormat/>
    <w:uiPriority w:val="99"/>
    <w:rPr>
      <w:rFonts w:ascii="宋体"/>
      <w:sz w:val="18"/>
      <w:szCs w:val="18"/>
    </w:rPr>
  </w:style>
  <w:style w:type="paragraph" w:styleId="7">
    <w:name w:val="annotation text"/>
    <w:basedOn w:val="1"/>
    <w:link w:val="41"/>
    <w:autoRedefine/>
    <w:unhideWhenUsed/>
    <w:qFormat/>
    <w:uiPriority w:val="99"/>
    <w:pPr>
      <w:jc w:val="left"/>
    </w:pPr>
  </w:style>
  <w:style w:type="paragraph" w:styleId="8">
    <w:name w:val="Body Text"/>
    <w:basedOn w:val="1"/>
    <w:link w:val="48"/>
    <w:autoRedefine/>
    <w:qFormat/>
    <w:uiPriority w:val="1"/>
    <w:pPr>
      <w:ind w:left="119"/>
      <w:jc w:val="left"/>
    </w:pPr>
    <w:rPr>
      <w:rFonts w:ascii="仿宋_GB2312" w:hAnsi="仿宋_GB2312" w:eastAsia="仿宋_GB2312" w:cstheme="minorBidi"/>
      <w:kern w:val="0"/>
      <w:szCs w:val="30"/>
      <w:lang w:eastAsia="en-US"/>
    </w:rPr>
  </w:style>
  <w:style w:type="paragraph" w:styleId="9">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Balloon Text"/>
    <w:basedOn w:val="1"/>
    <w:link w:val="40"/>
    <w:autoRedefine/>
    <w:semiHidden/>
    <w:unhideWhenUsed/>
    <w:qFormat/>
    <w:uiPriority w:val="99"/>
    <w:rPr>
      <w:sz w:val="18"/>
      <w:szCs w:val="18"/>
    </w:rPr>
  </w:style>
  <w:style w:type="paragraph" w:styleId="11">
    <w:name w:val="footer"/>
    <w:basedOn w:val="1"/>
    <w:link w:val="3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3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autoRedefine/>
    <w:unhideWhenUsed/>
    <w:qFormat/>
    <w:uiPriority w:val="39"/>
    <w:pPr>
      <w:widowControl/>
      <w:tabs>
        <w:tab w:val="right" w:leader="dot" w:pos="8931"/>
      </w:tabs>
      <w:spacing w:line="420" w:lineRule="exact"/>
      <w:ind w:right="25" w:rightChars="12"/>
      <w:jc w:val="left"/>
    </w:pPr>
    <w:rPr>
      <w:rFonts w:asciiTheme="minorHAnsi" w:hAnsiTheme="minorHAnsi" w:eastAsiaTheme="minorEastAsia"/>
      <w:kern w:val="0"/>
      <w:sz w:val="22"/>
      <w:szCs w:val="22"/>
    </w:rPr>
  </w:style>
  <w:style w:type="paragraph" w:styleId="14">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5">
    <w:name w:val="footnote text"/>
    <w:basedOn w:val="1"/>
    <w:semiHidden/>
    <w:unhideWhenUsed/>
    <w:qFormat/>
    <w:uiPriority w:val="99"/>
    <w:pPr>
      <w:snapToGrid w:val="0"/>
      <w:jc w:val="left"/>
    </w:pPr>
    <w:rPr>
      <w:sz w:val="18"/>
    </w:rPr>
  </w:style>
  <w:style w:type="paragraph" w:styleId="16">
    <w:name w:val="table of figures"/>
    <w:basedOn w:val="1"/>
    <w:next w:val="1"/>
    <w:autoRedefine/>
    <w:unhideWhenUsed/>
    <w:qFormat/>
    <w:uiPriority w:val="0"/>
    <w:pPr>
      <w:spacing w:line="360" w:lineRule="auto"/>
      <w:ind w:left="200" w:leftChars="200" w:hanging="200" w:hangingChars="200"/>
      <w:jc w:val="left"/>
    </w:pPr>
    <w:rPr>
      <w:sz w:val="24"/>
    </w:rPr>
  </w:style>
  <w:style w:type="paragraph" w:styleId="17">
    <w:name w:val="toc 2"/>
    <w:basedOn w:val="1"/>
    <w:next w:val="1"/>
    <w:autoRedefine/>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annotation subject"/>
    <w:basedOn w:val="7"/>
    <w:next w:val="7"/>
    <w:link w:val="42"/>
    <w:autoRedefine/>
    <w:semiHidden/>
    <w:unhideWhenUsed/>
    <w:qFormat/>
    <w:uiPriority w:val="99"/>
    <w:rPr>
      <w:b/>
      <w:bCs/>
    </w:rPr>
  </w:style>
  <w:style w:type="paragraph" w:styleId="20">
    <w:name w:val="Body Text First Indent"/>
    <w:basedOn w:val="8"/>
    <w:autoRedefine/>
    <w:semiHidden/>
    <w:unhideWhenUsed/>
    <w:qFormat/>
    <w:uiPriority w:val="99"/>
    <w:pPr>
      <w:ind w:firstLine="420" w:firstLineChars="100"/>
    </w:pPr>
  </w:style>
  <w:style w:type="table" w:styleId="22">
    <w:name w:val="Table Grid"/>
    <w:basedOn w:val="21"/>
    <w:autoRedefine/>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basedOn w:val="23"/>
    <w:qFormat/>
    <w:uiPriority w:val="22"/>
    <w:rPr>
      <w:b/>
    </w:rPr>
  </w:style>
  <w:style w:type="character" w:styleId="25">
    <w:name w:val="page number"/>
    <w:basedOn w:val="23"/>
    <w:autoRedefine/>
    <w:qFormat/>
    <w:uiPriority w:val="0"/>
  </w:style>
  <w:style w:type="character" w:styleId="26">
    <w:name w:val="Hyperlink"/>
    <w:basedOn w:val="23"/>
    <w:autoRedefine/>
    <w:unhideWhenUsed/>
    <w:qFormat/>
    <w:uiPriority w:val="99"/>
    <w:rPr>
      <w:color w:val="0000FF" w:themeColor="hyperlink"/>
      <w:u w:val="single"/>
      <w14:textFill>
        <w14:solidFill>
          <w14:schemeClr w14:val="hlink"/>
        </w14:solidFill>
      </w14:textFill>
    </w:rPr>
  </w:style>
  <w:style w:type="character" w:styleId="27">
    <w:name w:val="annotation reference"/>
    <w:basedOn w:val="23"/>
    <w:autoRedefine/>
    <w:semiHidden/>
    <w:unhideWhenUsed/>
    <w:qFormat/>
    <w:uiPriority w:val="99"/>
    <w:rPr>
      <w:sz w:val="21"/>
      <w:szCs w:val="21"/>
    </w:rPr>
  </w:style>
  <w:style w:type="character" w:styleId="28">
    <w:name w:val="footnote reference"/>
    <w:basedOn w:val="23"/>
    <w:semiHidden/>
    <w:unhideWhenUsed/>
    <w:qFormat/>
    <w:uiPriority w:val="99"/>
    <w:rPr>
      <w:vertAlign w:val="superscript"/>
    </w:rPr>
  </w:style>
  <w:style w:type="character" w:customStyle="1" w:styleId="29">
    <w:name w:val="标题 3 字符"/>
    <w:basedOn w:val="23"/>
    <w:link w:val="4"/>
    <w:autoRedefine/>
    <w:qFormat/>
    <w:uiPriority w:val="99"/>
    <w:rPr>
      <w:rFonts w:ascii="Times New Roman" w:hAnsi="Times New Roman" w:eastAsia="宋体" w:cs="Times New Roman"/>
      <w:b/>
      <w:bCs/>
      <w:kern w:val="0"/>
      <w:sz w:val="32"/>
      <w:szCs w:val="32"/>
    </w:rPr>
  </w:style>
  <w:style w:type="character" w:customStyle="1" w:styleId="30">
    <w:name w:val="标题 2 字符"/>
    <w:basedOn w:val="23"/>
    <w:link w:val="3"/>
    <w:autoRedefine/>
    <w:qFormat/>
    <w:uiPriority w:val="99"/>
    <w:rPr>
      <w:rFonts w:ascii="Cambria" w:hAnsi="Cambria" w:eastAsia="宋体" w:cs="Times New Roman"/>
      <w:b/>
      <w:bCs/>
      <w:kern w:val="0"/>
      <w:sz w:val="32"/>
      <w:szCs w:val="32"/>
    </w:rPr>
  </w:style>
  <w:style w:type="character" w:customStyle="1" w:styleId="31">
    <w:name w:val="标题 1 字符"/>
    <w:basedOn w:val="23"/>
    <w:link w:val="2"/>
    <w:autoRedefine/>
    <w:qFormat/>
    <w:uiPriority w:val="9"/>
    <w:rPr>
      <w:rFonts w:ascii="Times New Roman" w:hAnsi="Times New Roman" w:eastAsia="宋体" w:cs="Times New Roman"/>
      <w:b/>
      <w:bCs/>
      <w:kern w:val="44"/>
      <w:sz w:val="44"/>
      <w:szCs w:val="44"/>
    </w:rPr>
  </w:style>
  <w:style w:type="paragraph" w:customStyle="1" w:styleId="32">
    <w:name w:val="脚注文本1"/>
    <w:autoRedefine/>
    <w:qFormat/>
    <w:uiPriority w:val="0"/>
    <w:pPr>
      <w:widowControl w:val="0"/>
      <w:snapToGrid w:val="0"/>
      <w:jc w:val="left"/>
    </w:pPr>
    <w:rPr>
      <w:rFonts w:ascii="Calibri" w:hAnsi="Calibri" w:eastAsia="宋体" w:cs="Times New Roman"/>
      <w:kern w:val="2"/>
      <w:sz w:val="18"/>
      <w:szCs w:val="24"/>
      <w:lang w:val="en-US" w:eastAsia="zh-CN" w:bidi="ar-SA"/>
    </w:rPr>
  </w:style>
  <w:style w:type="paragraph" w:customStyle="1" w:styleId="33">
    <w:name w:val="Default"/>
    <w:next w:val="1"/>
    <w:autoRedefine/>
    <w:qFormat/>
    <w:uiPriority w:val="0"/>
    <w:pPr>
      <w:widowControl w:val="0"/>
      <w:autoSpaceDE w:val="0"/>
      <w:autoSpaceDN w:val="0"/>
      <w:adjustRightInd w:val="0"/>
      <w:spacing w:after="160" w:line="259" w:lineRule="auto"/>
    </w:pPr>
    <w:rPr>
      <w:rFonts w:ascii="宋体" w:hAnsi="Times New Roman" w:eastAsia="宋体" w:cs="宋体"/>
      <w:color w:val="000000"/>
      <w:kern w:val="0"/>
      <w:sz w:val="24"/>
      <w:szCs w:val="24"/>
      <w:lang w:val="en-US" w:eastAsia="zh-CN" w:bidi="ar-SA"/>
    </w:rPr>
  </w:style>
  <w:style w:type="paragraph" w:customStyle="1" w:styleId="34">
    <w:name w:val="一、报告标题"/>
    <w:basedOn w:val="1"/>
    <w:autoRedefine/>
    <w:qFormat/>
    <w:uiPriority w:val="0"/>
    <w:pPr>
      <w:spacing w:line="600" w:lineRule="exact"/>
      <w:ind w:firstLine="643" w:firstLineChars="200"/>
      <w:outlineLvl w:val="0"/>
    </w:pPr>
    <w:rPr>
      <w:rFonts w:hint="eastAsia" w:ascii="楷体_GB2312" w:hAnsi="楷体_GB2312" w:eastAsia="楷体_GB2312" w:cs="楷体_GB2312"/>
      <w:b/>
      <w:bCs/>
      <w:sz w:val="32"/>
      <w:szCs w:val="32"/>
    </w:rPr>
  </w:style>
  <w:style w:type="paragraph" w:customStyle="1" w:styleId="35">
    <w:name w:val="绩效一级"/>
    <w:basedOn w:val="34"/>
    <w:autoRedefine/>
    <w:qFormat/>
    <w:uiPriority w:val="0"/>
    <w:rPr>
      <w:rFonts w:hint="default" w:eastAsia="黑体" w:asciiTheme="minorAscii" w:hAnsiTheme="minorAscii"/>
      <w:kern w:val="30"/>
      <w:sz w:val="30"/>
    </w:rPr>
  </w:style>
  <w:style w:type="paragraph" w:customStyle="1" w:styleId="36">
    <w:name w:val="绩效二级"/>
    <w:basedOn w:val="1"/>
    <w:autoRedefine/>
    <w:qFormat/>
    <w:uiPriority w:val="0"/>
    <w:pPr>
      <w:adjustRightInd w:val="0"/>
      <w:snapToGrid w:val="0"/>
      <w:spacing w:line="579" w:lineRule="exact"/>
      <w:ind w:firstLine="630" w:firstLineChars="200"/>
      <w:outlineLvl w:val="9"/>
    </w:pPr>
    <w:rPr>
      <w:rFonts w:hint="eastAsia" w:ascii="Times New Roman" w:hAnsi="Times New Roman" w:eastAsia="楷体" w:cs="Times New Roman"/>
      <w:kern w:val="30"/>
      <w:sz w:val="30"/>
      <w:szCs w:val="30"/>
    </w:rPr>
  </w:style>
  <w:style w:type="paragraph" w:customStyle="1" w:styleId="37">
    <w:name w:val="绩效正文"/>
    <w:basedOn w:val="1"/>
    <w:autoRedefine/>
    <w:qFormat/>
    <w:uiPriority w:val="0"/>
    <w:pPr>
      <w:adjustRightInd/>
      <w:snapToGrid/>
      <w:spacing w:line="579" w:lineRule="exact"/>
      <w:ind w:firstLine="630" w:firstLineChars="200"/>
    </w:pPr>
    <w:rPr>
      <w:rFonts w:hint="eastAsia" w:ascii="仿宋" w:hAnsi="仿宋" w:eastAsia="仿宋" w:cs="Times New Roman"/>
      <w:kern w:val="30"/>
      <w:sz w:val="30"/>
      <w:szCs w:val="30"/>
    </w:rPr>
  </w:style>
  <w:style w:type="character" w:customStyle="1" w:styleId="38">
    <w:name w:val="页眉 字符"/>
    <w:basedOn w:val="23"/>
    <w:link w:val="12"/>
    <w:autoRedefine/>
    <w:qFormat/>
    <w:uiPriority w:val="99"/>
    <w:rPr>
      <w:sz w:val="18"/>
      <w:szCs w:val="18"/>
    </w:rPr>
  </w:style>
  <w:style w:type="character" w:customStyle="1" w:styleId="39">
    <w:name w:val="页脚 字符"/>
    <w:basedOn w:val="23"/>
    <w:link w:val="11"/>
    <w:autoRedefine/>
    <w:qFormat/>
    <w:uiPriority w:val="0"/>
    <w:rPr>
      <w:sz w:val="18"/>
      <w:szCs w:val="18"/>
    </w:rPr>
  </w:style>
  <w:style w:type="character" w:customStyle="1" w:styleId="40">
    <w:name w:val="批注框文本 字符"/>
    <w:basedOn w:val="23"/>
    <w:link w:val="10"/>
    <w:autoRedefine/>
    <w:semiHidden/>
    <w:qFormat/>
    <w:uiPriority w:val="99"/>
    <w:rPr>
      <w:rFonts w:ascii="Times New Roman" w:hAnsi="Times New Roman" w:eastAsia="宋体" w:cs="Times New Roman"/>
      <w:sz w:val="18"/>
      <w:szCs w:val="18"/>
    </w:rPr>
  </w:style>
  <w:style w:type="character" w:customStyle="1" w:styleId="41">
    <w:name w:val="批注文字 字符"/>
    <w:basedOn w:val="23"/>
    <w:link w:val="7"/>
    <w:autoRedefine/>
    <w:qFormat/>
    <w:uiPriority w:val="99"/>
    <w:rPr>
      <w:rFonts w:ascii="Times New Roman" w:hAnsi="Times New Roman" w:eastAsia="宋体" w:cs="Times New Roman"/>
      <w:szCs w:val="21"/>
    </w:rPr>
  </w:style>
  <w:style w:type="character" w:customStyle="1" w:styleId="42">
    <w:name w:val="批注主题 字符"/>
    <w:basedOn w:val="41"/>
    <w:link w:val="19"/>
    <w:autoRedefine/>
    <w:semiHidden/>
    <w:qFormat/>
    <w:uiPriority w:val="99"/>
    <w:rPr>
      <w:rFonts w:ascii="Times New Roman" w:hAnsi="Times New Roman" w:eastAsia="宋体" w:cs="Times New Roman"/>
      <w:b/>
      <w:bCs/>
      <w:szCs w:val="21"/>
    </w:rPr>
  </w:style>
  <w:style w:type="character" w:customStyle="1" w:styleId="43">
    <w:name w:val="文档结构图 字符"/>
    <w:basedOn w:val="23"/>
    <w:link w:val="6"/>
    <w:autoRedefine/>
    <w:semiHidden/>
    <w:qFormat/>
    <w:uiPriority w:val="99"/>
    <w:rPr>
      <w:rFonts w:ascii="宋体" w:hAnsi="Times New Roman" w:eastAsia="宋体" w:cs="Times New Roman"/>
      <w:sz w:val="18"/>
      <w:szCs w:val="18"/>
    </w:rPr>
  </w:style>
  <w:style w:type="paragraph" w:customStyle="1" w:styleId="44">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5">
    <w:name w:val="Revision"/>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6">
    <w:name w:val="页码 New New"/>
    <w:basedOn w:val="23"/>
    <w:autoRedefine/>
    <w:qFormat/>
    <w:uiPriority w:val="0"/>
  </w:style>
  <w:style w:type="paragraph" w:styleId="47">
    <w:name w:val="List Paragraph"/>
    <w:basedOn w:val="1"/>
    <w:autoRedefine/>
    <w:qFormat/>
    <w:uiPriority w:val="34"/>
    <w:pPr>
      <w:ind w:firstLine="420" w:firstLineChars="200"/>
    </w:pPr>
  </w:style>
  <w:style w:type="character" w:customStyle="1" w:styleId="48">
    <w:name w:val="正文文本 字符"/>
    <w:basedOn w:val="23"/>
    <w:link w:val="8"/>
    <w:autoRedefine/>
    <w:qFormat/>
    <w:uiPriority w:val="1"/>
    <w:rPr>
      <w:rFonts w:ascii="仿宋_GB2312" w:hAnsi="仿宋_GB2312" w:eastAsia="仿宋_GB2312"/>
      <w:kern w:val="0"/>
      <w:sz w:val="30"/>
      <w:szCs w:val="30"/>
      <w:lang w:eastAsia="en-US"/>
    </w:rPr>
  </w:style>
  <w:style w:type="character" w:customStyle="1" w:styleId="49">
    <w:name w:val="Unresolved Mention"/>
    <w:basedOn w:val="23"/>
    <w:autoRedefine/>
    <w:semiHidden/>
    <w:unhideWhenUsed/>
    <w:qFormat/>
    <w:uiPriority w:val="99"/>
    <w:rPr>
      <w:color w:val="605E5C"/>
      <w:shd w:val="clear" w:color="auto" w:fill="E1DFDD"/>
    </w:rPr>
  </w:style>
  <w:style w:type="paragraph" w:customStyle="1" w:styleId="5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79FAE-EF8C-4413-8BA6-6BA5B5841ADB}">
  <ds:schemaRefs/>
</ds:datastoreItem>
</file>

<file path=docProps/app.xml><?xml version="1.0" encoding="utf-8"?>
<Properties xmlns="http://schemas.openxmlformats.org/officeDocument/2006/extended-properties" xmlns:vt="http://schemas.openxmlformats.org/officeDocument/2006/docPropsVTypes">
  <Template>Normal</Template>
  <Pages>33</Pages>
  <Words>12771</Words>
  <Characters>13831</Characters>
  <Lines>30</Lines>
  <Paragraphs>8</Paragraphs>
  <TotalTime>34</TotalTime>
  <ScaleCrop>false</ScaleCrop>
  <LinksUpToDate>false</LinksUpToDate>
  <CharactersWithSpaces>13936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2017-10-30T07:15:00Z</dcterms:created>
  <dcterms:modified xsi:type="dcterms:W3CDTF">2024-11-15T01:41:27Z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DC51379E90F748BBA6FE14CF6BF36878_13</vt:lpwstr>
  </property>
</Properties>
</file>