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F8900">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default" w:ascii="Times New Roman" w:hAnsi="Times New Roman" w:eastAsia="黑体" w:cs="Times New Roman"/>
          <w:b/>
          <w:sz w:val="44"/>
          <w:szCs w:val="44"/>
          <w:highlight w:val="none"/>
          <w:lang w:val="zh-CN"/>
        </w:rPr>
      </w:pPr>
      <w:bookmarkStart w:id="77" w:name="_GoBack"/>
      <w:r>
        <w:rPr>
          <w:rFonts w:hint="default" w:ascii="Times New Roman" w:hAnsi="Times New Roman" w:eastAsia="黑体" w:cs="Times New Roman"/>
          <w:b/>
          <w:sz w:val="44"/>
          <w:szCs w:val="44"/>
          <w:highlight w:val="none"/>
          <w:lang w:val="zh-CN"/>
        </w:rPr>
        <w:t>目  录</w:t>
      </w:r>
    </w:p>
    <w:p w14:paraId="464D2A57">
      <w:pPr>
        <w:widowControl/>
        <w:tabs>
          <w:tab w:val="left" w:pos="2151"/>
        </w:tabs>
        <w:spacing w:line="400" w:lineRule="exact"/>
        <w:jc w:val="left"/>
        <w:rPr>
          <w:rFonts w:hint="default" w:ascii="Times New Roman" w:hAnsi="Times New Roman" w:cs="Times New Roman" w:eastAsiaTheme="minorEastAsia"/>
          <w:b/>
          <w:sz w:val="36"/>
          <w:szCs w:val="36"/>
          <w:highlight w:val="none"/>
          <w:lang w:eastAsia="zh-CN"/>
        </w:rPr>
      </w:pPr>
      <w:r>
        <w:rPr>
          <w:rFonts w:hint="default" w:ascii="Times New Roman" w:hAnsi="Times New Roman" w:cs="Times New Roman" w:eastAsiaTheme="minorEastAsia"/>
          <w:b/>
          <w:sz w:val="36"/>
          <w:szCs w:val="36"/>
          <w:highlight w:val="none"/>
          <w:lang w:eastAsia="zh-CN"/>
        </w:rPr>
        <w:tab/>
      </w:r>
    </w:p>
    <w:p w14:paraId="575EEB0E">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TOC \o "1-3" \h \z \u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_Toc2692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摘  要</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_Toc2692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I</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15D4F4CE">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_Toc22058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一、基本情况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_Toc22058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135ED149">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_Toc27039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（一）项目概况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_Toc27039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22D83397">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_Toc18865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（二）项目资金安排情况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_Toc18865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3</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30AA5DFD">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_Toc5341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（三）项目实施内容</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_Toc5341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5</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1450354B">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_Toc289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（四）项目绩效目标设立情况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_Toc289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8</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2CDBB8F0">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_Toc25393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（五）组织管理情况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_Toc25393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9</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52CC4163">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_Toc22490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二、绩效评价工作开展情况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_Toc22490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10</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5B89910D">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_Toc15107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（一）绩效评价目的、对象和范围</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_Toc15107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10</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32628305">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_Toc22791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（二）绩效评价原则、评价指标体系和等级、评价方法、评价抽样</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_Toc22791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11</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6D0266E7">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_Toc18354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（三）绩效评价工作过程</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_Toc18354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13</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6D9C8535">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_Toc1023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三、绩效评价结论</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_Toc1023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14</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47EF6CF0">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_Toc20188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（一）绩效评价综合结论</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_Toc20188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14</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74530DA0">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_Toc25831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（二）绩效目标实现情况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_Toc25831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14</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76A66AE2">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_Toc7440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四、绩效评价情况分析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_Toc7440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16</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55ED6474">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_Toc11047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（一）决策情况分析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_Toc11047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16</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76191492">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_Toc11488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（二）过程情况分析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_Toc11488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18</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299F65ED">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_Toc29864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（三）产出情况分析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_Toc29864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20</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7CB0E95B">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_Toc940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（四）效果情况分析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_Toc940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23</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43B49F22">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_Toc31741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五、存在问题及原因分析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_Toc31741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24</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011942D9">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_Toc22942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（一）绩效目标编制不准确，绩效管理有待加强</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_Toc22942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24</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658FEE12">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_Toc15828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w:t>
      </w:r>
      <w:r>
        <w:rPr>
          <w:rFonts w:hint="eastAsia" w:ascii="Times New Roman" w:hAnsi="Times New Roman" w:eastAsia="仿宋" w:cs="Times New Roman"/>
          <w:b w:val="0"/>
          <w:bCs w:val="0"/>
          <w:sz w:val="30"/>
          <w:szCs w:val="30"/>
          <w:highlight w:val="none"/>
          <w:lang w:val="en-US" w:eastAsia="zh-CN"/>
        </w:rPr>
        <w:t>二</w:t>
      </w:r>
      <w:r>
        <w:rPr>
          <w:rFonts w:hint="default" w:ascii="Times New Roman" w:hAnsi="Times New Roman" w:eastAsia="仿宋" w:cs="Times New Roman"/>
          <w:b w:val="0"/>
          <w:bCs w:val="0"/>
          <w:sz w:val="30"/>
          <w:szCs w:val="30"/>
          <w:highlight w:val="none"/>
          <w:lang w:val="en-US" w:eastAsia="zh-CN"/>
        </w:rPr>
        <w:t>）评估单位专业性有待加强，个别结论充分性不足</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_Toc15828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24</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4FB06154">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_Toc15537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六、建议</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_Toc15537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25</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62C2B4BA">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_Toc29232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（一）加强绩效管理工作，提升单位绩效意识</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_Toc29232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25</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4267E0B7">
      <w:pPr>
        <w:pStyle w:val="14"/>
        <w:tabs>
          <w:tab w:val="right" w:leader="dot" w:pos="8844"/>
          <w:tab w:val="clear" w:pos="8931"/>
        </w:tabs>
        <w:spacing w:line="240" w:lineRule="auto"/>
        <w:rPr>
          <w:highlight w:val="none"/>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_Toc2280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w:t>
      </w:r>
      <w:r>
        <w:rPr>
          <w:rFonts w:hint="eastAsia" w:ascii="Times New Roman" w:hAnsi="Times New Roman" w:eastAsia="仿宋" w:cs="Times New Roman"/>
          <w:b w:val="0"/>
          <w:bCs w:val="0"/>
          <w:sz w:val="30"/>
          <w:szCs w:val="30"/>
          <w:highlight w:val="none"/>
          <w:lang w:val="en-US" w:eastAsia="zh-CN"/>
        </w:rPr>
        <w:t>二</w:t>
      </w:r>
      <w:r>
        <w:rPr>
          <w:rFonts w:hint="default" w:ascii="Times New Roman" w:hAnsi="Times New Roman" w:eastAsia="仿宋" w:cs="Times New Roman"/>
          <w:b w:val="0"/>
          <w:bCs w:val="0"/>
          <w:sz w:val="30"/>
          <w:szCs w:val="30"/>
          <w:highlight w:val="none"/>
          <w:lang w:val="en-US" w:eastAsia="zh-CN"/>
        </w:rPr>
        <w:t>）加强第三方管理要求，提升结论的专业性</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_Toc2280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25</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4E84EB8C">
      <w:pPr>
        <w:pStyle w:val="14"/>
        <w:keepNext w:val="0"/>
        <w:keepLines w:val="0"/>
        <w:pageBreakBefore w:val="0"/>
        <w:widowControl/>
        <w:tabs>
          <w:tab w:val="right" w:leader="dot" w:pos="8844"/>
          <w:tab w:val="clear" w:pos="8931"/>
        </w:tabs>
        <w:kinsoku/>
        <w:wordWrap/>
        <w:overflowPunct/>
        <w:topLinePunct w:val="0"/>
        <w:autoSpaceDE/>
        <w:autoSpaceDN/>
        <w:bidi w:val="0"/>
        <w:adjustRightInd w:val="0"/>
        <w:snapToGrid w:val="0"/>
        <w:spacing w:line="240" w:lineRule="auto"/>
        <w:ind w:right="0" w:rightChars="0"/>
        <w:textAlignment w:val="auto"/>
        <w:rPr>
          <w:rFonts w:hint="default" w:ascii="Times New Roman" w:hAnsi="Times New Roman" w:eastAsia="仿宋" w:cs="Times New Roman"/>
          <w:b w:val="0"/>
          <w:bCs w:val="0"/>
          <w:kern w:val="0"/>
          <w:sz w:val="30"/>
          <w:szCs w:val="30"/>
          <w:highlight w:val="none"/>
          <w:lang w:val="en-US" w:eastAsia="zh-CN" w:bidi="ar-SA"/>
        </w:rPr>
      </w:pPr>
      <w:r>
        <w:rPr>
          <w:rFonts w:hint="default" w:ascii="Times New Roman" w:hAnsi="Times New Roman" w:eastAsia="仿宋" w:cs="Times New Roman"/>
          <w:bCs w:val="0"/>
          <w:szCs w:val="30"/>
          <w:highlight w:val="none"/>
          <w:lang w:val="en-US" w:eastAsia="zh-CN"/>
        </w:rPr>
        <w:fldChar w:fldCharType="end"/>
      </w:r>
    </w:p>
    <w:p w14:paraId="54ECAC94">
      <w:pPr>
        <w:pStyle w:val="14"/>
        <w:keepNext w:val="0"/>
        <w:keepLines w:val="0"/>
        <w:pageBreakBefore w:val="0"/>
        <w:widowControl/>
        <w:tabs>
          <w:tab w:val="right" w:leader="dot" w:pos="8789"/>
          <w:tab w:val="clear" w:pos="8931"/>
        </w:tabs>
        <w:kinsoku/>
        <w:wordWrap/>
        <w:overflowPunct/>
        <w:topLinePunct w:val="0"/>
        <w:autoSpaceDE/>
        <w:autoSpaceDN/>
        <w:bidi w:val="0"/>
        <w:adjustRightInd w:val="0"/>
        <w:snapToGrid w:val="0"/>
        <w:spacing w:line="240" w:lineRule="auto"/>
        <w:ind w:right="0" w:rightChars="0"/>
        <w:jc w:val="distribute"/>
        <w:textAlignment w:val="auto"/>
        <w:rPr>
          <w:rFonts w:hint="default" w:ascii="Times New Roman" w:hAnsi="Times New Roman" w:eastAsia="仿宋" w:cs="Times New Roman"/>
          <w:b w:val="0"/>
          <w:bCs w:val="0"/>
          <w:kern w:val="0"/>
          <w:sz w:val="30"/>
          <w:szCs w:val="30"/>
          <w:highlight w:val="none"/>
          <w:lang w:val="en-US" w:eastAsia="zh-CN" w:bidi="ar-SA"/>
        </w:rPr>
        <w:sectPr>
          <w:headerReference r:id="rId3" w:type="default"/>
          <w:footerReference r:id="rId5" w:type="default"/>
          <w:headerReference r:id="rId4" w:type="even"/>
          <w:type w:val="oddPage"/>
          <w:pgSz w:w="11906" w:h="16838"/>
          <w:pgMar w:top="2098" w:right="1474" w:bottom="1985" w:left="1588" w:header="851" w:footer="1474" w:gutter="0"/>
          <w:pgNumType w:fmt="decimal" w:start="1"/>
          <w:cols w:space="425" w:num="1"/>
          <w:docGrid w:type="linesAndChars" w:linePitch="579" w:charSpace="3247"/>
        </w:sectPr>
      </w:pPr>
    </w:p>
    <w:p w14:paraId="024C6A9B">
      <w:pPr>
        <w:overflowPunct w:val="0"/>
        <w:spacing w:line="579" w:lineRule="exact"/>
        <w:jc w:val="center"/>
        <w:outlineLvl w:val="0"/>
        <w:rPr>
          <w:rFonts w:hint="default" w:ascii="Times New Roman" w:hAnsi="Times New Roman" w:eastAsia="方正小标宋简体" w:cs="Times New Roman"/>
          <w:sz w:val="44"/>
          <w:szCs w:val="44"/>
          <w:highlight w:val="none"/>
        </w:rPr>
      </w:pPr>
      <w:bookmarkStart w:id="0" w:name="_Toc2692"/>
      <w:bookmarkStart w:id="1" w:name="_Hlk525313924"/>
      <w:r>
        <w:rPr>
          <w:rFonts w:hint="default" w:ascii="Times New Roman" w:hAnsi="Times New Roman" w:eastAsia="方正小标宋简体" w:cs="Times New Roman"/>
          <w:sz w:val="44"/>
          <w:szCs w:val="44"/>
          <w:highlight w:val="none"/>
        </w:rPr>
        <w:t>摘  要</w:t>
      </w:r>
      <w:bookmarkEnd w:id="0"/>
    </w:p>
    <w:p w14:paraId="0DB3960C">
      <w:pPr>
        <w:overflowPunct w:val="0"/>
        <w:spacing w:line="579" w:lineRule="exact"/>
        <w:ind w:firstLine="632"/>
        <w:rPr>
          <w:rFonts w:hint="default" w:ascii="Times New Roman" w:hAnsi="Times New Roman" w:cs="Times New Roman"/>
          <w:szCs w:val="30"/>
          <w:highlight w:val="none"/>
        </w:rPr>
      </w:pPr>
    </w:p>
    <w:p w14:paraId="68E1771D">
      <w:pPr>
        <w:pStyle w:val="30"/>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bookmarkStart w:id="2" w:name="_Toc12842"/>
      <w:bookmarkStart w:id="3" w:name="_Toc6821"/>
      <w:bookmarkStart w:id="4" w:name="_Toc24668"/>
      <w:r>
        <w:rPr>
          <w:rFonts w:hint="default" w:ascii="Times New Roman" w:hAnsi="Times New Roman" w:cs="Times New Roman"/>
          <w:highlight w:val="none"/>
          <w:lang w:val="en-US" w:eastAsia="zh-CN"/>
        </w:rPr>
        <w:t>一、基本情况</w:t>
      </w:r>
      <w:bookmarkEnd w:id="2"/>
      <w:bookmarkEnd w:id="3"/>
      <w:bookmarkEnd w:id="4"/>
    </w:p>
    <w:p w14:paraId="0B2855A5">
      <w:pPr>
        <w:pStyle w:val="31"/>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（一）项目概况</w:t>
      </w:r>
    </w:p>
    <w:p w14:paraId="42FB2063">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cs="Times New Roman"/>
          <w:szCs w:val="30"/>
          <w:highlight w:val="none"/>
          <w:lang w:val="en-US" w:eastAsia="zh-CN"/>
        </w:rPr>
        <w:t>本项目名称为社区居家养老服务中心运营补助项目，主要是按照</w:t>
      </w:r>
      <w:r>
        <w:rPr>
          <w:rFonts w:hint="default" w:ascii="Times New Roman" w:hAnsi="Times New Roman" w:eastAsia="仿宋" w:cs="Times New Roman"/>
          <w:b w:val="0"/>
          <w:bCs w:val="0"/>
          <w:kern w:val="30"/>
          <w:sz w:val="30"/>
          <w:szCs w:val="30"/>
          <w:highlight w:val="none"/>
          <w:lang w:val="en-US" w:eastAsia="zh-CN" w:bidi="ar-SA"/>
        </w:rPr>
        <w:t>《昆明市城乡社区居家养老服务设施建设及运营管理实施意见》（昆老办〔2016〕29号），</w:t>
      </w:r>
      <w:r>
        <w:rPr>
          <w:rFonts w:hint="default" w:ascii="Times New Roman" w:hAnsi="Times New Roman" w:cs="Times New Roman"/>
          <w:b w:val="0"/>
          <w:bCs w:val="0"/>
          <w:kern w:val="30"/>
          <w:sz w:val="30"/>
          <w:szCs w:val="30"/>
          <w:highlight w:val="none"/>
          <w:lang w:val="en-US" w:eastAsia="zh-CN" w:bidi="ar-SA"/>
        </w:rPr>
        <w:t>关于“</w:t>
      </w:r>
      <w:r>
        <w:rPr>
          <w:rFonts w:hint="default" w:ascii="Times New Roman" w:hAnsi="Times New Roman" w:eastAsia="仿宋" w:cs="Times New Roman"/>
          <w:b w:val="0"/>
          <w:bCs w:val="0"/>
          <w:kern w:val="30"/>
          <w:sz w:val="30"/>
          <w:szCs w:val="30"/>
          <w:highlight w:val="none"/>
          <w:lang w:val="en-US" w:eastAsia="zh-CN" w:bidi="ar-SA"/>
        </w:rPr>
        <w:t>明确</w:t>
      </w:r>
      <w:r>
        <w:rPr>
          <w:rFonts w:hint="default" w:ascii="Times New Roman" w:hAnsi="Times New Roman" w:cs="Times New Roman"/>
          <w:b w:val="0"/>
          <w:bCs w:val="0"/>
          <w:szCs w:val="30"/>
          <w:highlight w:val="none"/>
          <w:lang w:val="en-US" w:eastAsia="zh-CN"/>
        </w:rPr>
        <w:t>居家养老服务设施可实行社区、乡镇自主运营管理，社会力量承包、租赁运营管理，也可由基层老年协会管理，运营管理经费可通过政府补贴、政府购买服务、社会组织及个人捐助、低偿或有偿服务等方式筹集。”以及《昆明市民政局关于申报民办养老服务机构及居家养老服务中心补助的通知》（昆民通〔2020〕41号），关于“公办、民办居家养老服务中心（站）建成投入使用后，在中央、省资金支持下，每年由市、县级财政纳入年度预算补助。”等文件要求</w:t>
      </w:r>
      <w:r>
        <w:rPr>
          <w:rFonts w:hint="default" w:ascii="Times New Roman" w:hAnsi="Times New Roman" w:cs="Times New Roman"/>
          <w:b w:val="0"/>
          <w:bCs w:val="0"/>
          <w:kern w:val="30"/>
          <w:sz w:val="30"/>
          <w:szCs w:val="30"/>
          <w:highlight w:val="none"/>
          <w:lang w:val="en-US" w:eastAsia="zh-CN" w:bidi="ar-SA"/>
        </w:rPr>
        <w:t>，</w:t>
      </w:r>
      <w:r>
        <w:rPr>
          <w:rFonts w:hint="default" w:ascii="Times New Roman" w:hAnsi="Times New Roman" w:cs="Times New Roman"/>
          <w:kern w:val="30"/>
          <w:sz w:val="30"/>
          <w:szCs w:val="30"/>
          <w:highlight w:val="none"/>
          <w:lang w:val="en-US" w:eastAsia="zh-CN" w:bidi="ar-SA"/>
        </w:rPr>
        <w:t>对辖区内的居家养老服务中心发放运营补助资金</w:t>
      </w:r>
      <w:r>
        <w:rPr>
          <w:rFonts w:hint="default" w:ascii="Times New Roman" w:hAnsi="Times New Roman" w:cs="Times New Roman"/>
          <w:szCs w:val="30"/>
          <w:highlight w:val="none"/>
          <w:lang w:val="en-US" w:eastAsia="zh-CN"/>
        </w:rPr>
        <w:t>，进一步维持区域居家养老服务工作开展，推动区域服务水平提升</w:t>
      </w:r>
      <w:r>
        <w:rPr>
          <w:rFonts w:hint="default" w:ascii="Times New Roman" w:hAnsi="Times New Roman" w:cs="Times New Roman"/>
          <w:kern w:val="30"/>
          <w:sz w:val="30"/>
          <w:szCs w:val="30"/>
          <w:highlight w:val="none"/>
          <w:lang w:val="en-US" w:eastAsia="zh-CN" w:bidi="ar-SA"/>
        </w:rPr>
        <w:t>。</w:t>
      </w:r>
    </w:p>
    <w:p w14:paraId="444B4AFC">
      <w:pPr>
        <w:pStyle w:val="31"/>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（二）项目资金安排情</w:t>
      </w:r>
      <w:r>
        <w:rPr>
          <w:rFonts w:hint="default" w:ascii="Times New Roman" w:hAnsi="Times New Roman" w:cs="Times New Roman"/>
          <w:highlight w:val="none"/>
          <w:shd w:val="clear" w:fill="auto"/>
        </w:rPr>
        <w:t>况</w:t>
      </w:r>
    </w:p>
    <w:p w14:paraId="2719C859">
      <w:pPr>
        <w:spacing w:line="600" w:lineRule="exact"/>
        <w:ind w:firstLine="630" w:firstLineChars="200"/>
        <w:rPr>
          <w:rFonts w:hint="default" w:ascii="Times New Roman" w:hAnsi="Times New Roman" w:eastAsia="仿宋" w:cs="Times New Roman"/>
          <w:b/>
          <w:bCs/>
          <w:kern w:val="2"/>
          <w:sz w:val="30"/>
          <w:szCs w:val="30"/>
          <w:highlight w:val="none"/>
          <w:lang w:val="en-US" w:eastAsia="zh-CN" w:bidi="ar-SA"/>
        </w:rPr>
      </w:pPr>
      <w:r>
        <w:rPr>
          <w:rFonts w:hint="default" w:ascii="Times New Roman" w:hAnsi="Times New Roman" w:cs="Times New Roman"/>
          <w:b w:val="0"/>
          <w:bCs w:val="0"/>
          <w:kern w:val="2"/>
          <w:sz w:val="30"/>
          <w:szCs w:val="30"/>
          <w:highlight w:val="none"/>
          <w:lang w:val="en-US" w:eastAsia="zh-CN" w:bidi="ar-SA"/>
        </w:rPr>
        <w:t>1.资金来源及到位情况</w:t>
      </w:r>
    </w:p>
    <w:p w14:paraId="274B1FA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2023年本项目预算资金24.6</w:t>
      </w:r>
      <w:r>
        <w:rPr>
          <w:rFonts w:hint="eastAsia" w:ascii="Times New Roman" w:cs="Times New Roman"/>
          <w:kern w:val="30"/>
          <w:sz w:val="30"/>
          <w:szCs w:val="30"/>
          <w:highlight w:val="none"/>
          <w:lang w:val="en-US" w:eastAsia="zh-CN" w:bidi="ar-SA"/>
        </w:rPr>
        <w:t>1</w:t>
      </w:r>
      <w:r>
        <w:rPr>
          <w:rFonts w:hint="default" w:ascii="Times New Roman" w:hAnsi="Times New Roman" w:eastAsia="仿宋" w:cs="Times New Roman"/>
          <w:kern w:val="30"/>
          <w:sz w:val="30"/>
          <w:szCs w:val="30"/>
          <w:highlight w:val="none"/>
          <w:lang w:val="en-US" w:eastAsia="zh-CN" w:bidi="ar-SA"/>
        </w:rPr>
        <w:t>万元，根据《昆明市财政局 昆明市民政局 关于下达2023年第一批省级民政事业专项资金的通知》（昆财社〔2023〕85号），截至2023年12月31日，本项目实际到位资金24.6</w:t>
      </w:r>
      <w:r>
        <w:rPr>
          <w:rFonts w:hint="eastAsia" w:ascii="Times New Roman" w:cs="Times New Roman"/>
          <w:kern w:val="30"/>
          <w:sz w:val="30"/>
          <w:szCs w:val="30"/>
          <w:highlight w:val="none"/>
          <w:lang w:val="en-US" w:eastAsia="zh-CN" w:bidi="ar-SA"/>
        </w:rPr>
        <w:t>1</w:t>
      </w:r>
      <w:r>
        <w:rPr>
          <w:rFonts w:hint="default" w:ascii="Times New Roman" w:hAnsi="Times New Roman" w:eastAsia="仿宋" w:cs="Times New Roman"/>
          <w:kern w:val="30"/>
          <w:sz w:val="30"/>
          <w:szCs w:val="30"/>
          <w:highlight w:val="none"/>
          <w:lang w:val="en-US" w:eastAsia="zh-CN" w:bidi="ar-SA"/>
        </w:rPr>
        <w:t>万元，资金到位率100%</w:t>
      </w:r>
      <w:r>
        <w:rPr>
          <w:rFonts w:hint="default" w:ascii="Times New Roman" w:hAnsi="Times New Roman" w:cs="Times New Roman"/>
          <w:kern w:val="30"/>
          <w:sz w:val="30"/>
          <w:szCs w:val="30"/>
          <w:highlight w:val="none"/>
          <w:lang w:val="en-US" w:eastAsia="zh-CN" w:bidi="ar-SA"/>
        </w:rPr>
        <w:t>。</w:t>
      </w:r>
    </w:p>
    <w:p w14:paraId="45A079E2">
      <w:pPr>
        <w:spacing w:line="600" w:lineRule="exact"/>
        <w:ind w:firstLine="630" w:firstLineChars="200"/>
        <w:rPr>
          <w:rFonts w:hint="default" w:ascii="Times New Roman" w:hAnsi="Times New Roman" w:eastAsia="仿宋" w:cs="Times New Roman"/>
          <w:b/>
          <w:bCs/>
          <w:kern w:val="2"/>
          <w:sz w:val="30"/>
          <w:szCs w:val="30"/>
          <w:highlight w:val="none"/>
          <w:lang w:val="en-US" w:eastAsia="zh-CN" w:bidi="ar-SA"/>
        </w:rPr>
      </w:pPr>
      <w:r>
        <w:rPr>
          <w:rFonts w:hint="default" w:ascii="Times New Roman" w:hAnsi="Times New Roman" w:cs="Times New Roman"/>
          <w:b w:val="0"/>
          <w:bCs w:val="0"/>
          <w:kern w:val="2"/>
          <w:sz w:val="30"/>
          <w:szCs w:val="30"/>
          <w:highlight w:val="none"/>
          <w:lang w:val="en-US" w:eastAsia="zh-CN" w:bidi="ar-SA"/>
        </w:rPr>
        <w:t>2.资金使用情况</w:t>
      </w:r>
    </w:p>
    <w:p w14:paraId="30798E0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截至2023年12月31日，区民政局共对24家单位进行补助，共补助金额55.4万元，资金构成包含2023年预算24.6</w:t>
      </w:r>
      <w:r>
        <w:rPr>
          <w:rFonts w:hint="eastAsia" w:ascii="Times New Roman" w:cs="Times New Roman"/>
          <w:kern w:val="30"/>
          <w:sz w:val="30"/>
          <w:szCs w:val="30"/>
          <w:highlight w:val="none"/>
          <w:lang w:val="en-US" w:eastAsia="zh-CN" w:bidi="ar-SA"/>
        </w:rPr>
        <w:t>1</w:t>
      </w:r>
      <w:r>
        <w:rPr>
          <w:rFonts w:hint="default" w:ascii="Times New Roman" w:hAnsi="Times New Roman" w:eastAsia="仿宋" w:cs="Times New Roman"/>
          <w:kern w:val="30"/>
          <w:sz w:val="30"/>
          <w:szCs w:val="30"/>
          <w:highlight w:val="none"/>
          <w:lang w:val="en-US" w:eastAsia="zh-CN" w:bidi="ar-SA"/>
        </w:rPr>
        <w:t>万元以及2022年该项目的结余资金30.79万元</w:t>
      </w:r>
      <w:r>
        <w:rPr>
          <w:rFonts w:hint="eastAsia" w:ascii="Times New Roman" w:cs="Times New Roman"/>
          <w:kern w:val="30"/>
          <w:sz w:val="30"/>
          <w:szCs w:val="30"/>
          <w:highlight w:val="none"/>
          <w:lang w:val="en-US" w:eastAsia="zh-CN" w:bidi="ar-SA"/>
        </w:rPr>
        <w:t>，预算执行率100%</w:t>
      </w:r>
      <w:r>
        <w:rPr>
          <w:rFonts w:hint="default" w:ascii="Times New Roman" w:hAnsi="Times New Roman" w:eastAsia="仿宋" w:cs="Times New Roman"/>
          <w:kern w:val="30"/>
          <w:sz w:val="30"/>
          <w:szCs w:val="30"/>
          <w:highlight w:val="none"/>
          <w:lang w:val="en-US" w:eastAsia="zh-CN" w:bidi="ar-SA"/>
        </w:rPr>
        <w:t>。</w:t>
      </w:r>
    </w:p>
    <w:p w14:paraId="2FDE6132">
      <w:pPr>
        <w:pStyle w:val="30"/>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bookmarkStart w:id="5" w:name="_Toc22688"/>
      <w:bookmarkStart w:id="6" w:name="_Toc6479"/>
      <w:bookmarkStart w:id="7" w:name="_Toc16692"/>
      <w:r>
        <w:rPr>
          <w:rFonts w:hint="default" w:ascii="Times New Roman" w:hAnsi="Times New Roman" w:cs="Times New Roman"/>
          <w:highlight w:val="none"/>
          <w:lang w:val="en-US" w:eastAsia="zh-CN"/>
        </w:rPr>
        <w:t>二、绩效评价结论</w:t>
      </w:r>
      <w:bookmarkEnd w:id="5"/>
      <w:bookmarkEnd w:id="6"/>
      <w:bookmarkEnd w:id="7"/>
    </w:p>
    <w:p w14:paraId="68ABA979">
      <w:pPr>
        <w:spacing w:line="579" w:lineRule="exact"/>
        <w:ind w:firstLine="630" w:firstLineChars="200"/>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cs="Times New Roman"/>
          <w:szCs w:val="30"/>
          <w:highlight w:val="none"/>
        </w:rPr>
        <w:t>社区居家养老服务中心运营补助</w:t>
      </w:r>
      <w:r>
        <w:rPr>
          <w:rFonts w:hint="default" w:ascii="Times New Roman" w:hAnsi="Times New Roman" w:cs="Times New Roman"/>
          <w:szCs w:val="30"/>
          <w:highlight w:val="none"/>
          <w:lang w:val="en-US" w:eastAsia="zh-CN"/>
        </w:rPr>
        <w:t>项目</w:t>
      </w:r>
      <w:r>
        <w:rPr>
          <w:rFonts w:hint="default" w:ascii="Times New Roman" w:hAnsi="Times New Roman" w:eastAsia="仿宋" w:cs="Times New Roman"/>
          <w:kern w:val="30"/>
          <w:sz w:val="30"/>
          <w:szCs w:val="30"/>
          <w:highlight w:val="none"/>
          <w:lang w:val="en-US" w:eastAsia="zh-CN" w:bidi="ar-SA"/>
        </w:rPr>
        <w:t>绩效评价得分</w:t>
      </w:r>
      <w:r>
        <w:rPr>
          <w:rFonts w:hint="default" w:ascii="Times New Roman" w:hAnsi="Times New Roman" w:eastAsia="仿宋" w:cs="Times New Roman"/>
          <w:kern w:val="30"/>
          <w:sz w:val="30"/>
          <w:szCs w:val="30"/>
          <w:highlight w:val="none"/>
          <w:shd w:val="clear"/>
          <w:lang w:val="en-US" w:eastAsia="zh-CN" w:bidi="ar-SA"/>
        </w:rPr>
        <w:t>9</w:t>
      </w:r>
      <w:r>
        <w:rPr>
          <w:rFonts w:hint="eastAsia" w:ascii="Times New Roman" w:cs="Times New Roman"/>
          <w:kern w:val="30"/>
          <w:sz w:val="30"/>
          <w:szCs w:val="30"/>
          <w:highlight w:val="none"/>
          <w:shd w:val="clear"/>
          <w:lang w:val="en-US" w:eastAsia="zh-CN" w:bidi="ar-SA"/>
        </w:rPr>
        <w:t>4</w:t>
      </w:r>
      <w:r>
        <w:rPr>
          <w:rFonts w:hint="default" w:ascii="Times New Roman" w:hAnsi="Times New Roman" w:cs="Times New Roman"/>
          <w:kern w:val="30"/>
          <w:sz w:val="30"/>
          <w:szCs w:val="30"/>
          <w:highlight w:val="none"/>
          <w:shd w:val="clear"/>
          <w:lang w:val="en-US" w:eastAsia="zh-CN" w:bidi="ar-SA"/>
        </w:rPr>
        <w:t>.53</w:t>
      </w:r>
      <w:r>
        <w:rPr>
          <w:rFonts w:hint="default" w:ascii="Times New Roman" w:hAnsi="Times New Roman" w:eastAsia="仿宋" w:cs="Times New Roman"/>
          <w:kern w:val="30"/>
          <w:sz w:val="30"/>
          <w:szCs w:val="30"/>
          <w:highlight w:val="none"/>
          <w:shd w:val="clear"/>
          <w:lang w:val="en-US" w:eastAsia="zh-CN" w:bidi="ar-SA"/>
        </w:rPr>
        <w:t>分，</w:t>
      </w:r>
      <w:r>
        <w:rPr>
          <w:rFonts w:hint="default" w:ascii="Times New Roman" w:hAnsi="Times New Roman" w:eastAsia="仿宋" w:cs="Times New Roman"/>
          <w:kern w:val="30"/>
          <w:sz w:val="30"/>
          <w:szCs w:val="30"/>
          <w:highlight w:val="none"/>
          <w:lang w:val="en-US" w:eastAsia="zh-CN" w:bidi="ar-SA"/>
        </w:rPr>
        <w:t>评价等级为</w:t>
      </w:r>
      <w:r>
        <w:rPr>
          <w:rFonts w:hint="default" w:ascii="Times New Roman" w:hAns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优</w:t>
      </w:r>
      <w:r>
        <w:rPr>
          <w:rFonts w:hint="default" w:ascii="Times New Roman" w:hAnsi="Times New Roman" w:cs="Times New Roman"/>
          <w:kern w:val="30"/>
          <w:sz w:val="30"/>
          <w:szCs w:val="30"/>
          <w:highlight w:val="none"/>
          <w:lang w:val="en-US" w:eastAsia="zh-CN" w:bidi="ar-SA"/>
        </w:rPr>
        <w:t>”</w:t>
      </w:r>
      <w:r>
        <w:rPr>
          <w:rFonts w:hint="default" w:ascii="Times New Roman" w:hAnsi="Times New Roman" w:eastAsia="仿宋" w:cs="Times New Roman"/>
          <w:kern w:val="30"/>
          <w:sz w:val="30"/>
          <w:szCs w:val="30"/>
          <w:highlight w:val="none"/>
          <w:lang w:val="en-US" w:eastAsia="zh-CN" w:bidi="ar-SA"/>
        </w:rPr>
        <w:t>。一级指标具体得分情况详见下表：</w:t>
      </w:r>
    </w:p>
    <w:p w14:paraId="45DBE7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highlight w:val="none"/>
        </w:rPr>
      </w:pPr>
      <w:r>
        <w:rPr>
          <w:rFonts w:hint="eastAsia" w:ascii="Times New Roman" w:hAnsi="Times New Roman" w:eastAsia="黑体" w:cs="Times New Roman"/>
          <w:b w:val="0"/>
          <w:bCs/>
          <w:sz w:val="24"/>
          <w:szCs w:val="24"/>
          <w:highlight w:val="none"/>
          <w:lang w:val="en-US" w:eastAsia="zh-CN"/>
        </w:rPr>
        <w:t xml:space="preserve">表摘1 </w:t>
      </w:r>
      <w:r>
        <w:rPr>
          <w:rFonts w:hint="default" w:ascii="Times New Roman" w:hAnsi="Times New Roman" w:eastAsia="黑体" w:cs="Times New Roman"/>
          <w:b w:val="0"/>
          <w:bCs/>
          <w:sz w:val="24"/>
          <w:szCs w:val="24"/>
          <w:highlight w:val="none"/>
          <w:lang w:eastAsia="zh-CN"/>
        </w:rPr>
        <w:t>绩效评价</w:t>
      </w:r>
      <w:r>
        <w:rPr>
          <w:rFonts w:hint="default" w:ascii="Times New Roman" w:hAnsi="Times New Roman" w:eastAsia="黑体" w:cs="Times New Roman"/>
          <w:b w:val="0"/>
          <w:bCs/>
          <w:sz w:val="24"/>
          <w:szCs w:val="24"/>
          <w:highlight w:val="none"/>
        </w:rPr>
        <w:t>得分情况表</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6268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A2123B9">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一级指标</w:t>
            </w:r>
          </w:p>
        </w:tc>
        <w:tc>
          <w:tcPr>
            <w:tcW w:w="2211" w:type="dxa"/>
            <w:tcBorders>
              <w:top w:val="single" w:color="auto" w:sz="4" w:space="0"/>
            </w:tcBorders>
            <w:vAlign w:val="center"/>
          </w:tcPr>
          <w:p w14:paraId="214EACD2">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指标分值</w:t>
            </w:r>
          </w:p>
        </w:tc>
        <w:tc>
          <w:tcPr>
            <w:tcW w:w="2211" w:type="dxa"/>
            <w:tcBorders>
              <w:top w:val="single" w:color="auto" w:sz="4" w:space="0"/>
            </w:tcBorders>
            <w:vAlign w:val="center"/>
          </w:tcPr>
          <w:p w14:paraId="72539549">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评价得分</w:t>
            </w:r>
          </w:p>
        </w:tc>
        <w:tc>
          <w:tcPr>
            <w:tcW w:w="2211" w:type="dxa"/>
            <w:tcBorders>
              <w:top w:val="single" w:color="auto" w:sz="4" w:space="0"/>
            </w:tcBorders>
            <w:vAlign w:val="center"/>
          </w:tcPr>
          <w:p w14:paraId="47D22C37">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得分率</w:t>
            </w:r>
          </w:p>
        </w:tc>
      </w:tr>
      <w:tr w14:paraId="3445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09187F7">
            <w:pPr>
              <w:snapToGrid w:val="0"/>
              <w:jc w:val="center"/>
              <w:rPr>
                <w:rFonts w:hint="default" w:ascii="Times New Roman" w:hAnsi="Times New Roman" w:eastAsia="仿宋" w:cs="Times New Roman"/>
                <w:bCs/>
                <w:spacing w:val="6"/>
                <w:sz w:val="21"/>
                <w:highlight w:val="none"/>
                <w:lang w:eastAsia="zh-CN"/>
              </w:rPr>
            </w:pPr>
            <w:r>
              <w:rPr>
                <w:rFonts w:hint="default" w:ascii="Times New Roman" w:hAnsi="Times New Roman" w:cs="Times New Roman"/>
                <w:bCs/>
                <w:spacing w:val="6"/>
                <w:sz w:val="21"/>
                <w:highlight w:val="none"/>
                <w:lang w:val="en-US" w:eastAsia="zh-CN"/>
              </w:rPr>
              <w:t>决策</w:t>
            </w:r>
          </w:p>
        </w:tc>
        <w:tc>
          <w:tcPr>
            <w:tcW w:w="2211" w:type="dxa"/>
            <w:vAlign w:val="center"/>
          </w:tcPr>
          <w:p w14:paraId="5EECCB3F">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15</w:t>
            </w:r>
            <w:r>
              <w:rPr>
                <w:rFonts w:hint="eastAsia" w:ascii="Times New Roman" w:hAnsi="Times New Roman" w:cs="Times New Roman"/>
                <w:bCs/>
                <w:spacing w:val="6"/>
                <w:sz w:val="21"/>
                <w:highlight w:val="none"/>
                <w:lang w:val="en-US" w:eastAsia="zh-CN"/>
              </w:rPr>
              <w:t>.00</w:t>
            </w:r>
          </w:p>
        </w:tc>
        <w:tc>
          <w:tcPr>
            <w:tcW w:w="2211" w:type="dxa"/>
            <w:vAlign w:val="center"/>
          </w:tcPr>
          <w:p w14:paraId="1760E0AA">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14</w:t>
            </w:r>
            <w:r>
              <w:rPr>
                <w:rFonts w:hint="eastAsia" w:ascii="Times New Roman" w:hAnsi="Times New Roman" w:cs="Times New Roman"/>
                <w:bCs/>
                <w:spacing w:val="6"/>
                <w:sz w:val="21"/>
                <w:highlight w:val="none"/>
                <w:lang w:val="en-US" w:eastAsia="zh-CN"/>
              </w:rPr>
              <w:t>.00</w:t>
            </w:r>
          </w:p>
        </w:tc>
        <w:tc>
          <w:tcPr>
            <w:tcW w:w="2211" w:type="dxa"/>
            <w:vAlign w:val="center"/>
          </w:tcPr>
          <w:p w14:paraId="588B48B8">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93.33%</w:t>
            </w:r>
          </w:p>
        </w:tc>
      </w:tr>
      <w:tr w14:paraId="4818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4D7962C3">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过程</w:t>
            </w:r>
          </w:p>
        </w:tc>
        <w:tc>
          <w:tcPr>
            <w:tcW w:w="2211" w:type="dxa"/>
            <w:vAlign w:val="center"/>
          </w:tcPr>
          <w:p w14:paraId="10BA0839">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20</w:t>
            </w:r>
            <w:r>
              <w:rPr>
                <w:rFonts w:hint="eastAsia" w:ascii="Times New Roman" w:hAnsi="Times New Roman" w:cs="Times New Roman"/>
                <w:bCs/>
                <w:spacing w:val="6"/>
                <w:sz w:val="21"/>
                <w:highlight w:val="none"/>
                <w:lang w:val="en-US" w:eastAsia="zh-CN"/>
              </w:rPr>
              <w:t>.00</w:t>
            </w:r>
          </w:p>
        </w:tc>
        <w:tc>
          <w:tcPr>
            <w:tcW w:w="2211" w:type="dxa"/>
            <w:vAlign w:val="center"/>
          </w:tcPr>
          <w:p w14:paraId="4989024C">
            <w:pPr>
              <w:snapToGrid w:val="0"/>
              <w:jc w:val="center"/>
              <w:rPr>
                <w:rFonts w:hint="default" w:ascii="Times New Roman" w:hAnsi="Times New Roman" w:eastAsia="仿宋" w:cs="Times New Roman"/>
                <w:bCs/>
                <w:spacing w:val="6"/>
                <w:sz w:val="21"/>
                <w:highlight w:val="none"/>
                <w:lang w:val="en-US" w:eastAsia="zh-CN"/>
              </w:rPr>
            </w:pPr>
            <w:r>
              <w:rPr>
                <w:rFonts w:hint="eastAsia" w:ascii="Times New Roman" w:cs="Times New Roman"/>
                <w:bCs/>
                <w:spacing w:val="6"/>
                <w:sz w:val="21"/>
                <w:highlight w:val="none"/>
                <w:lang w:val="en-US" w:eastAsia="zh-CN"/>
              </w:rPr>
              <w:t>20</w:t>
            </w:r>
            <w:r>
              <w:rPr>
                <w:rFonts w:hint="eastAsia" w:ascii="Times New Roman" w:hAnsi="Times New Roman" w:cs="Times New Roman"/>
                <w:bCs/>
                <w:spacing w:val="6"/>
                <w:sz w:val="21"/>
                <w:highlight w:val="none"/>
                <w:lang w:val="en-US" w:eastAsia="zh-CN"/>
              </w:rPr>
              <w:t>.00</w:t>
            </w:r>
          </w:p>
        </w:tc>
        <w:tc>
          <w:tcPr>
            <w:tcW w:w="2211" w:type="dxa"/>
            <w:vAlign w:val="center"/>
          </w:tcPr>
          <w:p w14:paraId="552EA6D6">
            <w:pPr>
              <w:snapToGrid w:val="0"/>
              <w:jc w:val="center"/>
              <w:rPr>
                <w:rFonts w:hint="default" w:ascii="Times New Roman" w:hAnsi="Times New Roman" w:eastAsia="仿宋" w:cs="Times New Roman"/>
                <w:bCs/>
                <w:spacing w:val="6"/>
                <w:sz w:val="21"/>
                <w:highlight w:val="none"/>
                <w:lang w:val="en-US" w:eastAsia="zh-CN"/>
              </w:rPr>
            </w:pPr>
            <w:r>
              <w:rPr>
                <w:rFonts w:hint="eastAsia" w:ascii="Times New Roman" w:cs="Times New Roman"/>
                <w:bCs/>
                <w:spacing w:val="6"/>
                <w:sz w:val="21"/>
                <w:highlight w:val="none"/>
                <w:lang w:val="en-US" w:eastAsia="zh-CN"/>
              </w:rPr>
              <w:t>100</w:t>
            </w:r>
            <w:r>
              <w:rPr>
                <w:rFonts w:hint="eastAsia" w:ascii="Times New Roman" w:hAnsi="Times New Roman" w:cs="Times New Roman"/>
                <w:bCs/>
                <w:spacing w:val="6"/>
                <w:sz w:val="21"/>
                <w:highlight w:val="none"/>
                <w:lang w:val="en-US" w:eastAsia="zh-CN"/>
              </w:rPr>
              <w:t>.00</w:t>
            </w:r>
            <w:r>
              <w:rPr>
                <w:rFonts w:hint="default" w:ascii="Times New Roman" w:hAnsi="Times New Roman" w:cs="Times New Roman"/>
                <w:bCs/>
                <w:spacing w:val="6"/>
                <w:sz w:val="21"/>
                <w:highlight w:val="none"/>
                <w:lang w:val="en-US" w:eastAsia="zh-CN"/>
              </w:rPr>
              <w:t>%</w:t>
            </w:r>
          </w:p>
        </w:tc>
      </w:tr>
      <w:tr w14:paraId="2329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58E03C3E">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产出</w:t>
            </w:r>
          </w:p>
        </w:tc>
        <w:tc>
          <w:tcPr>
            <w:tcW w:w="2211" w:type="dxa"/>
            <w:vAlign w:val="center"/>
          </w:tcPr>
          <w:p w14:paraId="3AB3ADFD">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35</w:t>
            </w:r>
            <w:r>
              <w:rPr>
                <w:rFonts w:hint="eastAsia" w:ascii="Times New Roman" w:hAnsi="Times New Roman" w:cs="Times New Roman"/>
                <w:bCs/>
                <w:spacing w:val="6"/>
                <w:sz w:val="21"/>
                <w:highlight w:val="none"/>
                <w:lang w:val="en-US" w:eastAsia="zh-CN"/>
              </w:rPr>
              <w:t>.00</w:t>
            </w:r>
          </w:p>
        </w:tc>
        <w:tc>
          <w:tcPr>
            <w:tcW w:w="2211" w:type="dxa"/>
            <w:vAlign w:val="center"/>
          </w:tcPr>
          <w:p w14:paraId="410A1F74">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31</w:t>
            </w:r>
            <w:r>
              <w:rPr>
                <w:rFonts w:hint="eastAsia" w:ascii="Times New Roman" w:hAnsi="Times New Roman" w:cs="Times New Roman"/>
                <w:bCs/>
                <w:spacing w:val="6"/>
                <w:sz w:val="21"/>
                <w:highlight w:val="none"/>
                <w:lang w:val="en-US" w:eastAsia="zh-CN"/>
              </w:rPr>
              <w:t>.00</w:t>
            </w:r>
          </w:p>
        </w:tc>
        <w:tc>
          <w:tcPr>
            <w:tcW w:w="2211" w:type="dxa"/>
            <w:vAlign w:val="center"/>
          </w:tcPr>
          <w:p w14:paraId="28C59490">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88.57%</w:t>
            </w:r>
          </w:p>
        </w:tc>
      </w:tr>
      <w:tr w14:paraId="257E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19E42792">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效果</w:t>
            </w:r>
          </w:p>
        </w:tc>
        <w:tc>
          <w:tcPr>
            <w:tcW w:w="2211" w:type="dxa"/>
            <w:vAlign w:val="center"/>
          </w:tcPr>
          <w:p w14:paraId="0138C10E">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30</w:t>
            </w:r>
            <w:r>
              <w:rPr>
                <w:rFonts w:hint="eastAsia" w:ascii="Times New Roman" w:hAnsi="Times New Roman" w:cs="Times New Roman"/>
                <w:bCs/>
                <w:spacing w:val="6"/>
                <w:sz w:val="21"/>
                <w:highlight w:val="none"/>
                <w:lang w:val="en-US" w:eastAsia="zh-CN"/>
              </w:rPr>
              <w:t>.00</w:t>
            </w:r>
          </w:p>
        </w:tc>
        <w:tc>
          <w:tcPr>
            <w:tcW w:w="2211" w:type="dxa"/>
            <w:vAlign w:val="center"/>
          </w:tcPr>
          <w:p w14:paraId="1C62B86F">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29.53</w:t>
            </w:r>
          </w:p>
        </w:tc>
        <w:tc>
          <w:tcPr>
            <w:tcW w:w="2211" w:type="dxa"/>
            <w:vAlign w:val="center"/>
          </w:tcPr>
          <w:p w14:paraId="384317FB">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98.43%</w:t>
            </w:r>
          </w:p>
        </w:tc>
      </w:tr>
      <w:tr w14:paraId="0BD8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49454E6">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合 计</w:t>
            </w:r>
          </w:p>
        </w:tc>
        <w:tc>
          <w:tcPr>
            <w:tcW w:w="2211" w:type="dxa"/>
            <w:vAlign w:val="center"/>
          </w:tcPr>
          <w:p w14:paraId="06AF0BF9">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100</w:t>
            </w:r>
            <w:r>
              <w:rPr>
                <w:rFonts w:hint="eastAsia" w:ascii="Times New Roman" w:hAnsi="Times New Roman" w:cs="Times New Roman"/>
                <w:b/>
                <w:bCs w:val="0"/>
                <w:spacing w:val="6"/>
                <w:sz w:val="21"/>
                <w:highlight w:val="none"/>
                <w:lang w:val="en-US" w:eastAsia="zh-CN"/>
              </w:rPr>
              <w:t>.00</w:t>
            </w:r>
          </w:p>
        </w:tc>
        <w:tc>
          <w:tcPr>
            <w:tcW w:w="2211" w:type="dxa"/>
            <w:vAlign w:val="center"/>
          </w:tcPr>
          <w:p w14:paraId="6534AC07">
            <w:pPr>
              <w:snapToGrid w:val="0"/>
              <w:jc w:val="center"/>
              <w:rPr>
                <w:rFonts w:hint="default" w:ascii="Times New Roman" w:hAnsi="Times New Roman" w:eastAsia="仿宋" w:cs="Times New Roman"/>
                <w:b w:val="0"/>
                <w:bCs w:val="0"/>
                <w:spacing w:val="6"/>
                <w:sz w:val="21"/>
                <w:highlight w:val="none"/>
                <w:lang w:val="en-US" w:eastAsia="zh-CN"/>
              </w:rPr>
            </w:pPr>
            <w:r>
              <w:rPr>
                <w:rFonts w:hint="default" w:ascii="Times New Roman" w:hAnsi="Times New Roman" w:cs="Times New Roman"/>
                <w:b/>
                <w:bCs/>
                <w:spacing w:val="6"/>
                <w:sz w:val="21"/>
                <w:highlight w:val="none"/>
                <w:lang w:val="en-US" w:eastAsia="zh-CN"/>
              </w:rPr>
              <w:t>9</w:t>
            </w:r>
            <w:r>
              <w:rPr>
                <w:rFonts w:hint="eastAsia" w:ascii="Times New Roman" w:cs="Times New Roman"/>
                <w:b/>
                <w:bCs/>
                <w:spacing w:val="6"/>
                <w:sz w:val="21"/>
                <w:highlight w:val="none"/>
                <w:lang w:val="en-US" w:eastAsia="zh-CN"/>
              </w:rPr>
              <w:t>4</w:t>
            </w:r>
            <w:r>
              <w:rPr>
                <w:rFonts w:hint="default" w:ascii="Times New Roman" w:hAnsi="Times New Roman" w:cs="Times New Roman"/>
                <w:b/>
                <w:bCs/>
                <w:spacing w:val="6"/>
                <w:sz w:val="21"/>
                <w:highlight w:val="none"/>
                <w:lang w:val="en-US" w:eastAsia="zh-CN"/>
              </w:rPr>
              <w:t>.53</w:t>
            </w:r>
          </w:p>
        </w:tc>
        <w:tc>
          <w:tcPr>
            <w:tcW w:w="2211" w:type="dxa"/>
            <w:vAlign w:val="center"/>
          </w:tcPr>
          <w:p w14:paraId="4CFF7400">
            <w:pPr>
              <w:snapToGrid w:val="0"/>
              <w:jc w:val="center"/>
              <w:rPr>
                <w:rFonts w:hint="default" w:ascii="Times New Roman" w:hAnsi="Times New Roman" w:eastAsia="仿宋" w:cs="Times New Roman"/>
                <w:b w:val="0"/>
                <w:bCs w:val="0"/>
                <w:spacing w:val="6"/>
                <w:sz w:val="21"/>
                <w:highlight w:val="none"/>
                <w:lang w:val="en-US" w:eastAsia="zh-CN"/>
              </w:rPr>
            </w:pPr>
            <w:r>
              <w:rPr>
                <w:rFonts w:hint="default" w:ascii="Times New Roman" w:hAnsi="Times New Roman" w:cs="Times New Roman"/>
                <w:b/>
                <w:bCs/>
                <w:spacing w:val="6"/>
                <w:sz w:val="21"/>
                <w:highlight w:val="none"/>
                <w:lang w:val="en-US" w:eastAsia="zh-CN"/>
              </w:rPr>
              <w:t>9</w:t>
            </w:r>
            <w:r>
              <w:rPr>
                <w:rFonts w:hint="eastAsia" w:ascii="Times New Roman" w:cs="Times New Roman"/>
                <w:b/>
                <w:bCs/>
                <w:spacing w:val="6"/>
                <w:sz w:val="21"/>
                <w:highlight w:val="none"/>
                <w:lang w:val="en-US" w:eastAsia="zh-CN"/>
              </w:rPr>
              <w:t>4</w:t>
            </w:r>
            <w:r>
              <w:rPr>
                <w:rFonts w:hint="default" w:ascii="Times New Roman" w:hAnsi="Times New Roman" w:cs="Times New Roman"/>
                <w:b/>
                <w:bCs/>
                <w:spacing w:val="6"/>
                <w:sz w:val="21"/>
                <w:highlight w:val="none"/>
                <w:lang w:val="en-US" w:eastAsia="zh-CN"/>
              </w:rPr>
              <w:t>.53%</w:t>
            </w:r>
          </w:p>
        </w:tc>
      </w:tr>
    </w:tbl>
    <w:p w14:paraId="15FAD34C">
      <w:pPr>
        <w:spacing w:line="579" w:lineRule="exact"/>
        <w:ind w:firstLine="630" w:firstLineChars="200"/>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综合结论：</w:t>
      </w:r>
      <w:r>
        <w:rPr>
          <w:rFonts w:hint="default" w:ascii="Times New Roman" w:hAnsi="Times New Roman" w:cs="Times New Roman"/>
          <w:highlight w:val="none"/>
          <w:lang w:val="en-US" w:eastAsia="zh-CN"/>
        </w:rPr>
        <w:t>社区居家养老服务中心运营补助项目</w:t>
      </w:r>
      <w:r>
        <w:rPr>
          <w:rFonts w:hint="default" w:ascii="Times New Roman" w:hAnsi="Times New Roman" w:cs="Times New Roman"/>
          <w:szCs w:val="30"/>
          <w:highlight w:val="none"/>
        </w:rPr>
        <w:t>立项依据充分、立项程序规范，内容完善</w:t>
      </w:r>
      <w:r>
        <w:rPr>
          <w:rFonts w:hint="default" w:ascii="Times New Roman" w:hAnsi="Times New Roman" w:cs="Times New Roman"/>
          <w:szCs w:val="30"/>
          <w:highlight w:val="none"/>
          <w:lang w:val="en-US" w:eastAsia="zh-CN"/>
        </w:rPr>
        <w:t>，项目实施效果良好，但</w:t>
      </w:r>
      <w:r>
        <w:rPr>
          <w:rFonts w:hint="default" w:ascii="Times New Roman" w:hAnsi="Times New Roman" w:cs="Times New Roman"/>
          <w:szCs w:val="30"/>
          <w:highlight w:val="none"/>
        </w:rPr>
        <w:t>绩效目标设定</w:t>
      </w:r>
      <w:r>
        <w:rPr>
          <w:rFonts w:hint="default" w:ascii="Times New Roman" w:hAnsi="Times New Roman" w:cs="Times New Roman"/>
          <w:szCs w:val="30"/>
          <w:highlight w:val="none"/>
          <w:lang w:val="en-US" w:eastAsia="zh-CN"/>
        </w:rPr>
        <w:t>还有待加强，个别管理制度条款待完善，评估单位的专业性还有待提高。</w:t>
      </w:r>
    </w:p>
    <w:p w14:paraId="3573A854">
      <w:pPr>
        <w:pStyle w:val="30"/>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bookmarkStart w:id="8" w:name="_Toc22605"/>
      <w:bookmarkStart w:id="9" w:name="_Toc6160"/>
      <w:bookmarkStart w:id="10" w:name="_Toc13527"/>
      <w:r>
        <w:rPr>
          <w:rFonts w:hint="default" w:ascii="Times New Roman" w:hAnsi="Times New Roman" w:cs="Times New Roman"/>
          <w:highlight w:val="none"/>
          <w:lang w:val="en-US" w:eastAsia="zh-CN"/>
        </w:rPr>
        <w:t>三、</w:t>
      </w:r>
      <w:bookmarkEnd w:id="8"/>
      <w:bookmarkEnd w:id="9"/>
      <w:bookmarkEnd w:id="10"/>
      <w:bookmarkStart w:id="11" w:name="_Toc18700"/>
      <w:bookmarkStart w:id="12" w:name="_Toc6891"/>
      <w:bookmarkStart w:id="13" w:name="_Toc6130"/>
      <w:r>
        <w:rPr>
          <w:rFonts w:hint="default" w:ascii="Times New Roman" w:hAnsi="Times New Roman" w:cs="Times New Roman"/>
          <w:highlight w:val="none"/>
          <w:lang w:val="en-US" w:eastAsia="zh-CN"/>
        </w:rPr>
        <w:t>存在的主要问题</w:t>
      </w:r>
      <w:bookmarkEnd w:id="11"/>
      <w:bookmarkEnd w:id="12"/>
      <w:bookmarkEnd w:id="13"/>
    </w:p>
    <w:p w14:paraId="777C95B7">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14" w:name="_Toc10655"/>
      <w:bookmarkStart w:id="15" w:name="_Toc233"/>
      <w:bookmarkStart w:id="16" w:name="_Toc27628"/>
      <w:bookmarkStart w:id="17" w:name="_Toc6606"/>
      <w:r>
        <w:rPr>
          <w:rFonts w:hint="default" w:ascii="Times New Roman" w:hAnsi="Times New Roman" w:cs="Times New Roman"/>
          <w:highlight w:val="none"/>
          <w:lang w:val="en-US" w:eastAsia="zh-CN"/>
        </w:rPr>
        <w:t>（一）绩效目标编制不准确，绩效管理有待加强</w:t>
      </w:r>
      <w:bookmarkEnd w:id="14"/>
    </w:p>
    <w:p w14:paraId="3B2EE5E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highlight w:val="none"/>
          <w:lang w:val="en-US" w:eastAsia="zh-CN"/>
        </w:rPr>
      </w:pPr>
      <w:r>
        <w:rPr>
          <w:rFonts w:hint="default" w:ascii="Times New Roman" w:hAnsi="Times New Roman" w:cs="Times New Roman"/>
          <w:kern w:val="2"/>
          <w:sz w:val="30"/>
          <w:szCs w:val="30"/>
          <w:highlight w:val="none"/>
          <w:lang w:val="en-US" w:eastAsia="zh-CN" w:bidi="ar-SA"/>
        </w:rPr>
        <w:t>个别指标编制不够准确，如质量指标的“2023年发放城乡居家养老服务中心运营补助资金完成率”以及时效指标的“完成率”，该指标实际应为数量指标。</w:t>
      </w:r>
    </w:p>
    <w:p w14:paraId="781E0C0D">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18" w:name="_Toc14860"/>
      <w:r>
        <w:rPr>
          <w:rFonts w:hint="default" w:ascii="Times New Roman" w:hAnsi="Times New Roman" w:cs="Times New Roman"/>
          <w:highlight w:val="none"/>
          <w:lang w:val="en-US" w:eastAsia="zh-CN"/>
        </w:rPr>
        <w:t>（二）</w:t>
      </w:r>
      <w:bookmarkEnd w:id="18"/>
      <w:bookmarkStart w:id="19" w:name="_Toc25933"/>
      <w:r>
        <w:rPr>
          <w:rFonts w:hint="default" w:ascii="Times New Roman" w:hAnsi="Times New Roman" w:cs="Times New Roman"/>
          <w:highlight w:val="none"/>
          <w:lang w:val="en-US" w:eastAsia="zh-CN"/>
        </w:rPr>
        <w:t>评估单位专业性有待加强，个别结论充分性不足</w:t>
      </w:r>
      <w:bookmarkEnd w:id="19"/>
    </w:p>
    <w:p w14:paraId="3D8013C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kern w:val="2"/>
          <w:sz w:val="30"/>
          <w:szCs w:val="30"/>
          <w:highlight w:val="none"/>
          <w:lang w:val="en-US" w:eastAsia="zh-CN" w:bidi="ar-SA"/>
        </w:rPr>
        <w:t>根据评估单位提供的《2022年西山区居家养老服务中心运营补助评估报告》，2023年需对西山区26个居家养老服务中心补贴60.2万元，但实际补助单位为24家，补助总金额55.4万元，与评估单位提供的26家缺少两家。根据情况说明，猫猫箐社区马鞍山小组居家养老服务中心在考核时已经暂停运营。海口街道白鱼社区居家养老服务中心于2023年5月份才正式投入运营，均不属于2022年补贴的范围内。因此项目组认为评估单位的专业性有待加强。</w:t>
      </w:r>
    </w:p>
    <w:p w14:paraId="6D13284E">
      <w:pPr>
        <w:pStyle w:val="30"/>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五、建议</w:t>
      </w:r>
      <w:bookmarkEnd w:id="15"/>
      <w:bookmarkEnd w:id="16"/>
      <w:bookmarkEnd w:id="17"/>
    </w:p>
    <w:bookmarkEnd w:id="1"/>
    <w:p w14:paraId="64452417">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20" w:name="_Toc32110"/>
      <w:r>
        <w:rPr>
          <w:rFonts w:hint="default" w:ascii="Times New Roman" w:hAnsi="Times New Roman" w:cs="Times New Roman"/>
          <w:highlight w:val="none"/>
          <w:lang w:val="en-US" w:eastAsia="zh-CN"/>
        </w:rPr>
        <w:t>（一）加强绩效管理工作，提升单位绩效意识</w:t>
      </w:r>
      <w:bookmarkEnd w:id="20"/>
    </w:p>
    <w:p w14:paraId="70D2747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szCs w:val="30"/>
          <w:highlight w:val="none"/>
          <w:lang w:val="en-US" w:eastAsia="zh-CN"/>
        </w:rPr>
      </w:pPr>
      <w:r>
        <w:rPr>
          <w:rFonts w:hint="default" w:ascii="Times New Roman" w:hAnsi="Times New Roman" w:cs="Times New Roman"/>
          <w:szCs w:val="30"/>
          <w:highlight w:val="none"/>
          <w:lang w:val="en-US" w:eastAsia="zh-CN"/>
        </w:rPr>
        <w:t>建议区民政局按照</w:t>
      </w:r>
      <w:r>
        <w:rPr>
          <w:rFonts w:hint="default" w:ascii="Times New Roman" w:hAnsi="Times New Roman" w:eastAsia="仿宋" w:cs="Times New Roman"/>
          <w:kern w:val="2"/>
          <w:sz w:val="30"/>
          <w:szCs w:val="30"/>
          <w:highlight w:val="none"/>
          <w:lang w:val="en-US" w:eastAsia="zh-CN" w:bidi="ar-SA"/>
        </w:rPr>
        <w:t>国家、</w:t>
      </w:r>
      <w:r>
        <w:rPr>
          <w:rFonts w:hint="eastAsia" w:ascii="Times New Roman" w:cs="Times New Roman"/>
          <w:kern w:val="2"/>
          <w:sz w:val="30"/>
          <w:szCs w:val="30"/>
          <w:highlight w:val="none"/>
          <w:lang w:val="en-US" w:eastAsia="zh-CN" w:bidi="ar-SA"/>
        </w:rPr>
        <w:t>云南</w:t>
      </w:r>
      <w:r>
        <w:rPr>
          <w:rFonts w:hint="default" w:ascii="Times New Roman" w:hAnsi="Times New Roman" w:eastAsia="仿宋" w:cs="Times New Roman"/>
          <w:kern w:val="2"/>
          <w:sz w:val="30"/>
          <w:szCs w:val="30"/>
          <w:highlight w:val="none"/>
          <w:lang w:val="en-US" w:eastAsia="zh-CN" w:bidi="ar-SA"/>
        </w:rPr>
        <w:t>省</w:t>
      </w:r>
      <w:r>
        <w:rPr>
          <w:rFonts w:hint="eastAsia" w:ascii="Times New Roman" w:cs="Times New Roman"/>
          <w:kern w:val="2"/>
          <w:sz w:val="30"/>
          <w:szCs w:val="30"/>
          <w:highlight w:val="none"/>
          <w:lang w:val="en-US" w:eastAsia="zh-CN" w:bidi="ar-SA"/>
        </w:rPr>
        <w:t>、昆明市、西山区</w:t>
      </w:r>
      <w:r>
        <w:rPr>
          <w:rFonts w:hint="default" w:ascii="Times New Roman" w:hAnsi="Times New Roman" w:cs="Times New Roman"/>
          <w:szCs w:val="30"/>
          <w:highlight w:val="none"/>
          <w:lang w:val="en-US" w:eastAsia="zh-CN"/>
        </w:rPr>
        <w:t>绩效相关工作要求，严格编制绩效目标表，确保后续指标评价的完整性及整体目标设置的合理性。对于本次项目，质量指标建议调整为</w:t>
      </w:r>
      <w:r>
        <w:rPr>
          <w:rFonts w:hint="default" w:ascii="Times New Roman" w:hAnsi="Times New Roman" w:cs="Times New Roman"/>
          <w:kern w:val="2"/>
          <w:sz w:val="30"/>
          <w:szCs w:val="30"/>
          <w:highlight w:val="none"/>
          <w:lang w:val="en-US" w:eastAsia="zh-CN" w:bidi="ar-SA"/>
        </w:rPr>
        <w:t>“补助资金发放准确性”，用于考核实际发出补贴是否与应补贴名单一致。时效指标建议更改为“工作完成及时性”，用于考核项目是否在年度内完成。</w:t>
      </w:r>
    </w:p>
    <w:p w14:paraId="28C68066">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21" w:name="_Toc21595"/>
      <w:r>
        <w:rPr>
          <w:rFonts w:hint="default" w:ascii="Times New Roman" w:hAnsi="Times New Roman" w:cs="Times New Roman"/>
          <w:highlight w:val="none"/>
          <w:lang w:val="en-US" w:eastAsia="zh-CN"/>
        </w:rPr>
        <w:t>（二）</w:t>
      </w:r>
      <w:bookmarkEnd w:id="21"/>
      <w:bookmarkStart w:id="22" w:name="_Toc1361"/>
      <w:r>
        <w:rPr>
          <w:rFonts w:hint="default" w:ascii="Times New Roman" w:hAnsi="Times New Roman" w:cs="Times New Roman"/>
          <w:highlight w:val="none"/>
          <w:lang w:val="en-US" w:eastAsia="zh-CN"/>
        </w:rPr>
        <w:t>加强第三方管理要求，提升结论的专业性</w:t>
      </w:r>
      <w:bookmarkEnd w:id="22"/>
    </w:p>
    <w:p w14:paraId="68DE8FCD">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一是建议区民政局加强采购管理流程，减少“低价中标”的要求，优先考虑符合评估单位要求的投标方，包含过去实施的项目、对评估的理解等。二是建议区民政局加强第三方结论的复核，在报告初稿阶段，应征求各街道或社区的意见，确保符合补贴范围内的居家养老服务中心都能享受到政策的补助和支持，对于不符合补助范围的居家养老中心予以调整。</w:t>
      </w:r>
    </w:p>
    <w:p w14:paraId="33F7B1D8">
      <w:pPr>
        <w:keepNext w:val="0"/>
        <w:keepLines w:val="0"/>
        <w:pageBreakBefore w:val="0"/>
        <w:widowControl w:val="0"/>
        <w:kinsoku/>
        <w:wordWrap/>
        <w:topLinePunct w:val="0"/>
        <w:autoSpaceDE/>
        <w:autoSpaceDN/>
        <w:bidi w:val="0"/>
        <w:adjustRightInd w:val="0"/>
        <w:snapToGrid w:val="0"/>
        <w:spacing w:line="579" w:lineRule="exact"/>
        <w:ind w:firstLine="910" w:firstLineChars="200"/>
        <w:textAlignment w:val="auto"/>
        <w:outlineLvl w:val="9"/>
        <w:rPr>
          <w:rFonts w:hint="default" w:ascii="Times New Roman" w:hAnsi="Times New Roman" w:eastAsia="方正小标宋简体" w:cs="Times New Roman"/>
          <w:sz w:val="44"/>
          <w:szCs w:val="44"/>
          <w:highlight w:val="none"/>
        </w:rPr>
      </w:pPr>
    </w:p>
    <w:p w14:paraId="661195B7">
      <w:pPr>
        <w:pStyle w:val="27"/>
        <w:rPr>
          <w:rFonts w:hint="default" w:ascii="Times New Roman" w:hAnsi="Times New Roman" w:cs="Times New Roman"/>
          <w:highlight w:val="none"/>
        </w:rPr>
        <w:sectPr>
          <w:footerReference r:id="rId6" w:type="default"/>
          <w:footerReference r:id="rId7" w:type="even"/>
          <w:pgSz w:w="11906" w:h="16838"/>
          <w:pgMar w:top="2098" w:right="1474" w:bottom="1985" w:left="1588" w:header="851" w:footer="1474" w:gutter="0"/>
          <w:pgNumType w:fmt="upperRoman" w:start="1"/>
          <w:cols w:space="425" w:num="1"/>
          <w:docGrid w:type="linesAndChars" w:linePitch="579" w:charSpace="3247"/>
        </w:sectPr>
      </w:pPr>
    </w:p>
    <w:p w14:paraId="5C4E5CE9">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简体" w:cs="Times New Roman"/>
          <w:color w:val="auto"/>
          <w:kern w:val="36"/>
          <w:sz w:val="44"/>
          <w:szCs w:val="44"/>
          <w:highlight w:val="none"/>
          <w:lang w:val="en-US" w:eastAsia="zh-CN"/>
        </w:rPr>
      </w:pPr>
      <w:r>
        <w:rPr>
          <w:rFonts w:hint="default" w:ascii="Times New Roman" w:hAnsi="Times New Roman" w:eastAsia="方正小标宋简体" w:cs="Times New Roman"/>
          <w:color w:val="auto"/>
          <w:kern w:val="36"/>
          <w:sz w:val="44"/>
          <w:szCs w:val="44"/>
          <w:highlight w:val="none"/>
          <w:lang w:val="en-US" w:eastAsia="zh-CN"/>
        </w:rPr>
        <w:t>昆明市西山区民政局2023年社区居家养老服务中心运营补助项目</w:t>
      </w:r>
      <w:r>
        <w:rPr>
          <w:rFonts w:hint="eastAsia" w:ascii="Times New Roman" w:eastAsia="方正小标宋简体" w:cs="Times New Roman"/>
          <w:color w:val="auto"/>
          <w:kern w:val="36"/>
          <w:sz w:val="44"/>
          <w:szCs w:val="44"/>
          <w:highlight w:val="none"/>
          <w:lang w:val="en-US" w:eastAsia="zh-CN"/>
        </w:rPr>
        <w:t>支出</w:t>
      </w:r>
      <w:r>
        <w:rPr>
          <w:rFonts w:hint="default" w:ascii="Times New Roman" w:hAnsi="Times New Roman" w:eastAsia="方正小标宋简体" w:cs="Times New Roman"/>
          <w:color w:val="auto"/>
          <w:kern w:val="36"/>
          <w:sz w:val="44"/>
          <w:szCs w:val="44"/>
          <w:highlight w:val="none"/>
          <w:lang w:val="en-US" w:eastAsia="zh-CN"/>
        </w:rPr>
        <w:t>绩效评价报告</w:t>
      </w:r>
    </w:p>
    <w:p w14:paraId="3EB45EEF">
      <w:pPr>
        <w:spacing w:line="579" w:lineRule="exact"/>
        <w:rPr>
          <w:rFonts w:hint="default" w:ascii="Times New Roman" w:hAnsi="Times New Roman" w:cs="Times New Roman"/>
          <w:sz w:val="36"/>
          <w:szCs w:val="36"/>
          <w:highlight w:val="none"/>
        </w:rPr>
      </w:pPr>
    </w:p>
    <w:p w14:paraId="463C43B5">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根据</w:t>
      </w:r>
      <w:r>
        <w:rPr>
          <w:rFonts w:hint="default" w:ascii="Times New Roman" w:hAnsi="Times New Roman" w:cs="Times New Roman"/>
          <w:szCs w:val="30"/>
          <w:highlight w:val="none"/>
          <w:lang w:val="en-US" w:eastAsia="zh-CN"/>
        </w:rPr>
        <w:t>《中华人民共和国预算法》《中共中央国务院关于全面实施预算绩效管理的意见》（中发〔2018〕34号）、《中共云南省委云南省人民政府关于全面实施预算绩效管理的实施意见》（云发〔2019〕11号）《云南省财政厅关于印发云南省财政厅绩效评价质量控制机制（试行）的通知》（云财办〔2022〕14号）</w:t>
      </w:r>
      <w:r>
        <w:rPr>
          <w:rFonts w:hint="default" w:ascii="Times New Roman" w:hAnsi="Times New Roman" w:eastAsia="仿宋" w:cs="Times New Roman"/>
          <w:kern w:val="30"/>
          <w:sz w:val="30"/>
          <w:szCs w:val="30"/>
          <w:highlight w:val="none"/>
          <w:lang w:val="en-US" w:eastAsia="zh-CN" w:bidi="ar-SA"/>
        </w:rPr>
        <w:t>的要求，</w:t>
      </w:r>
      <w:r>
        <w:rPr>
          <w:rFonts w:hint="default" w:ascii="Times New Roman" w:hAnsi="Times New Roman" w:cs="Times New Roman"/>
          <w:szCs w:val="30"/>
          <w:highlight w:val="none"/>
          <w:lang w:val="en-US" w:eastAsia="zh-CN"/>
        </w:rPr>
        <w:t>昆明市西山区财政局（以下简称“区财政局”）委托昆明池砾项目咨询有限责任公司（以下简称“池砾公司”）对昆明市西山区民政局2023年社区居家养老服务中心运营补助项目（以下简称“本项目”）开展绩效评价</w:t>
      </w:r>
      <w:r>
        <w:rPr>
          <w:rFonts w:hint="default" w:ascii="Times New Roman" w:hAnsi="Times New Roman" w:eastAsia="仿宋" w:cs="Times New Roman"/>
          <w:kern w:val="30"/>
          <w:sz w:val="30"/>
          <w:szCs w:val="30"/>
          <w:highlight w:val="none"/>
          <w:lang w:val="en-US" w:eastAsia="zh-CN" w:bidi="ar-SA"/>
        </w:rPr>
        <w:t>。现将评价情况报告如下：</w:t>
      </w:r>
    </w:p>
    <w:p w14:paraId="09AA8248">
      <w:pPr>
        <w:pStyle w:val="30"/>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23" w:name="_Toc22058"/>
      <w:r>
        <w:rPr>
          <w:rFonts w:hint="default" w:ascii="Times New Roman" w:hAnsi="Times New Roman" w:cs="Times New Roman"/>
          <w:highlight w:val="none"/>
          <w:lang w:val="en-US" w:eastAsia="zh-CN"/>
        </w:rPr>
        <w:t>一、基本情况</w:t>
      </w:r>
      <w:bookmarkEnd w:id="23"/>
    </w:p>
    <w:p w14:paraId="6A0DBA4C">
      <w:pPr>
        <w:pStyle w:val="31"/>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b w:val="0"/>
          <w:bCs w:val="0"/>
          <w:highlight w:val="none"/>
        </w:rPr>
      </w:pPr>
      <w:bookmarkStart w:id="24" w:name="_Toc27039"/>
      <w:r>
        <w:rPr>
          <w:rFonts w:hint="default" w:ascii="Times New Roman" w:hAnsi="Times New Roman" w:cs="Times New Roman"/>
          <w:b w:val="0"/>
          <w:bCs w:val="0"/>
          <w:highlight w:val="none"/>
        </w:rPr>
        <w:t>（一）项目概况</w:t>
      </w:r>
      <w:bookmarkEnd w:id="24"/>
    </w:p>
    <w:p w14:paraId="67A4DB3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b w:val="0"/>
          <w:bCs w:val="0"/>
          <w:highlight w:val="none"/>
          <w:lang w:val="en-US" w:eastAsia="zh-CN"/>
        </w:rPr>
      </w:pPr>
      <w:bookmarkStart w:id="25" w:name="_Toc13322"/>
      <w:r>
        <w:rPr>
          <w:rFonts w:hint="default" w:ascii="Times New Roman" w:hAnsi="Times New Roman" w:eastAsia="仿宋" w:cs="Times New Roman"/>
          <w:b w:val="0"/>
          <w:bCs w:val="0"/>
          <w:highlight w:val="none"/>
          <w:lang w:val="en-US" w:eastAsia="zh-CN"/>
        </w:rPr>
        <w:t>1.项目设立背景</w:t>
      </w:r>
      <w:bookmarkEnd w:id="25"/>
    </w:p>
    <w:p w14:paraId="1879972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b w:val="0"/>
          <w:bCs w:val="0"/>
          <w:kern w:val="30"/>
          <w:sz w:val="30"/>
          <w:szCs w:val="30"/>
          <w:highlight w:val="none"/>
          <w:lang w:val="en-US" w:eastAsia="zh-CN" w:bidi="ar-SA"/>
        </w:rPr>
      </w:pPr>
      <w:r>
        <w:rPr>
          <w:rFonts w:hint="default" w:ascii="Times New Roman" w:hAnsi="Times New Roman" w:eastAsia="仿宋" w:cs="Times New Roman"/>
          <w:b w:val="0"/>
          <w:bCs w:val="0"/>
          <w:kern w:val="30"/>
          <w:sz w:val="30"/>
          <w:szCs w:val="30"/>
          <w:highlight w:val="none"/>
          <w:lang w:val="en-US" w:eastAsia="zh-CN" w:bidi="ar-SA"/>
        </w:rPr>
        <w:t>为加快社区居家养老服务的推进并更好地满足老年人日益增长的养老需求，昆明市</w:t>
      </w:r>
      <w:r>
        <w:rPr>
          <w:rFonts w:hint="default" w:ascii="Times New Roman" w:hAnsi="Times New Roman" w:cs="Times New Roman"/>
          <w:b w:val="0"/>
          <w:bCs w:val="0"/>
          <w:kern w:val="30"/>
          <w:sz w:val="30"/>
          <w:szCs w:val="30"/>
          <w:highlight w:val="none"/>
          <w:lang w:val="en-US" w:eastAsia="zh-CN" w:bidi="ar-SA"/>
        </w:rPr>
        <w:t>以</w:t>
      </w:r>
      <w:r>
        <w:rPr>
          <w:rFonts w:hint="default" w:ascii="Times New Roman" w:hAnsi="Times New Roman" w:eastAsia="仿宋" w:cs="Times New Roman"/>
          <w:b w:val="0"/>
          <w:bCs w:val="0"/>
          <w:kern w:val="30"/>
          <w:sz w:val="30"/>
          <w:szCs w:val="30"/>
          <w:highlight w:val="none"/>
          <w:lang w:val="en-US" w:eastAsia="zh-CN" w:bidi="ar-SA"/>
        </w:rPr>
        <w:t>“五个老有”为标准，致力于提升</w:t>
      </w:r>
      <w:r>
        <w:rPr>
          <w:rFonts w:hint="default" w:ascii="Times New Roman" w:hAnsi="Times New Roman" w:cs="Times New Roman"/>
          <w:b w:val="0"/>
          <w:bCs w:val="0"/>
          <w:kern w:val="30"/>
          <w:sz w:val="30"/>
          <w:szCs w:val="30"/>
          <w:highlight w:val="none"/>
          <w:lang w:val="en-US" w:eastAsia="zh-CN" w:bidi="ar-SA"/>
        </w:rPr>
        <w:t>和打造社区</w:t>
      </w:r>
      <w:r>
        <w:rPr>
          <w:rFonts w:hint="default" w:ascii="Times New Roman" w:hAnsi="Times New Roman" w:eastAsia="仿宋" w:cs="Times New Roman"/>
          <w:b w:val="0"/>
          <w:bCs w:val="0"/>
          <w:kern w:val="30"/>
          <w:sz w:val="30"/>
          <w:szCs w:val="30"/>
          <w:highlight w:val="none"/>
          <w:lang w:val="en-US" w:eastAsia="zh-CN" w:bidi="ar-SA"/>
        </w:rPr>
        <w:t>居家养老服务的便利性和质量。2016年昆明市老龄工作委员会办公室、昆明市民政局、昆明市财政局及昆明市人力资源和社会保障局</w:t>
      </w:r>
      <w:r>
        <w:rPr>
          <w:rFonts w:hint="default" w:ascii="Times New Roman" w:hAnsi="Times New Roman" w:cs="Times New Roman"/>
          <w:b w:val="0"/>
          <w:bCs w:val="0"/>
          <w:kern w:val="30"/>
          <w:sz w:val="30"/>
          <w:szCs w:val="30"/>
          <w:highlight w:val="none"/>
          <w:lang w:val="en-US" w:eastAsia="zh-CN" w:bidi="ar-SA"/>
        </w:rPr>
        <w:t>根据</w:t>
      </w:r>
      <w:r>
        <w:rPr>
          <w:rFonts w:hint="default" w:ascii="Times New Roman" w:hAnsi="Times New Roman" w:eastAsia="仿宋" w:cs="Times New Roman"/>
          <w:b w:val="0"/>
          <w:bCs w:val="0"/>
          <w:kern w:val="30"/>
          <w:sz w:val="30"/>
          <w:szCs w:val="30"/>
          <w:highlight w:val="none"/>
          <w:lang w:val="en-US" w:eastAsia="zh-CN" w:bidi="ar-SA"/>
        </w:rPr>
        <w:t>联合发布了《昆明市城乡社区居家养老服务设施建设及运营管理实施意见》（昆老办〔2016〕29号），明确</w:t>
      </w:r>
      <w:r>
        <w:rPr>
          <w:rFonts w:hint="default" w:ascii="Times New Roman" w:hAnsi="Times New Roman" w:cs="Times New Roman"/>
          <w:b w:val="0"/>
          <w:bCs w:val="0"/>
          <w:szCs w:val="30"/>
          <w:highlight w:val="none"/>
          <w:lang w:val="en-US" w:eastAsia="zh-CN"/>
        </w:rPr>
        <w:t>居家养老服务设施可实行社区、乡镇自主运营管理，社会力量承包、租赁运营管理，也可由基层老年协会管理，运营管理经费可通过政府补贴、政府购买服务、社会组织及个人捐助、低偿或有偿服务等方式筹集。</w:t>
      </w:r>
    </w:p>
    <w:p w14:paraId="18083AF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highlight w:val="none"/>
          <w:lang w:val="en-US" w:eastAsia="zh-CN"/>
        </w:rPr>
      </w:pPr>
      <w:r>
        <w:rPr>
          <w:rFonts w:hint="default" w:ascii="Times New Roman" w:hAnsi="Times New Roman" w:cs="Times New Roman"/>
          <w:b w:val="0"/>
          <w:bCs w:val="0"/>
          <w:szCs w:val="30"/>
          <w:highlight w:val="none"/>
          <w:lang w:val="en-US" w:eastAsia="zh-CN"/>
        </w:rPr>
        <w:t>2020年，为进一步促进昆明市养老服务实业快速健康发展，昆明市民政局（以下简称“市民政局”）发布了《昆明市民政局关于申报民办养老服务机构及居家养老服务中心补助的通知》（昆民通〔2020〕41号），细化了民办养老服务机构及居家养老服务中心补助的申请条件，并对补助标准进一步明确，其中，公办、民办居家养老服务中心（站）建成投入使用后，在中央、省</w:t>
      </w:r>
      <w:r>
        <w:rPr>
          <w:rFonts w:hint="eastAsia" w:ascii="Times New Roman" w:cs="Times New Roman"/>
          <w:b w:val="0"/>
          <w:bCs w:val="0"/>
          <w:szCs w:val="30"/>
          <w:highlight w:val="none"/>
          <w:lang w:val="en-US" w:eastAsia="zh-CN"/>
        </w:rPr>
        <w:t>级</w:t>
      </w:r>
      <w:r>
        <w:rPr>
          <w:rFonts w:hint="default" w:ascii="Times New Roman" w:hAnsi="Times New Roman" w:cs="Times New Roman"/>
          <w:b w:val="0"/>
          <w:bCs w:val="0"/>
          <w:szCs w:val="30"/>
          <w:highlight w:val="none"/>
          <w:lang w:val="en-US" w:eastAsia="zh-CN"/>
        </w:rPr>
        <w:t>资金支持下，每年由市、县级财政纳入年度预算补助，每个居家养老中心（站）不低于2.4万元的运营经费，按照市、县级分板块比例承担，一板块 3:7比例承担，二板块5:5 比例承</w:t>
      </w:r>
      <w:r>
        <w:rPr>
          <w:rFonts w:hint="default" w:ascii="Times New Roman" w:hAnsi="Times New Roman" w:cs="Times New Roman"/>
          <w:szCs w:val="30"/>
          <w:highlight w:val="none"/>
          <w:lang w:val="en-US" w:eastAsia="zh-CN"/>
        </w:rPr>
        <w:t>担，三板块 8:2 比例承担。</w:t>
      </w:r>
    </w:p>
    <w:p w14:paraId="47B56066">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cs="Times New Roman"/>
          <w:szCs w:val="30"/>
          <w:highlight w:val="none"/>
          <w:lang w:val="en-US" w:eastAsia="zh-CN"/>
        </w:rPr>
        <w:t>本次评价项目的预算单位为西山区民政局，项目名称为社区居家养老服务中心运营补助项目，主要是对经评估后的居家养老服务中心按照文件要求进行补贴资金的发放，进一步推动区域居家养老服务中心的服务水平提升，并促进居家养老服务的可持续发展</w:t>
      </w:r>
      <w:r>
        <w:rPr>
          <w:rFonts w:hint="default" w:ascii="Times New Roman" w:hAnsi="Times New Roman" w:eastAsia="仿宋" w:cs="Times New Roman"/>
          <w:kern w:val="30"/>
          <w:sz w:val="30"/>
          <w:szCs w:val="30"/>
          <w:highlight w:val="none"/>
          <w:lang w:val="en-US" w:eastAsia="zh-CN" w:bidi="ar-SA"/>
        </w:rPr>
        <w:t>。</w:t>
      </w:r>
    </w:p>
    <w:p w14:paraId="66AFD3E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bookmarkStart w:id="26" w:name="_Toc23086"/>
      <w:r>
        <w:rPr>
          <w:rFonts w:hint="default" w:ascii="Times New Roman" w:hAnsi="Times New Roman" w:eastAsia="仿宋" w:cs="Times New Roman"/>
          <w:highlight w:val="none"/>
          <w:lang w:val="en-US" w:eastAsia="zh-CN"/>
        </w:rPr>
        <w:t>2.项目设立目的</w:t>
      </w:r>
      <w:bookmarkEnd w:id="26"/>
    </w:p>
    <w:p w14:paraId="6ADF391F">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根据</w:t>
      </w:r>
      <w:r>
        <w:rPr>
          <w:rFonts w:hint="default" w:ascii="Times New Roman" w:hAnsi="Times New Roman" w:eastAsia="仿宋" w:cs="Times New Roman"/>
          <w:b w:val="0"/>
          <w:bCs w:val="0"/>
          <w:kern w:val="30"/>
          <w:sz w:val="30"/>
          <w:szCs w:val="30"/>
          <w:highlight w:val="none"/>
          <w:lang w:val="en-US" w:eastAsia="zh-CN" w:bidi="ar-SA"/>
        </w:rPr>
        <w:t>《昆明市城乡社区居家养老服务设施建设及运营管理实施意见》（昆老办〔2016〕29号）</w:t>
      </w:r>
      <w:r>
        <w:rPr>
          <w:rFonts w:hint="default" w:ascii="Times New Roman" w:hAnsi="Times New Roman" w:cs="Times New Roman"/>
          <w:b w:val="0"/>
          <w:bCs w:val="0"/>
          <w:kern w:val="30"/>
          <w:sz w:val="30"/>
          <w:szCs w:val="30"/>
          <w:highlight w:val="none"/>
          <w:lang w:val="en-US" w:eastAsia="zh-CN" w:bidi="ar-SA"/>
        </w:rPr>
        <w:t>、</w:t>
      </w:r>
      <w:r>
        <w:rPr>
          <w:rFonts w:hint="default" w:ascii="Times New Roman" w:hAnsi="Times New Roman" w:cs="Times New Roman"/>
          <w:szCs w:val="30"/>
          <w:highlight w:val="none"/>
          <w:lang w:val="en-US" w:eastAsia="zh-CN"/>
        </w:rPr>
        <w:t>《昆明市民政局关于申报民办养老服务机构及居家养老服务中心补助的通知》（昆民通〔2020〕41号）</w:t>
      </w:r>
      <w:r>
        <w:rPr>
          <w:rFonts w:hint="default" w:ascii="Times New Roman" w:hAnsi="Times New Roman" w:eastAsia="仿宋" w:cs="Times New Roman"/>
          <w:kern w:val="30"/>
          <w:sz w:val="30"/>
          <w:szCs w:val="30"/>
          <w:highlight w:val="none"/>
          <w:lang w:val="en-US" w:eastAsia="zh-CN" w:bidi="ar-SA"/>
        </w:rPr>
        <w:t>等</w:t>
      </w:r>
      <w:r>
        <w:rPr>
          <w:rFonts w:hint="default" w:ascii="Times New Roman" w:hAnsi="Times New Roman" w:cs="Times New Roman"/>
          <w:kern w:val="30"/>
          <w:sz w:val="30"/>
          <w:szCs w:val="30"/>
          <w:highlight w:val="none"/>
          <w:lang w:val="en-US" w:eastAsia="zh-CN" w:bidi="ar-SA"/>
        </w:rPr>
        <w:t>文件要求</w:t>
      </w:r>
      <w:r>
        <w:rPr>
          <w:rFonts w:hint="default" w:ascii="Times New Roman" w:hAnsi="Times New Roman" w:eastAsia="仿宋" w:cs="Times New Roman"/>
          <w:kern w:val="30"/>
          <w:sz w:val="30"/>
          <w:szCs w:val="30"/>
          <w:highlight w:val="none"/>
          <w:lang w:val="en-US" w:eastAsia="zh-CN" w:bidi="ar-SA"/>
        </w:rPr>
        <w:t>，</w:t>
      </w:r>
      <w:r>
        <w:rPr>
          <w:rFonts w:hint="default" w:ascii="Times New Roman" w:hAnsi="Times New Roman" w:cs="Times New Roman"/>
          <w:kern w:val="30"/>
          <w:sz w:val="30"/>
          <w:szCs w:val="30"/>
          <w:highlight w:val="none"/>
          <w:lang w:val="en-US" w:eastAsia="zh-CN" w:bidi="ar-SA"/>
        </w:rPr>
        <w:t>对辖区内的居家养老服务中心发放运营补助资金</w:t>
      </w:r>
      <w:r>
        <w:rPr>
          <w:rFonts w:hint="default" w:ascii="Times New Roman" w:hAnsi="Times New Roman" w:cs="Times New Roman"/>
          <w:szCs w:val="30"/>
          <w:highlight w:val="none"/>
          <w:lang w:val="en-US" w:eastAsia="zh-CN"/>
        </w:rPr>
        <w:t>，进一步维持区域居家养老服务工作开展，推动区域服务水平提升</w:t>
      </w:r>
      <w:r>
        <w:rPr>
          <w:rFonts w:hint="default" w:ascii="Times New Roman" w:hAnsi="Times New Roman" w:cs="Times New Roman"/>
          <w:kern w:val="30"/>
          <w:sz w:val="30"/>
          <w:szCs w:val="30"/>
          <w:highlight w:val="none"/>
          <w:lang w:val="en-US" w:eastAsia="zh-CN" w:bidi="ar-SA"/>
        </w:rPr>
        <w:t>。</w:t>
      </w:r>
    </w:p>
    <w:p w14:paraId="082C0ECB">
      <w:pPr>
        <w:pStyle w:val="31"/>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27" w:name="_Toc18865"/>
      <w:r>
        <w:rPr>
          <w:rFonts w:hint="default" w:ascii="Times New Roman" w:hAnsi="Times New Roman" w:cs="Times New Roman"/>
          <w:highlight w:val="none"/>
        </w:rPr>
        <w:t>（二）项目资金安排情况</w:t>
      </w:r>
      <w:bookmarkEnd w:id="27"/>
    </w:p>
    <w:p w14:paraId="2C4E9A0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1.资金来源及到位情况</w:t>
      </w:r>
    </w:p>
    <w:p w14:paraId="11F3871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b w:val="0"/>
          <w:bCs w:val="0"/>
          <w:kern w:val="30"/>
          <w:sz w:val="30"/>
          <w:szCs w:val="30"/>
          <w:highlight w:val="none"/>
          <w:lang w:val="en-US" w:eastAsia="zh-CN" w:bidi="ar-SA"/>
        </w:rPr>
      </w:pPr>
      <w:r>
        <w:rPr>
          <w:rFonts w:hint="default" w:ascii="Times New Roman" w:hAnsi="Times New Roman" w:cs="Times New Roman"/>
          <w:b w:val="0"/>
          <w:bCs w:val="0"/>
          <w:szCs w:val="30"/>
          <w:highlight w:val="none"/>
          <w:lang w:val="en-US" w:eastAsia="zh-CN"/>
        </w:rPr>
        <w:t>2023年本项目预算资金24.6</w:t>
      </w:r>
      <w:r>
        <w:rPr>
          <w:rFonts w:hint="eastAsia" w:ascii="Times New Roman" w:cs="Times New Roman"/>
          <w:b w:val="0"/>
          <w:bCs w:val="0"/>
          <w:szCs w:val="30"/>
          <w:highlight w:val="none"/>
          <w:lang w:val="en-US" w:eastAsia="zh-CN"/>
        </w:rPr>
        <w:t>1</w:t>
      </w:r>
      <w:r>
        <w:rPr>
          <w:rFonts w:hint="default" w:ascii="Times New Roman" w:hAnsi="Times New Roman" w:cs="Times New Roman"/>
          <w:b w:val="0"/>
          <w:bCs w:val="0"/>
          <w:szCs w:val="30"/>
          <w:highlight w:val="none"/>
          <w:lang w:val="en-US" w:eastAsia="zh-CN"/>
        </w:rPr>
        <w:t>万元，根据《昆明市财政局 昆明市民政局 关于下达2023年第一批省级民政事业专项资金的通知》（昆财社〔2023〕85号），截至2023年12月31日，本项目实际到位资金24.6</w:t>
      </w:r>
      <w:r>
        <w:rPr>
          <w:rFonts w:hint="eastAsia" w:ascii="Times New Roman" w:cs="Times New Roman"/>
          <w:b w:val="0"/>
          <w:bCs w:val="0"/>
          <w:szCs w:val="30"/>
          <w:highlight w:val="none"/>
          <w:lang w:val="en-US" w:eastAsia="zh-CN"/>
        </w:rPr>
        <w:t>1</w:t>
      </w:r>
      <w:r>
        <w:rPr>
          <w:rFonts w:hint="default" w:ascii="Times New Roman" w:hAnsi="Times New Roman" w:cs="Times New Roman"/>
          <w:b w:val="0"/>
          <w:bCs w:val="0"/>
          <w:szCs w:val="30"/>
          <w:highlight w:val="none"/>
          <w:lang w:val="en-US" w:eastAsia="zh-CN"/>
        </w:rPr>
        <w:t>万元，资金到位率100%。本项目资金的发放方式是由市、区两级共同承担，通常为市级资金到达后，区级对未达到需求的预算进行补充。</w:t>
      </w:r>
    </w:p>
    <w:p w14:paraId="50021BD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b w:val="0"/>
          <w:bCs w:val="0"/>
          <w:highlight w:val="none"/>
          <w:lang w:val="en-US" w:eastAsia="zh-CN"/>
        </w:rPr>
      </w:pPr>
      <w:r>
        <w:rPr>
          <w:rFonts w:hint="default" w:ascii="Times New Roman" w:hAnsi="Times New Roman" w:eastAsia="仿宋" w:cs="Times New Roman"/>
          <w:b w:val="0"/>
          <w:bCs w:val="0"/>
          <w:highlight w:val="none"/>
          <w:lang w:val="en-US" w:eastAsia="zh-CN"/>
        </w:rPr>
        <w:t>2.资金使用情况</w:t>
      </w:r>
    </w:p>
    <w:p w14:paraId="7084103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b w:val="0"/>
          <w:bCs w:val="0"/>
          <w:szCs w:val="30"/>
          <w:highlight w:val="none"/>
          <w:lang w:val="en-US" w:eastAsia="zh-CN"/>
        </w:rPr>
      </w:pPr>
      <w:r>
        <w:rPr>
          <w:rFonts w:hint="default" w:ascii="Times New Roman" w:hAnsi="Times New Roman" w:cs="Times New Roman"/>
          <w:b w:val="0"/>
          <w:bCs w:val="0"/>
          <w:szCs w:val="30"/>
          <w:highlight w:val="none"/>
          <w:lang w:val="en-US" w:eastAsia="zh-CN"/>
        </w:rPr>
        <w:t>截至2023年12月31日，区民政局共对24家单位进行补助，共补助金额55.4万元，资金构成包含2023年预算24.6</w:t>
      </w:r>
      <w:r>
        <w:rPr>
          <w:rFonts w:hint="eastAsia" w:ascii="Times New Roman" w:cs="Times New Roman"/>
          <w:b w:val="0"/>
          <w:bCs w:val="0"/>
          <w:szCs w:val="30"/>
          <w:highlight w:val="none"/>
          <w:lang w:val="en-US" w:eastAsia="zh-CN"/>
        </w:rPr>
        <w:t>1</w:t>
      </w:r>
      <w:r>
        <w:rPr>
          <w:rFonts w:hint="default" w:ascii="Times New Roman" w:hAnsi="Times New Roman" w:cs="Times New Roman"/>
          <w:b w:val="0"/>
          <w:bCs w:val="0"/>
          <w:szCs w:val="30"/>
          <w:highlight w:val="none"/>
          <w:lang w:val="en-US" w:eastAsia="zh-CN"/>
        </w:rPr>
        <w:t>万元以及2022年该项目的结余资金30.79万元</w:t>
      </w:r>
      <w:r>
        <w:rPr>
          <w:rFonts w:hint="eastAsia" w:ascii="Times New Roman" w:cs="Times New Roman"/>
          <w:b w:val="0"/>
          <w:bCs w:val="0"/>
          <w:szCs w:val="30"/>
          <w:highlight w:val="none"/>
          <w:lang w:val="en-US" w:eastAsia="zh-CN"/>
        </w:rPr>
        <w:t>，预算执行率100%</w:t>
      </w:r>
      <w:r>
        <w:rPr>
          <w:rFonts w:hint="default" w:ascii="Times New Roman" w:hAnsi="Times New Roman" w:cs="Times New Roman"/>
          <w:b w:val="0"/>
          <w:bCs w:val="0"/>
          <w:szCs w:val="30"/>
          <w:highlight w:val="none"/>
          <w:lang w:val="en-US" w:eastAsia="zh-CN"/>
        </w:rPr>
        <w:t>。</w:t>
      </w:r>
    </w:p>
    <w:p w14:paraId="7113814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2022年项目出现结余资金的原因是，2022年市里的资金未到位，导致补贴的发放是依靠区级资金支持。年底市里资金到位后，原本市级预算资金30.79万元变成结余资金。</w:t>
      </w:r>
      <w:r>
        <w:rPr>
          <w:rFonts w:hint="eastAsia" w:ascii="Times New Roman" w:cs="Times New Roman"/>
          <w:szCs w:val="30"/>
          <w:highlight w:val="none"/>
          <w:lang w:val="en-US" w:eastAsia="zh-CN"/>
        </w:rPr>
        <w:t>具体支出情况见下表。</w:t>
      </w:r>
    </w:p>
    <w:p w14:paraId="38D8FC12">
      <w:pPr>
        <w:keepNext w:val="0"/>
        <w:keepLines w:val="0"/>
        <w:pageBreakBefore w:val="0"/>
        <w:widowControl w:val="0"/>
        <w:kinsoku/>
        <w:wordWrap/>
        <w:overflowPunct/>
        <w:topLinePunct w:val="0"/>
        <w:autoSpaceDE/>
        <w:autoSpaceDN/>
        <w:bidi w:val="0"/>
        <w:adjustRightInd/>
        <w:snapToGrid/>
        <w:spacing w:line="579" w:lineRule="exact"/>
        <w:ind w:firstLine="510" w:firstLineChars="200"/>
        <w:jc w:val="center"/>
        <w:textAlignment w:val="auto"/>
        <w:rPr>
          <w:rFonts w:hint="default"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 xml:space="preserve">表1 </w:t>
      </w:r>
      <w:r>
        <w:rPr>
          <w:rFonts w:hint="default" w:ascii="Times New Roman" w:hAnsi="Times New Roman" w:eastAsia="黑体" w:cs="Times New Roman"/>
          <w:sz w:val="24"/>
          <w:szCs w:val="24"/>
          <w:highlight w:val="none"/>
          <w:lang w:val="en-US" w:eastAsia="zh-CN"/>
        </w:rPr>
        <w:t>项目资金支出情况表</w:t>
      </w:r>
    </w:p>
    <w:p w14:paraId="2CAAB85D">
      <w:pPr>
        <w:keepNext w:val="0"/>
        <w:keepLines w:val="0"/>
        <w:pageBreakBefore w:val="0"/>
        <w:widowControl w:val="0"/>
        <w:kinsoku/>
        <w:wordWrap/>
        <w:overflowPunct/>
        <w:topLinePunct w:val="0"/>
        <w:autoSpaceDE/>
        <w:autoSpaceDN/>
        <w:bidi w:val="0"/>
        <w:adjustRightInd/>
        <w:snapToGrid/>
        <w:spacing w:line="579" w:lineRule="exact"/>
        <w:ind w:firstLine="510" w:firstLineChars="200"/>
        <w:jc w:val="right"/>
        <w:textAlignment w:val="auto"/>
        <w:rPr>
          <w:rFonts w:hint="default" w:ascii="Times New Roman" w:hAnsi="Times New Roman" w:cs="Times New Roman"/>
          <w:highlight w:val="none"/>
          <w:lang w:val="en-US" w:eastAsia="zh-CN"/>
        </w:rPr>
      </w:pPr>
      <w:r>
        <w:rPr>
          <w:rFonts w:hint="default" w:ascii="Times New Roman" w:hAnsi="Times New Roman" w:eastAsia="黑体" w:cs="Times New Roman"/>
          <w:sz w:val="24"/>
          <w:szCs w:val="24"/>
          <w:highlight w:val="none"/>
          <w:lang w:val="en-US" w:eastAsia="zh-CN"/>
        </w:rPr>
        <w:t>单位：万元</w:t>
      </w:r>
    </w:p>
    <w:tbl>
      <w:tblPr>
        <w:tblStyle w:val="20"/>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1514"/>
        <w:gridCol w:w="5291"/>
        <w:gridCol w:w="1460"/>
      </w:tblGrid>
      <w:tr w14:paraId="27A3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6A4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lang w:val="en-US" w:eastAsia="zh-CN"/>
              </w:rPr>
            </w:pPr>
            <w:r>
              <w:rPr>
                <w:rFonts w:hint="default" w:ascii="Times New Roman" w:hAnsi="Times New Roman" w:eastAsia="仿宋" w:cs="Times New Roman"/>
                <w:b/>
                <w:bCs/>
                <w:i w:val="0"/>
                <w:iCs w:val="0"/>
                <w:color w:val="000000"/>
                <w:sz w:val="21"/>
                <w:szCs w:val="21"/>
                <w:highlight w:val="none"/>
                <w:u w:val="none"/>
                <w:lang w:val="en-US" w:eastAsia="zh-CN"/>
              </w:rPr>
              <w:t>序号</w:t>
            </w:r>
          </w:p>
        </w:tc>
        <w:tc>
          <w:tcPr>
            <w:tcW w:w="1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7AD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lang w:val="en-US"/>
              </w:rPr>
            </w:pPr>
            <w:r>
              <w:rPr>
                <w:rFonts w:hint="default" w:ascii="Times New Roman" w:hAnsi="Times New Roman" w:eastAsia="仿宋" w:cs="Times New Roman"/>
                <w:b/>
                <w:bCs/>
                <w:i w:val="0"/>
                <w:iCs w:val="0"/>
                <w:color w:val="000000"/>
                <w:kern w:val="0"/>
                <w:sz w:val="21"/>
                <w:szCs w:val="21"/>
                <w:highlight w:val="none"/>
                <w:u w:val="none"/>
                <w:lang w:val="en-US" w:eastAsia="zh-CN" w:bidi="ar"/>
              </w:rPr>
              <w:t>补助街道</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262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补助单位</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08F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lang w:val="en-US"/>
              </w:rPr>
            </w:pPr>
            <w:r>
              <w:rPr>
                <w:rFonts w:hint="default" w:ascii="Times New Roman" w:hAnsi="Times New Roman" w:eastAsia="仿宋" w:cs="Times New Roman"/>
                <w:b/>
                <w:bCs/>
                <w:i w:val="0"/>
                <w:iCs w:val="0"/>
                <w:color w:val="000000"/>
                <w:kern w:val="0"/>
                <w:sz w:val="21"/>
                <w:szCs w:val="21"/>
                <w:highlight w:val="none"/>
                <w:u w:val="none"/>
                <w:lang w:val="en-US" w:eastAsia="zh-CN" w:bidi="ar"/>
              </w:rPr>
              <w:t>补助金额</w:t>
            </w:r>
          </w:p>
        </w:tc>
      </w:tr>
      <w:tr w14:paraId="6E71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F7E0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lang w:val="en-US" w:eastAsia="zh-CN"/>
              </w:rPr>
            </w:pPr>
            <w:r>
              <w:rPr>
                <w:rFonts w:hint="default" w:ascii="Times New Roman" w:hAnsi="Times New Roman" w:eastAsia="仿宋" w:cs="Times New Roman"/>
                <w:i w:val="0"/>
                <w:iCs w:val="0"/>
                <w:color w:val="000000"/>
                <w:sz w:val="21"/>
                <w:szCs w:val="21"/>
                <w:highlight w:val="none"/>
                <w:u w:val="none"/>
                <w:lang w:val="en-US" w:eastAsia="zh-CN"/>
              </w:rPr>
              <w:t>1</w:t>
            </w:r>
          </w:p>
        </w:tc>
        <w:tc>
          <w:tcPr>
            <w:tcW w:w="15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00DE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福海街道</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3F68A">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卫城社区居家养老服务中心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548AE">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54D8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0AB1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CB9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B94A3">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福海（长青老年公寓）居家养老服务中心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35B3E">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7F4A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E73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lang w:val="en-US" w:eastAsia="zh-CN"/>
              </w:rPr>
            </w:pPr>
            <w:r>
              <w:rPr>
                <w:rFonts w:hint="default" w:ascii="Times New Roman" w:hAnsi="Times New Roman" w:eastAsia="仿宋" w:cs="Times New Roman"/>
                <w:i w:val="0"/>
                <w:iCs w:val="0"/>
                <w:color w:val="000000"/>
                <w:sz w:val="21"/>
                <w:szCs w:val="21"/>
                <w:highlight w:val="none"/>
                <w:u w:val="none"/>
                <w:lang w:val="en-US" w:eastAsia="zh-CN"/>
              </w:rPr>
              <w:t>2</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4165AB24">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马街街道</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81E4E">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西丽园社区（怡芳苑小区）居家养老服务中心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4A160">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3778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752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lang w:val="en-US" w:eastAsia="zh-CN"/>
              </w:rPr>
            </w:pPr>
            <w:r>
              <w:rPr>
                <w:rFonts w:hint="default" w:ascii="Times New Roman" w:hAnsi="Times New Roman" w:eastAsia="仿宋" w:cs="Times New Roman"/>
                <w:i w:val="0"/>
                <w:iCs w:val="0"/>
                <w:color w:val="000000"/>
                <w:sz w:val="21"/>
                <w:szCs w:val="21"/>
                <w:highlight w:val="none"/>
                <w:u w:val="none"/>
                <w:lang w:val="en-US" w:eastAsia="zh-CN"/>
              </w:rPr>
              <w:t>3</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21B2943D">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前卫街道</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3DFE6">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广福小区社区居家养老服务中心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CCDE0">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54AD5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F12D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lang w:val="en-US" w:eastAsia="zh-CN"/>
              </w:rPr>
            </w:pPr>
            <w:r>
              <w:rPr>
                <w:rFonts w:hint="default" w:ascii="Times New Roman" w:hAnsi="Times New Roman" w:eastAsia="仿宋" w:cs="Times New Roman"/>
                <w:i w:val="0"/>
                <w:iCs w:val="0"/>
                <w:color w:val="000000"/>
                <w:sz w:val="21"/>
                <w:szCs w:val="21"/>
                <w:highlight w:val="none"/>
                <w:u w:val="none"/>
                <w:lang w:val="en-US" w:eastAsia="zh-CN"/>
              </w:rPr>
              <w:t>4</w:t>
            </w:r>
          </w:p>
        </w:tc>
        <w:tc>
          <w:tcPr>
            <w:tcW w:w="15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413E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海口街道</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C4035">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里仁社区居家养老服务中心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25BB6">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6663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52F2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8399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8E597">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中平社区居家养老服务中心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5DA29">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09C6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6979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A34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34CAA">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中新社区居家养老服务中心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C50EF">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6488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9E68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E45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03712">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海门社区居家养老服务中心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B0A05">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7966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79D6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080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2D234">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山冲社区居家养老服务中心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54398">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7006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A3B2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5</w:t>
            </w:r>
          </w:p>
        </w:tc>
        <w:tc>
          <w:tcPr>
            <w:tcW w:w="15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3A5C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永昌街道</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A3292">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永兴路社区日间照料中心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2E6AA">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7737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EE3E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830E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05531">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盛高大城社区居家养老服务中心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E1239">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1.6</w:t>
            </w:r>
          </w:p>
        </w:tc>
      </w:tr>
      <w:tr w14:paraId="1B18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8F54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C3A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7BB27">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永宁里社区居家养老服务中心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39168">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00FC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0CFC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6</w:t>
            </w:r>
          </w:p>
        </w:tc>
        <w:tc>
          <w:tcPr>
            <w:tcW w:w="15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3D6A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sz w:val="21"/>
                <w:szCs w:val="21"/>
                <w:highlight w:val="none"/>
                <w:u w:val="none"/>
              </w:rPr>
              <w:t>碧鸡街道</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39F2C">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富善社区居家养老服务中心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DE89C">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1118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F7C5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752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0C2EB">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龙门社区居家养老服务中心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F1F30">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4AF3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3FFC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7</w:t>
            </w:r>
          </w:p>
        </w:tc>
        <w:tc>
          <w:tcPr>
            <w:tcW w:w="15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7D9B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sz w:val="21"/>
                <w:szCs w:val="21"/>
                <w:highlight w:val="none"/>
              </w:rPr>
              <w:t>团结街道</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D4A9F">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雨花社区居家养老服务中心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A656B">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2331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53BD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79C9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5610E">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龙潭社区居家养老服务中心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B76C3">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6B88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7341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A547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162B1">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永靖社区（喜福乐老年公寓）居家养老服务中心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99926">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0583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724B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68D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E532C">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谷律社区居家养老服务中心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CBBF3">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522D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9CB2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2866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4C1E6">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白眉社区居家养老服务中心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D7566">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6903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35A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8</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334771B4">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棕树营街道</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EFCF8">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白马西区居家养老服务中心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BA2CC">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0070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10EB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9</w:t>
            </w:r>
          </w:p>
        </w:tc>
        <w:tc>
          <w:tcPr>
            <w:tcW w:w="15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1C1058">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西苑街道</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42B1C">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凯苑社区居家养老服务中心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B5A23">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4CD1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EACA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903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8FC15">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秀苑社区居家养老服务中心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72D92">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4DED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EA81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p>
        </w:tc>
        <w:tc>
          <w:tcPr>
            <w:tcW w:w="15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108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237E7">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秋苑社区居家养老服务中心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23A3C">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1</w:t>
            </w:r>
          </w:p>
        </w:tc>
      </w:tr>
      <w:tr w14:paraId="73AA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CCB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10</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172FB01C">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金碧街道</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DDBB6">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巡津新村社区（金碧老年公寓）居家养老服务中心</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C5F26">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2.4</w:t>
            </w:r>
          </w:p>
        </w:tc>
      </w:tr>
      <w:tr w14:paraId="509A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A748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合计</w:t>
            </w:r>
          </w:p>
        </w:tc>
        <w:tc>
          <w:tcPr>
            <w:tcW w:w="5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94096">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 w:cs="Times New Roman"/>
                <w:b/>
                <w:bCs/>
                <w:i w:val="0"/>
                <w:iCs w:val="0"/>
                <w:color w:val="000000"/>
                <w:sz w:val="21"/>
                <w:szCs w:val="21"/>
                <w:highlight w:val="none"/>
                <w:u w:val="none"/>
                <w:lang w:val="en-US" w:eastAsia="zh-CN"/>
              </w:rPr>
            </w:pPr>
            <w:r>
              <w:rPr>
                <w:rFonts w:hint="default" w:ascii="Times New Roman" w:hAnsi="Times New Roman" w:eastAsia="仿宋" w:cs="Times New Roman"/>
                <w:b/>
                <w:bCs/>
                <w:i w:val="0"/>
                <w:iCs w:val="0"/>
                <w:color w:val="000000"/>
                <w:sz w:val="21"/>
                <w:szCs w:val="21"/>
                <w:highlight w:val="none"/>
                <w:u w:val="none"/>
                <w:lang w:val="en-US" w:eastAsia="zh-CN"/>
              </w:rPr>
              <w:t>/</w:t>
            </w:r>
          </w:p>
        </w:tc>
        <w:tc>
          <w:tcPr>
            <w:tcW w:w="14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68C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lang w:val="en-US"/>
              </w:rPr>
            </w:pPr>
            <w:r>
              <w:rPr>
                <w:rFonts w:hint="default" w:ascii="Times New Roman" w:hAnsi="Times New Roman" w:eastAsia="仿宋" w:cs="Times New Roman"/>
                <w:b/>
                <w:bCs/>
                <w:i w:val="0"/>
                <w:iCs w:val="0"/>
                <w:color w:val="000000"/>
                <w:kern w:val="0"/>
                <w:sz w:val="21"/>
                <w:szCs w:val="21"/>
                <w:highlight w:val="none"/>
                <w:u w:val="none"/>
                <w:lang w:val="en-US" w:eastAsia="zh-CN" w:bidi="ar"/>
              </w:rPr>
              <w:t>55.4</w:t>
            </w:r>
          </w:p>
        </w:tc>
      </w:tr>
    </w:tbl>
    <w:p w14:paraId="0291212B">
      <w:pPr>
        <w:pStyle w:val="31"/>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b w:val="0"/>
          <w:bCs w:val="0"/>
          <w:highlight w:val="none"/>
        </w:rPr>
      </w:pPr>
      <w:bookmarkStart w:id="28" w:name="_Toc5341"/>
      <w:r>
        <w:rPr>
          <w:rFonts w:hint="default" w:ascii="Times New Roman" w:hAnsi="Times New Roman" w:cs="Times New Roman"/>
          <w:b w:val="0"/>
          <w:bCs w:val="0"/>
          <w:highlight w:val="none"/>
        </w:rPr>
        <w:t>（三）项目实施内容</w:t>
      </w:r>
      <w:bookmarkEnd w:id="28"/>
      <w:r>
        <w:rPr>
          <w:rFonts w:hint="default" w:ascii="Times New Roman" w:hAnsi="Times New Roman" w:cs="Times New Roman"/>
          <w:b w:val="0"/>
          <w:bCs w:val="0"/>
          <w:highlight w:val="none"/>
          <w:lang w:val="en-US" w:eastAsia="zh-CN"/>
        </w:rPr>
        <w:t xml:space="preserve"> </w:t>
      </w:r>
    </w:p>
    <w:p w14:paraId="29716FF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cs="Times New Roman"/>
          <w:b w:val="0"/>
          <w:bCs w:val="0"/>
          <w:szCs w:val="30"/>
          <w:highlight w:val="none"/>
          <w:lang w:val="en-US" w:eastAsia="zh-CN"/>
        </w:rPr>
      </w:pPr>
      <w:r>
        <w:rPr>
          <w:rFonts w:hint="default" w:ascii="Times New Roman" w:hAnsi="Times New Roman" w:cs="Times New Roman"/>
          <w:b w:val="0"/>
          <w:bCs w:val="0"/>
          <w:szCs w:val="30"/>
          <w:highlight w:val="none"/>
          <w:lang w:val="en-US" w:eastAsia="zh-CN"/>
        </w:rPr>
        <w:t>本项目主要是对经评估后的居家养老服务中心按照文件要求进行补贴资金的发放。评估单位由区民政局另设项目及预算通过询价采购的方式委托云南益海养老服务有限公司（以下简称“评估单位”）开展。</w:t>
      </w:r>
    </w:p>
    <w:p w14:paraId="1742B5D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2023年10月，评估单位根据区民政局制定的《西山区社区居家养老服务中心运营管理考核办法（试行）》对昆明市西山区36家居家养老服务中心运营补助实地开展评估工作。根据结论，西山区36家居家养老服务中心中共有26家符合补助标准，评估单位建议补助总计金额为60.2万元，具体评估结论如下：</w:t>
      </w:r>
    </w:p>
    <w:p w14:paraId="271C8085">
      <w:pPr>
        <w:keepNext w:val="0"/>
        <w:keepLines w:val="0"/>
        <w:pageBreakBefore w:val="0"/>
        <w:widowControl w:val="0"/>
        <w:kinsoku/>
        <w:wordWrap/>
        <w:overflowPunct/>
        <w:topLinePunct w:val="0"/>
        <w:autoSpaceDE/>
        <w:autoSpaceDN/>
        <w:bidi w:val="0"/>
        <w:adjustRightInd/>
        <w:snapToGrid/>
        <w:spacing w:line="579" w:lineRule="exact"/>
        <w:ind w:firstLine="510" w:firstLineChars="200"/>
        <w:jc w:val="center"/>
        <w:textAlignment w:val="auto"/>
        <w:rPr>
          <w:rFonts w:hint="default"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 xml:space="preserve">表2 </w:t>
      </w:r>
      <w:r>
        <w:rPr>
          <w:rFonts w:hint="default" w:ascii="Times New Roman" w:hAnsi="Times New Roman" w:eastAsia="黑体" w:cs="Times New Roman"/>
          <w:sz w:val="24"/>
          <w:szCs w:val="24"/>
          <w:highlight w:val="none"/>
          <w:lang w:val="en-US" w:eastAsia="zh-CN"/>
        </w:rPr>
        <w:t>评估单位结论表</w:t>
      </w:r>
    </w:p>
    <w:p w14:paraId="231BF712">
      <w:pPr>
        <w:keepNext w:val="0"/>
        <w:keepLines w:val="0"/>
        <w:pageBreakBefore w:val="0"/>
        <w:widowControl w:val="0"/>
        <w:kinsoku/>
        <w:wordWrap/>
        <w:overflowPunct/>
        <w:topLinePunct w:val="0"/>
        <w:autoSpaceDE/>
        <w:autoSpaceDN/>
        <w:bidi w:val="0"/>
        <w:adjustRightInd/>
        <w:snapToGrid/>
        <w:spacing w:line="579" w:lineRule="exact"/>
        <w:ind w:firstLine="510" w:firstLineChars="200"/>
        <w:jc w:val="right"/>
        <w:textAlignment w:val="auto"/>
        <w:rPr>
          <w:rFonts w:hint="default" w:ascii="Times New Roman" w:hAnsi="Times New Roman" w:cs="Times New Roman"/>
          <w:szCs w:val="30"/>
          <w:highlight w:val="none"/>
          <w:lang w:val="en-US" w:eastAsia="zh-CN"/>
        </w:rPr>
      </w:pPr>
      <w:r>
        <w:rPr>
          <w:rFonts w:hint="default" w:ascii="Times New Roman" w:hAnsi="Times New Roman" w:eastAsia="黑体" w:cs="Times New Roman"/>
          <w:sz w:val="24"/>
          <w:szCs w:val="24"/>
          <w:highlight w:val="none"/>
          <w:lang w:val="en-US" w:eastAsia="zh-CN"/>
        </w:rPr>
        <w:t>单位：万元</w:t>
      </w:r>
    </w:p>
    <w:tbl>
      <w:tblPr>
        <w:tblStyle w:val="2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352"/>
        <w:gridCol w:w="4425"/>
        <w:gridCol w:w="1091"/>
        <w:gridCol w:w="1294"/>
      </w:tblGrid>
      <w:tr w14:paraId="2630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9" w:type="dxa"/>
            <w:vAlign w:val="center"/>
          </w:tcPr>
          <w:p w14:paraId="467E47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序号</w:t>
            </w:r>
          </w:p>
        </w:tc>
        <w:tc>
          <w:tcPr>
            <w:tcW w:w="1352" w:type="dxa"/>
            <w:vAlign w:val="center"/>
          </w:tcPr>
          <w:p w14:paraId="3C90B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街道</w:t>
            </w:r>
          </w:p>
        </w:tc>
        <w:tc>
          <w:tcPr>
            <w:tcW w:w="4425" w:type="dxa"/>
            <w:vAlign w:val="center"/>
          </w:tcPr>
          <w:p w14:paraId="2CC1AD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居家服务中心名称</w:t>
            </w:r>
          </w:p>
        </w:tc>
        <w:tc>
          <w:tcPr>
            <w:tcW w:w="1091" w:type="dxa"/>
            <w:vAlign w:val="center"/>
          </w:tcPr>
          <w:p w14:paraId="6A3B9C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评价</w:t>
            </w:r>
          </w:p>
        </w:tc>
        <w:tc>
          <w:tcPr>
            <w:tcW w:w="1294" w:type="dxa"/>
            <w:vAlign w:val="center"/>
          </w:tcPr>
          <w:p w14:paraId="04D900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建议金额</w:t>
            </w:r>
          </w:p>
        </w:tc>
      </w:tr>
      <w:tr w14:paraId="3CD9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53C3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c>
          <w:tcPr>
            <w:tcW w:w="1352" w:type="dxa"/>
            <w:vMerge w:val="restart"/>
            <w:vAlign w:val="center"/>
          </w:tcPr>
          <w:p w14:paraId="445498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团结街道</w:t>
            </w:r>
          </w:p>
        </w:tc>
        <w:tc>
          <w:tcPr>
            <w:tcW w:w="4425" w:type="dxa"/>
            <w:vAlign w:val="center"/>
          </w:tcPr>
          <w:p w14:paraId="425EB7FB">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白眉社区居委会居家养老服务站</w:t>
            </w:r>
          </w:p>
        </w:tc>
        <w:tc>
          <w:tcPr>
            <w:tcW w:w="1091" w:type="dxa"/>
            <w:vAlign w:val="center"/>
          </w:tcPr>
          <w:p w14:paraId="66B3D0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437F23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7669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449F7D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w:t>
            </w:r>
          </w:p>
        </w:tc>
        <w:tc>
          <w:tcPr>
            <w:tcW w:w="1352" w:type="dxa"/>
            <w:vMerge w:val="continue"/>
            <w:vAlign w:val="center"/>
          </w:tcPr>
          <w:p w14:paraId="096B64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09FD3D65">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雨花社区居家养老服务中心</w:t>
            </w:r>
          </w:p>
        </w:tc>
        <w:tc>
          <w:tcPr>
            <w:tcW w:w="1091" w:type="dxa"/>
            <w:vAlign w:val="center"/>
          </w:tcPr>
          <w:p w14:paraId="3188DD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5B1C80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2082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0AB9A1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w:t>
            </w:r>
          </w:p>
        </w:tc>
        <w:tc>
          <w:tcPr>
            <w:tcW w:w="1352" w:type="dxa"/>
            <w:vMerge w:val="continue"/>
            <w:vAlign w:val="center"/>
          </w:tcPr>
          <w:p w14:paraId="53D7DA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1273CFB0">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和平社区居家养老服务中心</w:t>
            </w:r>
          </w:p>
        </w:tc>
        <w:tc>
          <w:tcPr>
            <w:tcW w:w="1091" w:type="dxa"/>
            <w:vAlign w:val="center"/>
          </w:tcPr>
          <w:p w14:paraId="5C9E09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不参评</w:t>
            </w:r>
          </w:p>
        </w:tc>
        <w:tc>
          <w:tcPr>
            <w:tcW w:w="1294" w:type="dxa"/>
            <w:vAlign w:val="center"/>
          </w:tcPr>
          <w:p w14:paraId="411D1E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0</w:t>
            </w:r>
          </w:p>
        </w:tc>
      </w:tr>
      <w:tr w14:paraId="2E96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925FE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w:t>
            </w:r>
          </w:p>
        </w:tc>
        <w:tc>
          <w:tcPr>
            <w:tcW w:w="1352" w:type="dxa"/>
            <w:vMerge w:val="continue"/>
            <w:vAlign w:val="center"/>
          </w:tcPr>
          <w:p w14:paraId="54755A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7FA03D6A">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永靖社区居委会居家养老服务站</w:t>
            </w:r>
          </w:p>
        </w:tc>
        <w:tc>
          <w:tcPr>
            <w:tcW w:w="1091" w:type="dxa"/>
            <w:vAlign w:val="center"/>
          </w:tcPr>
          <w:p w14:paraId="4BF537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7BBCEC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66F2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3B8FA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w:t>
            </w:r>
          </w:p>
        </w:tc>
        <w:tc>
          <w:tcPr>
            <w:tcW w:w="1352" w:type="dxa"/>
            <w:vMerge w:val="continue"/>
            <w:vAlign w:val="center"/>
          </w:tcPr>
          <w:p w14:paraId="17E93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33D3E7EA">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谷律社区居家养老服务中心</w:t>
            </w:r>
          </w:p>
        </w:tc>
        <w:tc>
          <w:tcPr>
            <w:tcW w:w="1091" w:type="dxa"/>
            <w:vAlign w:val="center"/>
          </w:tcPr>
          <w:p w14:paraId="2BBEC9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45D26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5825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2221C0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6</w:t>
            </w:r>
          </w:p>
        </w:tc>
        <w:tc>
          <w:tcPr>
            <w:tcW w:w="1352" w:type="dxa"/>
            <w:vMerge w:val="continue"/>
            <w:vAlign w:val="center"/>
          </w:tcPr>
          <w:p w14:paraId="030676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6B6D6E6B">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龙潭社区居委会居家养老服务站</w:t>
            </w:r>
          </w:p>
        </w:tc>
        <w:tc>
          <w:tcPr>
            <w:tcW w:w="1091" w:type="dxa"/>
            <w:vAlign w:val="center"/>
          </w:tcPr>
          <w:p w14:paraId="47D6DF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5AF3AD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3BB6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668110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7</w:t>
            </w:r>
          </w:p>
        </w:tc>
        <w:tc>
          <w:tcPr>
            <w:tcW w:w="1352" w:type="dxa"/>
            <w:vMerge w:val="continue"/>
            <w:vAlign w:val="center"/>
          </w:tcPr>
          <w:p w14:paraId="2BDD2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318D4830">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大兴社区居家养老服务中心</w:t>
            </w:r>
          </w:p>
        </w:tc>
        <w:tc>
          <w:tcPr>
            <w:tcW w:w="1091" w:type="dxa"/>
            <w:vAlign w:val="center"/>
          </w:tcPr>
          <w:p w14:paraId="78EA76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不参评</w:t>
            </w:r>
          </w:p>
        </w:tc>
        <w:tc>
          <w:tcPr>
            <w:tcW w:w="1294" w:type="dxa"/>
            <w:vAlign w:val="center"/>
          </w:tcPr>
          <w:p w14:paraId="715D3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0</w:t>
            </w:r>
          </w:p>
        </w:tc>
      </w:tr>
      <w:tr w14:paraId="403D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30DA68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8</w:t>
            </w:r>
          </w:p>
        </w:tc>
        <w:tc>
          <w:tcPr>
            <w:tcW w:w="1352" w:type="dxa"/>
            <w:vMerge w:val="restart"/>
            <w:vAlign w:val="center"/>
          </w:tcPr>
          <w:p w14:paraId="5CDA01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海口街道</w:t>
            </w:r>
          </w:p>
        </w:tc>
        <w:tc>
          <w:tcPr>
            <w:tcW w:w="4425" w:type="dxa"/>
            <w:vAlign w:val="center"/>
          </w:tcPr>
          <w:p w14:paraId="7EF8DE68">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白鱼社区居家养老服务中心</w:t>
            </w:r>
          </w:p>
        </w:tc>
        <w:tc>
          <w:tcPr>
            <w:tcW w:w="1091" w:type="dxa"/>
            <w:vAlign w:val="center"/>
          </w:tcPr>
          <w:p w14:paraId="367CC6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457441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1B81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35651F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9</w:t>
            </w:r>
          </w:p>
        </w:tc>
        <w:tc>
          <w:tcPr>
            <w:tcW w:w="1352" w:type="dxa"/>
            <w:vMerge w:val="continue"/>
            <w:vAlign w:val="center"/>
          </w:tcPr>
          <w:p w14:paraId="229B14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66CE915C">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海门社区居家养老服务中心</w:t>
            </w:r>
          </w:p>
        </w:tc>
        <w:tc>
          <w:tcPr>
            <w:tcW w:w="1091" w:type="dxa"/>
            <w:vAlign w:val="center"/>
          </w:tcPr>
          <w:p w14:paraId="54CD43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1B4C50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1A47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78095C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10</w:t>
            </w:r>
          </w:p>
        </w:tc>
        <w:tc>
          <w:tcPr>
            <w:tcW w:w="1352" w:type="dxa"/>
            <w:vMerge w:val="continue"/>
            <w:vAlign w:val="center"/>
          </w:tcPr>
          <w:p w14:paraId="3BB2F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50047937">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里仁社区居家养老服务中心</w:t>
            </w:r>
          </w:p>
        </w:tc>
        <w:tc>
          <w:tcPr>
            <w:tcW w:w="1091" w:type="dxa"/>
            <w:vAlign w:val="center"/>
          </w:tcPr>
          <w:p w14:paraId="072F6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2EADBB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62C1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42D6BB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11</w:t>
            </w:r>
          </w:p>
        </w:tc>
        <w:tc>
          <w:tcPr>
            <w:tcW w:w="1352" w:type="dxa"/>
            <w:vMerge w:val="continue"/>
            <w:vAlign w:val="center"/>
          </w:tcPr>
          <w:p w14:paraId="47709E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5BDFAF51">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山冲社区居家养老服务中心</w:t>
            </w:r>
          </w:p>
        </w:tc>
        <w:tc>
          <w:tcPr>
            <w:tcW w:w="1091" w:type="dxa"/>
            <w:vAlign w:val="center"/>
          </w:tcPr>
          <w:p w14:paraId="5739D8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649DDB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09C2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4987F8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12</w:t>
            </w:r>
          </w:p>
        </w:tc>
        <w:tc>
          <w:tcPr>
            <w:tcW w:w="1352" w:type="dxa"/>
            <w:vMerge w:val="continue"/>
            <w:vAlign w:val="center"/>
          </w:tcPr>
          <w:p w14:paraId="0F5D11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07FE5E62">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中平社区居家养老服务中心</w:t>
            </w:r>
          </w:p>
        </w:tc>
        <w:tc>
          <w:tcPr>
            <w:tcW w:w="1091" w:type="dxa"/>
            <w:vAlign w:val="center"/>
          </w:tcPr>
          <w:p w14:paraId="235935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642D50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56B0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7FAADF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13</w:t>
            </w:r>
          </w:p>
        </w:tc>
        <w:tc>
          <w:tcPr>
            <w:tcW w:w="1352" w:type="dxa"/>
            <w:vMerge w:val="continue"/>
            <w:vAlign w:val="center"/>
          </w:tcPr>
          <w:p w14:paraId="0D4C8F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01025464">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中新社区居家养老服务中心</w:t>
            </w:r>
          </w:p>
        </w:tc>
        <w:tc>
          <w:tcPr>
            <w:tcW w:w="1091" w:type="dxa"/>
            <w:vAlign w:val="center"/>
          </w:tcPr>
          <w:p w14:paraId="0AFA6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4F09D7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64CF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39F8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14</w:t>
            </w:r>
          </w:p>
        </w:tc>
        <w:tc>
          <w:tcPr>
            <w:tcW w:w="1352" w:type="dxa"/>
            <w:vMerge w:val="restart"/>
            <w:vAlign w:val="center"/>
          </w:tcPr>
          <w:p w14:paraId="264582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金碧街道</w:t>
            </w:r>
          </w:p>
        </w:tc>
        <w:tc>
          <w:tcPr>
            <w:tcW w:w="4425" w:type="dxa"/>
            <w:vAlign w:val="center"/>
          </w:tcPr>
          <w:p w14:paraId="556F3CEB">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巡津新村社区（金碧老年公寓）居家养老服务中心</w:t>
            </w:r>
          </w:p>
        </w:tc>
        <w:tc>
          <w:tcPr>
            <w:tcW w:w="1091" w:type="dxa"/>
            <w:vAlign w:val="center"/>
          </w:tcPr>
          <w:p w14:paraId="3C605E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6B4F2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1A08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14D1DF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15</w:t>
            </w:r>
          </w:p>
        </w:tc>
        <w:tc>
          <w:tcPr>
            <w:tcW w:w="1352" w:type="dxa"/>
            <w:vMerge w:val="continue"/>
            <w:vAlign w:val="center"/>
          </w:tcPr>
          <w:p w14:paraId="49EDB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20277E9A">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西岳庙社区居家养老服务中心</w:t>
            </w:r>
          </w:p>
        </w:tc>
        <w:tc>
          <w:tcPr>
            <w:tcW w:w="1091" w:type="dxa"/>
            <w:vAlign w:val="center"/>
          </w:tcPr>
          <w:p w14:paraId="617A32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不参评</w:t>
            </w:r>
          </w:p>
        </w:tc>
        <w:tc>
          <w:tcPr>
            <w:tcW w:w="1294" w:type="dxa"/>
            <w:vAlign w:val="center"/>
          </w:tcPr>
          <w:p w14:paraId="7E41C1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0</w:t>
            </w:r>
          </w:p>
        </w:tc>
      </w:tr>
      <w:tr w14:paraId="47D2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55B54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16</w:t>
            </w:r>
          </w:p>
        </w:tc>
        <w:tc>
          <w:tcPr>
            <w:tcW w:w="1352" w:type="dxa"/>
            <w:vMerge w:val="continue"/>
            <w:vAlign w:val="center"/>
          </w:tcPr>
          <w:p w14:paraId="7AD5D4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1AF25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西坝北社区居家养老服务中心</w:t>
            </w:r>
          </w:p>
        </w:tc>
        <w:tc>
          <w:tcPr>
            <w:tcW w:w="1091" w:type="dxa"/>
            <w:vAlign w:val="center"/>
          </w:tcPr>
          <w:p w14:paraId="1BFBF4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不参评</w:t>
            </w:r>
          </w:p>
        </w:tc>
        <w:tc>
          <w:tcPr>
            <w:tcW w:w="1294" w:type="dxa"/>
            <w:vAlign w:val="center"/>
          </w:tcPr>
          <w:p w14:paraId="7243C5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0</w:t>
            </w:r>
          </w:p>
        </w:tc>
      </w:tr>
      <w:tr w14:paraId="6011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16CF8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17</w:t>
            </w:r>
          </w:p>
        </w:tc>
        <w:tc>
          <w:tcPr>
            <w:tcW w:w="1352" w:type="dxa"/>
            <w:vMerge w:val="continue"/>
            <w:vAlign w:val="center"/>
          </w:tcPr>
          <w:p w14:paraId="2BCD08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59DA0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弥勒寺社区居家养老服务中心</w:t>
            </w:r>
          </w:p>
        </w:tc>
        <w:tc>
          <w:tcPr>
            <w:tcW w:w="1091" w:type="dxa"/>
            <w:vAlign w:val="center"/>
          </w:tcPr>
          <w:p w14:paraId="718A36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不参评</w:t>
            </w:r>
          </w:p>
        </w:tc>
        <w:tc>
          <w:tcPr>
            <w:tcW w:w="1294" w:type="dxa"/>
            <w:vAlign w:val="center"/>
          </w:tcPr>
          <w:p w14:paraId="42DC0D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0</w:t>
            </w:r>
          </w:p>
        </w:tc>
      </w:tr>
      <w:tr w14:paraId="4F60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04C1E8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18</w:t>
            </w:r>
          </w:p>
        </w:tc>
        <w:tc>
          <w:tcPr>
            <w:tcW w:w="1352" w:type="dxa"/>
            <w:vMerge w:val="restart"/>
            <w:vAlign w:val="center"/>
          </w:tcPr>
          <w:p w14:paraId="71DE7B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福海街道</w:t>
            </w:r>
          </w:p>
        </w:tc>
        <w:tc>
          <w:tcPr>
            <w:tcW w:w="4425" w:type="dxa"/>
            <w:vAlign w:val="center"/>
          </w:tcPr>
          <w:p w14:paraId="078AA070">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怡景社区居家养老服务中心</w:t>
            </w:r>
          </w:p>
        </w:tc>
        <w:tc>
          <w:tcPr>
            <w:tcW w:w="1091" w:type="dxa"/>
            <w:vAlign w:val="center"/>
          </w:tcPr>
          <w:p w14:paraId="38F25F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不参评</w:t>
            </w:r>
          </w:p>
        </w:tc>
        <w:tc>
          <w:tcPr>
            <w:tcW w:w="1294" w:type="dxa"/>
            <w:vAlign w:val="center"/>
          </w:tcPr>
          <w:p w14:paraId="6899ED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0</w:t>
            </w:r>
          </w:p>
        </w:tc>
      </w:tr>
      <w:tr w14:paraId="46A9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697C26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19</w:t>
            </w:r>
          </w:p>
        </w:tc>
        <w:tc>
          <w:tcPr>
            <w:tcW w:w="1352" w:type="dxa"/>
            <w:vMerge w:val="continue"/>
            <w:vAlign w:val="center"/>
          </w:tcPr>
          <w:p w14:paraId="5A7C71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089587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福海（长青）居家养老服务中心</w:t>
            </w:r>
          </w:p>
        </w:tc>
        <w:tc>
          <w:tcPr>
            <w:tcW w:w="1091" w:type="dxa"/>
            <w:vAlign w:val="center"/>
          </w:tcPr>
          <w:p w14:paraId="054592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762DC6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744D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BA33C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20</w:t>
            </w:r>
          </w:p>
        </w:tc>
        <w:tc>
          <w:tcPr>
            <w:tcW w:w="1352" w:type="dxa"/>
            <w:vMerge w:val="continue"/>
            <w:vAlign w:val="center"/>
          </w:tcPr>
          <w:p w14:paraId="44DAC4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00AEB5ED">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周家社区居家养老日间照料中心</w:t>
            </w:r>
          </w:p>
        </w:tc>
        <w:tc>
          <w:tcPr>
            <w:tcW w:w="1091" w:type="dxa"/>
            <w:vAlign w:val="center"/>
          </w:tcPr>
          <w:p w14:paraId="637280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不参评</w:t>
            </w:r>
          </w:p>
        </w:tc>
        <w:tc>
          <w:tcPr>
            <w:tcW w:w="1294" w:type="dxa"/>
            <w:vAlign w:val="center"/>
          </w:tcPr>
          <w:p w14:paraId="60B26B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0</w:t>
            </w:r>
          </w:p>
        </w:tc>
      </w:tr>
      <w:tr w14:paraId="1A4F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3645B0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21</w:t>
            </w:r>
          </w:p>
        </w:tc>
        <w:tc>
          <w:tcPr>
            <w:tcW w:w="1352" w:type="dxa"/>
            <w:vMerge w:val="continue"/>
            <w:vAlign w:val="center"/>
          </w:tcPr>
          <w:p w14:paraId="519F85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08F00E69">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卫城社区居家养老服务中心</w:t>
            </w:r>
          </w:p>
        </w:tc>
        <w:tc>
          <w:tcPr>
            <w:tcW w:w="1091" w:type="dxa"/>
            <w:vAlign w:val="center"/>
          </w:tcPr>
          <w:p w14:paraId="3F5F1C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79F5AA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15EB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061A70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22</w:t>
            </w:r>
          </w:p>
        </w:tc>
        <w:tc>
          <w:tcPr>
            <w:tcW w:w="1352" w:type="dxa"/>
            <w:vMerge w:val="restart"/>
            <w:vAlign w:val="center"/>
          </w:tcPr>
          <w:p w14:paraId="29632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碧鸡街道</w:t>
            </w:r>
          </w:p>
        </w:tc>
        <w:tc>
          <w:tcPr>
            <w:tcW w:w="4425" w:type="dxa"/>
            <w:vAlign w:val="center"/>
          </w:tcPr>
          <w:p w14:paraId="2CAB8EA0">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富善社区居家养老服务中心</w:t>
            </w:r>
          </w:p>
        </w:tc>
        <w:tc>
          <w:tcPr>
            <w:tcW w:w="1091" w:type="dxa"/>
            <w:vAlign w:val="center"/>
          </w:tcPr>
          <w:p w14:paraId="3AAE1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7772F0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5411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4B929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23</w:t>
            </w:r>
          </w:p>
        </w:tc>
        <w:tc>
          <w:tcPr>
            <w:tcW w:w="1352" w:type="dxa"/>
            <w:vMerge w:val="continue"/>
            <w:vAlign w:val="center"/>
          </w:tcPr>
          <w:p w14:paraId="5654E6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43C2ED0D">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西华社区（云杨鹤敬老院）居家养老服务站</w:t>
            </w:r>
          </w:p>
        </w:tc>
        <w:tc>
          <w:tcPr>
            <w:tcW w:w="1091" w:type="dxa"/>
            <w:vAlign w:val="center"/>
          </w:tcPr>
          <w:p w14:paraId="4BCF9A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不参评</w:t>
            </w:r>
          </w:p>
        </w:tc>
        <w:tc>
          <w:tcPr>
            <w:tcW w:w="1294" w:type="dxa"/>
            <w:vAlign w:val="center"/>
          </w:tcPr>
          <w:p w14:paraId="070F1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0</w:t>
            </w:r>
          </w:p>
        </w:tc>
      </w:tr>
      <w:tr w14:paraId="2A17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266EB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c>
          <w:tcPr>
            <w:tcW w:w="1352" w:type="dxa"/>
            <w:vMerge w:val="continue"/>
            <w:vAlign w:val="center"/>
          </w:tcPr>
          <w:p w14:paraId="571EEB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1F77DC82">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龙门社区老年人日间照料中心</w:t>
            </w:r>
          </w:p>
        </w:tc>
        <w:tc>
          <w:tcPr>
            <w:tcW w:w="1091" w:type="dxa"/>
            <w:vAlign w:val="center"/>
          </w:tcPr>
          <w:p w14:paraId="235BE5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7CF763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1A7E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10092A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25</w:t>
            </w:r>
          </w:p>
        </w:tc>
        <w:tc>
          <w:tcPr>
            <w:tcW w:w="1352" w:type="dxa"/>
            <w:vMerge w:val="restart"/>
            <w:vAlign w:val="center"/>
          </w:tcPr>
          <w:p w14:paraId="442CA2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西苑街道</w:t>
            </w:r>
          </w:p>
        </w:tc>
        <w:tc>
          <w:tcPr>
            <w:tcW w:w="4425" w:type="dxa"/>
            <w:vAlign w:val="center"/>
          </w:tcPr>
          <w:p w14:paraId="19FC3708">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凯苑社区居家养老服务中心</w:t>
            </w:r>
          </w:p>
        </w:tc>
        <w:tc>
          <w:tcPr>
            <w:tcW w:w="1091" w:type="dxa"/>
            <w:vAlign w:val="center"/>
          </w:tcPr>
          <w:p w14:paraId="05BB97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220C9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0121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69ACB0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26</w:t>
            </w:r>
          </w:p>
        </w:tc>
        <w:tc>
          <w:tcPr>
            <w:tcW w:w="1352" w:type="dxa"/>
            <w:vMerge w:val="continue"/>
            <w:vAlign w:val="center"/>
          </w:tcPr>
          <w:p w14:paraId="491A7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25B67533">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秀苑社区居家养老服务中心</w:t>
            </w:r>
          </w:p>
        </w:tc>
        <w:tc>
          <w:tcPr>
            <w:tcW w:w="1091" w:type="dxa"/>
            <w:vAlign w:val="center"/>
          </w:tcPr>
          <w:p w14:paraId="7E6DD3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702DB5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45E1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2ECF21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27</w:t>
            </w:r>
          </w:p>
        </w:tc>
        <w:tc>
          <w:tcPr>
            <w:tcW w:w="1352" w:type="dxa"/>
            <w:vMerge w:val="continue"/>
            <w:vAlign w:val="center"/>
          </w:tcPr>
          <w:p w14:paraId="2ED5CF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71CED742">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秋苑社区居家养老服务中心</w:t>
            </w:r>
          </w:p>
        </w:tc>
        <w:tc>
          <w:tcPr>
            <w:tcW w:w="1091" w:type="dxa"/>
            <w:vAlign w:val="center"/>
          </w:tcPr>
          <w:p w14:paraId="7880D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25DC86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r>
      <w:tr w14:paraId="1C36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4164F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28</w:t>
            </w:r>
          </w:p>
        </w:tc>
        <w:tc>
          <w:tcPr>
            <w:tcW w:w="1352" w:type="dxa"/>
            <w:vMerge w:val="restart"/>
            <w:vAlign w:val="center"/>
          </w:tcPr>
          <w:p w14:paraId="422912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永昌街道</w:t>
            </w:r>
          </w:p>
        </w:tc>
        <w:tc>
          <w:tcPr>
            <w:tcW w:w="4425" w:type="dxa"/>
            <w:vAlign w:val="center"/>
          </w:tcPr>
          <w:p w14:paraId="42F9F7D1">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永兴路社区居家养老服务中心</w:t>
            </w:r>
          </w:p>
        </w:tc>
        <w:tc>
          <w:tcPr>
            <w:tcW w:w="1091" w:type="dxa"/>
            <w:vAlign w:val="center"/>
          </w:tcPr>
          <w:p w14:paraId="5A3E83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002B5C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0B9C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302CBC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29</w:t>
            </w:r>
          </w:p>
        </w:tc>
        <w:tc>
          <w:tcPr>
            <w:tcW w:w="1352" w:type="dxa"/>
            <w:vMerge w:val="continue"/>
            <w:vAlign w:val="center"/>
          </w:tcPr>
          <w:p w14:paraId="3A3F29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4A894BB9">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永宁里社区居家养老服务中心</w:t>
            </w:r>
          </w:p>
        </w:tc>
        <w:tc>
          <w:tcPr>
            <w:tcW w:w="1091" w:type="dxa"/>
            <w:vAlign w:val="center"/>
          </w:tcPr>
          <w:p w14:paraId="74E2B8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4C4D3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102F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2B1E9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30</w:t>
            </w:r>
          </w:p>
        </w:tc>
        <w:tc>
          <w:tcPr>
            <w:tcW w:w="1352" w:type="dxa"/>
            <w:vMerge w:val="continue"/>
            <w:vAlign w:val="center"/>
          </w:tcPr>
          <w:p w14:paraId="5C0C0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2730AAE6">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盛高大城社区居家养老服务中心</w:t>
            </w:r>
          </w:p>
        </w:tc>
        <w:tc>
          <w:tcPr>
            <w:tcW w:w="1091" w:type="dxa"/>
            <w:vAlign w:val="center"/>
          </w:tcPr>
          <w:p w14:paraId="311109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7E6954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1.6</w:t>
            </w:r>
          </w:p>
        </w:tc>
      </w:tr>
      <w:tr w14:paraId="28CC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02A5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31</w:t>
            </w:r>
          </w:p>
        </w:tc>
        <w:tc>
          <w:tcPr>
            <w:tcW w:w="1352" w:type="dxa"/>
            <w:vMerge w:val="restart"/>
            <w:vAlign w:val="center"/>
          </w:tcPr>
          <w:p w14:paraId="7AC9D353">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马街街道</w:t>
            </w:r>
          </w:p>
        </w:tc>
        <w:tc>
          <w:tcPr>
            <w:tcW w:w="4425" w:type="dxa"/>
            <w:vAlign w:val="center"/>
          </w:tcPr>
          <w:p w14:paraId="03F8F0AD">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昆明市西山区居家养老服务中心</w:t>
            </w:r>
          </w:p>
        </w:tc>
        <w:tc>
          <w:tcPr>
            <w:tcW w:w="1091" w:type="dxa"/>
            <w:vAlign w:val="center"/>
          </w:tcPr>
          <w:p w14:paraId="0DCF8B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不参评</w:t>
            </w:r>
          </w:p>
        </w:tc>
        <w:tc>
          <w:tcPr>
            <w:tcW w:w="1294" w:type="dxa"/>
            <w:vAlign w:val="center"/>
          </w:tcPr>
          <w:p w14:paraId="5E7D5B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0</w:t>
            </w:r>
          </w:p>
        </w:tc>
      </w:tr>
      <w:tr w14:paraId="73A0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217518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32</w:t>
            </w:r>
          </w:p>
        </w:tc>
        <w:tc>
          <w:tcPr>
            <w:tcW w:w="1352" w:type="dxa"/>
            <w:vMerge w:val="continue"/>
            <w:vAlign w:val="center"/>
          </w:tcPr>
          <w:p w14:paraId="265C2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3445DF91">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西丽园社区怡芳苑小区居家养老服务中心</w:t>
            </w:r>
          </w:p>
        </w:tc>
        <w:tc>
          <w:tcPr>
            <w:tcW w:w="1091" w:type="dxa"/>
            <w:vAlign w:val="center"/>
          </w:tcPr>
          <w:p w14:paraId="74320C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3D5328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2ECF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63DA99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33</w:t>
            </w:r>
          </w:p>
        </w:tc>
        <w:tc>
          <w:tcPr>
            <w:tcW w:w="1352" w:type="dxa"/>
            <w:vMerge w:val="restart"/>
            <w:vAlign w:val="center"/>
          </w:tcPr>
          <w:p w14:paraId="65A50612">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前卫街道</w:t>
            </w:r>
          </w:p>
        </w:tc>
        <w:tc>
          <w:tcPr>
            <w:tcW w:w="4425" w:type="dxa"/>
            <w:vAlign w:val="center"/>
          </w:tcPr>
          <w:p w14:paraId="06C65D3C">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金家社区老年人日间照料中心</w:t>
            </w:r>
          </w:p>
        </w:tc>
        <w:tc>
          <w:tcPr>
            <w:tcW w:w="1091" w:type="dxa"/>
            <w:vAlign w:val="center"/>
          </w:tcPr>
          <w:p w14:paraId="1F9B04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不参评</w:t>
            </w:r>
          </w:p>
        </w:tc>
        <w:tc>
          <w:tcPr>
            <w:tcW w:w="1294" w:type="dxa"/>
            <w:vAlign w:val="center"/>
          </w:tcPr>
          <w:p w14:paraId="53F192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0</w:t>
            </w:r>
          </w:p>
        </w:tc>
      </w:tr>
      <w:tr w14:paraId="01C0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6CED1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34</w:t>
            </w:r>
          </w:p>
        </w:tc>
        <w:tc>
          <w:tcPr>
            <w:tcW w:w="1352" w:type="dxa"/>
            <w:vMerge w:val="continue"/>
            <w:vAlign w:val="center"/>
          </w:tcPr>
          <w:p w14:paraId="4A6DCA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p>
        </w:tc>
        <w:tc>
          <w:tcPr>
            <w:tcW w:w="4425" w:type="dxa"/>
            <w:vAlign w:val="center"/>
          </w:tcPr>
          <w:p w14:paraId="50155725">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前卫街道广福小区社区居家养老服务中心</w:t>
            </w:r>
          </w:p>
        </w:tc>
        <w:tc>
          <w:tcPr>
            <w:tcW w:w="1091" w:type="dxa"/>
            <w:vAlign w:val="center"/>
          </w:tcPr>
          <w:p w14:paraId="6D2BC9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23C762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329B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0154F4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35</w:t>
            </w:r>
          </w:p>
        </w:tc>
        <w:tc>
          <w:tcPr>
            <w:tcW w:w="1352" w:type="dxa"/>
            <w:vAlign w:val="center"/>
          </w:tcPr>
          <w:p w14:paraId="2A76D6FE">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棕树营街道</w:t>
            </w:r>
          </w:p>
        </w:tc>
        <w:tc>
          <w:tcPr>
            <w:tcW w:w="4425" w:type="dxa"/>
            <w:vAlign w:val="center"/>
          </w:tcPr>
          <w:p w14:paraId="3EE38DC6">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白马西区社区居家养老服务中心</w:t>
            </w:r>
          </w:p>
        </w:tc>
        <w:tc>
          <w:tcPr>
            <w:tcW w:w="1091" w:type="dxa"/>
            <w:vAlign w:val="center"/>
          </w:tcPr>
          <w:p w14:paraId="786099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21FD6F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r w14:paraId="3100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1C9F49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36</w:t>
            </w:r>
          </w:p>
        </w:tc>
        <w:tc>
          <w:tcPr>
            <w:tcW w:w="1352" w:type="dxa"/>
            <w:vAlign w:val="center"/>
          </w:tcPr>
          <w:p w14:paraId="078AA1AF">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西山风景区管理局</w:t>
            </w:r>
          </w:p>
        </w:tc>
        <w:tc>
          <w:tcPr>
            <w:tcW w:w="4425" w:type="dxa"/>
            <w:vAlign w:val="center"/>
          </w:tcPr>
          <w:p w14:paraId="63FB81CE">
            <w:pPr>
              <w:keepNext w:val="0"/>
              <w:keepLines w:val="0"/>
              <w:widowControl/>
              <w:suppressLineNumbers w:val="0"/>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color w:val="000000"/>
                <w:kern w:val="0"/>
                <w:sz w:val="21"/>
                <w:szCs w:val="21"/>
                <w:highlight w:val="none"/>
                <w:lang w:val="en-US" w:eastAsia="zh-CN" w:bidi="ar"/>
              </w:rPr>
              <w:t>猫猫箐社区居家养老服务中心</w:t>
            </w:r>
          </w:p>
        </w:tc>
        <w:tc>
          <w:tcPr>
            <w:tcW w:w="1091" w:type="dxa"/>
            <w:vAlign w:val="center"/>
          </w:tcPr>
          <w:p w14:paraId="12276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合格</w:t>
            </w:r>
          </w:p>
        </w:tc>
        <w:tc>
          <w:tcPr>
            <w:tcW w:w="1294" w:type="dxa"/>
            <w:vAlign w:val="center"/>
          </w:tcPr>
          <w:p w14:paraId="678851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2.4</w:t>
            </w:r>
          </w:p>
        </w:tc>
      </w:tr>
    </w:tbl>
    <w:p w14:paraId="6C2DE32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cs="Times New Roman"/>
          <w:b w:val="0"/>
          <w:bCs w:val="0"/>
          <w:szCs w:val="30"/>
          <w:highlight w:val="none"/>
          <w:lang w:val="en-US" w:eastAsia="zh-CN"/>
        </w:rPr>
      </w:pPr>
      <w:r>
        <w:rPr>
          <w:rFonts w:hint="default" w:ascii="Times New Roman" w:hAnsi="Times New Roman" w:cs="Times New Roman"/>
          <w:szCs w:val="30"/>
          <w:highlight w:val="none"/>
          <w:lang w:val="en-US" w:eastAsia="zh-CN"/>
        </w:rPr>
        <w:t>根据表格，符合标准的居家养老服务中心均按照《昆明市民政局关于申报民办养老服务机构及居家养老服务中心补助的通知》（昆民通〔2020〕41号）中，</w:t>
      </w:r>
      <w:r>
        <w:rPr>
          <w:rFonts w:hint="default" w:ascii="Times New Roman" w:hAnsi="Times New Roman" w:cs="Times New Roman"/>
          <w:b w:val="0"/>
          <w:bCs w:val="0"/>
          <w:szCs w:val="30"/>
          <w:highlight w:val="none"/>
          <w:lang w:val="en-US" w:eastAsia="zh-CN"/>
        </w:rPr>
        <w:t>不低于2.4万元的运营经费进行补助，而盛高大城社区居家养老服务中心和秋苑社区居家养老服务中心未达到补贴标准是因为运营周期未达一年，按照实际运营月份进行补贴。</w:t>
      </w:r>
    </w:p>
    <w:p w14:paraId="6B4983E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cs="Times New Roman"/>
          <w:b w:val="0"/>
          <w:bCs w:val="0"/>
          <w:szCs w:val="30"/>
          <w:highlight w:val="none"/>
          <w:lang w:val="en-US" w:eastAsia="zh-CN"/>
        </w:rPr>
      </w:pPr>
      <w:r>
        <w:rPr>
          <w:rFonts w:hint="default" w:ascii="Times New Roman" w:hAnsi="Times New Roman" w:cs="Times New Roman"/>
          <w:b w:val="0"/>
          <w:bCs w:val="0"/>
          <w:szCs w:val="30"/>
          <w:highlight w:val="none"/>
          <w:lang w:val="en-US" w:eastAsia="zh-CN"/>
        </w:rPr>
        <w:t>此外，实际补助单位为24家（补助总金额55.4万元），与评估单位提供的26家</w:t>
      </w:r>
      <w:r>
        <w:rPr>
          <w:rFonts w:hint="eastAsia" w:ascii="Times New Roman" w:cs="Times New Roman"/>
          <w:b w:val="0"/>
          <w:bCs w:val="0"/>
          <w:szCs w:val="30"/>
          <w:highlight w:val="none"/>
          <w:lang w:val="en-US" w:eastAsia="zh-CN"/>
        </w:rPr>
        <w:t>相比</w:t>
      </w:r>
      <w:r>
        <w:rPr>
          <w:rFonts w:hint="default" w:ascii="Times New Roman" w:hAnsi="Times New Roman" w:cs="Times New Roman"/>
          <w:b w:val="0"/>
          <w:bCs w:val="0"/>
          <w:szCs w:val="30"/>
          <w:highlight w:val="none"/>
          <w:lang w:val="en-US" w:eastAsia="zh-CN"/>
        </w:rPr>
        <w:t>缺少两家，经核实，缺少的两家分别为猫猫箐社区马鞍山小组居家养老服务中心以及白鱼社区居家养老服务中心，具体未补助原因如下：</w:t>
      </w:r>
    </w:p>
    <w:p w14:paraId="77A78C73">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cs="Times New Roman"/>
          <w:b w:val="0"/>
          <w:bCs w:val="0"/>
          <w:szCs w:val="30"/>
          <w:highlight w:val="none"/>
          <w:lang w:val="en-US" w:eastAsia="zh-CN"/>
        </w:rPr>
      </w:pPr>
      <w:r>
        <w:rPr>
          <w:rFonts w:hint="default" w:ascii="Times New Roman" w:hAnsi="Times New Roman" w:cs="Times New Roman"/>
          <w:b w:val="0"/>
          <w:bCs w:val="0"/>
          <w:szCs w:val="30"/>
          <w:highlight w:val="none"/>
          <w:lang w:val="en-US" w:eastAsia="zh-CN"/>
        </w:rPr>
        <w:t>猫猫箐社区马鞍山小组居家养老服务中心：一是由于新冠疫情长时间持续的影响；二是由于居家养老服务中心的运营成本较高，缺乏足够的资金支持；三是社区居家养老服务中心服务设施和服务水平已无法达到相关规定的标准要求。导致猫猫箐社区马鞍山小组居家养老服务中心已经暂停运营，故未领取2022年运营补贴2.4万元。</w:t>
      </w:r>
    </w:p>
    <w:p w14:paraId="290F320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eastAsia="楷体" w:cs="Times New Roman"/>
          <w:b w:val="0"/>
          <w:bCs w:val="0"/>
          <w:szCs w:val="30"/>
          <w:highlight w:val="none"/>
        </w:rPr>
      </w:pPr>
      <w:r>
        <w:rPr>
          <w:rFonts w:hint="default" w:ascii="Times New Roman" w:hAnsi="Times New Roman" w:cs="Times New Roman"/>
          <w:b w:val="0"/>
          <w:bCs w:val="0"/>
          <w:szCs w:val="30"/>
          <w:highlight w:val="none"/>
          <w:lang w:val="en-US" w:eastAsia="zh-CN"/>
        </w:rPr>
        <w:t>白鱼社区居家养老服务中心：由于海口街道白鱼社区居家养老服务中心于2023年5月份才正式投入运营，2022年未运营，不符合领取2022年运营补助条件，第三方上门评估的时候已经向第三方老师讲明情况。故未领取 2022年居家养老运营补助2.4万元。</w:t>
      </w:r>
    </w:p>
    <w:p w14:paraId="2F5B6F1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 w:cs="Times New Roman"/>
          <w:szCs w:val="30"/>
          <w:highlight w:val="none"/>
        </w:rPr>
      </w:pPr>
      <w:bookmarkStart w:id="29" w:name="_Toc289"/>
      <w:r>
        <w:rPr>
          <w:rFonts w:hint="default" w:ascii="Times New Roman" w:hAnsi="Times New Roman" w:eastAsia="楷体" w:cs="Times New Roman"/>
          <w:szCs w:val="30"/>
          <w:highlight w:val="none"/>
        </w:rPr>
        <w:t>（四）项目绩效目标设立情况</w:t>
      </w:r>
      <w:bookmarkEnd w:id="29"/>
    </w:p>
    <w:p w14:paraId="3AE7C0F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1.预算批复（申报）绩效目标和绩效指标情况</w:t>
      </w:r>
    </w:p>
    <w:p w14:paraId="733482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200"/>
        <w:jc w:val="both"/>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根据区民政局提供的项目绩效目标表，经项目组梳理，本项目的绩效目标如下：</w:t>
      </w:r>
    </w:p>
    <w:p w14:paraId="2644B619">
      <w:pPr>
        <w:keepNext w:val="0"/>
        <w:keepLines w:val="0"/>
        <w:pageBreakBefore w:val="0"/>
        <w:widowControl w:val="0"/>
        <w:kinsoku/>
        <w:wordWrap/>
        <w:overflowPunct/>
        <w:topLinePunct w:val="0"/>
        <w:autoSpaceDE/>
        <w:autoSpaceDN/>
        <w:bidi w:val="0"/>
        <w:adjustRightInd/>
        <w:snapToGrid/>
        <w:spacing w:line="579" w:lineRule="exact"/>
        <w:ind w:firstLine="510" w:firstLineChars="200"/>
        <w:jc w:val="center"/>
        <w:textAlignment w:val="auto"/>
        <w:rPr>
          <w:rFonts w:hint="default"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表3 绩效目标申报表</w:t>
      </w:r>
    </w:p>
    <w:tbl>
      <w:tblPr>
        <w:tblStyle w:val="20"/>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2"/>
        <w:gridCol w:w="1472"/>
        <w:gridCol w:w="4253"/>
        <w:gridCol w:w="1674"/>
      </w:tblGrid>
      <w:tr w14:paraId="0385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F96ADD">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一级指标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222163C5">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二级指标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19CD15A3">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三级指标</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60F901B8">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指标值</w:t>
            </w:r>
          </w:p>
        </w:tc>
      </w:tr>
      <w:tr w14:paraId="5480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9A6819">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产出指标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665D4F99">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数量指标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715E1302">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居家养老服务中心运营补助个数</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780E8AF1">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24个</w:t>
            </w:r>
          </w:p>
        </w:tc>
      </w:tr>
      <w:tr w14:paraId="6AF8A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E5407">
            <w:pPr>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0A11A500">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质量指标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753360B4">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2023年发放城乡居家养老服务中心运营补助资金完成率</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0C7A676B">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100%</w:t>
            </w:r>
          </w:p>
        </w:tc>
      </w:tr>
      <w:tr w14:paraId="7F44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A44DF">
            <w:pPr>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75A8841E">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时效指标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1067C70C">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完成率</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4BE0BB1D">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100%</w:t>
            </w:r>
          </w:p>
        </w:tc>
      </w:tr>
      <w:tr w14:paraId="3B3C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F9861">
            <w:pPr>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6D16591A">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成本指标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31FE3FB0">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社区居家养老服务中心运营补贴总金额</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77121778">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29.41万元</w:t>
            </w:r>
          </w:p>
        </w:tc>
      </w:tr>
      <w:tr w14:paraId="2B514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3D6750">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效益指标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28453E7B">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社会效益</w:t>
            </w:r>
          </w:p>
          <w:p w14:paraId="0720460A">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指标</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44FE27CA">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highlight w:val="none"/>
                <w:u w:val="none"/>
                <w:lang w:val="en-US" w:eastAsia="zh-CN" w:bidi="ar"/>
              </w:rPr>
              <w:t>城乡居家养老服务中心运营管理得到提升</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269ED8B3">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kern w:val="0"/>
                <w:sz w:val="21"/>
                <w:szCs w:val="21"/>
                <w:highlight w:val="none"/>
                <w:u w:val="none"/>
                <w:lang w:val="en-US" w:eastAsia="zh-CN" w:bidi="ar"/>
              </w:rPr>
            </w:pPr>
            <w:r>
              <w:rPr>
                <w:rFonts w:hint="default" w:ascii="Times New Roman" w:hAnsi="Times New Roman" w:eastAsia="仿宋" w:cs="Times New Roman"/>
                <w:b/>
                <w:bCs/>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100%</w:t>
            </w:r>
          </w:p>
        </w:tc>
      </w:tr>
      <w:tr w14:paraId="3B0E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0DAF35">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满意度指标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464FAA37">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服务对象满意度指标等</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22EE7BA2">
            <w:pPr>
              <w:keepNext w:val="0"/>
              <w:keepLines w:val="0"/>
              <w:widowControl/>
              <w:suppressLineNumbers w:val="0"/>
              <w:spacing w:line="240" w:lineRule="auto"/>
              <w:jc w:val="left"/>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i w:val="0"/>
                <w:iCs w:val="0"/>
                <w:color w:val="000000"/>
                <w:kern w:val="0"/>
                <w:sz w:val="21"/>
                <w:szCs w:val="21"/>
                <w:highlight w:val="none"/>
                <w:u w:val="none"/>
                <w:lang w:val="en-US" w:eastAsia="zh-CN" w:bidi="ar"/>
              </w:rPr>
              <w:t>服务对象满意率</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14:paraId="70471C51">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100%</w:t>
            </w:r>
          </w:p>
        </w:tc>
      </w:tr>
    </w:tbl>
    <w:p w14:paraId="73C26E5F">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2.绩效评价调整后的绩效目标和绩效指标情况</w:t>
      </w:r>
    </w:p>
    <w:p w14:paraId="2B24CB10">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outlineLvl w:val="9"/>
        <w:rPr>
          <w:rFonts w:hint="default" w:ascii="Times New Roman" w:hAnsi="Times New Roman" w:eastAsia="仿宋" w:cs="Times New Roman"/>
          <w:kern w:val="30"/>
          <w:sz w:val="30"/>
          <w:szCs w:val="30"/>
          <w:highlight w:val="none"/>
          <w:lang w:val="en-US" w:eastAsia="zh-CN" w:bidi="ar-SA"/>
        </w:rPr>
      </w:pPr>
      <w:bookmarkStart w:id="30" w:name="_Toc13974"/>
      <w:bookmarkStart w:id="31" w:name="_Toc76"/>
      <w:r>
        <w:rPr>
          <w:rFonts w:hint="default" w:ascii="Times New Roman" w:hAnsi="Times New Roman" w:eastAsia="仿宋" w:cs="Times New Roman"/>
          <w:kern w:val="30"/>
          <w:sz w:val="30"/>
          <w:szCs w:val="30"/>
          <w:highlight w:val="none"/>
          <w:lang w:val="en-US" w:eastAsia="zh-CN" w:bidi="ar-SA"/>
        </w:rPr>
        <w:t>通过对本项目的预算申报材料、绩效自评报告及部门职能职责进行分析，在与被评价单位充分沟通的基础上，确定本项目绩效目标，绩效评价调整后的绩效目标和绩效指标见附件</w:t>
      </w:r>
      <w:r>
        <w:rPr>
          <w:rFonts w:hint="eastAsia" w:ascii="Times New Roman" w:cs="Times New Roman"/>
          <w:kern w:val="30"/>
          <w:sz w:val="30"/>
          <w:szCs w:val="30"/>
          <w:highlight w:val="none"/>
          <w:lang w:val="en-US" w:eastAsia="zh-CN" w:bidi="ar-SA"/>
        </w:rPr>
        <w:t>1</w:t>
      </w:r>
      <w:r>
        <w:rPr>
          <w:rFonts w:hint="default" w:ascii="Times New Roman" w:hAnsi="Times New Roman" w:eastAsia="仿宋" w:cs="Times New Roman"/>
          <w:kern w:val="30"/>
          <w:sz w:val="30"/>
          <w:szCs w:val="30"/>
          <w:highlight w:val="none"/>
          <w:lang w:val="en-US" w:eastAsia="zh-CN" w:bidi="ar-SA"/>
        </w:rPr>
        <w:t>。</w:t>
      </w:r>
      <w:bookmarkEnd w:id="30"/>
      <w:bookmarkEnd w:id="31"/>
    </w:p>
    <w:p w14:paraId="7A9A3EF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_GB2312" w:cs="Times New Roman"/>
          <w:szCs w:val="30"/>
          <w:highlight w:val="none"/>
        </w:rPr>
      </w:pPr>
      <w:bookmarkStart w:id="32" w:name="_Toc25393"/>
      <w:r>
        <w:rPr>
          <w:rFonts w:hint="default" w:ascii="Times New Roman" w:hAnsi="Times New Roman" w:eastAsia="楷体" w:cs="Times New Roman"/>
          <w:szCs w:val="30"/>
          <w:highlight w:val="none"/>
        </w:rPr>
        <w:fldChar w:fldCharType="begin"/>
      </w:r>
      <w:r>
        <w:rPr>
          <w:rFonts w:hint="default" w:ascii="Times New Roman" w:hAnsi="Times New Roman" w:eastAsia="楷体" w:cs="Times New Roman"/>
          <w:szCs w:val="30"/>
          <w:highlight w:val="none"/>
        </w:rPr>
        <w:instrText xml:space="preserve"> HYPERLINK \l "_Toc434746189" </w:instrText>
      </w:r>
      <w:r>
        <w:rPr>
          <w:rFonts w:hint="default" w:ascii="Times New Roman" w:hAnsi="Times New Roman" w:eastAsia="楷体" w:cs="Times New Roman"/>
          <w:szCs w:val="30"/>
          <w:highlight w:val="none"/>
        </w:rPr>
        <w:fldChar w:fldCharType="separate"/>
      </w:r>
      <w:r>
        <w:rPr>
          <w:rFonts w:hint="default" w:ascii="Times New Roman" w:hAnsi="Times New Roman" w:eastAsia="楷体" w:cs="Times New Roman"/>
          <w:szCs w:val="30"/>
          <w:highlight w:val="none"/>
        </w:rPr>
        <w:t>（五）</w:t>
      </w:r>
      <w:r>
        <w:rPr>
          <w:rFonts w:hint="default" w:ascii="Times New Roman" w:hAnsi="Times New Roman" w:eastAsia="楷体" w:cs="Times New Roman"/>
          <w:szCs w:val="30"/>
          <w:highlight w:val="none"/>
        </w:rPr>
        <w:fldChar w:fldCharType="end"/>
      </w:r>
      <w:r>
        <w:rPr>
          <w:rFonts w:hint="default" w:ascii="Times New Roman" w:hAnsi="Times New Roman" w:eastAsia="楷体" w:cs="Times New Roman"/>
          <w:szCs w:val="30"/>
          <w:highlight w:val="none"/>
        </w:rPr>
        <w:t>组织管理情况</w:t>
      </w:r>
      <w:bookmarkEnd w:id="32"/>
    </w:p>
    <w:p w14:paraId="3D45909D">
      <w:pPr>
        <w:keepNext w:val="0"/>
        <w:keepLines w:val="0"/>
        <w:pageBreakBefore w:val="0"/>
        <w:numPr>
          <w:ilvl w:val="0"/>
          <w:numId w:val="1"/>
        </w:numP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highlight w:val="none"/>
          <w:lang w:val="en-US" w:eastAsia="zh-CN"/>
        </w:rPr>
      </w:pPr>
      <w:bookmarkStart w:id="33" w:name="_Toc31860"/>
      <w:bookmarkStart w:id="34" w:name="_Toc31380"/>
      <w:bookmarkStart w:id="35" w:name="_Toc11168"/>
      <w:bookmarkStart w:id="36" w:name="_Toc31869"/>
      <w:bookmarkStart w:id="37" w:name="_Toc15491"/>
      <w:r>
        <w:rPr>
          <w:rFonts w:hint="default" w:ascii="Times New Roman" w:hAnsi="Times New Roman" w:cs="Times New Roman"/>
          <w:szCs w:val="30"/>
          <w:highlight w:val="none"/>
          <w:lang w:val="en-US" w:eastAsia="zh-CN"/>
        </w:rPr>
        <w:t>财务管理</w:t>
      </w:r>
    </w:p>
    <w:p w14:paraId="1E6D56BB">
      <w:pPr>
        <w:keepNext w:val="0"/>
        <w:keepLines w:val="0"/>
        <w:pageBreakBefore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为规范区民政局的行政财务行为，区民政局制定了《昆明市西山区民政局财务管理制度》，具体如下：</w:t>
      </w:r>
    </w:p>
    <w:p w14:paraId="2C559443">
      <w:pPr>
        <w:keepNext w:val="0"/>
        <w:keepLines w:val="0"/>
        <w:pageBreakBefore w:val="0"/>
        <w:numPr>
          <w:ilvl w:val="0"/>
          <w:numId w:val="2"/>
        </w:numP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b w:val="0"/>
          <w:bCs w:val="0"/>
          <w:szCs w:val="30"/>
          <w:highlight w:val="none"/>
          <w:lang w:val="en-US" w:eastAsia="zh-CN"/>
        </w:rPr>
      </w:pPr>
      <w:r>
        <w:rPr>
          <w:rFonts w:hint="default" w:ascii="Times New Roman" w:hAnsi="Times New Roman" w:cs="Times New Roman"/>
          <w:b w:val="0"/>
          <w:bCs w:val="0"/>
          <w:szCs w:val="30"/>
          <w:highlight w:val="none"/>
          <w:lang w:val="en-US" w:eastAsia="zh-CN"/>
        </w:rPr>
        <w:t>支出管理</w:t>
      </w:r>
    </w:p>
    <w:p w14:paraId="51F49F27">
      <w:pPr>
        <w:keepNext w:val="0"/>
        <w:keepLines w:val="0"/>
        <w:pageBreakBefore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b w:val="0"/>
          <w:bCs w:val="0"/>
          <w:szCs w:val="30"/>
          <w:highlight w:val="none"/>
          <w:lang w:val="en-US" w:eastAsia="zh-CN"/>
        </w:rPr>
      </w:pPr>
      <w:r>
        <w:rPr>
          <w:rFonts w:hint="default" w:ascii="Times New Roman" w:hAnsi="Times New Roman" w:cs="Times New Roman"/>
          <w:b w:val="0"/>
          <w:bCs w:val="0"/>
          <w:szCs w:val="30"/>
          <w:highlight w:val="none"/>
          <w:lang w:val="en-US" w:eastAsia="zh-CN"/>
        </w:rPr>
        <w:t>对日常开支必须坚持经手人，证明人签字，财务部门审核，报分管领导复核，最后上报局长审批，即五支笔原则，方可报销。对于大额资金的支出，必须附带批复等文件提交局办公会议研究决定。</w:t>
      </w:r>
    </w:p>
    <w:p w14:paraId="32F86563">
      <w:pPr>
        <w:keepNext w:val="0"/>
        <w:keepLines w:val="0"/>
        <w:pageBreakBefore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b w:val="0"/>
          <w:bCs w:val="0"/>
          <w:szCs w:val="30"/>
          <w:highlight w:val="none"/>
          <w:lang w:val="en-US" w:eastAsia="zh-CN"/>
        </w:rPr>
      </w:pPr>
      <w:r>
        <w:rPr>
          <w:rFonts w:hint="default" w:ascii="Times New Roman" w:hAnsi="Times New Roman" w:cs="Times New Roman"/>
          <w:b w:val="0"/>
          <w:bCs w:val="0"/>
          <w:szCs w:val="30"/>
          <w:highlight w:val="none"/>
          <w:lang w:val="en-US" w:eastAsia="zh-CN"/>
        </w:rPr>
        <w:t>在年度预算计划内发生的经费开支，其金额在10000 元以下的，由局长审批；10000元以上的开支由局办公会议集体讨论决定，局长审批。</w:t>
      </w:r>
    </w:p>
    <w:p w14:paraId="30C304A8">
      <w:pPr>
        <w:keepNext w:val="0"/>
        <w:keepLines w:val="0"/>
        <w:pageBreakBefore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b w:val="0"/>
          <w:bCs w:val="0"/>
          <w:kern w:val="30"/>
          <w:sz w:val="30"/>
          <w:szCs w:val="30"/>
          <w:highlight w:val="none"/>
          <w:lang w:val="en-US" w:eastAsia="zh-CN" w:bidi="ar-SA"/>
        </w:rPr>
      </w:pPr>
      <w:r>
        <w:rPr>
          <w:rFonts w:hint="default" w:ascii="Times New Roman" w:hAnsi="Times New Roman" w:cs="Times New Roman"/>
          <w:b w:val="0"/>
          <w:bCs w:val="0"/>
          <w:szCs w:val="30"/>
          <w:highlight w:val="none"/>
          <w:lang w:val="en-US" w:eastAsia="zh-CN"/>
        </w:rPr>
        <w:t>经核实，11月24日，西山区民政局社会福利与养老服务科提交了《关于下拨西山区2022年度社区居家养老服务中心运营补贴的请示》，经局办公会议（党组会）研究，同意下拨区2022年度社区居家养老服务中心运营补贴。</w:t>
      </w:r>
    </w:p>
    <w:p w14:paraId="7A0B5D3E">
      <w:pPr>
        <w:pStyle w:val="30"/>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38" w:name="_Toc22490"/>
      <w:r>
        <w:rPr>
          <w:rFonts w:hint="default" w:ascii="Times New Roman" w:hAnsi="Times New Roman" w:cs="Times New Roman"/>
          <w:highlight w:val="none"/>
          <w:lang w:val="en-US" w:eastAsia="zh-CN"/>
        </w:rPr>
        <w:t>二、</w:t>
      </w:r>
      <w:bookmarkEnd w:id="33"/>
      <w:r>
        <w:rPr>
          <w:rFonts w:hint="default" w:ascii="Times New Roman" w:hAnsi="Times New Roman" w:cs="Times New Roman"/>
          <w:highlight w:val="none"/>
          <w:lang w:val="en-US" w:eastAsia="zh-CN"/>
        </w:rPr>
        <w:t>绩效评价工作开展情况</w:t>
      </w:r>
      <w:bookmarkEnd w:id="34"/>
      <w:bookmarkEnd w:id="35"/>
      <w:bookmarkEnd w:id="38"/>
    </w:p>
    <w:p w14:paraId="069ED48F">
      <w:pPr>
        <w:pStyle w:val="31"/>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39" w:name="_Toc13545"/>
      <w:bookmarkStart w:id="40" w:name="_Toc32250"/>
      <w:bookmarkStart w:id="41" w:name="_Toc15107"/>
      <w:r>
        <w:rPr>
          <w:rFonts w:hint="default" w:ascii="Times New Roman" w:hAnsi="Times New Roman" w:cs="Times New Roman"/>
          <w:highlight w:val="none"/>
          <w:lang w:val="en-US" w:eastAsia="zh-CN"/>
        </w:rPr>
        <w:t>（一）绩效评价目的、对象和范围</w:t>
      </w:r>
      <w:bookmarkEnd w:id="39"/>
      <w:bookmarkEnd w:id="40"/>
      <w:bookmarkEnd w:id="41"/>
    </w:p>
    <w:p w14:paraId="539567A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bookmarkStart w:id="42" w:name="_Toc23687"/>
      <w:r>
        <w:rPr>
          <w:rFonts w:hint="default" w:ascii="Times New Roman" w:hAnsi="Times New Roman" w:eastAsia="仿宋" w:cs="Times New Roman"/>
          <w:highlight w:val="none"/>
          <w:lang w:val="en-US" w:eastAsia="zh-CN"/>
        </w:rPr>
        <w:t>1.评价目的</w:t>
      </w:r>
    </w:p>
    <w:p w14:paraId="45F61434">
      <w:pPr>
        <w:keepNext w:val="0"/>
        <w:keepLines w:val="0"/>
        <w:pageBreakBefore w:val="0"/>
        <w:kinsoku/>
        <w:wordWrap/>
        <w:overflowPunct/>
        <w:topLinePunct w:val="0"/>
        <w:autoSpaceDE/>
        <w:autoSpaceDN/>
        <w:bidi w:val="0"/>
        <w:adjustRightInd/>
        <w:spacing w:line="579" w:lineRule="exact"/>
        <w:ind w:firstLine="64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通过分析项目立项情况、资金使用情况、项目实施情况、项目绩效表现情况，了解资金使用是否达到预期目标、资金管理是否规范、资金使用是否有效，检验资金支出效率和效果，分析存在问题及原因，及时总结经验，改进管理措施，不断增强和落实绩效管理责任，完善工作机制，有效提高资金管理水平和使用效益。</w:t>
      </w:r>
    </w:p>
    <w:p w14:paraId="473CAB3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2.评价对象及范围</w:t>
      </w:r>
    </w:p>
    <w:p w14:paraId="3A62D208">
      <w:pPr>
        <w:keepNext w:val="0"/>
        <w:keepLines w:val="0"/>
        <w:pageBreakBefore w:val="0"/>
        <w:kinsoku/>
        <w:wordWrap/>
        <w:overflowPunct/>
        <w:topLinePunct w:val="0"/>
        <w:autoSpaceDE/>
        <w:autoSpaceDN/>
        <w:bidi w:val="0"/>
        <w:adjustRightInd/>
        <w:spacing w:line="579" w:lineRule="exact"/>
        <w:ind w:firstLine="640"/>
        <w:textAlignment w:val="auto"/>
        <w:outlineLvl w:val="9"/>
        <w:rPr>
          <w:rFonts w:hint="default" w:ascii="Times New Roman" w:hAnsi="Times New Roman" w:eastAsia="仿宋" w:cs="Times New Roman"/>
          <w:kern w:val="30"/>
          <w:sz w:val="30"/>
          <w:szCs w:val="30"/>
          <w:highlight w:val="none"/>
          <w:lang w:val="en-US" w:eastAsia="zh-CN" w:bidi="ar-SA"/>
        </w:rPr>
      </w:pPr>
      <w:bookmarkStart w:id="43" w:name="_Toc28767"/>
      <w:bookmarkStart w:id="44" w:name="_Toc11265"/>
      <w:r>
        <w:rPr>
          <w:rFonts w:hint="default" w:ascii="Times New Roman" w:hAnsi="Times New Roman" w:eastAsia="仿宋" w:cs="Times New Roman"/>
          <w:kern w:val="30"/>
          <w:sz w:val="30"/>
          <w:szCs w:val="30"/>
          <w:highlight w:val="none"/>
          <w:lang w:val="en-US" w:eastAsia="zh-CN" w:bidi="ar-SA"/>
        </w:rPr>
        <w:t>本次评价对象为社区居家养老服务中心运营补助项目，评价资金量24.6</w:t>
      </w:r>
      <w:r>
        <w:rPr>
          <w:rFonts w:hint="eastAsia" w:ascii="Times New Roman" w:cs="Times New Roman"/>
          <w:kern w:val="30"/>
          <w:sz w:val="30"/>
          <w:szCs w:val="30"/>
          <w:highlight w:val="none"/>
          <w:lang w:val="en-US" w:eastAsia="zh-CN" w:bidi="ar-SA"/>
        </w:rPr>
        <w:t>1</w:t>
      </w:r>
      <w:r>
        <w:rPr>
          <w:rFonts w:hint="default" w:ascii="Times New Roman" w:hAnsi="Times New Roman" w:eastAsia="仿宋" w:cs="Times New Roman"/>
          <w:kern w:val="30"/>
          <w:sz w:val="30"/>
          <w:szCs w:val="30"/>
          <w:highlight w:val="none"/>
          <w:lang w:val="en-US" w:eastAsia="zh-CN" w:bidi="ar-SA"/>
        </w:rPr>
        <w:t>万元。评价的时间范围为202</w:t>
      </w:r>
      <w:r>
        <w:rPr>
          <w:rFonts w:hint="default" w:ascii="Times New Roman" w:hAnsi="Times New Roman" w:cs="Times New Roman"/>
          <w:kern w:val="30"/>
          <w:sz w:val="30"/>
          <w:szCs w:val="30"/>
          <w:highlight w:val="none"/>
          <w:lang w:val="en-US" w:eastAsia="zh-CN" w:bidi="ar-SA"/>
        </w:rPr>
        <w:t>3</w:t>
      </w:r>
      <w:r>
        <w:rPr>
          <w:rFonts w:hint="default" w:ascii="Times New Roman" w:hAnsi="Times New Roman" w:eastAsia="仿宋" w:cs="Times New Roman"/>
          <w:kern w:val="30"/>
          <w:sz w:val="30"/>
          <w:szCs w:val="30"/>
          <w:highlight w:val="none"/>
          <w:lang w:val="en-US" w:eastAsia="zh-CN" w:bidi="ar-SA"/>
        </w:rPr>
        <w:t>年1月1日—202</w:t>
      </w:r>
      <w:r>
        <w:rPr>
          <w:rFonts w:hint="default" w:ascii="Times New Roman" w:hAnsi="Times New Roman" w:cs="Times New Roman"/>
          <w:kern w:val="30"/>
          <w:sz w:val="30"/>
          <w:szCs w:val="30"/>
          <w:highlight w:val="none"/>
          <w:lang w:val="en-US" w:eastAsia="zh-CN" w:bidi="ar-SA"/>
        </w:rPr>
        <w:t>3</w:t>
      </w:r>
      <w:r>
        <w:rPr>
          <w:rFonts w:hint="default" w:ascii="Times New Roman" w:hAnsi="Times New Roman" w:eastAsia="仿宋" w:cs="Times New Roman"/>
          <w:kern w:val="30"/>
          <w:sz w:val="30"/>
          <w:szCs w:val="30"/>
          <w:highlight w:val="none"/>
          <w:lang w:val="en-US" w:eastAsia="zh-CN" w:bidi="ar-SA"/>
        </w:rPr>
        <w:t>年12月31日。</w:t>
      </w:r>
    </w:p>
    <w:p w14:paraId="1F158A2C">
      <w:pPr>
        <w:pStyle w:val="31"/>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45" w:name="_Toc22791"/>
      <w:r>
        <w:rPr>
          <w:rFonts w:hint="default" w:ascii="Times New Roman" w:hAnsi="Times New Roman" w:cs="Times New Roman"/>
          <w:highlight w:val="none"/>
        </w:rPr>
        <w:t>（</w:t>
      </w:r>
      <w:r>
        <w:rPr>
          <w:rFonts w:hint="default" w:ascii="Times New Roman" w:hAnsi="Times New Roman" w:cs="Times New Roman"/>
          <w:highlight w:val="none"/>
          <w:lang w:val="en-US" w:eastAsia="zh-CN"/>
        </w:rPr>
        <w:t>二</w:t>
      </w:r>
      <w:r>
        <w:rPr>
          <w:rFonts w:hint="default" w:ascii="Times New Roman" w:hAnsi="Times New Roman" w:cs="Times New Roman"/>
          <w:highlight w:val="none"/>
        </w:rPr>
        <w:t>）</w:t>
      </w:r>
      <w:r>
        <w:rPr>
          <w:rFonts w:hint="default" w:ascii="Times New Roman" w:hAnsi="Times New Roman" w:cs="Times New Roman"/>
          <w:highlight w:val="none"/>
          <w:lang w:val="en-US" w:eastAsia="zh-CN"/>
        </w:rPr>
        <w:t>绩效评价原则、评价指标体系和等级、评价方法、评价抽样</w:t>
      </w:r>
      <w:bookmarkEnd w:id="42"/>
      <w:bookmarkEnd w:id="43"/>
      <w:bookmarkEnd w:id="44"/>
      <w:bookmarkEnd w:id="45"/>
    </w:p>
    <w:p w14:paraId="44DF83D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1.绩效评价原则</w:t>
      </w:r>
    </w:p>
    <w:p w14:paraId="085F0AF0">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本次绩效评价严格遵循公平、客观、可行、公开的基本原则：</w:t>
      </w:r>
    </w:p>
    <w:p w14:paraId="67B4736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cs="Times New Roman"/>
          <w:szCs w:val="30"/>
          <w:highlight w:val="none"/>
          <w:lang w:val="en-US" w:eastAsia="zh-CN"/>
        </w:rPr>
        <w:t>（1）公平性原则。坚持公平的原则客观真实地反映绩效评价结果，运用科学合理的方法，按照规范的程序，对项目绩效进行</w:t>
      </w:r>
      <w:r>
        <w:rPr>
          <w:rFonts w:hint="default" w:ascii="Times New Roman" w:hAnsi="Times New Roman" w:eastAsia="仿宋" w:cs="Times New Roman"/>
          <w:kern w:val="30"/>
          <w:sz w:val="30"/>
          <w:szCs w:val="30"/>
          <w:highlight w:val="none"/>
          <w:lang w:val="en-US" w:eastAsia="zh-CN" w:bidi="ar-SA"/>
        </w:rPr>
        <w:t>客观、公正地反映。</w:t>
      </w:r>
    </w:p>
    <w:p w14:paraId="7B740C8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（2）客观性原则。绩效评价过程中将考核标准与绩效目标进行紧密联系，采取公众评判法、成本分析法等方法，以事实为依据，以数据为基础，客观真实评价项目整体效益。</w:t>
      </w:r>
    </w:p>
    <w:p w14:paraId="332DE07D">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（3）可行性原则。绩效评价标准应客观反映被评价单位的履职情况，评价的数据来源应具备明确的收集渠道，绩效指标应具备可考核性，保证绩效评价工作的可操作性。</w:t>
      </w:r>
    </w:p>
    <w:p w14:paraId="503BFFE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（4）公开性原则。绩效评价过程中评价内容、评价标准、评价结果应对被评价单位公开，避免评价结论出现误判。</w:t>
      </w:r>
    </w:p>
    <w:p w14:paraId="592C3A5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2.绩效评价指标体系和等级</w:t>
      </w:r>
    </w:p>
    <w:p w14:paraId="623AF8C2">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bookmarkStart w:id="46" w:name="_Toc48250777"/>
      <w:bookmarkStart w:id="47" w:name="_Toc1625"/>
      <w:r>
        <w:rPr>
          <w:rFonts w:hint="default" w:ascii="Times New Roman" w:hAnsi="Times New Roman" w:eastAsia="仿宋" w:cs="Times New Roman"/>
          <w:highlight w:val="none"/>
          <w:lang w:val="en-US" w:eastAsia="zh-CN"/>
        </w:rPr>
        <w:t>根据《财政部关于印发〈预算绩效评价共性指标体系框架〉的通知》（财预〔2013〕53号）、《财政部关于印发〈项目支出绩效评价管理办法〉的通知》（财预〔2020〕10号）、《云南省财政厅关于印发〈云南省项目支出绩效评价管理办法〉的</w:t>
      </w:r>
      <w:r>
        <w:rPr>
          <w:rFonts w:hint="default" w:ascii="Times New Roman" w:hAnsi="Times New Roman" w:eastAsia="仿宋" w:cs="Times New Roman"/>
          <w:kern w:val="30"/>
          <w:sz w:val="30"/>
          <w:szCs w:val="30"/>
          <w:highlight w:val="none"/>
          <w:lang w:val="en-US" w:eastAsia="zh-CN" w:bidi="ar-SA"/>
        </w:rPr>
        <w:t>通知》（云财绩〔2020〕11号）等文件要求，按照绩效评价的基本原理、原则和项目特点，绩效评价工作组在绩效评价共性指标体系的基础上，结合项目实施内容，设置了针对本项目的指标体系及评价标准。</w:t>
      </w:r>
      <w:bookmarkEnd w:id="46"/>
      <w:bookmarkEnd w:id="47"/>
    </w:p>
    <w:p w14:paraId="206FA706">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评价指标体系包括决策、过程、产出和效益4个一级指标，下设1</w:t>
      </w:r>
      <w:r>
        <w:rPr>
          <w:rFonts w:hint="default" w:ascii="Times New Roman" w:hAnsi="Times New Roman" w:cs="Times New Roman"/>
          <w:kern w:val="30"/>
          <w:sz w:val="30"/>
          <w:szCs w:val="30"/>
          <w:highlight w:val="none"/>
          <w:lang w:val="en-US" w:eastAsia="zh-CN" w:bidi="ar-SA"/>
        </w:rPr>
        <w:t>0</w:t>
      </w:r>
      <w:r>
        <w:rPr>
          <w:rFonts w:hint="default" w:ascii="Times New Roman" w:hAnsi="Times New Roman" w:eastAsia="仿宋" w:cs="Times New Roman"/>
          <w:kern w:val="30"/>
          <w:sz w:val="30"/>
          <w:szCs w:val="30"/>
          <w:highlight w:val="none"/>
          <w:lang w:val="en-US" w:eastAsia="zh-CN" w:bidi="ar-SA"/>
        </w:rPr>
        <w:t>个二级指标和</w:t>
      </w:r>
      <w:r>
        <w:rPr>
          <w:rFonts w:hint="default" w:ascii="Times New Roman" w:hAnsi="Times New Roman" w:cs="Times New Roman"/>
          <w:kern w:val="30"/>
          <w:sz w:val="30"/>
          <w:szCs w:val="30"/>
          <w:highlight w:val="none"/>
          <w:lang w:val="en-US" w:eastAsia="zh-CN" w:bidi="ar-SA"/>
        </w:rPr>
        <w:t>20</w:t>
      </w:r>
      <w:r>
        <w:rPr>
          <w:rFonts w:hint="default" w:ascii="Times New Roman" w:hAnsi="Times New Roman" w:eastAsia="仿宋" w:cs="Times New Roman"/>
          <w:kern w:val="30"/>
          <w:sz w:val="30"/>
          <w:szCs w:val="30"/>
          <w:highlight w:val="none"/>
          <w:lang w:val="en-US" w:eastAsia="zh-CN" w:bidi="ar-SA"/>
        </w:rPr>
        <w:t>个三级指标。综合绩效评价总分值为100分，其中决策分值15分，过程分值20分，产出分值35分，效益分值30分。本次绩效评价结果共分为4个等级：综合得分在90-100分（含90分）为优；综合得分在80-89分（含80分）为良；综合得分在60-79分（含60分）为中；综合得分在60分以下为差。</w:t>
      </w:r>
    </w:p>
    <w:p w14:paraId="7603AD1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3.绩效评价方法</w:t>
      </w:r>
    </w:p>
    <w:p w14:paraId="52321B0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本次绩效评价严格按照《财政部关于印发〈项目支出绩效评价管理办法〉的通知》（财预〔2020〕10号）、《云南省财政厅关于印发〈云南省项目支出绩效评价管理办法〉的通知》（云财绩〔2020〕11号）等文件规定，采用定量与定性相结合、审阅自评相结合，对收集的相关基础资料，在归集、整理、分析的基础上，选择比较法、因素分析法、公众评判法、专家评议等评价方法。</w:t>
      </w:r>
    </w:p>
    <w:p w14:paraId="4C256E1F">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（1）比较法。通过对绩效目标和实施效果、历史和当期情况、不同部门和地区同类支出的比较，综合分析其绩效目标的实现程度。</w:t>
      </w:r>
    </w:p>
    <w:p w14:paraId="4E44ED1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（2）因素分析法。通过综合分析影响项目资金支出绩效目标实现、实施效果的内外因素，评价项目绩效。</w:t>
      </w:r>
    </w:p>
    <w:p w14:paraId="25C5FC2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（3）公众评判法。通过专家评估、公众问卷及抽样调查等对财政支出效果进行评判，评价绩效目标实现程度。</w:t>
      </w:r>
    </w:p>
    <w:p w14:paraId="5CD4B341">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4）查问询证法和实地考察法。通过对项目采取书面材料检查、实地勘察、访谈等方式，对有关情况包括自评材料反映信息的真实性、准确性、全面性等进行深入具体、独立客观地了解与核实，形成书面及现场分析评价意见。</w:t>
      </w:r>
    </w:p>
    <w:p w14:paraId="3B8AF83C">
      <w:pPr>
        <w:pStyle w:val="31"/>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48" w:name="_Toc14103"/>
      <w:bookmarkStart w:id="49" w:name="_Toc27181"/>
      <w:bookmarkStart w:id="50" w:name="_Toc28874"/>
      <w:bookmarkStart w:id="51" w:name="_Toc18354"/>
      <w:r>
        <w:rPr>
          <w:rFonts w:hint="default" w:ascii="Times New Roman" w:hAnsi="Times New Roman" w:cs="Times New Roman"/>
          <w:highlight w:val="none"/>
        </w:rPr>
        <w:t>（</w:t>
      </w:r>
      <w:r>
        <w:rPr>
          <w:rFonts w:hint="default" w:ascii="Times New Roman" w:hAnsi="Times New Roman" w:cs="Times New Roman"/>
          <w:highlight w:val="none"/>
          <w:lang w:val="en-US" w:eastAsia="zh-CN"/>
        </w:rPr>
        <w:t>三</w:t>
      </w:r>
      <w:r>
        <w:rPr>
          <w:rFonts w:hint="default" w:ascii="Times New Roman" w:hAnsi="Times New Roman" w:cs="Times New Roman"/>
          <w:highlight w:val="none"/>
        </w:rPr>
        <w:t>）</w:t>
      </w:r>
      <w:r>
        <w:rPr>
          <w:rFonts w:hint="default" w:ascii="Times New Roman" w:hAnsi="Times New Roman" w:cs="Times New Roman"/>
          <w:highlight w:val="none"/>
          <w:lang w:val="en-US" w:eastAsia="zh-CN"/>
        </w:rPr>
        <w:t>绩效评价工作过程</w:t>
      </w:r>
      <w:bookmarkEnd w:id="48"/>
      <w:bookmarkEnd w:id="49"/>
      <w:bookmarkEnd w:id="50"/>
      <w:bookmarkEnd w:id="51"/>
    </w:p>
    <w:p w14:paraId="7713543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1.资料收集</w:t>
      </w:r>
    </w:p>
    <w:p w14:paraId="2827D39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池砾公司成立绩效评价工作组，了解并收集与绩效评价项目相关的文件、资料，为研究制定绩效评价工作方案做好前期准备。</w:t>
      </w:r>
    </w:p>
    <w:p w14:paraId="642E659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2.编制实施方案</w:t>
      </w:r>
    </w:p>
    <w:p w14:paraId="5A64904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结合项目资料设计绩效评价指标体系、调查问卷等工作底稿。</w:t>
      </w:r>
    </w:p>
    <w:p w14:paraId="63D121A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3.实施方案评审</w:t>
      </w:r>
    </w:p>
    <w:p w14:paraId="31EC9C0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由区财政局组织实施方案评审，形成方案修改意见，修改形成方案终稿。</w:t>
      </w:r>
    </w:p>
    <w:p w14:paraId="34F088F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4.实地调研</w:t>
      </w:r>
    </w:p>
    <w:p w14:paraId="6BA033A9">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根据项目分组安排，前往现场与相关部门对接并进行现场调研，包括资料核查、访谈、数据收集及问卷调查等工作。</w:t>
      </w:r>
    </w:p>
    <w:p w14:paraId="3DE6B22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5.撰写绩效评价报告</w:t>
      </w:r>
    </w:p>
    <w:p w14:paraId="369173B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highlight w:val="none"/>
          <w:lang w:val="en-US" w:eastAsia="zh-CN"/>
        </w:rPr>
      </w:pPr>
      <w:r>
        <w:rPr>
          <w:rFonts w:hint="default" w:ascii="Times New Roman" w:hAnsi="Times New Roman" w:eastAsia="仿宋" w:cs="Times New Roman"/>
          <w:color w:val="auto"/>
          <w:szCs w:val="30"/>
          <w:highlight w:val="none"/>
          <w:lang w:val="en-US" w:eastAsia="zh-CN"/>
        </w:rPr>
        <w:t>分析资料，统计数据，根据相应标准，进行综合性评价，完成绩效评分，并形成评价结论；根据评价结论撰写绩效评价报告初稿。</w:t>
      </w:r>
    </w:p>
    <w:p w14:paraId="3E445DC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6.绩效评价报告评审</w:t>
      </w:r>
    </w:p>
    <w:p w14:paraId="5DB1AFF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highlight w:val="none"/>
          <w:lang w:val="en-US" w:eastAsia="zh-CN"/>
        </w:rPr>
      </w:pPr>
      <w:r>
        <w:rPr>
          <w:rFonts w:hint="default" w:ascii="Times New Roman" w:hAnsi="Times New Roman" w:eastAsia="仿宋" w:cs="Times New Roman"/>
          <w:color w:val="auto"/>
          <w:szCs w:val="30"/>
          <w:highlight w:val="none"/>
          <w:lang w:val="en-US" w:eastAsia="zh-CN"/>
        </w:rPr>
        <w:t>由</w:t>
      </w:r>
      <w:r>
        <w:rPr>
          <w:rFonts w:hint="default" w:ascii="Times New Roman" w:hAnsi="Times New Roman" w:cs="Times New Roman"/>
          <w:color w:val="auto"/>
          <w:szCs w:val="30"/>
          <w:highlight w:val="none"/>
          <w:lang w:val="en-US" w:eastAsia="zh-CN"/>
        </w:rPr>
        <w:t>区</w:t>
      </w:r>
      <w:r>
        <w:rPr>
          <w:rFonts w:hint="default" w:ascii="Times New Roman" w:hAnsi="Times New Roman" w:eastAsia="仿宋" w:cs="Times New Roman"/>
          <w:color w:val="auto"/>
          <w:szCs w:val="30"/>
          <w:highlight w:val="none"/>
          <w:lang w:val="en-US" w:eastAsia="zh-CN"/>
        </w:rPr>
        <w:t>财政局组织绩效评价报告评审，形成报告修改意见；根据修改意见修改报告形成最终稿。</w:t>
      </w:r>
    </w:p>
    <w:p w14:paraId="662AC72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7.撰写绩效评价汇总报告</w:t>
      </w:r>
    </w:p>
    <w:p w14:paraId="23DE14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黑体" w:cs="Times New Roman"/>
          <w:szCs w:val="30"/>
          <w:highlight w:val="none"/>
          <w:lang w:val="en-US" w:eastAsia="zh-CN"/>
        </w:rPr>
      </w:pPr>
      <w:r>
        <w:rPr>
          <w:rFonts w:hint="default" w:ascii="Times New Roman" w:hAnsi="Times New Roman" w:cs="Times New Roman"/>
          <w:szCs w:val="30"/>
          <w:highlight w:val="none"/>
          <w:lang w:val="en-US" w:eastAsia="zh-CN"/>
        </w:rPr>
        <w:t>根据各项目绩效评价结果撰写绩效评价汇总报告。</w:t>
      </w:r>
      <w:bookmarkEnd w:id="36"/>
      <w:bookmarkEnd w:id="37"/>
    </w:p>
    <w:p w14:paraId="0595A9C5">
      <w:pPr>
        <w:pStyle w:val="30"/>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52" w:name="_Toc1023"/>
      <w:r>
        <w:rPr>
          <w:rFonts w:hint="default" w:ascii="Times New Roman" w:hAnsi="Times New Roman" w:cs="Times New Roman"/>
          <w:highlight w:val="none"/>
          <w:lang w:val="en-US" w:eastAsia="zh-CN"/>
        </w:rPr>
        <w:t>三、绩效评价结论</w:t>
      </w:r>
      <w:bookmarkEnd w:id="52"/>
    </w:p>
    <w:p w14:paraId="37A61746">
      <w:pPr>
        <w:pStyle w:val="31"/>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53" w:name="_Toc20188"/>
      <w:r>
        <w:rPr>
          <w:rFonts w:hint="default" w:ascii="Times New Roman" w:hAnsi="Times New Roman" w:cs="Times New Roman"/>
          <w:highlight w:val="none"/>
        </w:rPr>
        <w:t>（一）</w:t>
      </w:r>
      <w:r>
        <w:rPr>
          <w:rFonts w:hint="default" w:ascii="Times New Roman" w:hAnsi="Times New Roman" w:cs="Times New Roman"/>
          <w:highlight w:val="none"/>
          <w:shd w:val="clear" w:fill="auto"/>
          <w:lang w:eastAsia="zh-CN"/>
        </w:rPr>
        <w:t>绩效评价</w:t>
      </w:r>
      <w:r>
        <w:rPr>
          <w:rFonts w:hint="default" w:ascii="Times New Roman" w:hAnsi="Times New Roman" w:cs="Times New Roman"/>
          <w:highlight w:val="none"/>
          <w:shd w:val="clear" w:fill="auto"/>
        </w:rPr>
        <w:t>综合</w:t>
      </w:r>
      <w:r>
        <w:rPr>
          <w:rFonts w:hint="default" w:ascii="Times New Roman" w:hAnsi="Times New Roman" w:cs="Times New Roman"/>
          <w:highlight w:val="none"/>
        </w:rPr>
        <w:t>结论</w:t>
      </w:r>
      <w:bookmarkEnd w:id="53"/>
    </w:p>
    <w:p w14:paraId="68F85703">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szCs w:val="30"/>
          <w:highlight w:val="none"/>
        </w:rPr>
      </w:pPr>
      <w:bookmarkStart w:id="54" w:name="_Hlk525314439"/>
      <w:r>
        <w:rPr>
          <w:rFonts w:hint="default" w:ascii="Times New Roman" w:hAnsi="Times New Roman" w:cs="Times New Roman"/>
          <w:szCs w:val="30"/>
          <w:highlight w:val="none"/>
          <w:lang w:eastAsia="zh-CN"/>
        </w:rPr>
        <w:t>社区居家养老服务中心运营补助项目绩效</w:t>
      </w:r>
      <w:r>
        <w:rPr>
          <w:rFonts w:hint="default" w:ascii="Times New Roman" w:hAnsi="Times New Roman" w:cs="Times New Roman"/>
          <w:szCs w:val="30"/>
          <w:highlight w:val="none"/>
          <w:lang w:eastAsia="zh-CN"/>
        </w:rPr>
        <w:t>评价</w:t>
      </w:r>
      <w:r>
        <w:rPr>
          <w:rFonts w:hint="default" w:ascii="Times New Roman" w:hAnsi="Times New Roman" w:cs="Times New Roman"/>
          <w:szCs w:val="30"/>
          <w:highlight w:val="none"/>
        </w:rPr>
        <w:t>得分</w:t>
      </w:r>
      <w:r>
        <w:rPr>
          <w:rFonts w:hint="default" w:ascii="Times New Roman" w:hAnsi="Times New Roman" w:cs="Times New Roman"/>
          <w:szCs w:val="30"/>
          <w:highlight w:val="none"/>
          <w:lang w:val="en-US" w:eastAsia="zh-CN"/>
        </w:rPr>
        <w:t>9</w:t>
      </w:r>
      <w:r>
        <w:rPr>
          <w:rFonts w:hint="eastAsia" w:ascii="Times New Roman" w:cs="Times New Roman"/>
          <w:szCs w:val="30"/>
          <w:highlight w:val="none"/>
          <w:lang w:val="en-US" w:eastAsia="zh-CN"/>
        </w:rPr>
        <w:t>4</w:t>
      </w:r>
      <w:r>
        <w:rPr>
          <w:rFonts w:hint="default" w:ascii="Times New Roman" w:hAnsi="Times New Roman" w:cs="Times New Roman"/>
          <w:szCs w:val="30"/>
          <w:highlight w:val="none"/>
          <w:lang w:val="en-US" w:eastAsia="zh-CN"/>
        </w:rPr>
        <w:t>.53</w:t>
      </w:r>
      <w:r>
        <w:rPr>
          <w:rFonts w:hint="default" w:ascii="Times New Roman" w:hAnsi="Times New Roman" w:cs="Times New Roman"/>
          <w:szCs w:val="30"/>
          <w:highlight w:val="none"/>
        </w:rPr>
        <w:t>分，评价等级为</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lang w:val="en-US" w:eastAsia="zh-CN"/>
        </w:rPr>
        <w:t>优</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rPr>
        <w:t>。一级指标具体得分情况详见下表：</w:t>
      </w:r>
    </w:p>
    <w:p w14:paraId="5DBC72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highlight w:val="none"/>
        </w:rPr>
      </w:pPr>
      <w:r>
        <w:rPr>
          <w:rFonts w:hint="default" w:ascii="Times New Roman" w:hAnsi="Times New Roman" w:eastAsia="黑体" w:cs="Times New Roman"/>
          <w:b w:val="0"/>
          <w:bCs/>
          <w:sz w:val="24"/>
          <w:szCs w:val="24"/>
          <w:highlight w:val="none"/>
        </w:rPr>
        <w:t>表</w:t>
      </w:r>
      <w:r>
        <w:rPr>
          <w:rFonts w:hint="eastAsia" w:ascii="Times New Roman" w:eastAsia="黑体" w:cs="Times New Roman"/>
          <w:b w:val="0"/>
          <w:bCs/>
          <w:sz w:val="24"/>
          <w:szCs w:val="24"/>
          <w:highlight w:val="none"/>
          <w:lang w:val="en-US" w:eastAsia="zh-CN"/>
        </w:rPr>
        <w:t>4</w:t>
      </w:r>
      <w:r>
        <w:rPr>
          <w:rFonts w:hint="eastAsia" w:ascii="Times New Roman" w:hAnsi="Times New Roman" w:eastAsia="黑体" w:cs="Times New Roman"/>
          <w:b w:val="0"/>
          <w:bCs/>
          <w:sz w:val="24"/>
          <w:szCs w:val="24"/>
          <w:highlight w:val="none"/>
          <w:lang w:val="en-US" w:eastAsia="zh-CN"/>
        </w:rPr>
        <w:t xml:space="preserve"> </w:t>
      </w:r>
      <w:r>
        <w:rPr>
          <w:rFonts w:hint="default" w:ascii="Times New Roman" w:hAnsi="Times New Roman" w:eastAsia="黑体" w:cs="Times New Roman"/>
          <w:b w:val="0"/>
          <w:bCs/>
          <w:sz w:val="24"/>
          <w:szCs w:val="24"/>
          <w:highlight w:val="none"/>
          <w:lang w:eastAsia="zh-CN"/>
        </w:rPr>
        <w:t>绩效评价</w:t>
      </w:r>
      <w:r>
        <w:rPr>
          <w:rFonts w:hint="default" w:ascii="Times New Roman" w:hAnsi="Times New Roman" w:eastAsia="黑体" w:cs="Times New Roman"/>
          <w:b w:val="0"/>
          <w:bCs/>
          <w:sz w:val="24"/>
          <w:szCs w:val="24"/>
          <w:highlight w:val="none"/>
        </w:rPr>
        <w:t>得分情况表</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3538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2CFA9CE">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一级指标</w:t>
            </w:r>
          </w:p>
        </w:tc>
        <w:tc>
          <w:tcPr>
            <w:tcW w:w="2211" w:type="dxa"/>
            <w:tcBorders>
              <w:top w:val="single" w:color="auto" w:sz="4" w:space="0"/>
            </w:tcBorders>
            <w:vAlign w:val="center"/>
          </w:tcPr>
          <w:p w14:paraId="048A5159">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指标分值</w:t>
            </w:r>
          </w:p>
        </w:tc>
        <w:tc>
          <w:tcPr>
            <w:tcW w:w="2211" w:type="dxa"/>
            <w:tcBorders>
              <w:top w:val="single" w:color="auto" w:sz="4" w:space="0"/>
            </w:tcBorders>
            <w:vAlign w:val="center"/>
          </w:tcPr>
          <w:p w14:paraId="08FC3368">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评价得分</w:t>
            </w:r>
          </w:p>
        </w:tc>
        <w:tc>
          <w:tcPr>
            <w:tcW w:w="2211" w:type="dxa"/>
            <w:tcBorders>
              <w:top w:val="single" w:color="auto" w:sz="4" w:space="0"/>
            </w:tcBorders>
            <w:vAlign w:val="center"/>
          </w:tcPr>
          <w:p w14:paraId="024B92D8">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得分率</w:t>
            </w:r>
          </w:p>
        </w:tc>
      </w:tr>
      <w:tr w14:paraId="1CFA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04D309A">
            <w:pPr>
              <w:snapToGrid w:val="0"/>
              <w:jc w:val="center"/>
              <w:rPr>
                <w:rFonts w:hint="default" w:ascii="Times New Roman" w:hAnsi="Times New Roman" w:eastAsia="仿宋" w:cs="Times New Roman"/>
                <w:bCs/>
                <w:spacing w:val="6"/>
                <w:sz w:val="21"/>
                <w:highlight w:val="none"/>
                <w:lang w:eastAsia="zh-CN"/>
              </w:rPr>
            </w:pPr>
            <w:r>
              <w:rPr>
                <w:rFonts w:hint="default" w:ascii="Times New Roman" w:hAnsi="Times New Roman" w:cs="Times New Roman"/>
                <w:bCs/>
                <w:spacing w:val="6"/>
                <w:sz w:val="21"/>
                <w:highlight w:val="none"/>
                <w:lang w:val="en-US" w:eastAsia="zh-CN"/>
              </w:rPr>
              <w:t>决策</w:t>
            </w:r>
          </w:p>
        </w:tc>
        <w:tc>
          <w:tcPr>
            <w:tcW w:w="2211" w:type="dxa"/>
            <w:vAlign w:val="center"/>
          </w:tcPr>
          <w:p w14:paraId="6337F938">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rPr>
              <w:t>15</w:t>
            </w:r>
            <w:r>
              <w:rPr>
                <w:rFonts w:hint="eastAsia" w:ascii="Times New Roman" w:hAnsi="Times New Roman" w:cs="Times New Roman"/>
                <w:bCs/>
                <w:spacing w:val="6"/>
                <w:sz w:val="21"/>
                <w:highlight w:val="none"/>
                <w:lang w:val="en-US" w:eastAsia="zh-CN"/>
              </w:rPr>
              <w:t>.00</w:t>
            </w:r>
          </w:p>
        </w:tc>
        <w:tc>
          <w:tcPr>
            <w:tcW w:w="2211" w:type="dxa"/>
            <w:vAlign w:val="center"/>
          </w:tcPr>
          <w:p w14:paraId="782B35E9">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14</w:t>
            </w:r>
            <w:r>
              <w:rPr>
                <w:rFonts w:hint="eastAsia" w:ascii="Times New Roman" w:hAnsi="Times New Roman" w:cs="Times New Roman"/>
                <w:bCs/>
                <w:spacing w:val="6"/>
                <w:sz w:val="21"/>
                <w:highlight w:val="none"/>
                <w:lang w:val="en-US" w:eastAsia="zh-CN"/>
              </w:rPr>
              <w:t>.00</w:t>
            </w:r>
          </w:p>
        </w:tc>
        <w:tc>
          <w:tcPr>
            <w:tcW w:w="2211" w:type="dxa"/>
            <w:vAlign w:val="center"/>
          </w:tcPr>
          <w:p w14:paraId="2F52498A">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93.33%</w:t>
            </w:r>
          </w:p>
        </w:tc>
      </w:tr>
      <w:tr w14:paraId="6193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85FAA54">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过程</w:t>
            </w:r>
          </w:p>
        </w:tc>
        <w:tc>
          <w:tcPr>
            <w:tcW w:w="2211" w:type="dxa"/>
            <w:vAlign w:val="center"/>
          </w:tcPr>
          <w:p w14:paraId="37EB27B3">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rPr>
              <w:t>20</w:t>
            </w:r>
            <w:r>
              <w:rPr>
                <w:rFonts w:hint="eastAsia" w:ascii="Times New Roman" w:hAnsi="Times New Roman" w:cs="Times New Roman"/>
                <w:bCs/>
                <w:spacing w:val="6"/>
                <w:sz w:val="21"/>
                <w:highlight w:val="none"/>
                <w:lang w:val="en-US" w:eastAsia="zh-CN"/>
              </w:rPr>
              <w:t>.00</w:t>
            </w:r>
          </w:p>
        </w:tc>
        <w:tc>
          <w:tcPr>
            <w:tcW w:w="2211" w:type="dxa"/>
            <w:vAlign w:val="center"/>
          </w:tcPr>
          <w:p w14:paraId="13DF003D">
            <w:pPr>
              <w:snapToGrid w:val="0"/>
              <w:jc w:val="center"/>
              <w:rPr>
                <w:rFonts w:hint="default" w:ascii="Times New Roman" w:hAnsi="Times New Roman" w:eastAsia="仿宋" w:cs="Times New Roman"/>
                <w:bCs/>
                <w:spacing w:val="6"/>
                <w:sz w:val="21"/>
                <w:highlight w:val="none"/>
                <w:lang w:val="en-US" w:eastAsia="zh-CN"/>
              </w:rPr>
            </w:pPr>
            <w:r>
              <w:rPr>
                <w:rFonts w:hint="eastAsia" w:ascii="Times New Roman" w:cs="Times New Roman"/>
                <w:bCs/>
                <w:spacing w:val="6"/>
                <w:sz w:val="21"/>
                <w:highlight w:val="none"/>
                <w:lang w:val="en-US" w:eastAsia="zh-CN"/>
              </w:rPr>
              <w:t>20</w:t>
            </w:r>
            <w:r>
              <w:rPr>
                <w:rFonts w:hint="eastAsia" w:ascii="Times New Roman" w:hAnsi="Times New Roman" w:cs="Times New Roman"/>
                <w:bCs/>
                <w:spacing w:val="6"/>
                <w:sz w:val="21"/>
                <w:highlight w:val="none"/>
                <w:lang w:val="en-US" w:eastAsia="zh-CN"/>
              </w:rPr>
              <w:t>.00</w:t>
            </w:r>
          </w:p>
        </w:tc>
        <w:tc>
          <w:tcPr>
            <w:tcW w:w="2211" w:type="dxa"/>
            <w:vAlign w:val="center"/>
          </w:tcPr>
          <w:p w14:paraId="2334F51A">
            <w:pPr>
              <w:snapToGrid w:val="0"/>
              <w:jc w:val="center"/>
              <w:rPr>
                <w:rFonts w:hint="default" w:ascii="Times New Roman" w:hAnsi="Times New Roman" w:eastAsia="仿宋" w:cs="Times New Roman"/>
                <w:bCs/>
                <w:spacing w:val="6"/>
                <w:sz w:val="21"/>
                <w:highlight w:val="none"/>
                <w:lang w:val="en-US" w:eastAsia="zh-CN"/>
              </w:rPr>
            </w:pPr>
            <w:r>
              <w:rPr>
                <w:rFonts w:hint="eastAsia" w:ascii="Times New Roman" w:cs="Times New Roman"/>
                <w:bCs/>
                <w:spacing w:val="6"/>
                <w:sz w:val="21"/>
                <w:highlight w:val="none"/>
                <w:lang w:val="en-US" w:eastAsia="zh-CN"/>
              </w:rPr>
              <w:t>100</w:t>
            </w:r>
            <w:r>
              <w:rPr>
                <w:rFonts w:hint="eastAsia" w:ascii="Times New Roman" w:hAnsi="Times New Roman" w:cs="Times New Roman"/>
                <w:bCs/>
                <w:spacing w:val="6"/>
                <w:sz w:val="21"/>
                <w:highlight w:val="none"/>
                <w:lang w:val="en-US" w:eastAsia="zh-CN"/>
              </w:rPr>
              <w:t>.00</w:t>
            </w:r>
            <w:r>
              <w:rPr>
                <w:rFonts w:hint="default" w:ascii="Times New Roman" w:hAnsi="Times New Roman" w:cs="Times New Roman"/>
                <w:bCs/>
                <w:spacing w:val="6"/>
                <w:sz w:val="21"/>
                <w:highlight w:val="none"/>
                <w:lang w:val="en-US" w:eastAsia="zh-CN"/>
              </w:rPr>
              <w:t>%</w:t>
            </w:r>
          </w:p>
        </w:tc>
      </w:tr>
      <w:tr w14:paraId="7498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27CF7B37">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产出</w:t>
            </w:r>
          </w:p>
        </w:tc>
        <w:tc>
          <w:tcPr>
            <w:tcW w:w="2211" w:type="dxa"/>
            <w:vAlign w:val="center"/>
          </w:tcPr>
          <w:p w14:paraId="20C8C6A4">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35</w:t>
            </w:r>
            <w:r>
              <w:rPr>
                <w:rFonts w:hint="eastAsia" w:ascii="Times New Roman" w:hAnsi="Times New Roman" w:cs="Times New Roman"/>
                <w:bCs/>
                <w:spacing w:val="6"/>
                <w:sz w:val="21"/>
                <w:highlight w:val="none"/>
                <w:lang w:val="en-US" w:eastAsia="zh-CN"/>
              </w:rPr>
              <w:t>.00</w:t>
            </w:r>
          </w:p>
        </w:tc>
        <w:tc>
          <w:tcPr>
            <w:tcW w:w="2211" w:type="dxa"/>
            <w:vAlign w:val="center"/>
          </w:tcPr>
          <w:p w14:paraId="37C69583">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31</w:t>
            </w:r>
            <w:r>
              <w:rPr>
                <w:rFonts w:hint="eastAsia" w:ascii="Times New Roman" w:hAnsi="Times New Roman" w:cs="Times New Roman"/>
                <w:bCs/>
                <w:spacing w:val="6"/>
                <w:sz w:val="21"/>
                <w:highlight w:val="none"/>
                <w:lang w:val="en-US" w:eastAsia="zh-CN"/>
              </w:rPr>
              <w:t>.00</w:t>
            </w:r>
          </w:p>
        </w:tc>
        <w:tc>
          <w:tcPr>
            <w:tcW w:w="2211" w:type="dxa"/>
            <w:vAlign w:val="center"/>
          </w:tcPr>
          <w:p w14:paraId="0EA79292">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88.57%</w:t>
            </w:r>
          </w:p>
        </w:tc>
      </w:tr>
      <w:tr w14:paraId="5C54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3DA5ADC0">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效果</w:t>
            </w:r>
          </w:p>
        </w:tc>
        <w:tc>
          <w:tcPr>
            <w:tcW w:w="2211" w:type="dxa"/>
            <w:vAlign w:val="center"/>
          </w:tcPr>
          <w:p w14:paraId="78D4B4F9">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30</w:t>
            </w:r>
            <w:r>
              <w:rPr>
                <w:rFonts w:hint="eastAsia" w:ascii="Times New Roman" w:hAnsi="Times New Roman" w:cs="Times New Roman"/>
                <w:bCs/>
                <w:spacing w:val="6"/>
                <w:sz w:val="21"/>
                <w:highlight w:val="none"/>
                <w:lang w:val="en-US" w:eastAsia="zh-CN"/>
              </w:rPr>
              <w:t>.00</w:t>
            </w:r>
          </w:p>
        </w:tc>
        <w:tc>
          <w:tcPr>
            <w:tcW w:w="2211" w:type="dxa"/>
            <w:vAlign w:val="center"/>
          </w:tcPr>
          <w:p w14:paraId="4FB1EC1C">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29.53</w:t>
            </w:r>
          </w:p>
        </w:tc>
        <w:tc>
          <w:tcPr>
            <w:tcW w:w="2211" w:type="dxa"/>
            <w:vAlign w:val="center"/>
          </w:tcPr>
          <w:p w14:paraId="33A77F99">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98.43%</w:t>
            </w:r>
          </w:p>
        </w:tc>
      </w:tr>
      <w:tr w14:paraId="730F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95F27AF">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合 计</w:t>
            </w:r>
          </w:p>
        </w:tc>
        <w:tc>
          <w:tcPr>
            <w:tcW w:w="2211" w:type="dxa"/>
            <w:vAlign w:val="center"/>
          </w:tcPr>
          <w:p w14:paraId="275A4180">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100</w:t>
            </w:r>
            <w:r>
              <w:rPr>
                <w:rFonts w:hint="eastAsia" w:ascii="Times New Roman" w:hAnsi="Times New Roman" w:cs="Times New Roman"/>
                <w:b/>
                <w:bCs w:val="0"/>
                <w:spacing w:val="6"/>
                <w:sz w:val="21"/>
                <w:highlight w:val="none"/>
                <w:lang w:val="en-US" w:eastAsia="zh-CN"/>
              </w:rPr>
              <w:t>.00</w:t>
            </w:r>
          </w:p>
        </w:tc>
        <w:tc>
          <w:tcPr>
            <w:tcW w:w="2211" w:type="dxa"/>
            <w:vAlign w:val="center"/>
          </w:tcPr>
          <w:p w14:paraId="04F268EA">
            <w:pPr>
              <w:snapToGrid w:val="0"/>
              <w:jc w:val="center"/>
              <w:rPr>
                <w:rFonts w:hint="default" w:ascii="Times New Roman" w:hAnsi="Times New Roman" w:eastAsia="仿宋" w:cs="Times New Roman"/>
                <w:b/>
                <w:bCs/>
                <w:spacing w:val="6"/>
                <w:sz w:val="21"/>
                <w:highlight w:val="none"/>
                <w:lang w:val="en-US" w:eastAsia="zh-CN"/>
              </w:rPr>
            </w:pPr>
            <w:r>
              <w:rPr>
                <w:rFonts w:hint="default" w:ascii="Times New Roman" w:hAnsi="Times New Roman" w:cs="Times New Roman"/>
                <w:b/>
                <w:bCs/>
                <w:spacing w:val="6"/>
                <w:sz w:val="21"/>
                <w:highlight w:val="none"/>
                <w:lang w:val="en-US" w:eastAsia="zh-CN"/>
              </w:rPr>
              <w:t>9</w:t>
            </w:r>
            <w:r>
              <w:rPr>
                <w:rFonts w:hint="eastAsia" w:ascii="Times New Roman" w:cs="Times New Roman"/>
                <w:b/>
                <w:bCs/>
                <w:spacing w:val="6"/>
                <w:sz w:val="21"/>
                <w:highlight w:val="none"/>
                <w:lang w:val="en-US" w:eastAsia="zh-CN"/>
              </w:rPr>
              <w:t>4</w:t>
            </w:r>
            <w:r>
              <w:rPr>
                <w:rFonts w:hint="default" w:ascii="Times New Roman" w:hAnsi="Times New Roman" w:cs="Times New Roman"/>
                <w:b/>
                <w:bCs/>
                <w:spacing w:val="6"/>
                <w:sz w:val="21"/>
                <w:highlight w:val="none"/>
                <w:lang w:val="en-US" w:eastAsia="zh-CN"/>
              </w:rPr>
              <w:t>.53</w:t>
            </w:r>
          </w:p>
        </w:tc>
        <w:tc>
          <w:tcPr>
            <w:tcW w:w="2211" w:type="dxa"/>
            <w:vAlign w:val="center"/>
          </w:tcPr>
          <w:p w14:paraId="66C2ECAA">
            <w:pPr>
              <w:snapToGrid w:val="0"/>
              <w:jc w:val="center"/>
              <w:rPr>
                <w:rFonts w:hint="default" w:ascii="Times New Roman" w:hAnsi="Times New Roman" w:eastAsia="仿宋" w:cs="Times New Roman"/>
                <w:b/>
                <w:bCs/>
                <w:spacing w:val="6"/>
                <w:sz w:val="21"/>
                <w:highlight w:val="none"/>
                <w:lang w:val="en-US" w:eastAsia="zh-CN"/>
              </w:rPr>
            </w:pPr>
            <w:r>
              <w:rPr>
                <w:rFonts w:hint="default" w:ascii="Times New Roman" w:hAnsi="Times New Roman" w:cs="Times New Roman"/>
                <w:b/>
                <w:bCs/>
                <w:spacing w:val="6"/>
                <w:sz w:val="21"/>
                <w:highlight w:val="none"/>
                <w:lang w:val="en-US" w:eastAsia="zh-CN"/>
              </w:rPr>
              <w:t>9</w:t>
            </w:r>
            <w:r>
              <w:rPr>
                <w:rFonts w:hint="eastAsia" w:ascii="Times New Roman" w:cs="Times New Roman"/>
                <w:b/>
                <w:bCs/>
                <w:spacing w:val="6"/>
                <w:sz w:val="21"/>
                <w:highlight w:val="none"/>
                <w:lang w:val="en-US" w:eastAsia="zh-CN"/>
              </w:rPr>
              <w:t>4</w:t>
            </w:r>
            <w:r>
              <w:rPr>
                <w:rFonts w:hint="default" w:ascii="Times New Roman" w:hAnsi="Times New Roman" w:cs="Times New Roman"/>
                <w:b/>
                <w:bCs/>
                <w:spacing w:val="6"/>
                <w:sz w:val="21"/>
                <w:highlight w:val="none"/>
                <w:lang w:val="en-US" w:eastAsia="zh-CN"/>
              </w:rPr>
              <w:t>.53%</w:t>
            </w:r>
          </w:p>
        </w:tc>
      </w:tr>
      <w:bookmarkEnd w:id="54"/>
    </w:tbl>
    <w:p w14:paraId="15F9FCA2">
      <w:pPr>
        <w:spacing w:line="579" w:lineRule="exact"/>
        <w:ind w:firstLine="630" w:firstLineChars="200"/>
        <w:rPr>
          <w:rFonts w:hint="default" w:ascii="Times New Roman" w:hAnsi="Times New Roman" w:eastAsia="仿宋" w:cs="Times New Roman"/>
          <w:bCs/>
          <w:szCs w:val="30"/>
          <w:highlight w:val="none"/>
          <w:lang w:val="en-US" w:eastAsia="zh-CN"/>
        </w:rPr>
      </w:pPr>
      <w:r>
        <w:rPr>
          <w:rFonts w:hint="default" w:ascii="Times New Roman" w:hAnsi="Times New Roman" w:cs="Times New Roman"/>
          <w:szCs w:val="30"/>
          <w:highlight w:val="none"/>
          <w:lang w:val="en-US" w:eastAsia="zh-CN"/>
        </w:rPr>
        <w:t>综合结论：</w:t>
      </w:r>
      <w:r>
        <w:rPr>
          <w:rFonts w:hint="default" w:ascii="Times New Roman" w:hAnsi="Times New Roman" w:cs="Times New Roman"/>
          <w:highlight w:val="none"/>
          <w:lang w:val="en-US" w:eastAsia="zh-CN"/>
        </w:rPr>
        <w:t>社区居家养老服务中心运营补助项目</w:t>
      </w:r>
      <w:r>
        <w:rPr>
          <w:rFonts w:hint="default" w:ascii="Times New Roman" w:hAnsi="Times New Roman" w:cs="Times New Roman"/>
          <w:szCs w:val="30"/>
          <w:highlight w:val="none"/>
        </w:rPr>
        <w:t>立项依据充分、立项程序规范，内容完善</w:t>
      </w:r>
      <w:r>
        <w:rPr>
          <w:rFonts w:hint="default" w:ascii="Times New Roman" w:hAnsi="Times New Roman" w:cs="Times New Roman"/>
          <w:szCs w:val="30"/>
          <w:highlight w:val="none"/>
          <w:lang w:val="en-US" w:eastAsia="zh-CN"/>
        </w:rPr>
        <w:t>，项目实施效果良好，但</w:t>
      </w:r>
      <w:r>
        <w:rPr>
          <w:rFonts w:hint="default" w:ascii="Times New Roman" w:hAnsi="Times New Roman" w:cs="Times New Roman"/>
          <w:szCs w:val="30"/>
          <w:highlight w:val="none"/>
        </w:rPr>
        <w:t>绩效目标设定</w:t>
      </w:r>
      <w:r>
        <w:rPr>
          <w:rFonts w:hint="default" w:ascii="Times New Roman" w:hAnsi="Times New Roman" w:cs="Times New Roman"/>
          <w:szCs w:val="30"/>
          <w:highlight w:val="none"/>
          <w:lang w:val="en-US" w:eastAsia="zh-CN"/>
        </w:rPr>
        <w:t>还有待加强，个别管理制度条款待完善，评估单位的专业性还有待提高。</w:t>
      </w:r>
    </w:p>
    <w:p w14:paraId="6800FBA3">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55" w:name="_Toc25831"/>
      <w:r>
        <w:rPr>
          <w:rFonts w:hint="default" w:ascii="Times New Roman" w:hAnsi="Times New Roman" w:cs="Times New Roman"/>
          <w:highlight w:val="none"/>
        </w:rPr>
        <w:t>（二）绩效目标实现情</w:t>
      </w:r>
      <w:r>
        <w:rPr>
          <w:rFonts w:hint="default" w:ascii="Times New Roman" w:hAnsi="Times New Roman" w:cs="Times New Roman"/>
          <w:highlight w:val="none"/>
          <w:lang w:val="en-US" w:eastAsia="zh-CN"/>
        </w:rPr>
        <w:t>况</w:t>
      </w:r>
      <w:bookmarkEnd w:id="55"/>
    </w:p>
    <w:p w14:paraId="3154A4DF">
      <w:pPr>
        <w:ind w:firstLine="631"/>
        <w:jc w:val="left"/>
        <w:rPr>
          <w:rFonts w:hint="default" w:ascii="Times New Roman" w:hAnsi="Times New Roman" w:cs="Times New Roman"/>
          <w:szCs w:val="30"/>
          <w:highlight w:val="none"/>
          <w:lang w:bidi="ar"/>
        </w:rPr>
      </w:pPr>
      <w:bookmarkStart w:id="56" w:name="_Hlk525314457"/>
      <w:r>
        <w:rPr>
          <w:rFonts w:hint="default" w:ascii="Times New Roman" w:hAnsi="Times New Roman" w:cs="Times New Roman"/>
          <w:szCs w:val="30"/>
          <w:highlight w:val="none"/>
          <w:lang w:val="en-US" w:eastAsia="zh-CN" w:bidi="ar"/>
        </w:rPr>
        <w:t>根据本次绩效评价情况，社区居家养老服务中心运营补助项目</w:t>
      </w:r>
      <w:r>
        <w:rPr>
          <w:rFonts w:hint="default" w:ascii="Times New Roman" w:hAnsi="Times New Roman" w:cs="Times New Roman"/>
          <w:szCs w:val="30"/>
          <w:highlight w:val="none"/>
          <w:lang w:val="en-US" w:eastAsia="zh-CN"/>
        </w:rPr>
        <w:t>9</w:t>
      </w:r>
      <w:r>
        <w:rPr>
          <w:rFonts w:hint="default" w:ascii="Times New Roman" w:hAnsi="Times New Roman" w:cs="Times New Roman"/>
          <w:szCs w:val="30"/>
          <w:highlight w:val="none"/>
          <w:lang w:bidi="ar"/>
        </w:rPr>
        <w:t>个具体绩效指标中，</w:t>
      </w:r>
      <w:r>
        <w:rPr>
          <w:rFonts w:hint="default" w:ascii="Times New Roman" w:hAnsi="Times New Roman" w:cs="Times New Roman"/>
          <w:szCs w:val="30"/>
          <w:highlight w:val="none"/>
          <w:lang w:val="en-US" w:eastAsia="zh-CN" w:bidi="ar"/>
        </w:rPr>
        <w:t>7</w:t>
      </w:r>
      <w:r>
        <w:rPr>
          <w:rFonts w:hint="default" w:ascii="Times New Roman" w:hAnsi="Times New Roman" w:cs="Times New Roman"/>
          <w:szCs w:val="30"/>
          <w:highlight w:val="none"/>
          <w:lang w:bidi="ar"/>
        </w:rPr>
        <w:t>项实现了预期目标，</w:t>
      </w:r>
      <w:r>
        <w:rPr>
          <w:rFonts w:hint="default" w:ascii="Times New Roman" w:hAnsi="Times New Roman" w:cs="Times New Roman"/>
          <w:szCs w:val="30"/>
          <w:highlight w:val="none"/>
          <w:lang w:val="en-US" w:eastAsia="zh-CN" w:bidi="ar"/>
        </w:rPr>
        <w:t>2</w:t>
      </w:r>
      <w:r>
        <w:rPr>
          <w:rFonts w:hint="default" w:ascii="Times New Roman" w:hAnsi="Times New Roman" w:cs="Times New Roman"/>
          <w:szCs w:val="30"/>
          <w:highlight w:val="none"/>
          <w:lang w:bidi="ar"/>
        </w:rPr>
        <w:t>项部分实现了预期目标</w:t>
      </w:r>
      <w:r>
        <w:rPr>
          <w:rFonts w:hint="default" w:ascii="Times New Roman" w:hAnsi="Times New Roman" w:cs="Times New Roman"/>
          <w:szCs w:val="30"/>
          <w:highlight w:val="none"/>
          <w:lang w:eastAsia="zh-CN" w:bidi="ar"/>
        </w:rPr>
        <w:t>。</w:t>
      </w:r>
      <w:r>
        <w:rPr>
          <w:rFonts w:hint="default" w:ascii="Times New Roman" w:hAnsi="Times New Roman" w:cs="Times New Roman"/>
          <w:szCs w:val="30"/>
          <w:highlight w:val="none"/>
        </w:rPr>
        <w:t>本项目</w:t>
      </w:r>
      <w:r>
        <w:rPr>
          <w:rFonts w:hint="default" w:ascii="Times New Roman" w:hAnsi="Times New Roman" w:cs="Times New Roman"/>
          <w:szCs w:val="30"/>
          <w:highlight w:val="none"/>
          <w:lang w:bidi="ar"/>
        </w:rPr>
        <w:t>绩效指标总体实现情况良好，基本实现了社区居家养老服务中心运营补助项目的绩效目标，各指标完成情况详见</w:t>
      </w:r>
      <w:r>
        <w:rPr>
          <w:rFonts w:hint="default" w:ascii="Times New Roman" w:hAnsi="Times New Roman" w:cs="Times New Roman"/>
          <w:szCs w:val="30"/>
          <w:highlight w:val="none"/>
          <w:lang w:val="en-US" w:eastAsia="zh-CN" w:bidi="ar"/>
        </w:rPr>
        <w:t>下</w:t>
      </w:r>
      <w:r>
        <w:rPr>
          <w:rFonts w:hint="default" w:ascii="Times New Roman" w:hAnsi="Times New Roman" w:cs="Times New Roman"/>
          <w:szCs w:val="30"/>
          <w:highlight w:val="none"/>
          <w:lang w:bidi="ar"/>
        </w:rPr>
        <w:t>表。</w:t>
      </w:r>
    </w:p>
    <w:p w14:paraId="07CFA2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highlight w:val="none"/>
        </w:rPr>
      </w:pPr>
      <w:r>
        <w:rPr>
          <w:rFonts w:hint="default" w:ascii="Times New Roman" w:hAnsi="Times New Roman" w:eastAsia="黑体" w:cs="Times New Roman"/>
          <w:b w:val="0"/>
          <w:bCs/>
          <w:sz w:val="24"/>
          <w:szCs w:val="24"/>
          <w:highlight w:val="none"/>
        </w:rPr>
        <w:t>表</w:t>
      </w:r>
      <w:r>
        <w:rPr>
          <w:rFonts w:hint="eastAsia" w:ascii="Times New Roman" w:eastAsia="黑体" w:cs="Times New Roman"/>
          <w:b w:val="0"/>
          <w:bCs/>
          <w:sz w:val="24"/>
          <w:szCs w:val="24"/>
          <w:highlight w:val="none"/>
          <w:lang w:val="en-US" w:eastAsia="zh-CN"/>
        </w:rPr>
        <w:t>5</w:t>
      </w:r>
      <w:r>
        <w:rPr>
          <w:rFonts w:hint="eastAsia" w:ascii="Times New Roman" w:hAnsi="Times New Roman" w:eastAsia="黑体" w:cs="Times New Roman"/>
          <w:b w:val="0"/>
          <w:bCs/>
          <w:sz w:val="24"/>
          <w:szCs w:val="24"/>
          <w:highlight w:val="none"/>
          <w:lang w:val="en-US" w:eastAsia="zh-CN"/>
        </w:rPr>
        <w:t xml:space="preserve"> </w:t>
      </w:r>
      <w:r>
        <w:rPr>
          <w:rFonts w:hint="default" w:ascii="Times New Roman" w:hAnsi="Times New Roman" w:eastAsia="黑体" w:cs="Times New Roman"/>
          <w:b w:val="0"/>
          <w:bCs/>
          <w:sz w:val="24"/>
          <w:szCs w:val="24"/>
          <w:highlight w:val="none"/>
        </w:rPr>
        <w:t>绩效指标完成情况表</w:t>
      </w:r>
    </w:p>
    <w:bookmarkEnd w:id="56"/>
    <w:tbl>
      <w:tblPr>
        <w:tblStyle w:val="2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9"/>
        <w:gridCol w:w="744"/>
        <w:gridCol w:w="1504"/>
        <w:gridCol w:w="1044"/>
        <w:gridCol w:w="1080"/>
        <w:gridCol w:w="3644"/>
      </w:tblGrid>
      <w:tr w14:paraId="1D74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blHeader/>
        </w:trPr>
        <w:tc>
          <w:tcPr>
            <w:tcW w:w="18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E50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绩效指标名称</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B89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指标值</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CB3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指标实现情况</w:t>
            </w:r>
          </w:p>
        </w:tc>
        <w:tc>
          <w:tcPr>
            <w:tcW w:w="2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F4D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完成情况说明</w:t>
            </w:r>
          </w:p>
        </w:tc>
      </w:tr>
      <w:tr w14:paraId="4C80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C0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一级指标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A1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二级指标</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894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三级指标</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902E">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highlight w:val="none"/>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E38AC">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highlight w:val="none"/>
                <w:u w:val="none"/>
              </w:rPr>
            </w:pPr>
          </w:p>
        </w:tc>
        <w:tc>
          <w:tcPr>
            <w:tcW w:w="2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24433">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highlight w:val="none"/>
                <w:u w:val="none"/>
              </w:rPr>
            </w:pPr>
          </w:p>
        </w:tc>
      </w:tr>
      <w:tr w14:paraId="7B7F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8CB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产出（35分）</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D7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产出数量</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AB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eastAsia="仿宋" w:cs="Times New Roman"/>
                <w:i w:val="0"/>
                <w:iCs w:val="0"/>
                <w:color w:val="000000"/>
                <w:kern w:val="0"/>
                <w:sz w:val="20"/>
                <w:szCs w:val="20"/>
                <w:highlight w:val="none"/>
                <w:u w:val="none"/>
                <w:lang w:val="en-US" w:eastAsia="zh-CN" w:bidi="ar"/>
              </w:rPr>
              <w:t>补助资金发放完成</w:t>
            </w:r>
            <w:r>
              <w:rPr>
                <w:rFonts w:hint="default" w:ascii="Times New Roman" w:hAnsi="Times New Roman" w:cs="Times New Roman"/>
                <w:i w:val="0"/>
                <w:iCs w:val="0"/>
                <w:color w:val="000000"/>
                <w:kern w:val="0"/>
                <w:sz w:val="20"/>
                <w:szCs w:val="20"/>
                <w:highlight w:val="none"/>
                <w:u w:val="none"/>
                <w:lang w:val="en-US" w:eastAsia="zh-CN" w:bidi="ar"/>
              </w:rPr>
              <w:t>数</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3E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w:t>
            </w:r>
            <w:r>
              <w:rPr>
                <w:rFonts w:hint="default" w:ascii="Times New Roman" w:hAnsi="Times New Roman" w:cs="Times New Roman"/>
                <w:i w:val="0"/>
                <w:iCs w:val="0"/>
                <w:color w:val="000000"/>
                <w:kern w:val="0"/>
                <w:sz w:val="20"/>
                <w:szCs w:val="20"/>
                <w:highlight w:val="none"/>
                <w:u w:val="none"/>
                <w:lang w:val="en-US" w:eastAsia="zh-CN" w:bidi="ar"/>
              </w:rPr>
              <w:t>26</w:t>
            </w:r>
            <w:r>
              <w:rPr>
                <w:rFonts w:hint="default" w:ascii="Times New Roman" w:hAnsi="Times New Roman" w:eastAsia="仿宋" w:cs="Times New Roman"/>
                <w:i w:val="0"/>
                <w:iCs w:val="0"/>
                <w:color w:val="000000"/>
                <w:kern w:val="0"/>
                <w:sz w:val="20"/>
                <w:szCs w:val="20"/>
                <w:highlight w:val="none"/>
                <w:u w:val="none"/>
                <w:lang w:val="en-US" w:eastAsia="zh-CN" w:bidi="ar"/>
              </w:rPr>
              <w:t>个</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E1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cs="Times New Roman"/>
                <w:i w:val="0"/>
                <w:iCs w:val="0"/>
                <w:color w:val="000000"/>
                <w:kern w:val="0"/>
                <w:sz w:val="20"/>
                <w:szCs w:val="20"/>
                <w:highlight w:val="none"/>
                <w:u w:val="none"/>
                <w:lang w:val="en-US" w:eastAsia="zh-CN" w:bidi="ar"/>
              </w:rPr>
              <w:t>24个</w:t>
            </w:r>
          </w:p>
        </w:tc>
        <w:tc>
          <w:tcPr>
            <w:tcW w:w="2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A8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2023年</w:t>
            </w:r>
            <w:r>
              <w:rPr>
                <w:rFonts w:hint="eastAsia" w:ascii="Times New Roman" w:cs="Times New Roman"/>
                <w:i w:val="0"/>
                <w:iCs w:val="0"/>
                <w:color w:val="000000"/>
                <w:kern w:val="0"/>
                <w:sz w:val="20"/>
                <w:szCs w:val="20"/>
                <w:highlight w:val="none"/>
                <w:u w:val="none"/>
                <w:lang w:val="en-US" w:eastAsia="zh-CN" w:bidi="ar"/>
              </w:rPr>
              <w:t>区民政局</w:t>
            </w:r>
            <w:r>
              <w:rPr>
                <w:rFonts w:hint="default" w:ascii="Times New Roman" w:hAnsi="Times New Roman" w:eastAsia="仿宋" w:cs="Times New Roman"/>
                <w:i w:val="0"/>
                <w:iCs w:val="0"/>
                <w:color w:val="000000"/>
                <w:kern w:val="0"/>
                <w:sz w:val="20"/>
                <w:szCs w:val="20"/>
                <w:highlight w:val="none"/>
                <w:u w:val="none"/>
                <w:lang w:val="en-US" w:eastAsia="zh-CN" w:bidi="ar"/>
              </w:rPr>
              <w:t>需对西山区26个居家养老服务中心进行补贴，实际补贴24家。</w:t>
            </w:r>
          </w:p>
        </w:tc>
      </w:tr>
      <w:tr w14:paraId="6AEE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EAB34">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02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产出质量</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13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补助资金发放准确率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24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100%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B7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cs="Times New Roman"/>
                <w:i w:val="0"/>
                <w:iCs w:val="0"/>
                <w:color w:val="000000"/>
                <w:kern w:val="0"/>
                <w:sz w:val="20"/>
                <w:szCs w:val="20"/>
                <w:highlight w:val="none"/>
                <w:u w:val="none"/>
                <w:lang w:val="en-US" w:eastAsia="zh-CN" w:bidi="ar"/>
              </w:rPr>
              <w:t>100%</w:t>
            </w:r>
          </w:p>
        </w:tc>
        <w:tc>
          <w:tcPr>
            <w:tcW w:w="2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4F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除特殊原因未发放的补助外，其余发放的单位均与补助名单一致，无法收到补助的单位则由管辖的街道进行代收。</w:t>
            </w:r>
          </w:p>
        </w:tc>
      </w:tr>
      <w:tr w14:paraId="03C9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E1868">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A5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highlight w:val="none"/>
                <w:u w:val="none"/>
                <w:lang w:val="en-US" w:eastAsia="zh-CN" w:bidi="ar"/>
              </w:rPr>
            </w:pPr>
            <w:r>
              <w:rPr>
                <w:rFonts w:hint="default" w:ascii="Times New Roman" w:hAnsi="Times New Roman" w:eastAsia="仿宋" w:cs="Times New Roman"/>
                <w:i w:val="0"/>
                <w:iCs w:val="0"/>
                <w:color w:val="000000"/>
                <w:kern w:val="0"/>
                <w:sz w:val="20"/>
                <w:szCs w:val="20"/>
                <w:highlight w:val="none"/>
                <w:u w:val="none"/>
                <w:lang w:val="en-US" w:eastAsia="zh-CN" w:bidi="ar"/>
              </w:rPr>
              <w:t>产出质量</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F2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highlight w:val="none"/>
                <w:u w:val="none"/>
                <w:lang w:val="en-US" w:eastAsia="zh-CN" w:bidi="ar"/>
              </w:rPr>
            </w:pPr>
            <w:r>
              <w:rPr>
                <w:rFonts w:hint="default" w:ascii="Times New Roman" w:hAnsi="Times New Roman" w:eastAsia="仿宋" w:cs="Times New Roman"/>
                <w:i w:val="0"/>
                <w:iCs w:val="0"/>
                <w:color w:val="000000"/>
                <w:kern w:val="0"/>
                <w:sz w:val="20"/>
                <w:szCs w:val="20"/>
                <w:highlight w:val="none"/>
                <w:u w:val="none"/>
                <w:lang w:val="en-US" w:eastAsia="zh-CN" w:bidi="ar"/>
              </w:rPr>
              <w:t>评估单位专业性</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B4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专业</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9D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部分达到</w:t>
            </w:r>
          </w:p>
        </w:tc>
        <w:tc>
          <w:tcPr>
            <w:tcW w:w="2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927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根据评估单位提供的《2022年西山区居家养老服务中心运营补助评估报告》，2023年需对西山区26个居家养老服务中心补贴60.2万元，但实际补助单位为24家，补助总金额55.4万元，与评估单位提供的26家缺少两家。一是猫猫箐社区马鞍山小组居家养老服务中心已经暂停运营。二是海口街道白鱼社区居家养老服务中心于2023年5月份才正式投入运营，不属于2022年补贴的范围内。</w:t>
            </w:r>
          </w:p>
        </w:tc>
      </w:tr>
      <w:tr w14:paraId="7063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18B92">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C8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产出时效</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C44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补助资金发放的及时性</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90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及时</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BF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及时</w:t>
            </w:r>
          </w:p>
        </w:tc>
        <w:tc>
          <w:tcPr>
            <w:tcW w:w="2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0F2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区民政局均在通过局办公会及党组会后，30日内完成补助资金的发放。</w:t>
            </w:r>
          </w:p>
          <w:p w14:paraId="033B14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调查问卷中，项目组设置了“资金是否及时到位的问题”，调查对象为居家养老服务中心，根据结论，未出现资金发放不及时的情况。。</w:t>
            </w:r>
          </w:p>
        </w:tc>
      </w:tr>
      <w:tr w14:paraId="4611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FE62D">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447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产出成本</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3E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sz w:val="20"/>
                <w:szCs w:val="20"/>
                <w:highlight w:val="none"/>
                <w:u w:val="none"/>
                <w:lang w:val="en-US" w:eastAsia="zh-CN"/>
              </w:rPr>
              <w:t>成本控制率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48B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100%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56D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100%</w:t>
            </w:r>
          </w:p>
        </w:tc>
        <w:tc>
          <w:tcPr>
            <w:tcW w:w="2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FC7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根据项目基本信息表及本级项目测算表，2023年社区居家养老服务中心运营补助项目计划成本为24.6</w:t>
            </w:r>
            <w:r>
              <w:rPr>
                <w:rFonts w:hint="eastAsia" w:ascii="Times New Roman" w:cs="Times New Roman"/>
                <w:i w:val="0"/>
                <w:iCs w:val="0"/>
                <w:color w:val="000000"/>
                <w:sz w:val="20"/>
                <w:szCs w:val="20"/>
                <w:highlight w:val="none"/>
                <w:u w:val="none"/>
                <w:lang w:val="en-US" w:eastAsia="zh-CN"/>
              </w:rPr>
              <w:t>1</w:t>
            </w:r>
            <w:r>
              <w:rPr>
                <w:rFonts w:hint="default" w:ascii="Times New Roman" w:hAnsi="Times New Roman" w:cs="Times New Roman"/>
                <w:i w:val="0"/>
                <w:iCs w:val="0"/>
                <w:color w:val="000000"/>
                <w:sz w:val="20"/>
                <w:szCs w:val="20"/>
                <w:highlight w:val="none"/>
                <w:u w:val="none"/>
                <w:lang w:val="en-US" w:eastAsia="zh-CN"/>
              </w:rPr>
              <w:t>万元，实际成本为55.4万元。但由于区民政局在申请预算时充分考虑到上年度的结余资金，因此没有申请过多的预算。</w:t>
            </w:r>
          </w:p>
        </w:tc>
      </w:tr>
      <w:tr w14:paraId="04C6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565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效益（30分</w:t>
            </w:r>
            <w:r>
              <w:rPr>
                <w:rFonts w:hint="default" w:ascii="Times New Roman" w:hAnsi="Times New Roman" w:cs="Times New Roman"/>
                <w:i w:val="0"/>
                <w:iCs w:val="0"/>
                <w:color w:val="000000"/>
                <w:kern w:val="0"/>
                <w:sz w:val="20"/>
                <w:szCs w:val="20"/>
                <w:highlight w:val="none"/>
                <w:u w:val="none"/>
                <w:lang w:val="en-US" w:eastAsia="zh-CN" w:bidi="ar"/>
              </w:rPr>
              <w:t>）</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4FB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社会效益</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E1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居家养老服务中心运营支撑情况</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C9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支撑</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92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支撑</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BF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根据评估报告，2022年补助名单中的17家居家养老服务中心在2023年均稳定运行，且在当年度中再次领取了补助资金。</w:t>
            </w:r>
          </w:p>
        </w:tc>
      </w:tr>
      <w:tr w14:paraId="2B3A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A73A">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A9BC3">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35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居家养老服务中心数量提升情况</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C6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提升</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89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提升</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BE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val="en-US" w:eastAsia="zh-CN"/>
              </w:rPr>
              <w:t>项目组对比了本项目两年的补贴名单及评估报告，2022年西山区共有32家居家养老服务中心，2023年西山区共有36家居家养老服务中心，相较上年度新增4家。本项目的实施有效支持了辖区居家养老服务中心的数量提升。</w:t>
            </w:r>
          </w:p>
        </w:tc>
      </w:tr>
      <w:tr w14:paraId="32C9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67FEB">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0637">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89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居家养老服务中心工作人员提升情况</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D69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062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cs="Times New Roman"/>
                <w:i w:val="0"/>
                <w:iCs w:val="0"/>
                <w:color w:val="000000"/>
                <w:sz w:val="20"/>
                <w:szCs w:val="20"/>
                <w:highlight w:val="none"/>
                <w:u w:val="none"/>
                <w:lang w:val="en-US" w:eastAsia="zh-CN"/>
              </w:rPr>
              <w:t>部分提升</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1E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个别居家养老服务中心认为补助资金对于提升工作人员数量的作用较小。</w:t>
            </w:r>
          </w:p>
        </w:tc>
      </w:tr>
      <w:tr w14:paraId="2CFE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7121C">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90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满意度</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D5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居家养老服务中心的满意度</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05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80</w:t>
            </w:r>
            <w:r>
              <w:rPr>
                <w:rFonts w:hint="default" w:ascii="Times New Roman" w:hAnsi="Times New Roman" w:eastAsia="仿宋" w:cs="Times New Roman"/>
                <w:i w:val="0"/>
                <w:iCs w:val="0"/>
                <w:color w:val="000000"/>
                <w:kern w:val="0"/>
                <w:sz w:val="20"/>
                <w:szCs w:val="20"/>
                <w:highlight w:val="none"/>
                <w:u w:val="none"/>
                <w:lang w:val="en-US" w:eastAsia="zh-CN" w:bidi="ar"/>
              </w:rPr>
              <w:t>%</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BD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94%</w:t>
            </w:r>
          </w:p>
        </w:tc>
        <w:tc>
          <w:tcPr>
            <w:tcW w:w="2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0F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本次发放电子问卷</w:t>
            </w:r>
            <w:r>
              <w:rPr>
                <w:rFonts w:hint="default" w:ascii="Times New Roman" w:hAnsi="Times New Roman" w:cs="Times New Roman"/>
                <w:i w:val="0"/>
                <w:iCs w:val="0"/>
                <w:color w:val="000000"/>
                <w:kern w:val="0"/>
                <w:sz w:val="20"/>
                <w:szCs w:val="20"/>
                <w:highlight w:val="none"/>
                <w:u w:val="none"/>
                <w:lang w:val="en-US" w:eastAsia="zh-CN" w:bidi="ar"/>
              </w:rPr>
              <w:t>24</w:t>
            </w:r>
            <w:r>
              <w:rPr>
                <w:rFonts w:hint="default" w:ascii="Times New Roman" w:hAnsi="Times New Roman" w:eastAsia="仿宋" w:cs="Times New Roman"/>
                <w:i w:val="0"/>
                <w:iCs w:val="0"/>
                <w:color w:val="000000"/>
                <w:kern w:val="0"/>
                <w:sz w:val="20"/>
                <w:szCs w:val="20"/>
                <w:highlight w:val="none"/>
                <w:u w:val="none"/>
                <w:lang w:val="en-US" w:eastAsia="zh-CN" w:bidi="ar"/>
              </w:rPr>
              <w:t>份，回收有效问卷</w:t>
            </w:r>
            <w:r>
              <w:rPr>
                <w:rFonts w:hint="default" w:ascii="Times New Roman" w:hAnsi="Times New Roman" w:cs="Times New Roman"/>
                <w:i w:val="0"/>
                <w:iCs w:val="0"/>
                <w:color w:val="000000"/>
                <w:kern w:val="0"/>
                <w:sz w:val="20"/>
                <w:szCs w:val="20"/>
                <w:highlight w:val="none"/>
                <w:u w:val="none"/>
                <w:lang w:val="en-US" w:eastAsia="zh-CN" w:bidi="ar"/>
              </w:rPr>
              <w:t>15</w:t>
            </w:r>
            <w:r>
              <w:rPr>
                <w:rFonts w:hint="default" w:ascii="Times New Roman" w:hAnsi="Times New Roman" w:eastAsia="仿宋" w:cs="Times New Roman"/>
                <w:i w:val="0"/>
                <w:iCs w:val="0"/>
                <w:color w:val="000000"/>
                <w:kern w:val="0"/>
                <w:sz w:val="20"/>
                <w:szCs w:val="20"/>
                <w:highlight w:val="none"/>
                <w:u w:val="none"/>
                <w:lang w:val="en-US" w:eastAsia="zh-CN" w:bidi="ar"/>
              </w:rPr>
              <w:t>份，经项目组统计计算，服务对象满意度为</w:t>
            </w:r>
            <w:r>
              <w:rPr>
                <w:rFonts w:hint="default" w:ascii="Times New Roman" w:hAnsi="Times New Roman" w:cs="Times New Roman"/>
                <w:i w:val="0"/>
                <w:iCs w:val="0"/>
                <w:color w:val="000000"/>
                <w:kern w:val="0"/>
                <w:sz w:val="20"/>
                <w:szCs w:val="20"/>
                <w:highlight w:val="none"/>
                <w:u w:val="none"/>
                <w:lang w:val="en-US" w:eastAsia="zh-CN" w:bidi="ar"/>
              </w:rPr>
              <w:t>94</w:t>
            </w:r>
            <w:r>
              <w:rPr>
                <w:rFonts w:hint="default" w:ascii="Times New Roman" w:hAnsi="Times New Roman" w:eastAsia="仿宋" w:cs="Times New Roman"/>
                <w:i w:val="0"/>
                <w:iCs w:val="0"/>
                <w:color w:val="000000"/>
                <w:kern w:val="0"/>
                <w:sz w:val="20"/>
                <w:szCs w:val="20"/>
                <w:highlight w:val="none"/>
                <w:u w:val="none"/>
                <w:lang w:val="en-US" w:eastAsia="zh-CN" w:bidi="ar"/>
              </w:rPr>
              <w:t>% 。</w:t>
            </w:r>
          </w:p>
        </w:tc>
      </w:tr>
    </w:tbl>
    <w:p w14:paraId="757D65FB">
      <w:pPr>
        <w:pStyle w:val="30"/>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57" w:name="_Toc7440"/>
      <w:r>
        <w:rPr>
          <w:rFonts w:hint="default" w:ascii="Times New Roman" w:hAnsi="Times New Roman" w:cs="Times New Roman"/>
          <w:highlight w:val="none"/>
          <w:lang w:val="en-US" w:eastAsia="zh-CN"/>
        </w:rPr>
        <w:t>四、绩效评价情况分析</w:t>
      </w:r>
      <w:bookmarkEnd w:id="57"/>
    </w:p>
    <w:p w14:paraId="11D6EA4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bookmarkStart w:id="58" w:name="_Toc2767"/>
      <w:bookmarkStart w:id="59" w:name="_Toc14682"/>
      <w:r>
        <w:rPr>
          <w:rFonts w:hint="default" w:ascii="Times New Roman" w:hAnsi="Times New Roman" w:cs="Times New Roman"/>
          <w:kern w:val="2"/>
          <w:sz w:val="30"/>
          <w:szCs w:val="30"/>
          <w:highlight w:val="none"/>
          <w:lang w:val="en-US" w:eastAsia="zh-CN" w:bidi="ar-SA"/>
        </w:rPr>
        <w:t>池砾公司</w:t>
      </w:r>
      <w:r>
        <w:rPr>
          <w:rFonts w:hint="default" w:ascii="Times New Roman" w:hAnsi="Times New Roman" w:eastAsia="仿宋" w:cs="Times New Roman"/>
          <w:kern w:val="2"/>
          <w:sz w:val="30"/>
          <w:szCs w:val="30"/>
          <w:highlight w:val="none"/>
          <w:lang w:val="en-US" w:eastAsia="zh-CN" w:bidi="ar-SA"/>
        </w:rPr>
        <w:t>根据绩效管理基本原则，采用比较法、因素分析法、成本效益分析法、公众评议法等方法，按照《</w:t>
      </w:r>
      <w:r>
        <w:rPr>
          <w:rFonts w:hint="default" w:ascii="Times New Roman" w:hAnsi="Times New Roman" w:cs="Times New Roman"/>
          <w:kern w:val="2"/>
          <w:sz w:val="30"/>
          <w:szCs w:val="30"/>
          <w:highlight w:val="none"/>
          <w:lang w:val="en-US" w:eastAsia="zh-CN" w:bidi="ar-SA"/>
        </w:rPr>
        <w:t>昆明市西山区民政局2023年社区居家养老服务中心运营补助项目绩效评价指标体系</w:t>
      </w:r>
      <w:r>
        <w:rPr>
          <w:rFonts w:hint="default" w:ascii="Times New Roman" w:hAnsi="Times New Roman" w:eastAsia="仿宋" w:cs="Times New Roman"/>
          <w:kern w:val="2"/>
          <w:sz w:val="30"/>
          <w:szCs w:val="30"/>
          <w:highlight w:val="none"/>
          <w:lang w:val="en-US" w:eastAsia="zh-CN" w:bidi="ar-SA"/>
        </w:rPr>
        <w:t>》，对</w:t>
      </w:r>
      <w:r>
        <w:rPr>
          <w:rFonts w:hint="default" w:ascii="Times New Roman" w:hAnsi="Times New Roman" w:cs="Times New Roman"/>
          <w:kern w:val="2"/>
          <w:sz w:val="30"/>
          <w:szCs w:val="30"/>
          <w:highlight w:val="none"/>
          <w:lang w:val="en-US" w:eastAsia="zh-CN" w:bidi="ar-SA"/>
        </w:rPr>
        <w:t>社区居家养老服务中心运营补助项目</w:t>
      </w:r>
      <w:r>
        <w:rPr>
          <w:rFonts w:hint="default" w:ascii="Times New Roman" w:hAnsi="Times New Roman" w:eastAsia="仿宋" w:cs="Times New Roman"/>
          <w:kern w:val="2"/>
          <w:sz w:val="30"/>
          <w:szCs w:val="30"/>
          <w:highlight w:val="none"/>
          <w:lang w:val="en-US" w:eastAsia="zh-CN" w:bidi="ar-SA"/>
        </w:rPr>
        <w:t>的各项指标进行分析，具体内容如下：</w:t>
      </w:r>
      <w:bookmarkEnd w:id="58"/>
      <w:bookmarkEnd w:id="59"/>
    </w:p>
    <w:p w14:paraId="7A207F63">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60" w:name="_Toc11047"/>
      <w:r>
        <w:rPr>
          <w:rFonts w:hint="default" w:ascii="Times New Roman" w:hAnsi="Times New Roman" w:cs="Times New Roman"/>
          <w:highlight w:val="none"/>
        </w:rPr>
        <w:t>（一）</w:t>
      </w:r>
      <w:r>
        <w:rPr>
          <w:rFonts w:hint="default" w:ascii="Times New Roman" w:hAnsi="Times New Roman" w:cs="Times New Roman"/>
          <w:highlight w:val="none"/>
          <w:lang w:val="en-US" w:eastAsia="zh-CN"/>
        </w:rPr>
        <w:t>决策</w:t>
      </w:r>
      <w:r>
        <w:rPr>
          <w:rFonts w:hint="default" w:ascii="Times New Roman" w:hAnsi="Times New Roman" w:cs="Times New Roman"/>
          <w:highlight w:val="none"/>
        </w:rPr>
        <w:t>情况分析</w:t>
      </w:r>
      <w:bookmarkEnd w:id="60"/>
    </w:p>
    <w:p w14:paraId="460EA9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项目决策类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指标包括项目立项、绩效目标和资金投入三个方面，采用6个三级指标进行考察。权重分值15分，绩效评价得分</w:t>
      </w:r>
      <w:r>
        <w:rPr>
          <w:rFonts w:hint="default" w:ascii="Times New Roman" w:hAnsi="Times New Roman" w:cs="Times New Roman"/>
          <w:kern w:val="2"/>
          <w:sz w:val="30"/>
          <w:szCs w:val="30"/>
          <w:highlight w:val="none"/>
          <w:lang w:val="en-US" w:eastAsia="zh-CN" w:bidi="ar-SA"/>
        </w:rPr>
        <w:t>14</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93.33</w:t>
      </w:r>
      <w:r>
        <w:rPr>
          <w:rFonts w:hint="default" w:ascii="Times New Roman" w:hAnsi="Times New Roman" w:eastAsia="仿宋" w:cs="Times New Roman"/>
          <w:kern w:val="2"/>
          <w:sz w:val="30"/>
          <w:szCs w:val="30"/>
          <w:highlight w:val="none"/>
          <w:lang w:val="en-US" w:eastAsia="zh-CN" w:bidi="ar-SA"/>
        </w:rPr>
        <w:t>%。</w:t>
      </w:r>
    </w:p>
    <w:p w14:paraId="6491CE7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1.项目立项</w:t>
      </w:r>
    </w:p>
    <w:p w14:paraId="365384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（1）立项依据充分性</w:t>
      </w:r>
    </w:p>
    <w:p w14:paraId="77A97CA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本项目依据</w:t>
      </w:r>
      <w:r>
        <w:rPr>
          <w:rFonts w:hint="default" w:ascii="Times New Roman" w:hAnsi="Times New Roman" w:eastAsia="仿宋" w:cs="Times New Roman"/>
          <w:b w:val="0"/>
          <w:bCs w:val="0"/>
          <w:kern w:val="30"/>
          <w:sz w:val="30"/>
          <w:szCs w:val="30"/>
          <w:highlight w:val="none"/>
          <w:lang w:val="en-US" w:eastAsia="zh-CN" w:bidi="ar-SA"/>
        </w:rPr>
        <w:t>《昆明市城乡社区居家养老服务设施建设及运营管理实施意见》（昆老办〔2016〕29号）</w:t>
      </w:r>
      <w:r>
        <w:rPr>
          <w:rFonts w:hint="default" w:ascii="Times New Roman" w:hAnsi="Times New Roman" w:cs="Times New Roman"/>
          <w:b w:val="0"/>
          <w:bCs w:val="0"/>
          <w:kern w:val="30"/>
          <w:sz w:val="30"/>
          <w:szCs w:val="30"/>
          <w:highlight w:val="none"/>
          <w:lang w:val="en-US" w:eastAsia="zh-CN" w:bidi="ar-SA"/>
        </w:rPr>
        <w:t>、</w:t>
      </w:r>
      <w:r>
        <w:rPr>
          <w:rFonts w:hint="default" w:ascii="Times New Roman" w:hAnsi="Times New Roman" w:cs="Times New Roman"/>
          <w:szCs w:val="30"/>
          <w:highlight w:val="none"/>
          <w:lang w:val="en-US" w:eastAsia="zh-CN"/>
        </w:rPr>
        <w:t>《昆明市民政局关于申报民办养老服务机构及居家养老服务中心补助的通知》（昆民通〔2020〕41号）</w:t>
      </w:r>
      <w:r>
        <w:rPr>
          <w:rFonts w:hint="default" w:ascii="Times New Roman" w:hAnsi="Times New Roman" w:eastAsia="仿宋" w:cs="Times New Roman"/>
          <w:kern w:val="2"/>
          <w:sz w:val="30"/>
          <w:szCs w:val="30"/>
          <w:highlight w:val="none"/>
          <w:lang w:val="en-US" w:eastAsia="zh-CN" w:bidi="ar-SA"/>
        </w:rPr>
        <w:t>等文件立项，项目立项与国家政策方向一致，符合国家、省级、市级相关政策要求；项目立项与</w:t>
      </w:r>
      <w:r>
        <w:rPr>
          <w:rFonts w:hint="default" w:ascii="Times New Roman" w:hAnsi="Times New Roman" w:cs="Times New Roman"/>
          <w:kern w:val="2"/>
          <w:sz w:val="30"/>
          <w:szCs w:val="30"/>
          <w:highlight w:val="none"/>
          <w:lang w:val="en-US" w:eastAsia="zh-CN" w:bidi="ar-SA"/>
        </w:rPr>
        <w:t>西山区民政局的社会保障科</w:t>
      </w:r>
      <w:r>
        <w:rPr>
          <w:rFonts w:hint="default" w:ascii="Times New Roman" w:hAnsi="Times New Roman" w:eastAsia="仿宋" w:cs="Times New Roman"/>
          <w:kern w:val="2"/>
          <w:sz w:val="30"/>
          <w:szCs w:val="30"/>
          <w:highlight w:val="none"/>
          <w:lang w:val="en-US" w:eastAsia="zh-CN" w:bidi="ar-SA"/>
        </w:rPr>
        <w:t>部门职能职责相关；项目属于公共财政支持范围，符合中央、地方事权支出责任划分原则；与相关部门同类项目或部门内部相关项目不重复。</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42ED033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（2）立项规范性</w:t>
      </w:r>
    </w:p>
    <w:p w14:paraId="5C09C1B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西山区民政局在申报年初部门预算时，对项目进行了同步申报，并填报了项目立项申报表，项目按规定的程序申请设立，提交的文件、材料符合相关要求，项目立项程序规范。因此，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7F9E212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2.绩效目标</w:t>
      </w:r>
    </w:p>
    <w:p w14:paraId="660A21F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（1）绩效目标合理性</w:t>
      </w:r>
    </w:p>
    <w:p w14:paraId="6F86ADDB">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根据项目绩效目标申报表，</w:t>
      </w:r>
      <w:r>
        <w:rPr>
          <w:rFonts w:hint="default" w:ascii="Times New Roman" w:hAnsi="Times New Roman" w:cs="Times New Roman"/>
          <w:kern w:val="2"/>
          <w:sz w:val="30"/>
          <w:szCs w:val="30"/>
          <w:highlight w:val="none"/>
          <w:lang w:val="en-US" w:eastAsia="zh-CN" w:bidi="ar-SA"/>
        </w:rPr>
        <w:t>本项目</w:t>
      </w:r>
      <w:r>
        <w:rPr>
          <w:rFonts w:hint="default" w:ascii="Times New Roman" w:hAnsi="Times New Roman" w:eastAsia="仿宋" w:cs="Times New Roman"/>
          <w:kern w:val="2"/>
          <w:sz w:val="30"/>
          <w:szCs w:val="30"/>
          <w:highlight w:val="none"/>
          <w:lang w:val="en-US" w:eastAsia="zh-CN" w:bidi="ar-SA"/>
        </w:rPr>
        <w:t>的绩效目标与实际工作内容相关，绩效指标涵盖产出数量、质量、时效及效益指标；项目预期产出效益和效果符合正常的业绩水平；目标与预算确定的项目投资额或资金量相匹配。</w:t>
      </w:r>
    </w:p>
    <w:p w14:paraId="45D4BFE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6D9EB1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（2）绩效目标明确性</w:t>
      </w:r>
    </w:p>
    <w:p w14:paraId="2BBF497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根据项目绩效目标申报表，</w:t>
      </w:r>
      <w:r>
        <w:rPr>
          <w:rFonts w:hint="default" w:ascii="Times New Roman" w:hAnsi="Times New Roman" w:cs="Times New Roman"/>
          <w:kern w:val="2"/>
          <w:sz w:val="30"/>
          <w:szCs w:val="30"/>
          <w:highlight w:val="none"/>
          <w:lang w:val="en-US" w:eastAsia="zh-CN" w:bidi="ar-SA"/>
        </w:rPr>
        <w:t>本项目</w:t>
      </w:r>
      <w:r>
        <w:rPr>
          <w:rFonts w:hint="default" w:ascii="Times New Roman" w:hAnsi="Times New Roman" w:eastAsia="仿宋" w:cs="Times New Roman"/>
          <w:kern w:val="2"/>
          <w:sz w:val="30"/>
          <w:szCs w:val="30"/>
          <w:highlight w:val="none"/>
          <w:lang w:val="en-US" w:eastAsia="zh-CN" w:bidi="ar-SA"/>
        </w:rPr>
        <w:t>已将项目绩效目标细化分解为具体的绩效指标，绩效指标涵盖产出数量、质量、时效及效益指标</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但是个别指标编制不够准确，如质量指标编制为“2023年发放城乡居家养老服务中心运营补助资金完成率”，该指标实际应为数量指标，建议按照文件要求，增加对工作过程的考核的质量指标，如“补助资金发放准确性”，用于考核实际发出补贴是否与应补贴名单一致。二是时效指标建议更改为“工作完成及时性”，用于考核项目是否在年度内完成。</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指标分值3分，评价得分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491ECBA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3.资金投入</w:t>
      </w:r>
    </w:p>
    <w:p w14:paraId="4F42263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（1）预算编制科学性</w:t>
      </w:r>
    </w:p>
    <w:p w14:paraId="5929357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本项目主要</w:t>
      </w:r>
      <w:r>
        <w:rPr>
          <w:rFonts w:hint="default" w:ascii="Times New Roman" w:hAnsi="Times New Roman" w:eastAsia="仿宋" w:cs="Times New Roman"/>
          <w:kern w:val="2"/>
          <w:sz w:val="30"/>
          <w:szCs w:val="30"/>
          <w:highlight w:val="none"/>
          <w:lang w:val="en-US" w:eastAsia="zh-CN" w:bidi="ar-SA"/>
        </w:rPr>
        <w:t>根据</w:t>
      </w:r>
      <w:r>
        <w:rPr>
          <w:rFonts w:hint="default" w:ascii="Times New Roman" w:hAnsi="Times New Roman" w:cs="Times New Roman"/>
          <w:szCs w:val="30"/>
          <w:highlight w:val="none"/>
          <w:lang w:val="en-US" w:eastAsia="zh-CN"/>
        </w:rPr>
        <w:t>昆明市民政局发布的《昆明市民政局关于申报民办养老服务机构及居家养老服务中心补助的通知》（昆民通〔2020〕41号），</w:t>
      </w:r>
      <w:r>
        <w:rPr>
          <w:rFonts w:hint="default" w:ascii="Times New Roman" w:hAnsi="Times New Roman" w:cs="Times New Roman"/>
          <w:b w:val="0"/>
          <w:bCs w:val="0"/>
          <w:szCs w:val="30"/>
          <w:highlight w:val="none"/>
          <w:lang w:val="en-US" w:eastAsia="zh-CN"/>
        </w:rPr>
        <w:t>关于“居家养老中心（站）不低于2.4万元的运营经费”的要求，结合历年支出及辖区发展情况进行编制。</w:t>
      </w:r>
      <w:r>
        <w:rPr>
          <w:rFonts w:hint="default" w:ascii="Times New Roman" w:hAnsi="Times New Roman" w:eastAsia="仿宋" w:cs="Times New Roman"/>
          <w:b w:val="0"/>
          <w:bCs w:val="0"/>
          <w:kern w:val="2"/>
          <w:sz w:val="30"/>
          <w:szCs w:val="30"/>
          <w:highlight w:val="none"/>
          <w:lang w:val="en-US" w:eastAsia="zh-CN" w:bidi="ar-SA"/>
        </w:rPr>
        <w:t>本项目预算编制经过科学论证；预算内容与项目内容匹配；预算额度测算依据充分；预算确定的项目投资额或资金</w:t>
      </w:r>
      <w:r>
        <w:rPr>
          <w:rFonts w:hint="default" w:ascii="Times New Roman" w:hAnsi="Times New Roman" w:eastAsia="仿宋" w:cs="Times New Roman"/>
          <w:kern w:val="2"/>
          <w:sz w:val="30"/>
          <w:szCs w:val="30"/>
          <w:highlight w:val="none"/>
          <w:lang w:val="en-US" w:eastAsia="zh-CN" w:bidi="ar-SA"/>
        </w:rPr>
        <w:t>量与工作任务相匹配。</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指标分值3分，评价得分3分。</w:t>
      </w:r>
    </w:p>
    <w:p w14:paraId="42B7DB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（2）资金分配合理性</w:t>
      </w:r>
    </w:p>
    <w:p w14:paraId="512A924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w:t>
      </w:r>
      <w:r>
        <w:rPr>
          <w:rFonts w:hint="default" w:ascii="Times New Roman" w:hAnsi="Times New Roman" w:cs="Times New Roman"/>
          <w:kern w:val="2"/>
          <w:sz w:val="30"/>
          <w:szCs w:val="30"/>
          <w:highlight w:val="none"/>
          <w:lang w:val="en-US" w:eastAsia="zh-CN" w:bidi="ar-SA"/>
        </w:rPr>
        <w:t>评估单位提供的报告以及实际支出名单</w:t>
      </w:r>
      <w:r>
        <w:rPr>
          <w:rFonts w:hint="default" w:ascii="Times New Roman" w:hAnsi="Times New Roman" w:eastAsia="仿宋" w:cs="Times New Roman"/>
          <w:kern w:val="2"/>
          <w:sz w:val="30"/>
          <w:szCs w:val="30"/>
          <w:highlight w:val="none"/>
          <w:lang w:val="en-US" w:eastAsia="zh-CN" w:bidi="ar-SA"/>
        </w:rPr>
        <w:t>等文件，本项目预算资金分配依据充分；资金分配额度合理，与项目单位</w:t>
      </w:r>
      <w:r>
        <w:rPr>
          <w:rFonts w:hint="default" w:ascii="Times New Roman" w:hAnsi="Times New Roman" w:cs="Times New Roman"/>
          <w:kern w:val="2"/>
          <w:sz w:val="30"/>
          <w:szCs w:val="30"/>
          <w:highlight w:val="none"/>
          <w:lang w:val="en-US" w:eastAsia="zh-CN" w:bidi="ar-SA"/>
        </w:rPr>
        <w:t>和</w:t>
      </w:r>
      <w:r>
        <w:rPr>
          <w:rFonts w:hint="default" w:ascii="Times New Roman" w:hAnsi="Times New Roman" w:eastAsia="仿宋" w:cs="Times New Roman"/>
          <w:kern w:val="2"/>
          <w:sz w:val="30"/>
          <w:szCs w:val="30"/>
          <w:highlight w:val="none"/>
          <w:lang w:val="en-US" w:eastAsia="zh-CN" w:bidi="ar-SA"/>
        </w:rPr>
        <w:t>地方实际相适应。</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0B284699">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61" w:name="_Toc11488"/>
      <w:r>
        <w:rPr>
          <w:rFonts w:hint="default" w:ascii="Times New Roman" w:hAnsi="Times New Roman" w:cs="Times New Roman"/>
          <w:highlight w:val="none"/>
        </w:rPr>
        <w:t>（二）过程情况分析</w:t>
      </w:r>
      <w:bookmarkEnd w:id="61"/>
    </w:p>
    <w:p w14:paraId="3A000D3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项目过程类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指标，包括资金管理和组织实施两个方面，采用</w:t>
      </w:r>
      <w:r>
        <w:rPr>
          <w:rFonts w:hint="default" w:ascii="Times New Roman" w:hAnsi="Times New Roman" w:cs="Times New Roman"/>
          <w:kern w:val="2"/>
          <w:sz w:val="30"/>
          <w:szCs w:val="30"/>
          <w:highlight w:val="none"/>
          <w:lang w:val="en-US" w:eastAsia="zh-CN" w:bidi="ar-SA"/>
        </w:rPr>
        <w:t>6</w:t>
      </w:r>
      <w:r>
        <w:rPr>
          <w:rFonts w:hint="default" w:ascii="Times New Roman" w:hAnsi="Times New Roman" w:eastAsia="仿宋" w:cs="Times New Roman"/>
          <w:kern w:val="2"/>
          <w:sz w:val="30"/>
          <w:szCs w:val="30"/>
          <w:highlight w:val="none"/>
          <w:lang w:val="en-US" w:eastAsia="zh-CN" w:bidi="ar-SA"/>
        </w:rPr>
        <w:t>个三级指标进行考察。权重分值20分，绩效评价得分</w:t>
      </w:r>
      <w:r>
        <w:rPr>
          <w:rFonts w:hint="eastAsia" w:ascii="Times New Roman" w:cs="Times New Roman"/>
          <w:kern w:val="2"/>
          <w:sz w:val="30"/>
          <w:szCs w:val="30"/>
          <w:highlight w:val="none"/>
          <w:lang w:val="en-US" w:eastAsia="zh-CN" w:bidi="ar-SA"/>
        </w:rPr>
        <w:t>20</w:t>
      </w:r>
      <w:r>
        <w:rPr>
          <w:rFonts w:hint="default" w:ascii="Times New Roman" w:hAnsi="Times New Roman" w:eastAsia="仿宋" w:cs="Times New Roman"/>
          <w:kern w:val="2"/>
          <w:sz w:val="30"/>
          <w:szCs w:val="30"/>
          <w:highlight w:val="none"/>
          <w:lang w:val="en-US" w:eastAsia="zh-CN" w:bidi="ar-SA"/>
        </w:rPr>
        <w:t>分，得分率为</w:t>
      </w:r>
      <w:r>
        <w:rPr>
          <w:rFonts w:hint="eastAsia" w:ascii="Times New Roman" w:cs="Times New Roman"/>
          <w:kern w:val="2"/>
          <w:sz w:val="30"/>
          <w:szCs w:val="30"/>
          <w:highlight w:val="none"/>
          <w:lang w:val="en-US" w:eastAsia="zh-CN" w:bidi="ar-SA"/>
        </w:rPr>
        <w:t>100</w:t>
      </w:r>
      <w:r>
        <w:rPr>
          <w:rFonts w:hint="default" w:ascii="Times New Roman" w:hAnsi="Times New Roman" w:eastAsia="仿宋" w:cs="Times New Roman"/>
          <w:kern w:val="2"/>
          <w:sz w:val="30"/>
          <w:szCs w:val="30"/>
          <w:highlight w:val="none"/>
          <w:lang w:val="en-US" w:eastAsia="zh-CN" w:bidi="ar-SA"/>
        </w:rPr>
        <w:t>%。</w:t>
      </w:r>
    </w:p>
    <w:p w14:paraId="28041943">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1.资金管理</w:t>
      </w:r>
    </w:p>
    <w:p w14:paraId="7D9FF13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（1）资金到位率</w:t>
      </w:r>
    </w:p>
    <w:p w14:paraId="7136D31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根据项目申报书，本项目202</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年共申报预算资金</w:t>
      </w:r>
      <w:r>
        <w:rPr>
          <w:rFonts w:hint="default" w:ascii="Times New Roman" w:hAnsi="Times New Roman" w:cs="Times New Roman"/>
          <w:kern w:val="2"/>
          <w:sz w:val="30"/>
          <w:szCs w:val="30"/>
          <w:highlight w:val="none"/>
          <w:lang w:val="en-US" w:eastAsia="zh-CN" w:bidi="ar-SA"/>
        </w:rPr>
        <w:t>24.6</w:t>
      </w:r>
      <w:r>
        <w:rPr>
          <w:rFonts w:hint="eastAsia" w:ascii="Times New Roman" w:cs="Times New Roman"/>
          <w:kern w:val="2"/>
          <w:sz w:val="30"/>
          <w:szCs w:val="30"/>
          <w:highlight w:val="none"/>
          <w:lang w:val="en-US" w:eastAsia="zh-CN" w:bidi="ar-SA"/>
        </w:rPr>
        <w:t>1</w:t>
      </w:r>
      <w:r>
        <w:rPr>
          <w:rFonts w:hint="default" w:ascii="Times New Roman" w:hAnsi="Times New Roman" w:eastAsia="仿宋" w:cs="Times New Roman"/>
          <w:kern w:val="2"/>
          <w:sz w:val="30"/>
          <w:szCs w:val="30"/>
          <w:highlight w:val="none"/>
          <w:lang w:val="en-US" w:eastAsia="zh-CN" w:bidi="ar-SA"/>
        </w:rPr>
        <w:t>万元</w:t>
      </w:r>
      <w:r>
        <w:rPr>
          <w:rFonts w:hint="default" w:ascii="Times New Roman" w:hAnsi="Times New Roman" w:cs="Times New Roman"/>
          <w:kern w:val="2"/>
          <w:sz w:val="30"/>
          <w:szCs w:val="30"/>
          <w:highlight w:val="none"/>
          <w:lang w:val="en-US" w:eastAsia="zh-CN" w:bidi="ar-SA"/>
        </w:rPr>
        <w:t>，截至2023年12月31日，本项目实际收到财政资金24.6</w:t>
      </w:r>
      <w:r>
        <w:rPr>
          <w:rFonts w:hint="eastAsia" w:ascii="Times New Roman" w:cs="Times New Roman"/>
          <w:kern w:val="2"/>
          <w:sz w:val="30"/>
          <w:szCs w:val="30"/>
          <w:highlight w:val="none"/>
          <w:lang w:val="en-US" w:eastAsia="zh-CN" w:bidi="ar-SA"/>
        </w:rPr>
        <w:t>1</w:t>
      </w:r>
      <w:r>
        <w:rPr>
          <w:rFonts w:hint="default" w:ascii="Times New Roman" w:hAnsi="Times New Roman" w:cs="Times New Roman"/>
          <w:kern w:val="2"/>
          <w:sz w:val="30"/>
          <w:szCs w:val="30"/>
          <w:highlight w:val="none"/>
          <w:lang w:val="en-US" w:eastAsia="zh-CN" w:bidi="ar-SA"/>
        </w:rPr>
        <w:t>万元</w:t>
      </w: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cs="Times New Roman"/>
          <w:szCs w:val="30"/>
          <w:highlight w:val="none"/>
          <w:lang w:val="en-US" w:eastAsia="zh-CN"/>
        </w:rPr>
        <w:t>资金到位率=（实际到位资金÷预算资金）×100%=（</w:t>
      </w:r>
      <w:r>
        <w:rPr>
          <w:rFonts w:hint="default" w:ascii="Times New Roman" w:hAnsi="Times New Roman" w:cs="Times New Roman"/>
          <w:kern w:val="2"/>
          <w:sz w:val="30"/>
          <w:szCs w:val="30"/>
          <w:highlight w:val="none"/>
          <w:lang w:val="en-US" w:eastAsia="zh-CN" w:bidi="ar-SA"/>
        </w:rPr>
        <w:t>24.6</w:t>
      </w:r>
      <w:r>
        <w:rPr>
          <w:rFonts w:hint="eastAsia" w:ascii="Times New Roman" w:cs="Times New Roman"/>
          <w:kern w:val="2"/>
          <w:sz w:val="30"/>
          <w:szCs w:val="30"/>
          <w:highlight w:val="none"/>
          <w:lang w:val="en-US" w:eastAsia="zh-CN" w:bidi="ar-SA"/>
        </w:rPr>
        <w:t>1</w:t>
      </w:r>
      <w:r>
        <w:rPr>
          <w:rFonts w:hint="default" w:ascii="Times New Roman" w:hAnsi="Times New Roman" w:cs="Times New Roman"/>
          <w:szCs w:val="30"/>
          <w:highlight w:val="none"/>
          <w:lang w:val="en-US" w:eastAsia="zh-CN"/>
        </w:rPr>
        <w:t>÷</w:t>
      </w:r>
      <w:r>
        <w:rPr>
          <w:rFonts w:hint="default" w:ascii="Times New Roman" w:hAnsi="Times New Roman" w:cs="Times New Roman"/>
          <w:kern w:val="2"/>
          <w:sz w:val="30"/>
          <w:szCs w:val="30"/>
          <w:highlight w:val="none"/>
          <w:lang w:val="en-US" w:eastAsia="zh-CN" w:bidi="ar-SA"/>
        </w:rPr>
        <w:t>24.6</w:t>
      </w:r>
      <w:r>
        <w:rPr>
          <w:rFonts w:hint="eastAsia" w:ascii="Times New Roman" w:cs="Times New Roman"/>
          <w:kern w:val="2"/>
          <w:sz w:val="30"/>
          <w:szCs w:val="30"/>
          <w:highlight w:val="none"/>
          <w:lang w:val="en-US" w:eastAsia="zh-CN" w:bidi="ar-SA"/>
        </w:rPr>
        <w:t>1</w:t>
      </w:r>
      <w:r>
        <w:rPr>
          <w:rFonts w:hint="default" w:ascii="Times New Roman" w:hAnsi="Times New Roman" w:cs="Times New Roman"/>
          <w:szCs w:val="30"/>
          <w:highlight w:val="none"/>
          <w:lang w:val="en-US" w:eastAsia="zh-CN"/>
        </w:rPr>
        <w:t>）×100%=100%。</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指标分值3分，评价得分3分。</w:t>
      </w:r>
    </w:p>
    <w:p w14:paraId="17FA247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（2）预算执行率</w:t>
      </w:r>
    </w:p>
    <w:p w14:paraId="778FE2D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根据项目财务资</w:t>
      </w:r>
      <w:r>
        <w:rPr>
          <w:rFonts w:hint="default" w:ascii="Times New Roman" w:hAnsi="Times New Roman" w:eastAsia="仿宋" w:cs="Times New Roman"/>
          <w:b w:val="0"/>
          <w:bCs w:val="0"/>
          <w:kern w:val="2"/>
          <w:sz w:val="30"/>
          <w:szCs w:val="30"/>
          <w:highlight w:val="none"/>
          <w:lang w:val="en-US" w:eastAsia="zh-CN" w:bidi="ar-SA"/>
        </w:rPr>
        <w:t>料，</w:t>
      </w:r>
      <w:r>
        <w:rPr>
          <w:rFonts w:hint="default" w:ascii="Times New Roman" w:hAnsi="Times New Roman" w:cs="Times New Roman"/>
          <w:b w:val="0"/>
          <w:bCs w:val="0"/>
          <w:szCs w:val="30"/>
          <w:highlight w:val="none"/>
          <w:lang w:val="en-US" w:eastAsia="zh-CN"/>
        </w:rPr>
        <w:t>共补助金额55.4万元，资金构成包含2023年预算24.6</w:t>
      </w:r>
      <w:r>
        <w:rPr>
          <w:rFonts w:hint="eastAsia" w:ascii="Times New Roman" w:cs="Times New Roman"/>
          <w:b w:val="0"/>
          <w:bCs w:val="0"/>
          <w:szCs w:val="30"/>
          <w:highlight w:val="none"/>
          <w:lang w:val="en-US" w:eastAsia="zh-CN"/>
        </w:rPr>
        <w:t>1</w:t>
      </w:r>
      <w:r>
        <w:rPr>
          <w:rFonts w:hint="default" w:ascii="Times New Roman" w:hAnsi="Times New Roman" w:cs="Times New Roman"/>
          <w:b w:val="0"/>
          <w:bCs w:val="0"/>
          <w:szCs w:val="30"/>
          <w:highlight w:val="none"/>
          <w:lang w:val="en-US" w:eastAsia="zh-CN"/>
        </w:rPr>
        <w:t>万元（预算执行率100%）以及2022年该项目的结余资金30.79万元</w:t>
      </w:r>
      <w:r>
        <w:rPr>
          <w:rFonts w:hint="default" w:ascii="Times New Roman" w:hAnsi="Times New Roman" w:eastAsia="仿宋" w:cs="Times New Roman"/>
          <w:b w:val="0"/>
          <w:bCs w:val="0"/>
          <w:kern w:val="2"/>
          <w:sz w:val="30"/>
          <w:szCs w:val="30"/>
          <w:highlight w:val="none"/>
          <w:lang w:val="en-US" w:eastAsia="zh-CN" w:bidi="ar-SA"/>
        </w:rPr>
        <w:t>。</w:t>
      </w:r>
      <w:r>
        <w:rPr>
          <w:rFonts w:hint="default" w:ascii="Times New Roman" w:hAnsi="Times New Roman" w:cs="Times New Roman"/>
          <w:b w:val="0"/>
          <w:bCs w:val="0"/>
          <w:kern w:val="2"/>
          <w:sz w:val="30"/>
          <w:szCs w:val="30"/>
          <w:highlight w:val="none"/>
          <w:lang w:val="en-US" w:eastAsia="zh-CN" w:bidi="ar-SA"/>
        </w:rPr>
        <w:t>因</w:t>
      </w:r>
      <w:r>
        <w:rPr>
          <w:rFonts w:hint="default" w:ascii="Times New Roman" w:hAnsi="Times New Roman" w:cs="Times New Roman"/>
          <w:kern w:val="2"/>
          <w:sz w:val="30"/>
          <w:szCs w:val="30"/>
          <w:highlight w:val="none"/>
          <w:lang w:val="en-US" w:eastAsia="zh-CN" w:bidi="ar-SA"/>
        </w:rPr>
        <w:t>此，</w:t>
      </w:r>
      <w:r>
        <w:rPr>
          <w:rFonts w:hint="default" w:ascii="Times New Roman" w:hAnsi="Times New Roman" w:eastAsia="仿宋" w:cs="Times New Roman"/>
          <w:kern w:val="2"/>
          <w:sz w:val="30"/>
          <w:szCs w:val="30"/>
          <w:highlight w:val="none"/>
          <w:lang w:val="en-US" w:eastAsia="zh-CN" w:bidi="ar-SA"/>
        </w:rPr>
        <w:t>指标分值3分，评价得分3分。</w:t>
      </w:r>
    </w:p>
    <w:p w14:paraId="5F4FEBD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（3）资金使用合规性</w:t>
      </w:r>
    </w:p>
    <w:p w14:paraId="70BB319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经项目组现场评价，并查阅项目相关费用支出凭证，</w:t>
      </w:r>
      <w:r>
        <w:rPr>
          <w:rFonts w:hint="default" w:ascii="Times New Roman" w:hAnsi="Times New Roman" w:cs="Times New Roman"/>
          <w:highlight w:val="none"/>
          <w:lang w:val="en-US" w:eastAsia="zh-CN"/>
        </w:rPr>
        <w:t>社区居家养老服务中心运营补助项目</w:t>
      </w:r>
      <w:r>
        <w:rPr>
          <w:rFonts w:hint="default" w:ascii="Times New Roman" w:hAnsi="Times New Roman" w:eastAsia="仿宋" w:cs="Times New Roman"/>
          <w:kern w:val="2"/>
          <w:sz w:val="30"/>
          <w:szCs w:val="30"/>
          <w:highlight w:val="none"/>
          <w:lang w:val="en-US" w:eastAsia="zh-CN" w:bidi="ar-SA"/>
        </w:rPr>
        <w:t>资金使用符合专项资金管理办法的规定，未发现存在截留、挤占、挪用、虚列支出等情况。</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3E2A60B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2.组织实施</w:t>
      </w:r>
    </w:p>
    <w:p w14:paraId="3D8CB89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（1）管理制度健全性</w:t>
      </w:r>
    </w:p>
    <w:p w14:paraId="16DDB54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本项目按照</w:t>
      </w:r>
      <w:r>
        <w:rPr>
          <w:rFonts w:hint="default" w:ascii="Times New Roman" w:hAnsi="Times New Roman" w:cs="Times New Roman"/>
          <w:szCs w:val="30"/>
          <w:highlight w:val="none"/>
          <w:lang w:val="en-US" w:eastAsia="zh-CN"/>
        </w:rPr>
        <w:t>《昆明市民政局关于申报民办养老服务机构及居家养老服务中心补助的通知》（昆民通〔2020〕41号）</w:t>
      </w:r>
      <w:r>
        <w:rPr>
          <w:rFonts w:hint="default" w:ascii="Times New Roman" w:hAnsi="Times New Roman" w:eastAsia="仿宋" w:cs="Times New Roman"/>
          <w:kern w:val="2"/>
          <w:sz w:val="30"/>
          <w:szCs w:val="30"/>
          <w:highlight w:val="none"/>
          <w:lang w:val="en-US" w:eastAsia="zh-CN" w:bidi="ar-SA"/>
        </w:rPr>
        <w:t>执行项目管理，项目管理制度健全，职责分工明确；</w:t>
      </w:r>
      <w:r>
        <w:rPr>
          <w:rFonts w:hint="default" w:ascii="Times New Roman" w:hAnsi="Times New Roman" w:cs="Times New Roman"/>
          <w:kern w:val="2"/>
          <w:sz w:val="30"/>
          <w:szCs w:val="30"/>
          <w:highlight w:val="none"/>
          <w:lang w:val="en-US" w:eastAsia="zh-CN" w:bidi="ar-SA"/>
        </w:rPr>
        <w:t>西山区民政局</w:t>
      </w:r>
      <w:r>
        <w:rPr>
          <w:rFonts w:hint="default" w:ascii="Times New Roman" w:hAnsi="Times New Roman" w:eastAsia="仿宋" w:cs="Times New Roman"/>
          <w:kern w:val="2"/>
          <w:sz w:val="30"/>
          <w:szCs w:val="30"/>
          <w:highlight w:val="none"/>
          <w:lang w:val="en-US" w:eastAsia="zh-CN" w:bidi="ar-SA"/>
        </w:rPr>
        <w:t>严格按照</w:t>
      </w:r>
      <w:r>
        <w:rPr>
          <w:rFonts w:hint="default" w:ascii="Times New Roman" w:hAnsi="Times New Roman" w:cs="Times New Roman"/>
          <w:szCs w:val="30"/>
          <w:highlight w:val="none"/>
          <w:lang w:val="en-US" w:eastAsia="zh-CN"/>
        </w:rPr>
        <w:t>《昆明市西山区民政局财务管理制度》</w:t>
      </w:r>
      <w:r>
        <w:rPr>
          <w:rFonts w:hint="default" w:ascii="Times New Roman" w:hAnsi="Times New Roman" w:eastAsia="仿宋" w:cs="Times New Roman"/>
          <w:kern w:val="2"/>
          <w:sz w:val="30"/>
          <w:szCs w:val="30"/>
          <w:highlight w:val="none"/>
          <w:lang w:val="en-US" w:eastAsia="zh-CN" w:bidi="ar-SA"/>
        </w:rPr>
        <w:t>进行资金管理，财务管理制度合法、合规。</w:t>
      </w:r>
    </w:p>
    <w:p w14:paraId="04BFFA4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因此，指标分值</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分，评价得分</w:t>
      </w:r>
      <w:r>
        <w:rPr>
          <w:rFonts w:hint="eastAsia" w:asci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w:t>
      </w:r>
    </w:p>
    <w:p w14:paraId="1FC54EE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）制度执行有效性</w:t>
      </w:r>
    </w:p>
    <w:p w14:paraId="60F431B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本项目不涉及采购</w:t>
      </w:r>
      <w:r>
        <w:rPr>
          <w:rFonts w:hint="default" w:ascii="Times New Roman" w:hAnsi="Times New Roman" w:cs="Times New Roman"/>
          <w:kern w:val="2"/>
          <w:sz w:val="30"/>
          <w:szCs w:val="30"/>
          <w:highlight w:val="none"/>
          <w:lang w:val="en-US" w:eastAsia="zh-CN" w:bidi="ar-SA"/>
        </w:rPr>
        <w:t>及合同</w:t>
      </w:r>
      <w:r>
        <w:rPr>
          <w:rFonts w:hint="default" w:ascii="Times New Roman" w:hAnsi="Times New Roman" w:eastAsia="仿宋" w:cs="Times New Roman"/>
          <w:kern w:val="2"/>
          <w:sz w:val="30"/>
          <w:szCs w:val="30"/>
          <w:highlight w:val="none"/>
          <w:lang w:val="en-US" w:eastAsia="zh-CN" w:bidi="ar-SA"/>
        </w:rPr>
        <w:t>等工作</w:t>
      </w:r>
      <w:r>
        <w:rPr>
          <w:rFonts w:hint="default" w:ascii="Times New Roman" w:hAnsi="Times New Roman" w:cs="Times New Roman"/>
          <w:kern w:val="2"/>
          <w:sz w:val="30"/>
          <w:szCs w:val="30"/>
          <w:highlight w:val="none"/>
          <w:lang w:val="en-US" w:eastAsia="zh-CN" w:bidi="ar-SA"/>
        </w:rPr>
        <w:t>，主要是根据评估单位的结论对符合补助范围的居家养老中心进行补助资金的发放。</w:t>
      </w:r>
    </w:p>
    <w:p w14:paraId="5060609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szCs w:val="30"/>
          <w:highlight w:val="none"/>
          <w:lang w:val="en-US" w:eastAsia="zh-CN"/>
        </w:rPr>
        <w:t>财务管理方面。根据《昆明市西山区民政局财务管理制度》要求，</w:t>
      </w:r>
      <w:r>
        <w:rPr>
          <w:rFonts w:hint="default" w:ascii="Times New Roman" w:hAnsi="Times New Roman" w:cs="Times New Roman"/>
          <w:b w:val="0"/>
          <w:bCs w:val="0"/>
          <w:szCs w:val="30"/>
          <w:highlight w:val="none"/>
          <w:lang w:val="en-US" w:eastAsia="zh-CN"/>
        </w:rPr>
        <w:t>“10000元以上的开支由局办公会议集体讨论决定，局长审批”。项目组对相应的材料进行了收集，其中，区民政局社保科于2023年11月10日收到评估单位的报告后，于2023年11月29日上报区民政局第20次办公会议。会议明确“拟同意下拨西山区 2022年度社区居家养老服务中心运营补贴26家60.2万元，具体经费拟从上年度上级结余资金和本年度上级补助资金中列支，报局党组研究。”同日，根据局党组会研究，拟同意下拨区2022年度设于居家养老服务中心运营补贴60.2万元</w:t>
      </w:r>
      <w:r>
        <w:rPr>
          <w:rFonts w:hint="default" w:ascii="Times New Roman" w:hAnsi="Times New Roman" w:eastAsia="仿宋" w:cs="Times New Roman"/>
          <w:kern w:val="2"/>
          <w:sz w:val="30"/>
          <w:szCs w:val="30"/>
          <w:highlight w:val="none"/>
          <w:lang w:val="en-US" w:eastAsia="zh-CN" w:bidi="ar-SA"/>
        </w:rPr>
        <w:t>。</w:t>
      </w:r>
    </w:p>
    <w:p w14:paraId="7EA4484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绩效自评方面。区民政局根据绩效工作要求完成绩效自评工作，本项目得分为100分，无需整改。</w:t>
      </w:r>
      <w:r>
        <w:rPr>
          <w:rFonts w:hint="default" w:ascii="Times New Roman" w:hAnsi="Times New Roman" w:eastAsia="仿宋" w:cs="Times New Roman"/>
          <w:kern w:val="2"/>
          <w:sz w:val="30"/>
          <w:szCs w:val="30"/>
          <w:highlight w:val="none"/>
          <w:lang w:val="en-US" w:eastAsia="zh-CN" w:bidi="ar-SA"/>
        </w:rPr>
        <w:t>因此，指标分值</w:t>
      </w:r>
      <w:r>
        <w:rPr>
          <w:rFonts w:hint="default" w:ascii="Times New Roman" w:hAnsi="Times New Roman" w:cs="Times New Roman"/>
          <w:kern w:val="2"/>
          <w:sz w:val="30"/>
          <w:szCs w:val="30"/>
          <w:highlight w:val="none"/>
          <w:lang w:val="en-US" w:eastAsia="zh-CN" w:bidi="ar-SA"/>
        </w:rPr>
        <w:t>6</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6</w:t>
      </w:r>
      <w:r>
        <w:rPr>
          <w:rFonts w:hint="default" w:ascii="Times New Roman" w:hAnsi="Times New Roman" w:eastAsia="仿宋" w:cs="Times New Roman"/>
          <w:kern w:val="2"/>
          <w:sz w:val="30"/>
          <w:szCs w:val="30"/>
          <w:highlight w:val="none"/>
          <w:lang w:val="en-US" w:eastAsia="zh-CN" w:bidi="ar-SA"/>
        </w:rPr>
        <w:t>分。</w:t>
      </w:r>
    </w:p>
    <w:p w14:paraId="1E0BF95F">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62" w:name="_Toc29864"/>
      <w:r>
        <w:rPr>
          <w:rFonts w:hint="default" w:ascii="Times New Roman" w:hAnsi="Times New Roman" w:cs="Times New Roman"/>
          <w:highlight w:val="none"/>
        </w:rPr>
        <w:t>（三）产出情况分析</w:t>
      </w:r>
      <w:bookmarkEnd w:id="62"/>
    </w:p>
    <w:p w14:paraId="79AFCDB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项目产出类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指标，包括产出数量、产出质量、产出时效、产出成本四个方面，采用</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个三级指标</w:t>
      </w:r>
      <w:r>
        <w:rPr>
          <w:rFonts w:hint="default" w:ascii="Times New Roman" w:hAnsi="Times New Roman" w:eastAsia="仿宋" w:cs="Times New Roman"/>
          <w:kern w:val="2"/>
          <w:sz w:val="30"/>
          <w:szCs w:val="30"/>
          <w:highlight w:val="none"/>
          <w:lang w:val="en-US" w:eastAsia="zh-CN" w:bidi="ar-SA"/>
        </w:rPr>
        <w:t>进行考察。权重分值35分，绩效评价得分</w:t>
      </w:r>
      <w:r>
        <w:rPr>
          <w:rFonts w:hint="default" w:ascii="Times New Roman" w:hAnsi="Times New Roman" w:cs="Times New Roman"/>
          <w:kern w:val="2"/>
          <w:sz w:val="30"/>
          <w:szCs w:val="30"/>
          <w:highlight w:val="none"/>
          <w:lang w:val="en-US" w:eastAsia="zh-CN" w:bidi="ar-SA"/>
        </w:rPr>
        <w:t>31</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88.57</w:t>
      </w:r>
      <w:r>
        <w:rPr>
          <w:rFonts w:hint="default" w:ascii="Times New Roman" w:hAnsi="Times New Roman" w:eastAsia="仿宋" w:cs="Times New Roman"/>
          <w:kern w:val="2"/>
          <w:sz w:val="30"/>
          <w:szCs w:val="30"/>
          <w:highlight w:val="none"/>
          <w:lang w:val="en-US" w:eastAsia="zh-CN" w:bidi="ar-SA"/>
        </w:rPr>
        <w:t>%。</w:t>
      </w:r>
    </w:p>
    <w:p w14:paraId="3F1F779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1.产出数量</w:t>
      </w:r>
    </w:p>
    <w:p w14:paraId="676B2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（1）补助资金发放完成率</w:t>
      </w:r>
    </w:p>
    <w:p w14:paraId="0BDED71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cs="Times New Roman"/>
          <w:b w:val="0"/>
          <w:bCs w:val="0"/>
          <w:szCs w:val="30"/>
          <w:highlight w:val="none"/>
          <w:lang w:val="en-US" w:eastAsia="zh-CN"/>
        </w:rPr>
      </w:pPr>
      <w:r>
        <w:rPr>
          <w:rFonts w:hint="default" w:ascii="Times New Roman" w:hAnsi="Times New Roman" w:cs="Times New Roman"/>
          <w:b w:val="0"/>
          <w:bCs w:val="0"/>
          <w:kern w:val="2"/>
          <w:sz w:val="30"/>
          <w:szCs w:val="30"/>
          <w:highlight w:val="none"/>
          <w:lang w:val="en-US" w:eastAsia="zh-CN" w:bidi="ar-SA"/>
        </w:rPr>
        <w:t>根据评估单位提供的《2022年西山区居家养老服务中心运营补助评估报告》、局办公会议及党组会议的会议纪要，2023年需对西山区26个居家养老服务中心进行补贴，实际补贴24家。</w:t>
      </w:r>
      <w:r>
        <w:rPr>
          <w:rFonts w:hint="default" w:ascii="Times New Roman" w:hAnsi="Times New Roman" w:cs="Times New Roman"/>
          <w:b w:val="0"/>
          <w:bCs w:val="0"/>
          <w:szCs w:val="30"/>
          <w:highlight w:val="none"/>
          <w:lang w:val="en-US" w:eastAsia="zh-CN"/>
        </w:rPr>
        <w:t>经核实，缺少的两家分别为猫猫箐社区马鞍山小组居家养老服务中心以及白鱼社区居家养老服务中心，具体未补助原因如下：</w:t>
      </w:r>
    </w:p>
    <w:p w14:paraId="66CA27F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cs="Times New Roman"/>
          <w:b w:val="0"/>
          <w:bCs w:val="0"/>
          <w:szCs w:val="30"/>
          <w:highlight w:val="none"/>
          <w:lang w:val="en-US" w:eastAsia="zh-CN"/>
        </w:rPr>
      </w:pPr>
      <w:r>
        <w:rPr>
          <w:rFonts w:hint="default" w:ascii="Times New Roman" w:hAnsi="Times New Roman" w:cs="Times New Roman"/>
          <w:b w:val="0"/>
          <w:bCs w:val="0"/>
          <w:szCs w:val="30"/>
          <w:highlight w:val="none"/>
          <w:lang w:val="en-US" w:eastAsia="zh-CN"/>
        </w:rPr>
        <w:t>猫猫箐社区马鞍山小组居家养老服务中心：一是由于新冠疫情长时间持续的影响；二是由于居家养老服务中心的运营成本较高，缺乏足够的资金支持；三是社区居家养老服务中心服务设施和服务水平已无法达到相关规定的标准要求。导致猫猫箐社区马鞍山小组居家养老服务中心已经暂停运营，故未领取2022年运营补贴2.4万元。</w:t>
      </w:r>
    </w:p>
    <w:p w14:paraId="440DA364">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rPr>
          <w:rFonts w:hint="default" w:ascii="Times New Roman" w:hAnsi="Times New Roman" w:cs="Times New Roman"/>
          <w:b w:val="0"/>
          <w:bCs w:val="0"/>
          <w:kern w:val="2"/>
          <w:sz w:val="30"/>
          <w:szCs w:val="30"/>
          <w:highlight w:val="none"/>
          <w:lang w:val="en-US" w:eastAsia="zh-CN" w:bidi="ar-SA"/>
        </w:rPr>
      </w:pPr>
      <w:r>
        <w:rPr>
          <w:rFonts w:hint="default" w:ascii="Times New Roman" w:hAnsi="Times New Roman" w:cs="Times New Roman"/>
          <w:b w:val="0"/>
          <w:bCs w:val="0"/>
          <w:szCs w:val="30"/>
          <w:highlight w:val="none"/>
          <w:lang w:val="en-US" w:eastAsia="zh-CN"/>
        </w:rPr>
        <w:t>白鱼社区居家养老服务中心：由于海口街道白鱼社区居家养老服务中心于2023年5月份才正式投入运营，2022年未运营，不符合领取2022年运营补助条件，第三方上门评估的时候已经向第三方老师讲明情况。故未领取 2022年居家养老运营补助2.4万元。</w:t>
      </w:r>
      <w:r>
        <w:rPr>
          <w:rFonts w:hint="default" w:ascii="Times New Roman" w:hAnsi="Times New Roman" w:eastAsia="仿宋" w:cs="Times New Roman"/>
          <w:b w:val="0"/>
          <w:bCs w:val="0"/>
          <w:kern w:val="2"/>
          <w:sz w:val="30"/>
          <w:szCs w:val="30"/>
          <w:highlight w:val="none"/>
          <w:lang w:val="en-US" w:eastAsia="zh-CN" w:bidi="ar-SA"/>
        </w:rPr>
        <w:t>因此，指标分值</w:t>
      </w:r>
      <w:r>
        <w:rPr>
          <w:rFonts w:hint="default" w:ascii="Times New Roman" w:hAnsi="Times New Roman" w:cs="Times New Roman"/>
          <w:b w:val="0"/>
          <w:bCs w:val="0"/>
          <w:kern w:val="2"/>
          <w:sz w:val="30"/>
          <w:szCs w:val="30"/>
          <w:highlight w:val="none"/>
          <w:lang w:val="en-US" w:eastAsia="zh-CN" w:bidi="ar-SA"/>
        </w:rPr>
        <w:t>5</w:t>
      </w:r>
      <w:r>
        <w:rPr>
          <w:rFonts w:hint="default" w:ascii="Times New Roman" w:hAnsi="Times New Roman" w:eastAsia="仿宋" w:cs="Times New Roman"/>
          <w:b w:val="0"/>
          <w:bCs w:val="0"/>
          <w:kern w:val="2"/>
          <w:sz w:val="30"/>
          <w:szCs w:val="30"/>
          <w:highlight w:val="none"/>
          <w:lang w:val="en-US" w:eastAsia="zh-CN" w:bidi="ar-SA"/>
        </w:rPr>
        <w:t>分，评价得分</w:t>
      </w:r>
      <w:r>
        <w:rPr>
          <w:rFonts w:hint="default" w:ascii="Times New Roman" w:hAnsi="Times New Roman" w:cs="Times New Roman"/>
          <w:b w:val="0"/>
          <w:bCs w:val="0"/>
          <w:kern w:val="2"/>
          <w:sz w:val="30"/>
          <w:szCs w:val="30"/>
          <w:highlight w:val="none"/>
          <w:lang w:val="en-US" w:eastAsia="zh-CN" w:bidi="ar-SA"/>
        </w:rPr>
        <w:t>3</w:t>
      </w:r>
      <w:r>
        <w:rPr>
          <w:rFonts w:hint="default" w:ascii="Times New Roman" w:hAnsi="Times New Roman" w:eastAsia="仿宋" w:cs="Times New Roman"/>
          <w:b w:val="0"/>
          <w:bCs w:val="0"/>
          <w:kern w:val="2"/>
          <w:sz w:val="30"/>
          <w:szCs w:val="30"/>
          <w:highlight w:val="none"/>
          <w:lang w:val="en-US" w:eastAsia="zh-CN" w:bidi="ar-SA"/>
        </w:rPr>
        <w:t>分。</w:t>
      </w:r>
    </w:p>
    <w:p w14:paraId="4A16B0B9">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2.产出质量</w:t>
      </w:r>
    </w:p>
    <w:p w14:paraId="2609320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（1）补助资金发放准确率</w:t>
      </w:r>
    </w:p>
    <w:p w14:paraId="1FDC2B4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根据区民政局提供的支出材料，除特殊原因未发放的补助外，其余发放的单位均与补助名单一致，无法收到补助的单位则由管辖的街道进行代收。</w:t>
      </w:r>
      <w:r>
        <w:rPr>
          <w:rFonts w:hint="default" w:ascii="Times New Roman" w:hAnsi="Times New Roman" w:eastAsia="仿宋" w:cs="Times New Roman"/>
          <w:b w:val="0"/>
          <w:bCs w:val="0"/>
          <w:kern w:val="2"/>
          <w:sz w:val="30"/>
          <w:szCs w:val="30"/>
          <w:highlight w:val="none"/>
          <w:lang w:val="en-US" w:eastAsia="zh-CN" w:bidi="ar-SA"/>
        </w:rPr>
        <w:t>因此，指标分值</w:t>
      </w:r>
      <w:r>
        <w:rPr>
          <w:rFonts w:hint="default" w:ascii="Times New Roman" w:hAnsi="Times New Roman" w:cs="Times New Roman"/>
          <w:b w:val="0"/>
          <w:bCs w:val="0"/>
          <w:kern w:val="2"/>
          <w:sz w:val="30"/>
          <w:szCs w:val="30"/>
          <w:highlight w:val="none"/>
          <w:lang w:val="en-US" w:eastAsia="zh-CN" w:bidi="ar-SA"/>
        </w:rPr>
        <w:t>8</w:t>
      </w:r>
      <w:r>
        <w:rPr>
          <w:rFonts w:hint="default" w:ascii="Times New Roman" w:hAnsi="Times New Roman" w:eastAsia="仿宋" w:cs="Times New Roman"/>
          <w:b w:val="0"/>
          <w:bCs w:val="0"/>
          <w:kern w:val="2"/>
          <w:sz w:val="30"/>
          <w:szCs w:val="30"/>
          <w:highlight w:val="none"/>
          <w:lang w:val="en-US" w:eastAsia="zh-CN" w:bidi="ar-SA"/>
        </w:rPr>
        <w:t>分，评价得分</w:t>
      </w:r>
      <w:r>
        <w:rPr>
          <w:rFonts w:hint="default" w:ascii="Times New Roman" w:hAnsi="Times New Roman" w:cs="Times New Roman"/>
          <w:b w:val="0"/>
          <w:bCs w:val="0"/>
          <w:kern w:val="2"/>
          <w:sz w:val="30"/>
          <w:szCs w:val="30"/>
          <w:highlight w:val="none"/>
          <w:lang w:val="en-US" w:eastAsia="zh-CN" w:bidi="ar-SA"/>
        </w:rPr>
        <w:t>8</w:t>
      </w:r>
      <w:r>
        <w:rPr>
          <w:rFonts w:hint="default" w:ascii="Times New Roman" w:hAnsi="Times New Roman" w:eastAsia="仿宋" w:cs="Times New Roman"/>
          <w:b w:val="0"/>
          <w:bCs w:val="0"/>
          <w:kern w:val="2"/>
          <w:sz w:val="30"/>
          <w:szCs w:val="30"/>
          <w:highlight w:val="none"/>
          <w:lang w:val="en-US" w:eastAsia="zh-CN" w:bidi="ar-SA"/>
        </w:rPr>
        <w:t>分。</w:t>
      </w:r>
    </w:p>
    <w:p w14:paraId="120BAF51">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评估单位专业性</w:t>
      </w:r>
    </w:p>
    <w:p w14:paraId="58CBDEA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根据评估单位提供的《2022年西山区居家养老服务中心运营补助评估报告》，2023年需对西山区26个居家养老服务中心补贴60.2万元，但实际补助单位为24家，补助总金额55.4万元，与评估单位提供的26家缺少两家。根据情况说明，猫猫箐社区马鞍山小组居家养老服务中心在考核时已经暂停运营。海口街道白鱼社区居家养老服务中心于2023年5月份才正式投入运营，均不属于2022年补贴的范围内。因此项目组认为评估单位的专业性有待加强。</w:t>
      </w:r>
      <w:r>
        <w:rPr>
          <w:rFonts w:hint="default" w:ascii="Times New Roman" w:hAnsi="Times New Roman" w:eastAsia="仿宋" w:cs="Times New Roman"/>
          <w:b w:val="0"/>
          <w:bCs w:val="0"/>
          <w:kern w:val="2"/>
          <w:sz w:val="30"/>
          <w:szCs w:val="30"/>
          <w:highlight w:val="none"/>
          <w:lang w:val="en-US" w:eastAsia="zh-CN" w:bidi="ar-SA"/>
        </w:rPr>
        <w:t>因此，指标分值</w:t>
      </w:r>
      <w:r>
        <w:rPr>
          <w:rFonts w:hint="default" w:ascii="Times New Roman" w:hAnsi="Times New Roman" w:cs="Times New Roman"/>
          <w:b w:val="0"/>
          <w:bCs w:val="0"/>
          <w:kern w:val="2"/>
          <w:sz w:val="30"/>
          <w:szCs w:val="30"/>
          <w:highlight w:val="none"/>
          <w:lang w:val="en-US" w:eastAsia="zh-CN" w:bidi="ar-SA"/>
        </w:rPr>
        <w:t>7</w:t>
      </w:r>
      <w:r>
        <w:rPr>
          <w:rFonts w:hint="default" w:ascii="Times New Roman" w:hAnsi="Times New Roman" w:eastAsia="仿宋" w:cs="Times New Roman"/>
          <w:b w:val="0"/>
          <w:bCs w:val="0"/>
          <w:kern w:val="2"/>
          <w:sz w:val="30"/>
          <w:szCs w:val="30"/>
          <w:highlight w:val="none"/>
          <w:lang w:val="en-US" w:eastAsia="zh-CN" w:bidi="ar-SA"/>
        </w:rPr>
        <w:t>分，评价得分</w:t>
      </w:r>
      <w:r>
        <w:rPr>
          <w:rFonts w:hint="default" w:ascii="Times New Roman" w:hAnsi="Times New Roman" w:cs="Times New Roman"/>
          <w:b w:val="0"/>
          <w:bCs w:val="0"/>
          <w:kern w:val="2"/>
          <w:sz w:val="30"/>
          <w:szCs w:val="30"/>
          <w:highlight w:val="none"/>
          <w:lang w:val="en-US" w:eastAsia="zh-CN" w:bidi="ar-SA"/>
        </w:rPr>
        <w:t>5</w:t>
      </w:r>
      <w:r>
        <w:rPr>
          <w:rFonts w:hint="default" w:ascii="Times New Roman" w:hAnsi="Times New Roman" w:eastAsia="仿宋" w:cs="Times New Roman"/>
          <w:b w:val="0"/>
          <w:bCs w:val="0"/>
          <w:kern w:val="2"/>
          <w:sz w:val="30"/>
          <w:szCs w:val="30"/>
          <w:highlight w:val="none"/>
          <w:lang w:val="en-US" w:eastAsia="zh-CN" w:bidi="ar-SA"/>
        </w:rPr>
        <w:t>分。</w:t>
      </w:r>
    </w:p>
    <w:p w14:paraId="7671F7A7">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3.产出时效</w:t>
      </w:r>
    </w:p>
    <w:p w14:paraId="2916AF1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（1）补助资金发放的及时性</w:t>
      </w:r>
    </w:p>
    <w:p w14:paraId="4646963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根据回单，区民政局均在通过局办公会及党组会后，30日内完成补助资金的发放。</w:t>
      </w:r>
    </w:p>
    <w:p w14:paraId="7EEEA6A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调查问卷中，项目组设置了“资金是否及时到位的问题”，调查对象为居家养老服务中心，根据结论，未出现资金发放不及时的情况。</w:t>
      </w:r>
      <w:r>
        <w:rPr>
          <w:rFonts w:hint="default" w:ascii="Times New Roman" w:hAnsi="Times New Roman" w:eastAsia="仿宋" w:cs="Times New Roman"/>
          <w:b w:val="0"/>
          <w:bCs w:val="0"/>
          <w:kern w:val="2"/>
          <w:sz w:val="30"/>
          <w:szCs w:val="30"/>
          <w:highlight w:val="none"/>
          <w:lang w:val="en-US" w:eastAsia="zh-CN" w:bidi="ar-SA"/>
        </w:rPr>
        <w:t>因此，指标分值</w:t>
      </w:r>
      <w:r>
        <w:rPr>
          <w:rFonts w:hint="default" w:ascii="Times New Roman" w:hAnsi="Times New Roman" w:cs="Times New Roman"/>
          <w:b w:val="0"/>
          <w:bCs w:val="0"/>
          <w:kern w:val="2"/>
          <w:sz w:val="30"/>
          <w:szCs w:val="30"/>
          <w:highlight w:val="none"/>
          <w:lang w:val="en-US" w:eastAsia="zh-CN" w:bidi="ar-SA"/>
        </w:rPr>
        <w:t>6</w:t>
      </w:r>
      <w:r>
        <w:rPr>
          <w:rFonts w:hint="default" w:ascii="Times New Roman" w:hAnsi="Times New Roman" w:eastAsia="仿宋" w:cs="Times New Roman"/>
          <w:b w:val="0"/>
          <w:bCs w:val="0"/>
          <w:kern w:val="2"/>
          <w:sz w:val="30"/>
          <w:szCs w:val="30"/>
          <w:highlight w:val="none"/>
          <w:lang w:val="en-US" w:eastAsia="zh-CN" w:bidi="ar-SA"/>
        </w:rPr>
        <w:t>分，评价得分</w:t>
      </w:r>
      <w:r>
        <w:rPr>
          <w:rFonts w:hint="default" w:ascii="Times New Roman" w:hAnsi="Times New Roman" w:cs="Times New Roman"/>
          <w:b w:val="0"/>
          <w:bCs w:val="0"/>
          <w:kern w:val="2"/>
          <w:sz w:val="30"/>
          <w:szCs w:val="30"/>
          <w:highlight w:val="none"/>
          <w:lang w:val="en-US" w:eastAsia="zh-CN" w:bidi="ar-SA"/>
        </w:rPr>
        <w:t>6</w:t>
      </w:r>
      <w:r>
        <w:rPr>
          <w:rFonts w:hint="default" w:ascii="Times New Roman" w:hAnsi="Times New Roman" w:eastAsia="仿宋" w:cs="Times New Roman"/>
          <w:b w:val="0"/>
          <w:bCs w:val="0"/>
          <w:kern w:val="2"/>
          <w:sz w:val="30"/>
          <w:szCs w:val="30"/>
          <w:highlight w:val="none"/>
          <w:lang w:val="en-US" w:eastAsia="zh-CN" w:bidi="ar-SA"/>
        </w:rPr>
        <w:t>分。</w:t>
      </w:r>
    </w:p>
    <w:p w14:paraId="7663544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4.产出成本</w:t>
      </w:r>
    </w:p>
    <w:p w14:paraId="5183A9A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eastAsia" w:ascii="Times New Roman" w:cs="Times New Roman"/>
          <w:kern w:val="2"/>
          <w:sz w:val="30"/>
          <w:szCs w:val="30"/>
          <w:highlight w:val="none"/>
          <w:lang w:val="en-US" w:eastAsia="zh-CN" w:bidi="ar-SA"/>
        </w:rPr>
        <w:t>（1）</w:t>
      </w:r>
      <w:r>
        <w:rPr>
          <w:rFonts w:hint="default" w:ascii="Times New Roman" w:hAnsi="Times New Roman" w:cs="Times New Roman"/>
          <w:kern w:val="2"/>
          <w:sz w:val="30"/>
          <w:szCs w:val="30"/>
          <w:highlight w:val="none"/>
          <w:lang w:val="en-US" w:eastAsia="zh-CN" w:bidi="ar-SA"/>
        </w:rPr>
        <w:t>成本控制率</w:t>
      </w:r>
    </w:p>
    <w:p w14:paraId="0DCD260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根据项目基本信息表及本级项目测算表，2023年社区居家养老服务中心运营补助项目计划成本为24.6</w:t>
      </w:r>
      <w:r>
        <w:rPr>
          <w:rFonts w:hint="eastAsia" w:ascii="Times New Roman" w:cs="Times New Roman"/>
          <w:kern w:val="2"/>
          <w:sz w:val="30"/>
          <w:szCs w:val="30"/>
          <w:highlight w:val="none"/>
          <w:lang w:val="en-US" w:eastAsia="zh-CN" w:bidi="ar-SA"/>
        </w:rPr>
        <w:t>1</w:t>
      </w:r>
      <w:r>
        <w:rPr>
          <w:rFonts w:hint="default" w:ascii="Times New Roman" w:hAnsi="Times New Roman" w:cs="Times New Roman"/>
          <w:kern w:val="2"/>
          <w:sz w:val="30"/>
          <w:szCs w:val="30"/>
          <w:highlight w:val="none"/>
          <w:lang w:val="en-US" w:eastAsia="zh-CN" w:bidi="ar-SA"/>
        </w:rPr>
        <w:t>万元，实际成本为55.4万元。成本控制率=[</w:t>
      </w:r>
      <w:r>
        <w:rPr>
          <w:rFonts w:hint="default" w:ascii="Times New Roman" w:hAnsi="Times New Roman" w:cs="Times New Roman"/>
          <w:kern w:val="2"/>
          <w:sz w:val="30"/>
          <w:szCs w:val="30"/>
          <w:highlight w:val="none"/>
          <w:shd w:val="clear" w:fill="auto"/>
          <w:lang w:val="en-US" w:eastAsia="zh-CN" w:bidi="ar-SA"/>
        </w:rPr>
        <w:t>（</w:t>
      </w:r>
      <w:r>
        <w:rPr>
          <w:rFonts w:hint="default" w:ascii="Times New Roman" w:hAnsi="Times New Roman" w:cs="Times New Roman"/>
          <w:kern w:val="2"/>
          <w:sz w:val="30"/>
          <w:szCs w:val="30"/>
          <w:highlight w:val="none"/>
          <w:lang w:val="en-US" w:eastAsia="zh-CN" w:bidi="ar-SA"/>
        </w:rPr>
        <w:t>计划成本-实际成本</w:t>
      </w:r>
      <w:r>
        <w:rPr>
          <w:rFonts w:hint="default" w:ascii="Times New Roman" w:hAnsi="Times New Roman" w:cs="Times New Roman"/>
          <w:kern w:val="2"/>
          <w:sz w:val="30"/>
          <w:szCs w:val="30"/>
          <w:highlight w:val="none"/>
          <w:shd w:val="clear" w:fill="auto"/>
          <w:lang w:val="en-US" w:eastAsia="zh-CN" w:bidi="ar-SA"/>
        </w:rPr>
        <w:t>）</w:t>
      </w:r>
      <w:r>
        <w:rPr>
          <w:rFonts w:hint="default" w:ascii="Times New Roman" w:hAnsi="Times New Roman" w:cs="Times New Roman"/>
          <w:kern w:val="2"/>
          <w:sz w:val="30"/>
          <w:szCs w:val="30"/>
          <w:highlight w:val="none"/>
          <w:lang w:val="en-US" w:eastAsia="zh-CN" w:bidi="ar-SA"/>
        </w:rPr>
        <w:t>÷计划成本]×100%=（24.6</w:t>
      </w:r>
      <w:r>
        <w:rPr>
          <w:rFonts w:hint="eastAsia" w:ascii="Times New Roman" w:cs="Times New Roman"/>
          <w:kern w:val="2"/>
          <w:sz w:val="30"/>
          <w:szCs w:val="30"/>
          <w:highlight w:val="none"/>
          <w:lang w:val="en-US" w:eastAsia="zh-CN" w:bidi="ar-SA"/>
        </w:rPr>
        <w:t>1</w:t>
      </w:r>
      <w:r>
        <w:rPr>
          <w:rFonts w:hint="default" w:ascii="Times New Roman" w:hAnsi="Times New Roman" w:cs="Times New Roman"/>
          <w:kern w:val="2"/>
          <w:sz w:val="30"/>
          <w:szCs w:val="30"/>
          <w:highlight w:val="none"/>
          <w:lang w:val="en-US" w:eastAsia="zh-CN" w:bidi="ar-SA"/>
        </w:rPr>
        <w:t>-55.4）÷24.6</w:t>
      </w:r>
      <w:r>
        <w:rPr>
          <w:rFonts w:hint="eastAsia" w:ascii="Times New Roman" w:cs="Times New Roman"/>
          <w:kern w:val="2"/>
          <w:sz w:val="30"/>
          <w:szCs w:val="30"/>
          <w:highlight w:val="none"/>
          <w:lang w:val="en-US" w:eastAsia="zh-CN" w:bidi="ar-SA"/>
        </w:rPr>
        <w:t>1</w:t>
      </w:r>
      <w:r>
        <w:rPr>
          <w:rFonts w:hint="default" w:ascii="Times New Roman" w:hAnsi="Times New Roman" w:cs="Times New Roman"/>
          <w:kern w:val="2"/>
          <w:sz w:val="30"/>
          <w:szCs w:val="30"/>
          <w:highlight w:val="none"/>
          <w:lang w:val="en-US" w:eastAsia="zh-CN" w:bidi="ar-SA"/>
        </w:rPr>
        <w:t>=-125.13%。但由于区民政局在申请预算时充分考虑到上年度的结余资金，因此没有申请过多的预算。因此本指标不扣分，</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9</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9</w:t>
      </w:r>
      <w:r>
        <w:rPr>
          <w:rFonts w:hint="default" w:ascii="Times New Roman" w:hAnsi="Times New Roman" w:eastAsia="仿宋" w:cs="Times New Roman"/>
          <w:kern w:val="2"/>
          <w:sz w:val="30"/>
          <w:szCs w:val="30"/>
          <w:highlight w:val="none"/>
          <w:lang w:val="en-US" w:eastAsia="zh-CN" w:bidi="ar-SA"/>
        </w:rPr>
        <w:t>分。</w:t>
      </w:r>
    </w:p>
    <w:p w14:paraId="43DF4AF1">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63" w:name="_Toc940"/>
      <w:r>
        <w:rPr>
          <w:rFonts w:hint="default" w:ascii="Times New Roman" w:hAnsi="Times New Roman" w:cs="Times New Roman"/>
          <w:highlight w:val="none"/>
        </w:rPr>
        <w:t>（四）效果情况分析</w:t>
      </w:r>
      <w:bookmarkEnd w:id="63"/>
    </w:p>
    <w:p w14:paraId="5C5C986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w:t>
      </w:r>
      <w:r>
        <w:rPr>
          <w:rFonts w:hint="default" w:ascii="Times New Roman" w:hAnsi="Times New Roman" w:cs="Times New Roman"/>
          <w:kern w:val="2"/>
          <w:sz w:val="30"/>
          <w:szCs w:val="30"/>
          <w:highlight w:val="none"/>
          <w:lang w:val="en-US" w:eastAsia="zh-CN" w:bidi="ar-SA"/>
        </w:rPr>
        <w:t>效果</w:t>
      </w:r>
      <w:r>
        <w:rPr>
          <w:rFonts w:hint="default" w:ascii="Times New Roman" w:hAnsi="Times New Roman" w:eastAsia="仿宋" w:cs="Times New Roman"/>
          <w:kern w:val="2"/>
          <w:sz w:val="30"/>
          <w:szCs w:val="30"/>
          <w:highlight w:val="none"/>
          <w:lang w:val="en-US" w:eastAsia="zh-CN" w:bidi="ar-SA"/>
        </w:rPr>
        <w:t>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w:t>
      </w:r>
      <w:r>
        <w:rPr>
          <w:rFonts w:hint="default" w:ascii="Times New Roman" w:hAnsi="Times New Roman" w:cs="Times New Roman"/>
          <w:kern w:val="2"/>
          <w:sz w:val="30"/>
          <w:szCs w:val="30"/>
          <w:highlight w:val="none"/>
          <w:lang w:val="en-US" w:eastAsia="zh-CN" w:bidi="ar-SA"/>
        </w:rPr>
        <w:t>社会效益和满意度</w:t>
      </w:r>
      <w:r>
        <w:rPr>
          <w:rFonts w:hint="eastAsia" w:ascii="Times New Roman" w:cs="Times New Roman"/>
          <w:kern w:val="2"/>
          <w:sz w:val="30"/>
          <w:szCs w:val="30"/>
          <w:highlight w:val="none"/>
          <w:lang w:val="en-US" w:eastAsia="zh-CN" w:bidi="ar-SA"/>
        </w:rPr>
        <w:t>两</w:t>
      </w:r>
      <w:r>
        <w:rPr>
          <w:rFonts w:hint="default" w:ascii="Times New Roman" w:hAnsi="Times New Roman" w:eastAsia="仿宋" w:cs="Times New Roman"/>
          <w:kern w:val="2"/>
          <w:sz w:val="30"/>
          <w:szCs w:val="30"/>
          <w:highlight w:val="none"/>
          <w:lang w:val="en-US" w:eastAsia="zh-CN" w:bidi="ar-SA"/>
        </w:rPr>
        <w:t>个方面</w:t>
      </w:r>
      <w:r>
        <w:rPr>
          <w:rFonts w:hint="default" w:ascii="Times New Roman" w:hAnsi="Times New Roman" w:eastAsia="仿宋" w:cs="Times New Roman"/>
          <w:kern w:val="2"/>
          <w:sz w:val="30"/>
          <w:szCs w:val="30"/>
          <w:highlight w:val="none"/>
          <w:lang w:val="en-US" w:eastAsia="zh-CN" w:bidi="ar-SA"/>
        </w:rPr>
        <w:t>，采用</w:t>
      </w:r>
      <w:r>
        <w:rPr>
          <w:rFonts w:hint="eastAsia" w:asci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个三级指标进行考察。权重分值3</w:t>
      </w:r>
      <w:r>
        <w:rPr>
          <w:rFonts w:hint="default" w:ascii="Times New Roman" w:hAnsi="Times New Roman" w:cs="Times New Roman"/>
          <w:kern w:val="2"/>
          <w:sz w:val="30"/>
          <w:szCs w:val="30"/>
          <w:highlight w:val="none"/>
          <w:lang w:val="en-US" w:eastAsia="zh-CN" w:bidi="ar-SA"/>
        </w:rPr>
        <w:t>0</w:t>
      </w:r>
      <w:r>
        <w:rPr>
          <w:rFonts w:hint="default" w:ascii="Times New Roman" w:hAnsi="Times New Roman" w:eastAsia="仿宋" w:cs="Times New Roman"/>
          <w:kern w:val="2"/>
          <w:sz w:val="30"/>
          <w:szCs w:val="30"/>
          <w:highlight w:val="none"/>
          <w:lang w:val="en-US" w:eastAsia="zh-CN" w:bidi="ar-SA"/>
        </w:rPr>
        <w:t>分，绩效评价得分</w:t>
      </w:r>
      <w:r>
        <w:rPr>
          <w:rFonts w:hint="default" w:ascii="Times New Roman" w:hAnsi="Times New Roman" w:cs="Times New Roman"/>
          <w:kern w:val="2"/>
          <w:sz w:val="30"/>
          <w:szCs w:val="30"/>
          <w:highlight w:val="none"/>
          <w:lang w:val="en-US" w:eastAsia="zh-CN" w:bidi="ar-SA"/>
        </w:rPr>
        <w:t>29.65</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98.83</w:t>
      </w:r>
      <w:r>
        <w:rPr>
          <w:rFonts w:hint="default" w:ascii="Times New Roman" w:hAnsi="Times New Roman" w:eastAsia="仿宋" w:cs="Times New Roman"/>
          <w:kern w:val="2"/>
          <w:sz w:val="30"/>
          <w:szCs w:val="30"/>
          <w:highlight w:val="none"/>
          <w:lang w:val="en-US" w:eastAsia="zh-CN" w:bidi="ar-SA"/>
        </w:rPr>
        <w:t>%。</w:t>
      </w:r>
    </w:p>
    <w:p w14:paraId="0938F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1.社会效益</w:t>
      </w:r>
    </w:p>
    <w:p w14:paraId="168619E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（1）居家养老服务中心运营支撑情况</w:t>
      </w:r>
    </w:p>
    <w:p w14:paraId="2DA467AA">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szCs w:val="30"/>
          <w:highlight w:val="none"/>
          <w:lang w:val="en-US" w:eastAsia="zh-CN"/>
        </w:rPr>
        <w:t>根据评估报告，2022年补助名单中的17家居家养老服务中心在2023年均稳定运行，且在当年度中再次领取了补助资金。</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w:t>
      </w:r>
    </w:p>
    <w:p w14:paraId="6999F77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（2）居家养老服务中心数量提升情况</w:t>
      </w:r>
    </w:p>
    <w:p w14:paraId="7A0F9F7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项目组对比了本项目两年的补贴名单及评估报告，2022年西山区共有32家居家养老服务中心，2023年西山区共</w:t>
      </w:r>
      <w:r>
        <w:rPr>
          <w:rFonts w:hint="default" w:ascii="Times New Roman" w:hAnsi="Times New Roman" w:cs="Times New Roman"/>
          <w:kern w:val="2"/>
          <w:sz w:val="30"/>
          <w:szCs w:val="30"/>
          <w:highlight w:val="none"/>
          <w:lang w:val="en-US" w:eastAsia="zh-CN" w:bidi="ar-SA"/>
        </w:rPr>
        <w:t>有36家居家养老服务中心，相较上年度新增4家。本项目的实施有效支持了辖区居家养老服务中心的数量提升。因此，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8</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8</w:t>
      </w:r>
      <w:r>
        <w:rPr>
          <w:rFonts w:hint="default" w:ascii="Times New Roman" w:hAnsi="Times New Roman" w:eastAsia="仿宋" w:cs="Times New Roman"/>
          <w:kern w:val="2"/>
          <w:sz w:val="30"/>
          <w:szCs w:val="30"/>
          <w:highlight w:val="none"/>
          <w:lang w:val="en-US" w:eastAsia="zh-CN" w:bidi="ar-SA"/>
        </w:rPr>
        <w:t>分。</w:t>
      </w:r>
    </w:p>
    <w:p w14:paraId="4A201A2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）居家养老服务中心工作人员提升情况</w:t>
      </w:r>
    </w:p>
    <w:p w14:paraId="75D561F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项目组在调查问卷中设置了问题“自2021年至今，该项目是否有效支持您单位工作人员的数量增长?”主要关注补助资金是否能有效促进区域工作人员数量的上升，根据回收的15份调查问卷，有9人认为补助资金有效支撑工作人员数量上涨，5人认为有一定作用，1人认为作用较小。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7</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6.53（（14/15）*7）</w:t>
      </w:r>
      <w:r>
        <w:rPr>
          <w:rFonts w:hint="default" w:ascii="Times New Roman" w:hAnsi="Times New Roman" w:eastAsia="仿宋" w:cs="Times New Roman"/>
          <w:kern w:val="2"/>
          <w:sz w:val="30"/>
          <w:szCs w:val="30"/>
          <w:highlight w:val="none"/>
          <w:lang w:val="en-US" w:eastAsia="zh-CN" w:bidi="ar-SA"/>
        </w:rPr>
        <w:t>分。</w:t>
      </w:r>
    </w:p>
    <w:p w14:paraId="1507538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eastAsia" w:ascii="Times New Roman" w:cs="Times New Roman"/>
          <w:highlight w:val="none"/>
          <w:lang w:val="en-US" w:eastAsia="zh-CN"/>
        </w:rPr>
        <w:t>2</w:t>
      </w:r>
      <w:r>
        <w:rPr>
          <w:rFonts w:hint="default" w:ascii="Times New Roman" w:hAnsi="Times New Roman" w:eastAsia="仿宋" w:cs="Times New Roman"/>
          <w:highlight w:val="none"/>
          <w:lang w:val="en-US" w:eastAsia="zh-CN"/>
        </w:rPr>
        <w:t>.满意度</w:t>
      </w:r>
    </w:p>
    <w:p w14:paraId="2166578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受益对象满意度：本次发放电子问卷共回收有效问卷50份，经项目组统计计算，受益对象满意度为94%。因此，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10</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10</w:t>
      </w:r>
      <w:r>
        <w:rPr>
          <w:rFonts w:hint="default" w:ascii="Times New Roman" w:hAnsi="Times New Roman" w:eastAsia="仿宋" w:cs="Times New Roman"/>
          <w:kern w:val="2"/>
          <w:sz w:val="30"/>
          <w:szCs w:val="30"/>
          <w:highlight w:val="none"/>
          <w:lang w:val="en-US" w:eastAsia="zh-CN" w:bidi="ar-SA"/>
        </w:rPr>
        <w:t>分。</w:t>
      </w:r>
    </w:p>
    <w:p w14:paraId="46AC6891">
      <w:pPr>
        <w:pStyle w:val="30"/>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64" w:name="_Toc31741"/>
      <w:r>
        <w:rPr>
          <w:rFonts w:hint="default" w:ascii="Times New Roman" w:hAnsi="Times New Roman" w:cs="Times New Roman"/>
          <w:highlight w:val="none"/>
          <w:lang w:val="en-US" w:eastAsia="zh-CN"/>
        </w:rPr>
        <w:t>五、存在问题及原因分析</w:t>
      </w:r>
      <w:bookmarkEnd w:id="64"/>
    </w:p>
    <w:p w14:paraId="47957F90">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65" w:name="_Toc17755"/>
      <w:bookmarkStart w:id="66" w:name="_Toc22942"/>
      <w:r>
        <w:rPr>
          <w:rFonts w:hint="default" w:ascii="Times New Roman" w:hAnsi="Times New Roman" w:cs="Times New Roman"/>
          <w:highlight w:val="none"/>
          <w:lang w:val="en-US" w:eastAsia="zh-CN"/>
        </w:rPr>
        <w:t>（一）绩效</w:t>
      </w:r>
      <w:bookmarkEnd w:id="65"/>
      <w:r>
        <w:rPr>
          <w:rFonts w:hint="default" w:ascii="Times New Roman" w:hAnsi="Times New Roman" w:cs="Times New Roman"/>
          <w:highlight w:val="none"/>
          <w:lang w:val="en-US" w:eastAsia="zh-CN"/>
        </w:rPr>
        <w:t>目标编制不准确，绩效管理有待加强</w:t>
      </w:r>
      <w:bookmarkEnd w:id="66"/>
    </w:p>
    <w:p w14:paraId="27FE97A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highlight w:val="none"/>
          <w:lang w:val="en-US" w:eastAsia="zh-CN"/>
        </w:rPr>
      </w:pPr>
      <w:r>
        <w:rPr>
          <w:rFonts w:hint="default" w:ascii="Times New Roman" w:hAnsi="Times New Roman" w:cs="Times New Roman"/>
          <w:kern w:val="2"/>
          <w:sz w:val="30"/>
          <w:szCs w:val="30"/>
          <w:highlight w:val="none"/>
          <w:lang w:val="en-US" w:eastAsia="zh-CN" w:bidi="ar-SA"/>
        </w:rPr>
        <w:t>个别指标编制不够准确，如质量指标的“2023年发放城乡居家养老服务中心运营补助资金完成率”以及时效指标的“完成率”，该指标实际应为数量指标。</w:t>
      </w:r>
    </w:p>
    <w:p w14:paraId="76165AC9">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67" w:name="_Toc8747"/>
      <w:bookmarkStart w:id="68" w:name="_Toc2281"/>
      <w:r>
        <w:rPr>
          <w:rFonts w:hint="default" w:ascii="Times New Roman" w:hAnsi="Times New Roman" w:cs="Times New Roman"/>
          <w:highlight w:val="none"/>
          <w:lang w:val="en-US" w:eastAsia="zh-CN"/>
        </w:rPr>
        <w:t>（二）</w:t>
      </w:r>
      <w:bookmarkEnd w:id="67"/>
      <w:bookmarkEnd w:id="68"/>
      <w:bookmarkStart w:id="69" w:name="_Toc15828"/>
      <w:r>
        <w:rPr>
          <w:rFonts w:hint="default" w:ascii="Times New Roman" w:hAnsi="Times New Roman" w:cs="Times New Roman"/>
          <w:highlight w:val="none"/>
          <w:lang w:val="en-US" w:eastAsia="zh-CN"/>
        </w:rPr>
        <w:t>评估单位专业性有待加强，个别结论充分性不足</w:t>
      </w:r>
      <w:bookmarkEnd w:id="69"/>
    </w:p>
    <w:p w14:paraId="2C84336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kern w:val="2"/>
          <w:sz w:val="30"/>
          <w:szCs w:val="30"/>
          <w:highlight w:val="none"/>
          <w:lang w:val="en-US" w:eastAsia="zh-CN" w:bidi="ar-SA"/>
        </w:rPr>
        <w:t>根据评估单位提供的《2022年西山区居家养老服务中心运营补助评估报告》，2023年需对西山区26个居家养老服务中心补贴60.2万元，但实际补助单位为24家，补助总金额55.4万元，与评估单位提供的26家缺少两家。根据情况说明，猫猫箐社区马鞍山小组居家养老服务中心在考核时已经暂停运营。海口街道白鱼社区居家养老服务中心于2023年5月份才正式投入运营，均不属于2022年补贴的范围内。因此项目组认为评估单位的专业性有待加强。</w:t>
      </w:r>
    </w:p>
    <w:p w14:paraId="629F2E9B">
      <w:pPr>
        <w:pStyle w:val="30"/>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70" w:name="_Toc15537"/>
      <w:r>
        <w:rPr>
          <w:rFonts w:hint="default" w:ascii="Times New Roman" w:hAnsi="Times New Roman" w:cs="Times New Roman"/>
          <w:highlight w:val="none"/>
          <w:lang w:val="en-US" w:eastAsia="zh-CN"/>
        </w:rPr>
        <w:t>六、建议</w:t>
      </w:r>
      <w:bookmarkEnd w:id="70"/>
      <w:bookmarkStart w:id="71" w:name="_Toc4297"/>
    </w:p>
    <w:p w14:paraId="2B7F75D0">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72" w:name="_Toc29232"/>
      <w:r>
        <w:rPr>
          <w:rFonts w:hint="default" w:ascii="Times New Roman" w:hAnsi="Times New Roman" w:cs="Times New Roman"/>
          <w:highlight w:val="none"/>
          <w:lang w:val="en-US" w:eastAsia="zh-CN"/>
        </w:rPr>
        <w:t>（一）加强绩效管理工作，提升单位绩效意识</w:t>
      </w:r>
      <w:bookmarkEnd w:id="71"/>
      <w:bookmarkEnd w:id="72"/>
    </w:p>
    <w:p w14:paraId="44F106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szCs w:val="30"/>
          <w:highlight w:val="none"/>
          <w:lang w:val="en-US" w:eastAsia="zh-CN"/>
        </w:rPr>
      </w:pPr>
      <w:r>
        <w:rPr>
          <w:rFonts w:hint="default" w:ascii="Times New Roman" w:hAnsi="Times New Roman" w:cs="Times New Roman"/>
          <w:szCs w:val="30"/>
          <w:highlight w:val="none"/>
          <w:lang w:val="en-US" w:eastAsia="zh-CN"/>
        </w:rPr>
        <w:t>建议区民政局按照</w:t>
      </w:r>
      <w:r>
        <w:rPr>
          <w:rFonts w:hint="default" w:ascii="Times New Roman" w:hAnsi="Times New Roman" w:eastAsia="仿宋" w:cs="Times New Roman"/>
          <w:kern w:val="2"/>
          <w:sz w:val="30"/>
          <w:szCs w:val="30"/>
          <w:highlight w:val="none"/>
          <w:lang w:val="en-US" w:eastAsia="zh-CN" w:bidi="ar-SA"/>
        </w:rPr>
        <w:t>国家、</w:t>
      </w:r>
      <w:r>
        <w:rPr>
          <w:rFonts w:hint="eastAsia" w:ascii="Times New Roman" w:cs="Times New Roman"/>
          <w:kern w:val="2"/>
          <w:sz w:val="30"/>
          <w:szCs w:val="30"/>
          <w:highlight w:val="none"/>
          <w:lang w:val="en-US" w:eastAsia="zh-CN" w:bidi="ar-SA"/>
        </w:rPr>
        <w:t>云南</w:t>
      </w:r>
      <w:r>
        <w:rPr>
          <w:rFonts w:hint="default" w:ascii="Times New Roman" w:hAnsi="Times New Roman" w:eastAsia="仿宋" w:cs="Times New Roman"/>
          <w:kern w:val="2"/>
          <w:sz w:val="30"/>
          <w:szCs w:val="30"/>
          <w:highlight w:val="none"/>
          <w:lang w:val="en-US" w:eastAsia="zh-CN" w:bidi="ar-SA"/>
        </w:rPr>
        <w:t>省</w:t>
      </w:r>
      <w:r>
        <w:rPr>
          <w:rFonts w:hint="eastAsia" w:ascii="Times New Roman" w:cs="Times New Roman"/>
          <w:kern w:val="2"/>
          <w:sz w:val="30"/>
          <w:szCs w:val="30"/>
          <w:highlight w:val="none"/>
          <w:lang w:val="en-US" w:eastAsia="zh-CN" w:bidi="ar-SA"/>
        </w:rPr>
        <w:t>、昆明市、西山区</w:t>
      </w:r>
      <w:r>
        <w:rPr>
          <w:rFonts w:hint="default" w:ascii="Times New Roman" w:hAnsi="Times New Roman" w:cs="Times New Roman"/>
          <w:szCs w:val="30"/>
          <w:highlight w:val="none"/>
          <w:lang w:val="en-US" w:eastAsia="zh-CN"/>
        </w:rPr>
        <w:t>绩效相关工作要求，严格编制绩效目标表，确保后续指标评价的完整性及整体目标设置的合理性。对于本次项目，质量指标建议调整为</w:t>
      </w:r>
      <w:r>
        <w:rPr>
          <w:rFonts w:hint="default" w:ascii="Times New Roman" w:hAnsi="Times New Roman" w:cs="Times New Roman"/>
          <w:kern w:val="2"/>
          <w:sz w:val="30"/>
          <w:szCs w:val="30"/>
          <w:highlight w:val="none"/>
          <w:lang w:val="en-US" w:eastAsia="zh-CN" w:bidi="ar-SA"/>
        </w:rPr>
        <w:t>“补助资金发放准确性”，用于考核实际发出补贴是否与应补贴名单一致。时效指标建议更改为“工作完成及时性”，用于考核项目是否在年度内完成。</w:t>
      </w:r>
    </w:p>
    <w:p w14:paraId="647E3EE1">
      <w:pPr>
        <w:pStyle w:val="31"/>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73" w:name="_Toc30371"/>
      <w:r>
        <w:rPr>
          <w:rFonts w:hint="default" w:ascii="Times New Roman" w:hAnsi="Times New Roman" w:cs="Times New Roman"/>
          <w:highlight w:val="none"/>
          <w:lang w:val="en-US" w:eastAsia="zh-CN"/>
        </w:rPr>
        <w:t>（二）</w:t>
      </w:r>
      <w:bookmarkEnd w:id="73"/>
      <w:bookmarkStart w:id="74" w:name="_Toc2280"/>
      <w:r>
        <w:rPr>
          <w:rFonts w:hint="default" w:ascii="Times New Roman" w:hAnsi="Times New Roman" w:cs="Times New Roman"/>
          <w:highlight w:val="none"/>
          <w:lang w:val="en-US" w:eastAsia="zh-CN"/>
        </w:rPr>
        <w:t>加强第三方管理要求，提升结论的专业性</w:t>
      </w:r>
      <w:bookmarkEnd w:id="74"/>
    </w:p>
    <w:p w14:paraId="41F44D16">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一是建议区民政局加强采购管理流程，减少“低价中标”的要求，优先考虑符合评估单位要求的投标方，包含过去实施的项目、对评估的理解等。二是建议区民政局加强第三方结论的复核，在报告初稿阶段，应征求各街道或社区的意见，确保符合补贴范围内的居家养老服务中心都能享受到政策的补助和支持，对于不符合补助范围的居家养老中心予以调整。</w:t>
      </w:r>
    </w:p>
    <w:p w14:paraId="0099572D">
      <w:pPr>
        <w:spacing w:line="579" w:lineRule="exact"/>
        <w:ind w:firstLine="630" w:firstLineChars="200"/>
        <w:outlineLvl w:val="9"/>
        <w:rPr>
          <w:rFonts w:hint="default" w:ascii="Times New Roman" w:hAnsi="Times New Roman" w:eastAsia="黑体" w:cs="Times New Roman"/>
          <w:szCs w:val="30"/>
          <w:highlight w:val="none"/>
        </w:rPr>
      </w:pPr>
    </w:p>
    <w:p w14:paraId="1E7D96F2">
      <w:pPr>
        <w:outlineLvl w:val="9"/>
        <w:rPr>
          <w:rFonts w:hint="default" w:ascii="Times New Roman" w:hAnsi="Times New Roman" w:eastAsia="黑体" w:cs="Times New Roman"/>
          <w:szCs w:val="30"/>
          <w:highlight w:val="none"/>
        </w:rPr>
      </w:pPr>
    </w:p>
    <w:p w14:paraId="69B5CE89">
      <w:pPr>
        <w:rPr>
          <w:rFonts w:hint="default" w:ascii="Times New Roman" w:hAnsi="Times New Roman" w:cs="Times New Roman"/>
          <w:b/>
          <w:bCs/>
          <w:szCs w:val="30"/>
          <w:highlight w:val="none"/>
        </w:rPr>
      </w:pPr>
      <w:bookmarkStart w:id="75" w:name="_Hlk525314575"/>
      <w:r>
        <w:rPr>
          <w:rFonts w:hint="default" w:ascii="Times New Roman" w:hAnsi="Times New Roman" w:cs="Times New Roman"/>
          <w:b/>
          <w:bCs/>
          <w:szCs w:val="30"/>
          <w:highlight w:val="none"/>
        </w:rPr>
        <w:br w:type="page"/>
      </w:r>
    </w:p>
    <w:p w14:paraId="5F324A44">
      <w:pPr>
        <w:spacing w:line="579" w:lineRule="exact"/>
        <w:ind w:firstLine="630" w:firstLineChars="200"/>
        <w:rPr>
          <w:rFonts w:hint="default" w:ascii="Times New Roman" w:hAnsi="Times New Roman" w:cs="Times New Roman"/>
          <w:b/>
          <w:bCs/>
          <w:szCs w:val="30"/>
          <w:highlight w:val="none"/>
        </w:rPr>
      </w:pPr>
      <w:r>
        <w:rPr>
          <w:rFonts w:hint="default" w:ascii="Times New Roman" w:hAnsi="Times New Roman" w:cs="Times New Roman"/>
          <w:b/>
          <w:bCs/>
          <w:szCs w:val="30"/>
          <w:highlight w:val="none"/>
        </w:rPr>
        <w:t>附件：</w:t>
      </w:r>
    </w:p>
    <w:p w14:paraId="3A257D34">
      <w:pPr>
        <w:spacing w:line="579" w:lineRule="exact"/>
        <w:ind w:firstLine="630" w:firstLineChars="200"/>
        <w:rPr>
          <w:rFonts w:hint="default" w:ascii="Times New Roman" w:hAnsi="Times New Roman" w:cs="Times New Roman"/>
          <w:szCs w:val="30"/>
          <w:highlight w:val="none"/>
        </w:rPr>
      </w:pPr>
      <w:r>
        <w:rPr>
          <w:rFonts w:hint="default" w:ascii="Times New Roman" w:hAnsi="Times New Roman" w:cs="Times New Roman"/>
          <w:szCs w:val="30"/>
          <w:highlight w:val="none"/>
          <w:lang w:val="en-US" w:eastAsia="zh-CN"/>
        </w:rPr>
        <w:t>附件</w:t>
      </w:r>
      <w:r>
        <w:rPr>
          <w:rFonts w:hint="default" w:ascii="Times New Roman" w:hAnsi="Times New Roman" w:cs="Times New Roman"/>
          <w:szCs w:val="30"/>
          <w:highlight w:val="none"/>
        </w:rPr>
        <w:t>1</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rPr>
        <w:t>社区居家养老服务中心运营补助</w:t>
      </w:r>
      <w:r>
        <w:rPr>
          <w:rFonts w:hint="default" w:ascii="Times New Roman" w:hAnsi="Times New Roman" w:cs="Times New Roman"/>
          <w:szCs w:val="30"/>
          <w:highlight w:val="none"/>
          <w:lang w:val="en-US" w:eastAsia="zh-CN"/>
        </w:rPr>
        <w:t>项目</w:t>
      </w:r>
      <w:r>
        <w:rPr>
          <w:rFonts w:hint="default" w:ascii="Times New Roman" w:hAnsi="Times New Roman" w:cs="Times New Roman"/>
          <w:szCs w:val="30"/>
          <w:highlight w:val="none"/>
        </w:rPr>
        <w:t>绩效目标表</w:t>
      </w:r>
    </w:p>
    <w:p w14:paraId="70D72DB9">
      <w:pPr>
        <w:spacing w:line="579" w:lineRule="exact"/>
        <w:ind w:firstLine="630" w:firstLineChars="200"/>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附件2</w:t>
      </w:r>
      <w:bookmarkStart w:id="76" w:name="_Hlk527019547"/>
      <w:r>
        <w:rPr>
          <w:rFonts w:hint="default" w:ascii="Times New Roman" w:hAnsi="Times New Roman" w:cs="Times New Roman"/>
          <w:szCs w:val="30"/>
          <w:highlight w:val="none"/>
          <w:lang w:val="en-US" w:eastAsia="zh-CN"/>
        </w:rPr>
        <w:t>：</w:t>
      </w:r>
      <w:r>
        <w:rPr>
          <w:rFonts w:hint="default" w:ascii="Times New Roman" w:hAnsi="Times New Roman" w:cs="Times New Roman"/>
          <w:szCs w:val="30"/>
          <w:highlight w:val="none"/>
        </w:rPr>
        <w:t>社区居家养老服务中心运营补助</w:t>
      </w:r>
      <w:r>
        <w:rPr>
          <w:rFonts w:hint="default" w:ascii="Times New Roman" w:hAnsi="Times New Roman" w:cs="Times New Roman"/>
          <w:szCs w:val="30"/>
          <w:highlight w:val="none"/>
          <w:lang w:val="en-US" w:eastAsia="zh-CN"/>
        </w:rPr>
        <w:t>项目绩效评价指标体系</w:t>
      </w:r>
      <w:bookmarkEnd w:id="76"/>
      <w:r>
        <w:rPr>
          <w:rFonts w:hint="default" w:ascii="Times New Roman" w:hAnsi="Times New Roman" w:cs="Times New Roman"/>
          <w:szCs w:val="30"/>
          <w:highlight w:val="none"/>
          <w:lang w:val="en-US" w:eastAsia="zh-CN"/>
        </w:rPr>
        <w:t>表</w:t>
      </w:r>
    </w:p>
    <w:p w14:paraId="61DD8281">
      <w:pPr>
        <w:spacing w:line="579" w:lineRule="exact"/>
        <w:ind w:firstLine="630" w:firstLineChars="200"/>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附件3：</w:t>
      </w:r>
      <w:r>
        <w:rPr>
          <w:rFonts w:hint="default" w:ascii="Times New Roman" w:hAnsi="Times New Roman" w:cs="Times New Roman"/>
          <w:szCs w:val="30"/>
          <w:highlight w:val="none"/>
        </w:rPr>
        <w:t>社区居家养老服务中心运营补助</w:t>
      </w:r>
      <w:r>
        <w:rPr>
          <w:rFonts w:hint="default" w:ascii="Times New Roman" w:hAnsi="Times New Roman" w:cs="Times New Roman"/>
          <w:szCs w:val="30"/>
          <w:highlight w:val="none"/>
          <w:lang w:val="en-US" w:eastAsia="zh-CN"/>
        </w:rPr>
        <w:t>项目调查问卷</w:t>
      </w:r>
    </w:p>
    <w:bookmarkEnd w:id="75"/>
    <w:p w14:paraId="40771698">
      <w:pPr>
        <w:spacing w:line="579" w:lineRule="exact"/>
        <w:ind w:firstLine="630" w:firstLineChars="200"/>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附件</w:t>
      </w:r>
      <w:r>
        <w:rPr>
          <w:rFonts w:hint="eastAsia" w:ascii="Times New Roman" w:cs="Times New Roman"/>
          <w:szCs w:val="30"/>
          <w:highlight w:val="none"/>
          <w:lang w:val="en-US" w:eastAsia="zh-CN"/>
        </w:rPr>
        <w:t>4</w:t>
      </w:r>
      <w:r>
        <w:rPr>
          <w:rFonts w:hint="default" w:ascii="Times New Roman" w:hAnsi="Times New Roman" w:cs="Times New Roman"/>
          <w:szCs w:val="30"/>
          <w:highlight w:val="none"/>
          <w:lang w:val="en-US" w:eastAsia="zh-CN"/>
        </w:rPr>
        <w:t>：</w:t>
      </w:r>
      <w:r>
        <w:rPr>
          <w:rFonts w:hint="eastAsia"/>
          <w:highlight w:val="none"/>
          <w:lang w:val="en-US" w:eastAsia="zh-CN"/>
        </w:rPr>
        <w:t xml:space="preserve"> 绩效评价报告意见反馈表（单位）</w:t>
      </w:r>
    </w:p>
    <w:p w14:paraId="695B2FA2">
      <w:pPr>
        <w:spacing w:line="579" w:lineRule="exact"/>
        <w:ind w:firstLine="630" w:firstLineChars="200"/>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附件</w:t>
      </w:r>
      <w:r>
        <w:rPr>
          <w:rFonts w:hint="eastAsia" w:ascii="Times New Roman" w:cs="Times New Roman"/>
          <w:szCs w:val="30"/>
          <w:highlight w:val="none"/>
          <w:lang w:val="en-US" w:eastAsia="zh-CN"/>
        </w:rPr>
        <w:t>5</w:t>
      </w:r>
      <w:r>
        <w:rPr>
          <w:rFonts w:hint="default" w:ascii="Times New Roman" w:hAnsi="Times New Roman" w:cs="Times New Roman"/>
          <w:szCs w:val="30"/>
          <w:highlight w:val="none"/>
          <w:lang w:val="en-US" w:eastAsia="zh-CN"/>
        </w:rPr>
        <w:t>：</w:t>
      </w:r>
      <w:r>
        <w:rPr>
          <w:rFonts w:hint="eastAsia"/>
          <w:highlight w:val="none"/>
          <w:lang w:val="en-US" w:eastAsia="zh-CN"/>
        </w:rPr>
        <w:t xml:space="preserve"> 绩效评价报告意见反馈表（科室）</w:t>
      </w:r>
    </w:p>
    <w:p w14:paraId="0FFBAFA7">
      <w:pPr>
        <w:pStyle w:val="19"/>
        <w:ind w:left="0" w:leftChars="0" w:firstLine="0" w:firstLineChars="0"/>
        <w:rPr>
          <w:rFonts w:hint="default" w:ascii="Times New Roman" w:hAnsi="Times New Roman" w:cs="Times New Roman"/>
          <w:szCs w:val="30"/>
          <w:highlight w:val="none"/>
          <w:lang w:val="en-US" w:eastAsia="zh-CN"/>
        </w:rPr>
      </w:pPr>
    </w:p>
    <w:p w14:paraId="591BDD25">
      <w:pPr>
        <w:bidi w:val="0"/>
        <w:jc w:val="right"/>
        <w:rPr>
          <w:rFonts w:hint="default" w:ascii="Times New Roman" w:hAnsi="Times New Roman" w:eastAsia="宋体" w:cs="Times New Roman"/>
          <w:kern w:val="30"/>
          <w:sz w:val="21"/>
          <w:szCs w:val="21"/>
          <w:highlight w:val="none"/>
          <w:lang w:val="en-US" w:eastAsia="zh-CN" w:bidi="ar-SA"/>
        </w:rPr>
      </w:pPr>
      <w:r>
        <w:rPr>
          <w:rFonts w:hint="default" w:ascii="Times New Roman" w:hAnsi="Times New Roman" w:cs="Times New Roman"/>
          <w:highlight w:val="none"/>
          <w:lang w:val="en-US" w:eastAsia="zh-CN"/>
        </w:rPr>
        <w:t>昆明池砾项目咨询有限责任公司</w:t>
      </w:r>
    </w:p>
    <w:p w14:paraId="20AD152E">
      <w:pPr>
        <w:pStyle w:val="19"/>
        <w:jc w:val="center"/>
        <w:rPr>
          <w:rFonts w:hint="default" w:ascii="Times New Roman" w:hAnsi="Times New Roman" w:cs="Times New Roman"/>
          <w:szCs w:val="30"/>
          <w:highlight w:val="none"/>
        </w:rPr>
      </w:pPr>
      <w:r>
        <w:rPr>
          <w:rFonts w:hint="default" w:ascii="Times New Roman" w:hAnsi="Times New Roman" w:eastAsia="宋体" w:cs="Times New Roman"/>
          <w:kern w:val="30"/>
          <w:sz w:val="21"/>
          <w:szCs w:val="21"/>
          <w:highlight w:val="none"/>
          <w:lang w:val="en-US" w:eastAsia="zh-CN" w:bidi="ar-SA"/>
        </w:rPr>
        <w:t xml:space="preserve">                                          </w:t>
      </w:r>
      <w:r>
        <w:rPr>
          <w:rFonts w:hint="default" w:ascii="Times New Roman" w:hAnsi="Times New Roman" w:cs="Times New Roman"/>
          <w:szCs w:val="30"/>
          <w:highlight w:val="none"/>
          <w:lang w:val="en-US" w:eastAsia="zh-CN"/>
        </w:rPr>
        <w:t>2024年9月</w:t>
      </w:r>
    </w:p>
    <w:bookmarkEnd w:id="77"/>
    <w:sectPr>
      <w:footerReference r:id="rId8" w:type="default"/>
      <w:footerReference r:id="rId9" w:type="even"/>
      <w:pgSz w:w="11906" w:h="16838"/>
      <w:pgMar w:top="2098" w:right="1474" w:bottom="1985" w:left="1588" w:header="851" w:footer="1474" w:gutter="0"/>
      <w:pgNumType w:fmt="decimal"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E69DBF-D1EC-478A-B3B6-D97DBCAAAD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E243AF2-5BFF-4B40-A916-1D7EA60A5126}"/>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19504C03-BF51-4D7D-9F2D-3BD666D23A72}"/>
  </w:font>
  <w:font w:name="楷体">
    <w:panose1 w:val="02010609060101010101"/>
    <w:charset w:val="86"/>
    <w:family w:val="modern"/>
    <w:pitch w:val="default"/>
    <w:sig w:usb0="800002BF" w:usb1="38CF7CFA" w:usb2="00000016" w:usb3="00000000" w:csb0="00040001" w:csb1="00000000"/>
    <w:embedRegular r:id="rId4" w:fontKey="{C99FAEC9-3D59-4C57-89DF-8F8BF228C322}"/>
  </w:font>
  <w:font w:name="方正小标宋简体">
    <w:panose1 w:val="02000000000000000000"/>
    <w:charset w:val="86"/>
    <w:family w:val="auto"/>
    <w:pitch w:val="default"/>
    <w:sig w:usb0="A00002BF" w:usb1="184F6CFA" w:usb2="00000012" w:usb3="00000000" w:csb0="00040001" w:csb1="00000000"/>
    <w:embedRegular r:id="rId5" w:fontKey="{FC71B8D6-76A2-4902-ADED-53CEC1E0826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B978">
    <w:pPr>
      <w:pStyle w:val="12"/>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5C1A">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15240</wp:posOffset>
              </wp:positionV>
              <wp:extent cx="269875" cy="307975"/>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269875" cy="307975"/>
                      </a:xfrm>
                      <a:prstGeom prst="rect">
                        <a:avLst/>
                      </a:prstGeom>
                      <a:noFill/>
                      <a:ln>
                        <a:noFill/>
                      </a:ln>
                    </wps:spPr>
                    <wps:txbx>
                      <w:txbxContent>
                        <w:p w14:paraId="4B222F1F">
                          <w:pPr>
                            <w:pStyle w:val="12"/>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p>
                      </w:txbxContent>
                    </wps:txbx>
                    <wps:bodyPr vert="horz" lIns="0" tIns="0" rIns="0" bIns="0" anchor="t" anchorCtr="0" upright="0"/>
                  </wps:wsp>
                </a:graphicData>
              </a:graphic>
            </wp:anchor>
          </w:drawing>
        </mc:Choice>
        <mc:Fallback>
          <w:pict>
            <v:shape id="文本框 1031" o:spid="_x0000_s1026" o:spt="202" type="#_x0000_t202" style="position:absolute;left:0pt;margin-top:1.2pt;height:24.25pt;width:21.25pt;mso-position-horizontal:center;mso-position-horizontal-relative:margin;z-index:251661312;mso-width-relative:page;mso-height-relative:page;" filled="f" stroked="f" coordsize="21600,21600" o:gfxdata="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zzYq9QAAAAEAQAADwAAAAAAAAABACAAAAAiAAAA&#10;ZHJzL2Rvd25yZXYueG1sUEsBAhQAFAAAAAgAh07iQHjI/ezSAQAAmQMAAA4AAAAAAAAAAQAgAAAA&#10;IwEAAGRycy9lMm9Eb2MueG1sUEsFBgAAAAAGAAYAWQEAAGcFAAAAAA==&#10;">
              <v:fill on="f" focussize="0,0"/>
              <v:stroke on="f"/>
              <v:imagedata o:title=""/>
              <o:lock v:ext="edit" aspectratio="f"/>
              <v:textbox inset="0mm,0mm,0mm,0mm">
                <w:txbxContent>
                  <w:p w14:paraId="4B222F1F">
                    <w:pPr>
                      <w:pStyle w:val="12"/>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EAE2">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15240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DD35F">
                          <w:pPr>
                            <w:pStyle w:val="12"/>
                            <w:keepNext w:val="0"/>
                            <w:keepLines w:val="0"/>
                            <w:pageBreakBefore w:val="0"/>
                            <w:widowControl w:val="0"/>
                            <w:kinsoku/>
                            <w:wordWrap/>
                            <w:overflowPunct/>
                            <w:topLinePunct w:val="0"/>
                            <w:bidi w:val="0"/>
                            <w:adjustRightInd/>
                            <w:snapToGrid w:val="0"/>
                            <w:jc w:val="center"/>
                            <w:textAlignment w:val="auto"/>
                            <w:rPr>
                              <w:rFonts w:hint="eastAsia" w:ascii="Times New Roman" w:hAnsi="Times New Roman" w:eastAsia="宋体" w:cs="Times New Roman"/>
                              <w:sz w:val="21"/>
                              <w:szCs w:val="21"/>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1.2pt;height:144pt;width:144pt;mso-position-horizontal:center;mso-position-horizontal-relative:margin;mso-wrap-style:none;z-index:251662336;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8Ddl/0wAAAAYBAAAPAAAA&#10;AAAAAAEAIAAAACIAAABkcnMvZG93bnJldi54bWxQSwECFAAUAAAACACHTuJAb8eTNOEBAADBAwAA&#10;DgAAAAAAAAABACAAAAAiAQAAZHJzL2Uyb0RvYy54bWxQSwUGAAAAAAYABgBZAQAAdQUAAAAA&#10;">
              <v:fill on="f" focussize="0,0"/>
              <v:stroke on="f"/>
              <v:imagedata o:title=""/>
              <o:lock v:ext="edit" aspectratio="f"/>
              <v:textbox inset="0mm,0mm,0mm,0mm" style="mso-fit-shape-to-text:t;">
                <w:txbxContent>
                  <w:p w14:paraId="510DD35F">
                    <w:pPr>
                      <w:pStyle w:val="12"/>
                      <w:keepNext w:val="0"/>
                      <w:keepLines w:val="0"/>
                      <w:pageBreakBefore w:val="0"/>
                      <w:widowControl w:val="0"/>
                      <w:kinsoku/>
                      <w:wordWrap/>
                      <w:overflowPunct/>
                      <w:topLinePunct w:val="0"/>
                      <w:bidi w:val="0"/>
                      <w:adjustRightInd/>
                      <w:snapToGrid w:val="0"/>
                      <w:jc w:val="center"/>
                      <w:textAlignment w:val="auto"/>
                      <w:rPr>
                        <w:rFonts w:hint="eastAsia" w:ascii="Times New Roman" w:hAnsi="Times New Roman" w:eastAsia="宋体" w:cs="Times New Roman"/>
                        <w:sz w:val="21"/>
                        <w:szCs w:val="21"/>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0B58">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E9770">
                          <w:pPr>
                            <w:pStyle w:val="1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8Ddl/0wAAAAYBAAAPAAAA&#10;AAAAAAEAIAAAACIAAABkcnMvZG93bnJldi54bWxQSwECFAAUAAAACACHTuJAg5iJueEBAADBAwAA&#10;DgAAAAAAAAABACAAAAAiAQAAZHJzL2Uyb0RvYy54bWxQSwUGAAAAAAYABgBZAQAAdQUAAAAA&#10;">
              <v:fill on="f" focussize="0,0"/>
              <v:stroke on="f"/>
              <v:imagedata o:title=""/>
              <o:lock v:ext="edit" aspectratio="f"/>
              <v:textbox inset="0mm,0mm,0mm,0mm" style="mso-fit-shape-to-text:t;">
                <w:txbxContent>
                  <w:p w14:paraId="124E9770">
                    <w:pPr>
                      <w:pStyle w:val="1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F754">
    <w:pPr>
      <w:pStyle w:val="12"/>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76A5C">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3Zf9MAAAAGAQAADwAAAAAA&#10;AAABACAAAAAiAAAAZHJzL2Rvd25yZXYueG1sUEsBAhQAFAAAAAgAh07iQANlitTfAQAAwQMAAA4A&#10;AAAAAAAAAQAgAAAAIgEAAGRycy9lMm9Eb2MueG1sUEsFBgAAAAAGAAYAWQEAAHMFAAAAAA==&#10;">
              <v:fill on="f" focussize="0,0"/>
              <v:stroke on="f"/>
              <v:imagedata o:title=""/>
              <o:lock v:ext="edit" aspectratio="f"/>
              <v:textbox inset="0mm,0mm,0mm,0mm" style="mso-fit-shape-to-text:t;">
                <w:txbxContent>
                  <w:p w14:paraId="30076A5C">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867E">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r>
      <w:rPr>
        <w:rFonts w:hint="eastAsia"/>
        <w:lang w:val="en-US" w:eastAsia="zh-CN"/>
      </w:rPr>
      <w:br w:type="textWrapping"/>
    </w:r>
  </w:p>
  <w:p w14:paraId="3E6007F3">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sz w:val="21"/>
        <w:szCs w:val="21"/>
      </w:rPr>
    </w:pPr>
    <w:r>
      <w:rPr>
        <w:rFonts w:hint="eastAsia"/>
        <w:lang w:val="en-US" w:eastAsia="zh-CN"/>
      </w:rPr>
      <w:t xml:space="preserve">       昆明市西山区民政局2023年社区居家养老服务中心运营补助项目支出绩效评价报告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A191">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4AC10112">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0DBEA175">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pPr>
    <w:r>
      <w:rPr>
        <w:rFonts w:hint="eastAsia"/>
        <w:lang w:val="en-US" w:eastAsia="zh-CN"/>
      </w:rPr>
      <w:t xml:space="preserve">       昆明市西山区民政局2023年社区居家养老服务中心运营补助项目支出绩效评价报告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996E1"/>
    <w:multiLevelType w:val="singleLevel"/>
    <w:tmpl w:val="054996E1"/>
    <w:lvl w:ilvl="0" w:tentative="0">
      <w:start w:val="1"/>
      <w:numFmt w:val="decimal"/>
      <w:suff w:val="space"/>
      <w:lvlText w:val="%1."/>
      <w:lvlJc w:val="left"/>
    </w:lvl>
  </w:abstractNum>
  <w:abstractNum w:abstractNumId="1">
    <w:nsid w:val="7EB4FB12"/>
    <w:multiLevelType w:val="singleLevel"/>
    <w:tmpl w:val="7EB4FB1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NjMwMDRkNDI2MzY3YWFkOWJjOWEyNjI3ZGViNmEifQ=="/>
  </w:docVars>
  <w:rsids>
    <w:rsidRoot w:val="00763D8D"/>
    <w:rsid w:val="000027B8"/>
    <w:rsid w:val="00003457"/>
    <w:rsid w:val="000053D4"/>
    <w:rsid w:val="000101DC"/>
    <w:rsid w:val="000109E6"/>
    <w:rsid w:val="00011162"/>
    <w:rsid w:val="000163D2"/>
    <w:rsid w:val="00021B6D"/>
    <w:rsid w:val="00022FFA"/>
    <w:rsid w:val="00023FF0"/>
    <w:rsid w:val="000302F4"/>
    <w:rsid w:val="00030BA6"/>
    <w:rsid w:val="00032A27"/>
    <w:rsid w:val="00032BAE"/>
    <w:rsid w:val="000377E6"/>
    <w:rsid w:val="00037F46"/>
    <w:rsid w:val="0004014B"/>
    <w:rsid w:val="00044EEC"/>
    <w:rsid w:val="00046291"/>
    <w:rsid w:val="00046463"/>
    <w:rsid w:val="00050813"/>
    <w:rsid w:val="00073C73"/>
    <w:rsid w:val="00075831"/>
    <w:rsid w:val="000761D2"/>
    <w:rsid w:val="00077515"/>
    <w:rsid w:val="0008006D"/>
    <w:rsid w:val="0008270C"/>
    <w:rsid w:val="00082DC6"/>
    <w:rsid w:val="000910C9"/>
    <w:rsid w:val="000913F5"/>
    <w:rsid w:val="000926D7"/>
    <w:rsid w:val="00093656"/>
    <w:rsid w:val="00095539"/>
    <w:rsid w:val="000A3ED9"/>
    <w:rsid w:val="000A4562"/>
    <w:rsid w:val="000A60AC"/>
    <w:rsid w:val="000C04DE"/>
    <w:rsid w:val="000C0984"/>
    <w:rsid w:val="000C1909"/>
    <w:rsid w:val="000C3CE0"/>
    <w:rsid w:val="000C5033"/>
    <w:rsid w:val="000D71DD"/>
    <w:rsid w:val="000E21D8"/>
    <w:rsid w:val="000E6F75"/>
    <w:rsid w:val="000F1534"/>
    <w:rsid w:val="000F3E60"/>
    <w:rsid w:val="000F46ED"/>
    <w:rsid w:val="000F6595"/>
    <w:rsid w:val="00106A8B"/>
    <w:rsid w:val="001075E2"/>
    <w:rsid w:val="001114F0"/>
    <w:rsid w:val="00114580"/>
    <w:rsid w:val="001146BA"/>
    <w:rsid w:val="00116445"/>
    <w:rsid w:val="00122361"/>
    <w:rsid w:val="00124FFE"/>
    <w:rsid w:val="00125D9C"/>
    <w:rsid w:val="001308E4"/>
    <w:rsid w:val="00142242"/>
    <w:rsid w:val="001439E1"/>
    <w:rsid w:val="00147856"/>
    <w:rsid w:val="00147F84"/>
    <w:rsid w:val="00150F3E"/>
    <w:rsid w:val="001513E5"/>
    <w:rsid w:val="00152B2B"/>
    <w:rsid w:val="001537D8"/>
    <w:rsid w:val="00153BC6"/>
    <w:rsid w:val="00155A7C"/>
    <w:rsid w:val="00157E96"/>
    <w:rsid w:val="0016290B"/>
    <w:rsid w:val="00162B90"/>
    <w:rsid w:val="00167E57"/>
    <w:rsid w:val="001722F7"/>
    <w:rsid w:val="00175976"/>
    <w:rsid w:val="00182613"/>
    <w:rsid w:val="001836BB"/>
    <w:rsid w:val="00183D89"/>
    <w:rsid w:val="001844AE"/>
    <w:rsid w:val="00184577"/>
    <w:rsid w:val="0018788E"/>
    <w:rsid w:val="001905A5"/>
    <w:rsid w:val="001A2410"/>
    <w:rsid w:val="001A2D6F"/>
    <w:rsid w:val="001A644B"/>
    <w:rsid w:val="001A77EE"/>
    <w:rsid w:val="001A7B0F"/>
    <w:rsid w:val="001B4784"/>
    <w:rsid w:val="001D4E03"/>
    <w:rsid w:val="001D58D7"/>
    <w:rsid w:val="001E07CC"/>
    <w:rsid w:val="001E410D"/>
    <w:rsid w:val="001E6E29"/>
    <w:rsid w:val="001E713D"/>
    <w:rsid w:val="001F1285"/>
    <w:rsid w:val="001F1844"/>
    <w:rsid w:val="001F1E4B"/>
    <w:rsid w:val="001F3638"/>
    <w:rsid w:val="001F46E7"/>
    <w:rsid w:val="001F566D"/>
    <w:rsid w:val="00200263"/>
    <w:rsid w:val="00201C2D"/>
    <w:rsid w:val="002115B2"/>
    <w:rsid w:val="00212FA7"/>
    <w:rsid w:val="00217869"/>
    <w:rsid w:val="0021797F"/>
    <w:rsid w:val="00217AA8"/>
    <w:rsid w:val="002229E2"/>
    <w:rsid w:val="0022365E"/>
    <w:rsid w:val="002260C9"/>
    <w:rsid w:val="00226E95"/>
    <w:rsid w:val="00227678"/>
    <w:rsid w:val="00227EAF"/>
    <w:rsid w:val="00230719"/>
    <w:rsid w:val="00230C67"/>
    <w:rsid w:val="00235C5D"/>
    <w:rsid w:val="002422DC"/>
    <w:rsid w:val="00243F53"/>
    <w:rsid w:val="00246276"/>
    <w:rsid w:val="00251346"/>
    <w:rsid w:val="00252898"/>
    <w:rsid w:val="002532A4"/>
    <w:rsid w:val="00254804"/>
    <w:rsid w:val="00254B91"/>
    <w:rsid w:val="002554E5"/>
    <w:rsid w:val="002567E0"/>
    <w:rsid w:val="00256D4E"/>
    <w:rsid w:val="002606F4"/>
    <w:rsid w:val="00274648"/>
    <w:rsid w:val="00277ACC"/>
    <w:rsid w:val="00282CC8"/>
    <w:rsid w:val="00283F38"/>
    <w:rsid w:val="00285265"/>
    <w:rsid w:val="00290595"/>
    <w:rsid w:val="002917E5"/>
    <w:rsid w:val="0029356B"/>
    <w:rsid w:val="002A020A"/>
    <w:rsid w:val="002A1DF7"/>
    <w:rsid w:val="002A5AD2"/>
    <w:rsid w:val="002A6EAA"/>
    <w:rsid w:val="002B3F00"/>
    <w:rsid w:val="002B7B5E"/>
    <w:rsid w:val="002C46F4"/>
    <w:rsid w:val="002C555C"/>
    <w:rsid w:val="002D1D67"/>
    <w:rsid w:val="002D3C45"/>
    <w:rsid w:val="002D498A"/>
    <w:rsid w:val="002D55A2"/>
    <w:rsid w:val="002E06C9"/>
    <w:rsid w:val="002E1041"/>
    <w:rsid w:val="002E280F"/>
    <w:rsid w:val="002E5BDD"/>
    <w:rsid w:val="002E60CA"/>
    <w:rsid w:val="002F4221"/>
    <w:rsid w:val="002F516E"/>
    <w:rsid w:val="002F59F0"/>
    <w:rsid w:val="002F7BE7"/>
    <w:rsid w:val="00301F5D"/>
    <w:rsid w:val="003020B9"/>
    <w:rsid w:val="00307963"/>
    <w:rsid w:val="00307B63"/>
    <w:rsid w:val="003116BB"/>
    <w:rsid w:val="00313C52"/>
    <w:rsid w:val="00321FF5"/>
    <w:rsid w:val="003270CD"/>
    <w:rsid w:val="003305B8"/>
    <w:rsid w:val="0033130B"/>
    <w:rsid w:val="0033489A"/>
    <w:rsid w:val="00337586"/>
    <w:rsid w:val="0033762E"/>
    <w:rsid w:val="0034304B"/>
    <w:rsid w:val="00347579"/>
    <w:rsid w:val="00347950"/>
    <w:rsid w:val="00353796"/>
    <w:rsid w:val="003568A8"/>
    <w:rsid w:val="00357576"/>
    <w:rsid w:val="0036565B"/>
    <w:rsid w:val="00365B28"/>
    <w:rsid w:val="00371BB6"/>
    <w:rsid w:val="00371CAA"/>
    <w:rsid w:val="00375AF4"/>
    <w:rsid w:val="003761AE"/>
    <w:rsid w:val="00376534"/>
    <w:rsid w:val="00376A60"/>
    <w:rsid w:val="00380118"/>
    <w:rsid w:val="003807BD"/>
    <w:rsid w:val="00381F0D"/>
    <w:rsid w:val="0038336A"/>
    <w:rsid w:val="00384495"/>
    <w:rsid w:val="00392745"/>
    <w:rsid w:val="00393295"/>
    <w:rsid w:val="003A3987"/>
    <w:rsid w:val="003A5711"/>
    <w:rsid w:val="003A6AB4"/>
    <w:rsid w:val="003B2603"/>
    <w:rsid w:val="003B355C"/>
    <w:rsid w:val="003B5FE1"/>
    <w:rsid w:val="003B74B5"/>
    <w:rsid w:val="003D112A"/>
    <w:rsid w:val="003D12B5"/>
    <w:rsid w:val="003D2104"/>
    <w:rsid w:val="003D35C0"/>
    <w:rsid w:val="003D6830"/>
    <w:rsid w:val="003E0E49"/>
    <w:rsid w:val="003E28AB"/>
    <w:rsid w:val="003E37CD"/>
    <w:rsid w:val="003F1515"/>
    <w:rsid w:val="003F16E7"/>
    <w:rsid w:val="003F402E"/>
    <w:rsid w:val="003F6354"/>
    <w:rsid w:val="00400D06"/>
    <w:rsid w:val="0040239B"/>
    <w:rsid w:val="00402CE7"/>
    <w:rsid w:val="00405226"/>
    <w:rsid w:val="00405C75"/>
    <w:rsid w:val="00406D6A"/>
    <w:rsid w:val="00420BEC"/>
    <w:rsid w:val="0042251D"/>
    <w:rsid w:val="00426FE5"/>
    <w:rsid w:val="004272A6"/>
    <w:rsid w:val="0043119F"/>
    <w:rsid w:val="00433CAA"/>
    <w:rsid w:val="00436B3B"/>
    <w:rsid w:val="00437980"/>
    <w:rsid w:val="004401ED"/>
    <w:rsid w:val="00440843"/>
    <w:rsid w:val="0044349C"/>
    <w:rsid w:val="00452585"/>
    <w:rsid w:val="00452895"/>
    <w:rsid w:val="00453319"/>
    <w:rsid w:val="004542C8"/>
    <w:rsid w:val="004549D1"/>
    <w:rsid w:val="00457099"/>
    <w:rsid w:val="00460E4C"/>
    <w:rsid w:val="00462343"/>
    <w:rsid w:val="00464A91"/>
    <w:rsid w:val="00465B8C"/>
    <w:rsid w:val="004671F2"/>
    <w:rsid w:val="00472258"/>
    <w:rsid w:val="00474787"/>
    <w:rsid w:val="0048081D"/>
    <w:rsid w:val="0048089A"/>
    <w:rsid w:val="004811D4"/>
    <w:rsid w:val="004839EA"/>
    <w:rsid w:val="00484612"/>
    <w:rsid w:val="004860CD"/>
    <w:rsid w:val="004866EA"/>
    <w:rsid w:val="004949AC"/>
    <w:rsid w:val="004A0A75"/>
    <w:rsid w:val="004A3DDB"/>
    <w:rsid w:val="004A4700"/>
    <w:rsid w:val="004A711A"/>
    <w:rsid w:val="004B34FB"/>
    <w:rsid w:val="004B448D"/>
    <w:rsid w:val="004C51F5"/>
    <w:rsid w:val="004C5D7B"/>
    <w:rsid w:val="004C6BF0"/>
    <w:rsid w:val="004D0D4D"/>
    <w:rsid w:val="004D2649"/>
    <w:rsid w:val="004D31B0"/>
    <w:rsid w:val="004D34AD"/>
    <w:rsid w:val="004D5F2D"/>
    <w:rsid w:val="004D678B"/>
    <w:rsid w:val="004E013B"/>
    <w:rsid w:val="004E0906"/>
    <w:rsid w:val="004E5E85"/>
    <w:rsid w:val="004F0288"/>
    <w:rsid w:val="004F0B47"/>
    <w:rsid w:val="004F43AA"/>
    <w:rsid w:val="004F47FC"/>
    <w:rsid w:val="004F5DE3"/>
    <w:rsid w:val="004F6CCC"/>
    <w:rsid w:val="005102A2"/>
    <w:rsid w:val="00510BAB"/>
    <w:rsid w:val="00514671"/>
    <w:rsid w:val="00515734"/>
    <w:rsid w:val="00522A6C"/>
    <w:rsid w:val="00526431"/>
    <w:rsid w:val="00536F5B"/>
    <w:rsid w:val="00542670"/>
    <w:rsid w:val="00545001"/>
    <w:rsid w:val="00550937"/>
    <w:rsid w:val="0055330D"/>
    <w:rsid w:val="005578D6"/>
    <w:rsid w:val="00561795"/>
    <w:rsid w:val="00562BA8"/>
    <w:rsid w:val="0056376A"/>
    <w:rsid w:val="00564552"/>
    <w:rsid w:val="00566921"/>
    <w:rsid w:val="005750C4"/>
    <w:rsid w:val="00576CB6"/>
    <w:rsid w:val="00576FBF"/>
    <w:rsid w:val="00577FAD"/>
    <w:rsid w:val="00585784"/>
    <w:rsid w:val="00587462"/>
    <w:rsid w:val="00587C8D"/>
    <w:rsid w:val="00591EF2"/>
    <w:rsid w:val="00592198"/>
    <w:rsid w:val="0059320E"/>
    <w:rsid w:val="005953FB"/>
    <w:rsid w:val="00597B52"/>
    <w:rsid w:val="005A2E6F"/>
    <w:rsid w:val="005A3998"/>
    <w:rsid w:val="005A50E5"/>
    <w:rsid w:val="005B0482"/>
    <w:rsid w:val="005B6066"/>
    <w:rsid w:val="005B70F0"/>
    <w:rsid w:val="005C40D3"/>
    <w:rsid w:val="005D06E4"/>
    <w:rsid w:val="005E0F3C"/>
    <w:rsid w:val="005E4ABD"/>
    <w:rsid w:val="005E6172"/>
    <w:rsid w:val="005F1102"/>
    <w:rsid w:val="00613763"/>
    <w:rsid w:val="00620526"/>
    <w:rsid w:val="00621602"/>
    <w:rsid w:val="00623AF9"/>
    <w:rsid w:val="006251E6"/>
    <w:rsid w:val="00626208"/>
    <w:rsid w:val="00627439"/>
    <w:rsid w:val="006323C6"/>
    <w:rsid w:val="00634466"/>
    <w:rsid w:val="00636016"/>
    <w:rsid w:val="00643CC5"/>
    <w:rsid w:val="0064402F"/>
    <w:rsid w:val="0065445B"/>
    <w:rsid w:val="00655674"/>
    <w:rsid w:val="00656020"/>
    <w:rsid w:val="00656A9A"/>
    <w:rsid w:val="00656F7D"/>
    <w:rsid w:val="006571CA"/>
    <w:rsid w:val="00657FEB"/>
    <w:rsid w:val="006633E2"/>
    <w:rsid w:val="00663BBB"/>
    <w:rsid w:val="00671269"/>
    <w:rsid w:val="00674DB5"/>
    <w:rsid w:val="00682BA0"/>
    <w:rsid w:val="0068495B"/>
    <w:rsid w:val="00687D46"/>
    <w:rsid w:val="00693295"/>
    <w:rsid w:val="00694B78"/>
    <w:rsid w:val="00694EAF"/>
    <w:rsid w:val="006960BB"/>
    <w:rsid w:val="006A28E5"/>
    <w:rsid w:val="006A2942"/>
    <w:rsid w:val="006A2A32"/>
    <w:rsid w:val="006A5995"/>
    <w:rsid w:val="006A5FFB"/>
    <w:rsid w:val="006A6752"/>
    <w:rsid w:val="006B5BCF"/>
    <w:rsid w:val="006B610A"/>
    <w:rsid w:val="006B70DE"/>
    <w:rsid w:val="006C0244"/>
    <w:rsid w:val="006C0E35"/>
    <w:rsid w:val="006D012E"/>
    <w:rsid w:val="006D2836"/>
    <w:rsid w:val="006E342B"/>
    <w:rsid w:val="006E36CF"/>
    <w:rsid w:val="006E3A23"/>
    <w:rsid w:val="006E76CA"/>
    <w:rsid w:val="006E79B8"/>
    <w:rsid w:val="006F09DA"/>
    <w:rsid w:val="00701599"/>
    <w:rsid w:val="00703419"/>
    <w:rsid w:val="00704906"/>
    <w:rsid w:val="00704B20"/>
    <w:rsid w:val="0070532D"/>
    <w:rsid w:val="007061AB"/>
    <w:rsid w:val="00706C0E"/>
    <w:rsid w:val="00707272"/>
    <w:rsid w:val="00711BD6"/>
    <w:rsid w:val="0071646D"/>
    <w:rsid w:val="00723885"/>
    <w:rsid w:val="007258CC"/>
    <w:rsid w:val="0072647A"/>
    <w:rsid w:val="00727017"/>
    <w:rsid w:val="007319A2"/>
    <w:rsid w:val="00733D12"/>
    <w:rsid w:val="00733E02"/>
    <w:rsid w:val="0073677A"/>
    <w:rsid w:val="007431B7"/>
    <w:rsid w:val="00746DEF"/>
    <w:rsid w:val="007474F3"/>
    <w:rsid w:val="0075085D"/>
    <w:rsid w:val="00751985"/>
    <w:rsid w:val="00752CA1"/>
    <w:rsid w:val="00753514"/>
    <w:rsid w:val="00754346"/>
    <w:rsid w:val="007622C7"/>
    <w:rsid w:val="00763D8D"/>
    <w:rsid w:val="00763F0B"/>
    <w:rsid w:val="00771DBA"/>
    <w:rsid w:val="00774689"/>
    <w:rsid w:val="00775421"/>
    <w:rsid w:val="00780354"/>
    <w:rsid w:val="00780EAF"/>
    <w:rsid w:val="00780F68"/>
    <w:rsid w:val="00783983"/>
    <w:rsid w:val="007854FB"/>
    <w:rsid w:val="00786B54"/>
    <w:rsid w:val="00795893"/>
    <w:rsid w:val="00796558"/>
    <w:rsid w:val="007A0D31"/>
    <w:rsid w:val="007A1C7C"/>
    <w:rsid w:val="007A2BCD"/>
    <w:rsid w:val="007A58C0"/>
    <w:rsid w:val="007A6474"/>
    <w:rsid w:val="007A7277"/>
    <w:rsid w:val="007B064B"/>
    <w:rsid w:val="007B2D33"/>
    <w:rsid w:val="007B72C4"/>
    <w:rsid w:val="007C023F"/>
    <w:rsid w:val="007C1423"/>
    <w:rsid w:val="007C2CA2"/>
    <w:rsid w:val="007C38FA"/>
    <w:rsid w:val="007C3BD4"/>
    <w:rsid w:val="007C3CB2"/>
    <w:rsid w:val="007C7E73"/>
    <w:rsid w:val="007D051F"/>
    <w:rsid w:val="007D0BBA"/>
    <w:rsid w:val="007D2550"/>
    <w:rsid w:val="007D3332"/>
    <w:rsid w:val="007D333C"/>
    <w:rsid w:val="007D6583"/>
    <w:rsid w:val="007D778F"/>
    <w:rsid w:val="007E0FFD"/>
    <w:rsid w:val="007E18FC"/>
    <w:rsid w:val="007E494F"/>
    <w:rsid w:val="007E5BBF"/>
    <w:rsid w:val="007E68BF"/>
    <w:rsid w:val="007F0B94"/>
    <w:rsid w:val="007F26DD"/>
    <w:rsid w:val="007F2884"/>
    <w:rsid w:val="007F2CFD"/>
    <w:rsid w:val="007F3CED"/>
    <w:rsid w:val="00801696"/>
    <w:rsid w:val="00803FFB"/>
    <w:rsid w:val="00805C6A"/>
    <w:rsid w:val="00807246"/>
    <w:rsid w:val="00812AFF"/>
    <w:rsid w:val="00814803"/>
    <w:rsid w:val="00814C48"/>
    <w:rsid w:val="00822129"/>
    <w:rsid w:val="00832C5F"/>
    <w:rsid w:val="00833991"/>
    <w:rsid w:val="00834B6A"/>
    <w:rsid w:val="008369B8"/>
    <w:rsid w:val="00837E6A"/>
    <w:rsid w:val="0084288D"/>
    <w:rsid w:val="008429AF"/>
    <w:rsid w:val="008444BD"/>
    <w:rsid w:val="00846B79"/>
    <w:rsid w:val="00851B24"/>
    <w:rsid w:val="00851F54"/>
    <w:rsid w:val="00866AB0"/>
    <w:rsid w:val="00867F1E"/>
    <w:rsid w:val="00870D8D"/>
    <w:rsid w:val="008735D5"/>
    <w:rsid w:val="00873D83"/>
    <w:rsid w:val="00877854"/>
    <w:rsid w:val="00882E11"/>
    <w:rsid w:val="00884635"/>
    <w:rsid w:val="00885EF1"/>
    <w:rsid w:val="00890F31"/>
    <w:rsid w:val="00893649"/>
    <w:rsid w:val="00894CB7"/>
    <w:rsid w:val="00896267"/>
    <w:rsid w:val="00896DBE"/>
    <w:rsid w:val="008A096F"/>
    <w:rsid w:val="008A3471"/>
    <w:rsid w:val="008A5EF0"/>
    <w:rsid w:val="008B035B"/>
    <w:rsid w:val="008B4790"/>
    <w:rsid w:val="008C134F"/>
    <w:rsid w:val="008C1413"/>
    <w:rsid w:val="008C33C4"/>
    <w:rsid w:val="008C3699"/>
    <w:rsid w:val="008D007F"/>
    <w:rsid w:val="008D5ECA"/>
    <w:rsid w:val="008D6C00"/>
    <w:rsid w:val="008D7D2E"/>
    <w:rsid w:val="008E077D"/>
    <w:rsid w:val="008E0FBB"/>
    <w:rsid w:val="008E70EF"/>
    <w:rsid w:val="008F0F5E"/>
    <w:rsid w:val="008F2F92"/>
    <w:rsid w:val="008F689B"/>
    <w:rsid w:val="00901D0E"/>
    <w:rsid w:val="009034E6"/>
    <w:rsid w:val="00903C2E"/>
    <w:rsid w:val="0090678C"/>
    <w:rsid w:val="00910CE3"/>
    <w:rsid w:val="00915956"/>
    <w:rsid w:val="00920E07"/>
    <w:rsid w:val="0092374D"/>
    <w:rsid w:val="00923BAA"/>
    <w:rsid w:val="00924970"/>
    <w:rsid w:val="009267F6"/>
    <w:rsid w:val="009317C0"/>
    <w:rsid w:val="009326BF"/>
    <w:rsid w:val="0093787B"/>
    <w:rsid w:val="00937BC1"/>
    <w:rsid w:val="00942C8E"/>
    <w:rsid w:val="0095111A"/>
    <w:rsid w:val="00954F31"/>
    <w:rsid w:val="009607A3"/>
    <w:rsid w:val="00961330"/>
    <w:rsid w:val="00961BEE"/>
    <w:rsid w:val="00963095"/>
    <w:rsid w:val="00964F1C"/>
    <w:rsid w:val="00965869"/>
    <w:rsid w:val="009672A4"/>
    <w:rsid w:val="00973859"/>
    <w:rsid w:val="00974A70"/>
    <w:rsid w:val="00983C33"/>
    <w:rsid w:val="00983EB5"/>
    <w:rsid w:val="009900E6"/>
    <w:rsid w:val="00990F17"/>
    <w:rsid w:val="009912B5"/>
    <w:rsid w:val="00991437"/>
    <w:rsid w:val="009914DC"/>
    <w:rsid w:val="00993E30"/>
    <w:rsid w:val="009A3DA3"/>
    <w:rsid w:val="009A3DE0"/>
    <w:rsid w:val="009B2564"/>
    <w:rsid w:val="009B4C1C"/>
    <w:rsid w:val="009C07AA"/>
    <w:rsid w:val="009C3ECB"/>
    <w:rsid w:val="009C5FAB"/>
    <w:rsid w:val="009C6BDC"/>
    <w:rsid w:val="009C6D8D"/>
    <w:rsid w:val="009D25F6"/>
    <w:rsid w:val="009D3B4B"/>
    <w:rsid w:val="009D4D5E"/>
    <w:rsid w:val="009E56D5"/>
    <w:rsid w:val="009E662A"/>
    <w:rsid w:val="009E7A09"/>
    <w:rsid w:val="009F0910"/>
    <w:rsid w:val="009F17BE"/>
    <w:rsid w:val="009F2679"/>
    <w:rsid w:val="009F41F3"/>
    <w:rsid w:val="00A000D9"/>
    <w:rsid w:val="00A00612"/>
    <w:rsid w:val="00A02D03"/>
    <w:rsid w:val="00A02E94"/>
    <w:rsid w:val="00A057DC"/>
    <w:rsid w:val="00A0725B"/>
    <w:rsid w:val="00A10153"/>
    <w:rsid w:val="00A11EC9"/>
    <w:rsid w:val="00A121FB"/>
    <w:rsid w:val="00A12F69"/>
    <w:rsid w:val="00A17A74"/>
    <w:rsid w:val="00A22A04"/>
    <w:rsid w:val="00A23FCD"/>
    <w:rsid w:val="00A24E49"/>
    <w:rsid w:val="00A25F38"/>
    <w:rsid w:val="00A27411"/>
    <w:rsid w:val="00A27C51"/>
    <w:rsid w:val="00A31048"/>
    <w:rsid w:val="00A33005"/>
    <w:rsid w:val="00A34C99"/>
    <w:rsid w:val="00A36910"/>
    <w:rsid w:val="00A370A6"/>
    <w:rsid w:val="00A375F1"/>
    <w:rsid w:val="00A41B24"/>
    <w:rsid w:val="00A43DC7"/>
    <w:rsid w:val="00A444BF"/>
    <w:rsid w:val="00A5152D"/>
    <w:rsid w:val="00A57205"/>
    <w:rsid w:val="00A57436"/>
    <w:rsid w:val="00A605F9"/>
    <w:rsid w:val="00A60E45"/>
    <w:rsid w:val="00A63BA5"/>
    <w:rsid w:val="00A66EE9"/>
    <w:rsid w:val="00A6714F"/>
    <w:rsid w:val="00A7047C"/>
    <w:rsid w:val="00A7287F"/>
    <w:rsid w:val="00A73844"/>
    <w:rsid w:val="00A76165"/>
    <w:rsid w:val="00A77E6F"/>
    <w:rsid w:val="00A80D20"/>
    <w:rsid w:val="00A83F2E"/>
    <w:rsid w:val="00A8504E"/>
    <w:rsid w:val="00A86EA4"/>
    <w:rsid w:val="00A91A3E"/>
    <w:rsid w:val="00A92139"/>
    <w:rsid w:val="00A95E98"/>
    <w:rsid w:val="00AA01D4"/>
    <w:rsid w:val="00AA2D96"/>
    <w:rsid w:val="00AB0EEC"/>
    <w:rsid w:val="00AB312A"/>
    <w:rsid w:val="00AB5B2F"/>
    <w:rsid w:val="00AB738C"/>
    <w:rsid w:val="00AC240E"/>
    <w:rsid w:val="00AC318C"/>
    <w:rsid w:val="00AC3F10"/>
    <w:rsid w:val="00AC42D0"/>
    <w:rsid w:val="00AC5A44"/>
    <w:rsid w:val="00AC66C5"/>
    <w:rsid w:val="00AD619D"/>
    <w:rsid w:val="00AD6AB3"/>
    <w:rsid w:val="00AD6DA0"/>
    <w:rsid w:val="00AD712B"/>
    <w:rsid w:val="00AE0A63"/>
    <w:rsid w:val="00AE1D02"/>
    <w:rsid w:val="00AE1EF8"/>
    <w:rsid w:val="00AE4EBF"/>
    <w:rsid w:val="00AF0B62"/>
    <w:rsid w:val="00B020FB"/>
    <w:rsid w:val="00B0556F"/>
    <w:rsid w:val="00B06A9C"/>
    <w:rsid w:val="00B07B88"/>
    <w:rsid w:val="00B10C1D"/>
    <w:rsid w:val="00B2516C"/>
    <w:rsid w:val="00B2587E"/>
    <w:rsid w:val="00B300AD"/>
    <w:rsid w:val="00B327D2"/>
    <w:rsid w:val="00B35B22"/>
    <w:rsid w:val="00B36265"/>
    <w:rsid w:val="00B45B74"/>
    <w:rsid w:val="00B53412"/>
    <w:rsid w:val="00B54DC6"/>
    <w:rsid w:val="00B55B57"/>
    <w:rsid w:val="00B567D7"/>
    <w:rsid w:val="00B57693"/>
    <w:rsid w:val="00B61B4E"/>
    <w:rsid w:val="00B70DE9"/>
    <w:rsid w:val="00B74E74"/>
    <w:rsid w:val="00B873B5"/>
    <w:rsid w:val="00B93260"/>
    <w:rsid w:val="00B93F28"/>
    <w:rsid w:val="00B972CB"/>
    <w:rsid w:val="00BA0FD9"/>
    <w:rsid w:val="00BA40D9"/>
    <w:rsid w:val="00BB0BA8"/>
    <w:rsid w:val="00BB37A8"/>
    <w:rsid w:val="00BB6206"/>
    <w:rsid w:val="00BC66F9"/>
    <w:rsid w:val="00BC6820"/>
    <w:rsid w:val="00BC6C03"/>
    <w:rsid w:val="00BC6F02"/>
    <w:rsid w:val="00BC6F77"/>
    <w:rsid w:val="00BD1031"/>
    <w:rsid w:val="00BD455D"/>
    <w:rsid w:val="00BE2CD8"/>
    <w:rsid w:val="00BE2E79"/>
    <w:rsid w:val="00BE36D4"/>
    <w:rsid w:val="00BF212F"/>
    <w:rsid w:val="00BF373E"/>
    <w:rsid w:val="00BF43FA"/>
    <w:rsid w:val="00BF652B"/>
    <w:rsid w:val="00C045BB"/>
    <w:rsid w:val="00C06CB9"/>
    <w:rsid w:val="00C12472"/>
    <w:rsid w:val="00C127E3"/>
    <w:rsid w:val="00C12993"/>
    <w:rsid w:val="00C14194"/>
    <w:rsid w:val="00C1562E"/>
    <w:rsid w:val="00C15C47"/>
    <w:rsid w:val="00C20FD7"/>
    <w:rsid w:val="00C21C6A"/>
    <w:rsid w:val="00C226BA"/>
    <w:rsid w:val="00C25D38"/>
    <w:rsid w:val="00C3203F"/>
    <w:rsid w:val="00C322A8"/>
    <w:rsid w:val="00C342E1"/>
    <w:rsid w:val="00C377A0"/>
    <w:rsid w:val="00C40B0E"/>
    <w:rsid w:val="00C40CCE"/>
    <w:rsid w:val="00C41346"/>
    <w:rsid w:val="00C4210A"/>
    <w:rsid w:val="00C43BD6"/>
    <w:rsid w:val="00C45B16"/>
    <w:rsid w:val="00C45EBD"/>
    <w:rsid w:val="00C466DC"/>
    <w:rsid w:val="00C468DC"/>
    <w:rsid w:val="00C47B12"/>
    <w:rsid w:val="00C534CE"/>
    <w:rsid w:val="00C5415C"/>
    <w:rsid w:val="00C541D9"/>
    <w:rsid w:val="00C62615"/>
    <w:rsid w:val="00C6335B"/>
    <w:rsid w:val="00C63F3D"/>
    <w:rsid w:val="00C645D0"/>
    <w:rsid w:val="00C65119"/>
    <w:rsid w:val="00C67B4F"/>
    <w:rsid w:val="00C71AC0"/>
    <w:rsid w:val="00C72787"/>
    <w:rsid w:val="00C80468"/>
    <w:rsid w:val="00C82510"/>
    <w:rsid w:val="00C83288"/>
    <w:rsid w:val="00C83A49"/>
    <w:rsid w:val="00C846E1"/>
    <w:rsid w:val="00C90211"/>
    <w:rsid w:val="00C90783"/>
    <w:rsid w:val="00C95C0B"/>
    <w:rsid w:val="00CA0927"/>
    <w:rsid w:val="00CA0E05"/>
    <w:rsid w:val="00CA4623"/>
    <w:rsid w:val="00CA4B6A"/>
    <w:rsid w:val="00CA4C0D"/>
    <w:rsid w:val="00CA7A9C"/>
    <w:rsid w:val="00CB007D"/>
    <w:rsid w:val="00CB0544"/>
    <w:rsid w:val="00CB140F"/>
    <w:rsid w:val="00CC1977"/>
    <w:rsid w:val="00CC1F56"/>
    <w:rsid w:val="00CC2185"/>
    <w:rsid w:val="00CC28DD"/>
    <w:rsid w:val="00CC4601"/>
    <w:rsid w:val="00CC75A2"/>
    <w:rsid w:val="00CD2162"/>
    <w:rsid w:val="00CD49EF"/>
    <w:rsid w:val="00CE0348"/>
    <w:rsid w:val="00CE423E"/>
    <w:rsid w:val="00CE67AF"/>
    <w:rsid w:val="00D02747"/>
    <w:rsid w:val="00D029A4"/>
    <w:rsid w:val="00D03FFF"/>
    <w:rsid w:val="00D107B7"/>
    <w:rsid w:val="00D1120B"/>
    <w:rsid w:val="00D11B8A"/>
    <w:rsid w:val="00D14664"/>
    <w:rsid w:val="00D175D4"/>
    <w:rsid w:val="00D226A0"/>
    <w:rsid w:val="00D27175"/>
    <w:rsid w:val="00D304CE"/>
    <w:rsid w:val="00D3157C"/>
    <w:rsid w:val="00D32626"/>
    <w:rsid w:val="00D33D96"/>
    <w:rsid w:val="00D35671"/>
    <w:rsid w:val="00D364E5"/>
    <w:rsid w:val="00D37658"/>
    <w:rsid w:val="00D41184"/>
    <w:rsid w:val="00D42666"/>
    <w:rsid w:val="00D428E9"/>
    <w:rsid w:val="00D434B3"/>
    <w:rsid w:val="00D47CF4"/>
    <w:rsid w:val="00D5212F"/>
    <w:rsid w:val="00D52D57"/>
    <w:rsid w:val="00D52EB8"/>
    <w:rsid w:val="00D53012"/>
    <w:rsid w:val="00D543E3"/>
    <w:rsid w:val="00D557FA"/>
    <w:rsid w:val="00D56D8A"/>
    <w:rsid w:val="00D6208B"/>
    <w:rsid w:val="00D6323D"/>
    <w:rsid w:val="00D65736"/>
    <w:rsid w:val="00D67916"/>
    <w:rsid w:val="00D70277"/>
    <w:rsid w:val="00D7082A"/>
    <w:rsid w:val="00D76498"/>
    <w:rsid w:val="00D86780"/>
    <w:rsid w:val="00D86E4E"/>
    <w:rsid w:val="00D878B0"/>
    <w:rsid w:val="00D94156"/>
    <w:rsid w:val="00D94439"/>
    <w:rsid w:val="00DA15E3"/>
    <w:rsid w:val="00DB4813"/>
    <w:rsid w:val="00DB6228"/>
    <w:rsid w:val="00DC5F49"/>
    <w:rsid w:val="00DC77D8"/>
    <w:rsid w:val="00DC7BEC"/>
    <w:rsid w:val="00DE073C"/>
    <w:rsid w:val="00DE16E9"/>
    <w:rsid w:val="00DE4365"/>
    <w:rsid w:val="00DE4C6F"/>
    <w:rsid w:val="00E01B46"/>
    <w:rsid w:val="00E05F95"/>
    <w:rsid w:val="00E06324"/>
    <w:rsid w:val="00E109B2"/>
    <w:rsid w:val="00E11C47"/>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503CA"/>
    <w:rsid w:val="00E57717"/>
    <w:rsid w:val="00E6040B"/>
    <w:rsid w:val="00E610C7"/>
    <w:rsid w:val="00E66C39"/>
    <w:rsid w:val="00E67AC7"/>
    <w:rsid w:val="00E70CC7"/>
    <w:rsid w:val="00E727B4"/>
    <w:rsid w:val="00E758B8"/>
    <w:rsid w:val="00E773A0"/>
    <w:rsid w:val="00E77F0E"/>
    <w:rsid w:val="00E82285"/>
    <w:rsid w:val="00E85022"/>
    <w:rsid w:val="00E85235"/>
    <w:rsid w:val="00E91702"/>
    <w:rsid w:val="00E9493D"/>
    <w:rsid w:val="00EA48FC"/>
    <w:rsid w:val="00EA69C3"/>
    <w:rsid w:val="00EB0D59"/>
    <w:rsid w:val="00EB2203"/>
    <w:rsid w:val="00EB3CD1"/>
    <w:rsid w:val="00EB3FD4"/>
    <w:rsid w:val="00EB5501"/>
    <w:rsid w:val="00EB75FE"/>
    <w:rsid w:val="00EC031D"/>
    <w:rsid w:val="00EC2985"/>
    <w:rsid w:val="00EC33B7"/>
    <w:rsid w:val="00EC366B"/>
    <w:rsid w:val="00EC5738"/>
    <w:rsid w:val="00EC5BA4"/>
    <w:rsid w:val="00ED063F"/>
    <w:rsid w:val="00ED7CDD"/>
    <w:rsid w:val="00ED7FF2"/>
    <w:rsid w:val="00EE7F07"/>
    <w:rsid w:val="00EF18F6"/>
    <w:rsid w:val="00EF6E58"/>
    <w:rsid w:val="00F00DC9"/>
    <w:rsid w:val="00F03A6F"/>
    <w:rsid w:val="00F078B5"/>
    <w:rsid w:val="00F12E05"/>
    <w:rsid w:val="00F15CE1"/>
    <w:rsid w:val="00F15F42"/>
    <w:rsid w:val="00F1642E"/>
    <w:rsid w:val="00F1677C"/>
    <w:rsid w:val="00F22E84"/>
    <w:rsid w:val="00F24F9C"/>
    <w:rsid w:val="00F30AB9"/>
    <w:rsid w:val="00F361CB"/>
    <w:rsid w:val="00F3751F"/>
    <w:rsid w:val="00F448F4"/>
    <w:rsid w:val="00F50FEA"/>
    <w:rsid w:val="00F51A53"/>
    <w:rsid w:val="00F52C04"/>
    <w:rsid w:val="00F53597"/>
    <w:rsid w:val="00F56C74"/>
    <w:rsid w:val="00F57207"/>
    <w:rsid w:val="00F5747F"/>
    <w:rsid w:val="00F606DB"/>
    <w:rsid w:val="00F63A66"/>
    <w:rsid w:val="00F644D9"/>
    <w:rsid w:val="00F656A9"/>
    <w:rsid w:val="00F66DF8"/>
    <w:rsid w:val="00F67ECF"/>
    <w:rsid w:val="00F70120"/>
    <w:rsid w:val="00F72138"/>
    <w:rsid w:val="00F72CA9"/>
    <w:rsid w:val="00F73E58"/>
    <w:rsid w:val="00F74539"/>
    <w:rsid w:val="00F842CC"/>
    <w:rsid w:val="00F8543D"/>
    <w:rsid w:val="00F86C2F"/>
    <w:rsid w:val="00F9086D"/>
    <w:rsid w:val="00F908C4"/>
    <w:rsid w:val="00F9496E"/>
    <w:rsid w:val="00F96741"/>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9E1"/>
    <w:rsid w:val="00FD1537"/>
    <w:rsid w:val="00FD7AFE"/>
    <w:rsid w:val="00FE0ABD"/>
    <w:rsid w:val="00FE12EB"/>
    <w:rsid w:val="00FE1A58"/>
    <w:rsid w:val="00FE2D4E"/>
    <w:rsid w:val="00FE3AFA"/>
    <w:rsid w:val="00FE6D8D"/>
    <w:rsid w:val="00FF362B"/>
    <w:rsid w:val="01487061"/>
    <w:rsid w:val="017D4F5C"/>
    <w:rsid w:val="019E4ED3"/>
    <w:rsid w:val="01B31EA0"/>
    <w:rsid w:val="01C71945"/>
    <w:rsid w:val="022278B2"/>
    <w:rsid w:val="0227311A"/>
    <w:rsid w:val="02497534"/>
    <w:rsid w:val="026558D4"/>
    <w:rsid w:val="0295277A"/>
    <w:rsid w:val="02AD361F"/>
    <w:rsid w:val="02F079B0"/>
    <w:rsid w:val="0314369E"/>
    <w:rsid w:val="03230731"/>
    <w:rsid w:val="0332621A"/>
    <w:rsid w:val="03547F3F"/>
    <w:rsid w:val="037C1244"/>
    <w:rsid w:val="03CF5817"/>
    <w:rsid w:val="03FF60FC"/>
    <w:rsid w:val="040631D7"/>
    <w:rsid w:val="041D2A27"/>
    <w:rsid w:val="042C4A18"/>
    <w:rsid w:val="05746809"/>
    <w:rsid w:val="05A21435"/>
    <w:rsid w:val="05B922DB"/>
    <w:rsid w:val="065344DE"/>
    <w:rsid w:val="066A7A79"/>
    <w:rsid w:val="06734B80"/>
    <w:rsid w:val="06A50AB1"/>
    <w:rsid w:val="06ED4932"/>
    <w:rsid w:val="074A1D85"/>
    <w:rsid w:val="084E1401"/>
    <w:rsid w:val="086C4384"/>
    <w:rsid w:val="0955056D"/>
    <w:rsid w:val="098B3F8E"/>
    <w:rsid w:val="09D73678"/>
    <w:rsid w:val="09EA33AB"/>
    <w:rsid w:val="0A4505E1"/>
    <w:rsid w:val="0AB93C3A"/>
    <w:rsid w:val="0B397F4D"/>
    <w:rsid w:val="0B5C5BE2"/>
    <w:rsid w:val="0B7C44D7"/>
    <w:rsid w:val="0B8B64C8"/>
    <w:rsid w:val="0B8F249D"/>
    <w:rsid w:val="0BB80875"/>
    <w:rsid w:val="0C061FF2"/>
    <w:rsid w:val="0C3D1EB8"/>
    <w:rsid w:val="0C5E1E2E"/>
    <w:rsid w:val="0C8952EC"/>
    <w:rsid w:val="0CC55A09"/>
    <w:rsid w:val="0D074274"/>
    <w:rsid w:val="0D110C4F"/>
    <w:rsid w:val="0D673E7E"/>
    <w:rsid w:val="0D7F205C"/>
    <w:rsid w:val="0D837D9E"/>
    <w:rsid w:val="0DBD4932"/>
    <w:rsid w:val="0DC70C8E"/>
    <w:rsid w:val="0DF13BA7"/>
    <w:rsid w:val="0E034A3B"/>
    <w:rsid w:val="0E2438E6"/>
    <w:rsid w:val="0E26697C"/>
    <w:rsid w:val="0E43308A"/>
    <w:rsid w:val="0E52151F"/>
    <w:rsid w:val="0E701D89"/>
    <w:rsid w:val="0E8F62CF"/>
    <w:rsid w:val="0E9B1118"/>
    <w:rsid w:val="0EAC6E81"/>
    <w:rsid w:val="0EED1247"/>
    <w:rsid w:val="0F056591"/>
    <w:rsid w:val="0F20786F"/>
    <w:rsid w:val="0F661726"/>
    <w:rsid w:val="0F751969"/>
    <w:rsid w:val="0FCB3337"/>
    <w:rsid w:val="101A42BE"/>
    <w:rsid w:val="104B4477"/>
    <w:rsid w:val="10CD30DE"/>
    <w:rsid w:val="10D2137D"/>
    <w:rsid w:val="113E3FDC"/>
    <w:rsid w:val="114E06C3"/>
    <w:rsid w:val="11733C86"/>
    <w:rsid w:val="11965BC6"/>
    <w:rsid w:val="11BF336F"/>
    <w:rsid w:val="11C269BB"/>
    <w:rsid w:val="11DB182B"/>
    <w:rsid w:val="123E24E6"/>
    <w:rsid w:val="128679E9"/>
    <w:rsid w:val="13174AE5"/>
    <w:rsid w:val="131B45D5"/>
    <w:rsid w:val="14180B15"/>
    <w:rsid w:val="145558C5"/>
    <w:rsid w:val="148B7538"/>
    <w:rsid w:val="14A423A8"/>
    <w:rsid w:val="15670DB0"/>
    <w:rsid w:val="157E0E4B"/>
    <w:rsid w:val="15892E91"/>
    <w:rsid w:val="15D373E9"/>
    <w:rsid w:val="15EA29F9"/>
    <w:rsid w:val="15EC2259"/>
    <w:rsid w:val="16481B85"/>
    <w:rsid w:val="16A30ACD"/>
    <w:rsid w:val="16B03286"/>
    <w:rsid w:val="16BC7E7D"/>
    <w:rsid w:val="172872C1"/>
    <w:rsid w:val="177E5132"/>
    <w:rsid w:val="18D07C10"/>
    <w:rsid w:val="192817FA"/>
    <w:rsid w:val="1929525A"/>
    <w:rsid w:val="193B777F"/>
    <w:rsid w:val="196D36B1"/>
    <w:rsid w:val="19D618FD"/>
    <w:rsid w:val="19F94F44"/>
    <w:rsid w:val="1A8A3DEE"/>
    <w:rsid w:val="1AD5150D"/>
    <w:rsid w:val="1ADF238C"/>
    <w:rsid w:val="1AE71241"/>
    <w:rsid w:val="1B040045"/>
    <w:rsid w:val="1B8F49C6"/>
    <w:rsid w:val="1B9E2247"/>
    <w:rsid w:val="1C19367C"/>
    <w:rsid w:val="1C314E69"/>
    <w:rsid w:val="1CC23D13"/>
    <w:rsid w:val="1D3C5874"/>
    <w:rsid w:val="1D5F77B4"/>
    <w:rsid w:val="1D686669"/>
    <w:rsid w:val="1D976F4E"/>
    <w:rsid w:val="1E15349E"/>
    <w:rsid w:val="1E7D6144"/>
    <w:rsid w:val="1ED0096A"/>
    <w:rsid w:val="1EEC32CA"/>
    <w:rsid w:val="1F0E4FEE"/>
    <w:rsid w:val="1F6D440A"/>
    <w:rsid w:val="1F707A57"/>
    <w:rsid w:val="1FD224BF"/>
    <w:rsid w:val="1FE67D19"/>
    <w:rsid w:val="20086079"/>
    <w:rsid w:val="20273464"/>
    <w:rsid w:val="203E7B55"/>
    <w:rsid w:val="20586E69"/>
    <w:rsid w:val="20A53730"/>
    <w:rsid w:val="21336F8E"/>
    <w:rsid w:val="217E5254"/>
    <w:rsid w:val="21C83B7A"/>
    <w:rsid w:val="21EA1D42"/>
    <w:rsid w:val="220646A2"/>
    <w:rsid w:val="22121299"/>
    <w:rsid w:val="22821F7B"/>
    <w:rsid w:val="22A75EA3"/>
    <w:rsid w:val="22DF268F"/>
    <w:rsid w:val="230F7587"/>
    <w:rsid w:val="237F67AF"/>
    <w:rsid w:val="241237D2"/>
    <w:rsid w:val="2423153B"/>
    <w:rsid w:val="2443398C"/>
    <w:rsid w:val="246B4024"/>
    <w:rsid w:val="24B2466D"/>
    <w:rsid w:val="24C17028"/>
    <w:rsid w:val="25B82157"/>
    <w:rsid w:val="2629095F"/>
    <w:rsid w:val="262D48F3"/>
    <w:rsid w:val="26396DF4"/>
    <w:rsid w:val="26881B2A"/>
    <w:rsid w:val="26D11723"/>
    <w:rsid w:val="26D66D39"/>
    <w:rsid w:val="26FE3B9A"/>
    <w:rsid w:val="273870AC"/>
    <w:rsid w:val="276205CD"/>
    <w:rsid w:val="27893DAB"/>
    <w:rsid w:val="27D45508"/>
    <w:rsid w:val="28017DE6"/>
    <w:rsid w:val="28137B19"/>
    <w:rsid w:val="282B09BF"/>
    <w:rsid w:val="283C2BCC"/>
    <w:rsid w:val="28511A08"/>
    <w:rsid w:val="28802805"/>
    <w:rsid w:val="28D472A8"/>
    <w:rsid w:val="28ED3EC6"/>
    <w:rsid w:val="29194CBB"/>
    <w:rsid w:val="295E3016"/>
    <w:rsid w:val="298365D8"/>
    <w:rsid w:val="29A0609E"/>
    <w:rsid w:val="29F00112"/>
    <w:rsid w:val="2A383867"/>
    <w:rsid w:val="2A63351A"/>
    <w:rsid w:val="2AA66A22"/>
    <w:rsid w:val="2ACB46DB"/>
    <w:rsid w:val="2AE8528D"/>
    <w:rsid w:val="2B7E50A1"/>
    <w:rsid w:val="2BFD6B16"/>
    <w:rsid w:val="2C536736"/>
    <w:rsid w:val="2C8114F5"/>
    <w:rsid w:val="2C923702"/>
    <w:rsid w:val="2D6055AE"/>
    <w:rsid w:val="2D7921CC"/>
    <w:rsid w:val="2DAA0AB7"/>
    <w:rsid w:val="2DAA6F41"/>
    <w:rsid w:val="2DAE631A"/>
    <w:rsid w:val="2DC72F38"/>
    <w:rsid w:val="2DF16206"/>
    <w:rsid w:val="2E075A2A"/>
    <w:rsid w:val="2E165C6D"/>
    <w:rsid w:val="2EB11931"/>
    <w:rsid w:val="2EBD433B"/>
    <w:rsid w:val="2ED022C0"/>
    <w:rsid w:val="2EFA76D2"/>
    <w:rsid w:val="2F0D52C2"/>
    <w:rsid w:val="2F2E6FE6"/>
    <w:rsid w:val="2F6D5D61"/>
    <w:rsid w:val="2F9432ED"/>
    <w:rsid w:val="300E30A0"/>
    <w:rsid w:val="302E3742"/>
    <w:rsid w:val="30443FDF"/>
    <w:rsid w:val="30DD2A72"/>
    <w:rsid w:val="30EB33E1"/>
    <w:rsid w:val="30F304E8"/>
    <w:rsid w:val="31E57E30"/>
    <w:rsid w:val="320C1861"/>
    <w:rsid w:val="32284BF5"/>
    <w:rsid w:val="32496611"/>
    <w:rsid w:val="32700042"/>
    <w:rsid w:val="32841131"/>
    <w:rsid w:val="32AA2E28"/>
    <w:rsid w:val="32D22AAA"/>
    <w:rsid w:val="3369683F"/>
    <w:rsid w:val="343230D5"/>
    <w:rsid w:val="343E1A7A"/>
    <w:rsid w:val="345474EF"/>
    <w:rsid w:val="34A51AF9"/>
    <w:rsid w:val="34A90093"/>
    <w:rsid w:val="35A95619"/>
    <w:rsid w:val="366652B8"/>
    <w:rsid w:val="367D2D2D"/>
    <w:rsid w:val="368A369C"/>
    <w:rsid w:val="372E4027"/>
    <w:rsid w:val="378E4AC6"/>
    <w:rsid w:val="37CD1A92"/>
    <w:rsid w:val="385C2E16"/>
    <w:rsid w:val="38710670"/>
    <w:rsid w:val="38A071A7"/>
    <w:rsid w:val="38DF7CCF"/>
    <w:rsid w:val="390E4110"/>
    <w:rsid w:val="39227BBC"/>
    <w:rsid w:val="3A86417A"/>
    <w:rsid w:val="3ABB02C8"/>
    <w:rsid w:val="3B765F9D"/>
    <w:rsid w:val="3BD827B4"/>
    <w:rsid w:val="3BF375EE"/>
    <w:rsid w:val="3C1F6635"/>
    <w:rsid w:val="3C5C33E5"/>
    <w:rsid w:val="3C720E5A"/>
    <w:rsid w:val="3CF07013"/>
    <w:rsid w:val="3D622C7D"/>
    <w:rsid w:val="3DA23079"/>
    <w:rsid w:val="3E3E7246"/>
    <w:rsid w:val="3E78060F"/>
    <w:rsid w:val="3E7E7642"/>
    <w:rsid w:val="3ECE4ADB"/>
    <w:rsid w:val="3EE85404"/>
    <w:rsid w:val="3F0264C5"/>
    <w:rsid w:val="3F520ACF"/>
    <w:rsid w:val="3FB20368"/>
    <w:rsid w:val="3FEE6A4A"/>
    <w:rsid w:val="40760500"/>
    <w:rsid w:val="408B6047"/>
    <w:rsid w:val="40C1415E"/>
    <w:rsid w:val="41253E3C"/>
    <w:rsid w:val="4162324B"/>
    <w:rsid w:val="41A47EAA"/>
    <w:rsid w:val="41B94E35"/>
    <w:rsid w:val="41C757A4"/>
    <w:rsid w:val="423D1B0D"/>
    <w:rsid w:val="42530DE6"/>
    <w:rsid w:val="42D31F27"/>
    <w:rsid w:val="42F223AD"/>
    <w:rsid w:val="42F500EF"/>
    <w:rsid w:val="43087E22"/>
    <w:rsid w:val="43596C77"/>
    <w:rsid w:val="438104E1"/>
    <w:rsid w:val="43893EEA"/>
    <w:rsid w:val="43A13550"/>
    <w:rsid w:val="43D27190"/>
    <w:rsid w:val="43E066A9"/>
    <w:rsid w:val="43F108B7"/>
    <w:rsid w:val="44255497"/>
    <w:rsid w:val="44316F05"/>
    <w:rsid w:val="44421112"/>
    <w:rsid w:val="450E5498"/>
    <w:rsid w:val="45194C57"/>
    <w:rsid w:val="459B4F7E"/>
    <w:rsid w:val="45F56F48"/>
    <w:rsid w:val="463B22BD"/>
    <w:rsid w:val="46AE2A8F"/>
    <w:rsid w:val="46C027C2"/>
    <w:rsid w:val="47022C0A"/>
    <w:rsid w:val="471548BC"/>
    <w:rsid w:val="471843AC"/>
    <w:rsid w:val="47887784"/>
    <w:rsid w:val="4792415F"/>
    <w:rsid w:val="47BC11DC"/>
    <w:rsid w:val="47D429C9"/>
    <w:rsid w:val="48B545A9"/>
    <w:rsid w:val="48CE7418"/>
    <w:rsid w:val="49172B6D"/>
    <w:rsid w:val="499917D4"/>
    <w:rsid w:val="49EC3FFA"/>
    <w:rsid w:val="4A1E7F2C"/>
    <w:rsid w:val="4A275032"/>
    <w:rsid w:val="4A5646C6"/>
    <w:rsid w:val="4A9D70A2"/>
    <w:rsid w:val="4AB34B18"/>
    <w:rsid w:val="4AF8077D"/>
    <w:rsid w:val="4B0C5FD6"/>
    <w:rsid w:val="4B447E66"/>
    <w:rsid w:val="4B614574"/>
    <w:rsid w:val="4B78366B"/>
    <w:rsid w:val="4BD905AE"/>
    <w:rsid w:val="4BF058F8"/>
    <w:rsid w:val="4C3954F1"/>
    <w:rsid w:val="4C5D7084"/>
    <w:rsid w:val="4C987480"/>
    <w:rsid w:val="4CC21042"/>
    <w:rsid w:val="4D243AAB"/>
    <w:rsid w:val="4D4B2839"/>
    <w:rsid w:val="4DBA61BD"/>
    <w:rsid w:val="4E086F29"/>
    <w:rsid w:val="4E8C42E3"/>
    <w:rsid w:val="4E8F764A"/>
    <w:rsid w:val="4F1D07B2"/>
    <w:rsid w:val="4F251D5C"/>
    <w:rsid w:val="4F532425"/>
    <w:rsid w:val="4F552641"/>
    <w:rsid w:val="4F870321"/>
    <w:rsid w:val="4FA669F9"/>
    <w:rsid w:val="4FB70C06"/>
    <w:rsid w:val="4FF97471"/>
    <w:rsid w:val="50297C96"/>
    <w:rsid w:val="50302767"/>
    <w:rsid w:val="504D156B"/>
    <w:rsid w:val="50854D82"/>
    <w:rsid w:val="50A218B6"/>
    <w:rsid w:val="50CA2BBB"/>
    <w:rsid w:val="50CA4969"/>
    <w:rsid w:val="51A21442"/>
    <w:rsid w:val="51B64EEE"/>
    <w:rsid w:val="51D830B6"/>
    <w:rsid w:val="523C1897"/>
    <w:rsid w:val="52426781"/>
    <w:rsid w:val="52CF6267"/>
    <w:rsid w:val="53DB0C3B"/>
    <w:rsid w:val="542B1BC3"/>
    <w:rsid w:val="54662BFB"/>
    <w:rsid w:val="54A84109"/>
    <w:rsid w:val="54A93F3B"/>
    <w:rsid w:val="54F75F49"/>
    <w:rsid w:val="55142657"/>
    <w:rsid w:val="555111B5"/>
    <w:rsid w:val="55564A1D"/>
    <w:rsid w:val="55603AEE"/>
    <w:rsid w:val="5575291E"/>
    <w:rsid w:val="56020701"/>
    <w:rsid w:val="56466840"/>
    <w:rsid w:val="565076BF"/>
    <w:rsid w:val="566273F2"/>
    <w:rsid w:val="56FD4225"/>
    <w:rsid w:val="573E1C0D"/>
    <w:rsid w:val="576F0018"/>
    <w:rsid w:val="5778511F"/>
    <w:rsid w:val="57914433"/>
    <w:rsid w:val="57D90083"/>
    <w:rsid w:val="58711B6E"/>
    <w:rsid w:val="58B33A31"/>
    <w:rsid w:val="58ED5699"/>
    <w:rsid w:val="594E5BCE"/>
    <w:rsid w:val="597D4C6F"/>
    <w:rsid w:val="598B6C60"/>
    <w:rsid w:val="59AC5554"/>
    <w:rsid w:val="5A643739"/>
    <w:rsid w:val="5A706581"/>
    <w:rsid w:val="5AA247F9"/>
    <w:rsid w:val="5B10566E"/>
    <w:rsid w:val="5B5A4B3C"/>
    <w:rsid w:val="5B9462A0"/>
    <w:rsid w:val="5BDB5C7C"/>
    <w:rsid w:val="5BFD0E7B"/>
    <w:rsid w:val="5C361105"/>
    <w:rsid w:val="5C381321"/>
    <w:rsid w:val="5C3D6937"/>
    <w:rsid w:val="5CB0535B"/>
    <w:rsid w:val="5CC46711"/>
    <w:rsid w:val="5CE96177"/>
    <w:rsid w:val="5D170F36"/>
    <w:rsid w:val="5D6879E4"/>
    <w:rsid w:val="5D880074"/>
    <w:rsid w:val="5D9C768D"/>
    <w:rsid w:val="5E145476"/>
    <w:rsid w:val="5E6F3446"/>
    <w:rsid w:val="5E8819C0"/>
    <w:rsid w:val="5E9A1E1F"/>
    <w:rsid w:val="5EA44A4C"/>
    <w:rsid w:val="5EA467FA"/>
    <w:rsid w:val="5EAB1644"/>
    <w:rsid w:val="5F011E9E"/>
    <w:rsid w:val="5F8B0797"/>
    <w:rsid w:val="5FD473D2"/>
    <w:rsid w:val="5FE1582B"/>
    <w:rsid w:val="6052563D"/>
    <w:rsid w:val="60B70D8B"/>
    <w:rsid w:val="60F03F78"/>
    <w:rsid w:val="611D0AE5"/>
    <w:rsid w:val="61493688"/>
    <w:rsid w:val="617947F2"/>
    <w:rsid w:val="61A9664A"/>
    <w:rsid w:val="61AD3C17"/>
    <w:rsid w:val="61E67129"/>
    <w:rsid w:val="61F60246"/>
    <w:rsid w:val="62165C60"/>
    <w:rsid w:val="62404A8B"/>
    <w:rsid w:val="62514C75"/>
    <w:rsid w:val="62F85366"/>
    <w:rsid w:val="63260125"/>
    <w:rsid w:val="632C5010"/>
    <w:rsid w:val="634412E8"/>
    <w:rsid w:val="639257BA"/>
    <w:rsid w:val="63D01E3F"/>
    <w:rsid w:val="63D57455"/>
    <w:rsid w:val="63E36016"/>
    <w:rsid w:val="63FB1729"/>
    <w:rsid w:val="64295B47"/>
    <w:rsid w:val="64340B77"/>
    <w:rsid w:val="64632CB3"/>
    <w:rsid w:val="6472169E"/>
    <w:rsid w:val="647C1FC7"/>
    <w:rsid w:val="64BE613B"/>
    <w:rsid w:val="64DB6CED"/>
    <w:rsid w:val="6545060B"/>
    <w:rsid w:val="654B3E73"/>
    <w:rsid w:val="6580532C"/>
    <w:rsid w:val="662E7568"/>
    <w:rsid w:val="670858C3"/>
    <w:rsid w:val="67360434"/>
    <w:rsid w:val="674D37A6"/>
    <w:rsid w:val="67E05761"/>
    <w:rsid w:val="681E6D9B"/>
    <w:rsid w:val="688558EE"/>
    <w:rsid w:val="68E05E96"/>
    <w:rsid w:val="6931512E"/>
    <w:rsid w:val="69AB1384"/>
    <w:rsid w:val="69B018C1"/>
    <w:rsid w:val="69E74C9F"/>
    <w:rsid w:val="6A026ACA"/>
    <w:rsid w:val="6A38073E"/>
    <w:rsid w:val="6AA81420"/>
    <w:rsid w:val="6AEA7C8A"/>
    <w:rsid w:val="6B2A7872"/>
    <w:rsid w:val="6BD46244"/>
    <w:rsid w:val="6BEC5C84"/>
    <w:rsid w:val="6C076B5D"/>
    <w:rsid w:val="6C1D48F5"/>
    <w:rsid w:val="6C240F7A"/>
    <w:rsid w:val="6C8F526F"/>
    <w:rsid w:val="6C9500C9"/>
    <w:rsid w:val="6C983716"/>
    <w:rsid w:val="6C9B27B9"/>
    <w:rsid w:val="6CAE4CE7"/>
    <w:rsid w:val="6CF7043C"/>
    <w:rsid w:val="6CFA7F2C"/>
    <w:rsid w:val="6D487076"/>
    <w:rsid w:val="6D667370"/>
    <w:rsid w:val="6DC5053A"/>
    <w:rsid w:val="6DE07122"/>
    <w:rsid w:val="6E142972"/>
    <w:rsid w:val="6E2656F3"/>
    <w:rsid w:val="6E2C2368"/>
    <w:rsid w:val="6E445903"/>
    <w:rsid w:val="6E7D0E15"/>
    <w:rsid w:val="6E867CCA"/>
    <w:rsid w:val="6EAD16FA"/>
    <w:rsid w:val="6ED21161"/>
    <w:rsid w:val="6F285225"/>
    <w:rsid w:val="6F347726"/>
    <w:rsid w:val="6F5002D8"/>
    <w:rsid w:val="6F59718C"/>
    <w:rsid w:val="6F773AB6"/>
    <w:rsid w:val="6F8D5088"/>
    <w:rsid w:val="6FF46EB5"/>
    <w:rsid w:val="70090BB2"/>
    <w:rsid w:val="70716758"/>
    <w:rsid w:val="70903082"/>
    <w:rsid w:val="70DD5B9B"/>
    <w:rsid w:val="70E4517B"/>
    <w:rsid w:val="716167CC"/>
    <w:rsid w:val="717402AD"/>
    <w:rsid w:val="71744751"/>
    <w:rsid w:val="718F158B"/>
    <w:rsid w:val="71EF3DD8"/>
    <w:rsid w:val="72536115"/>
    <w:rsid w:val="72C05E22"/>
    <w:rsid w:val="72F42ADE"/>
    <w:rsid w:val="72F9501D"/>
    <w:rsid w:val="733D0B73"/>
    <w:rsid w:val="7349576A"/>
    <w:rsid w:val="735A34D3"/>
    <w:rsid w:val="73CD0149"/>
    <w:rsid w:val="74F55BA9"/>
    <w:rsid w:val="757B6B58"/>
    <w:rsid w:val="75894543"/>
    <w:rsid w:val="758D7B90"/>
    <w:rsid w:val="759C6025"/>
    <w:rsid w:val="75DB4D9F"/>
    <w:rsid w:val="75F23E97"/>
    <w:rsid w:val="76481691"/>
    <w:rsid w:val="765E777E"/>
    <w:rsid w:val="76A2766B"/>
    <w:rsid w:val="76B33626"/>
    <w:rsid w:val="76CA0970"/>
    <w:rsid w:val="770C0F88"/>
    <w:rsid w:val="776A072F"/>
    <w:rsid w:val="77846D70"/>
    <w:rsid w:val="778A25E1"/>
    <w:rsid w:val="779372B6"/>
    <w:rsid w:val="77FB188A"/>
    <w:rsid w:val="782F3180"/>
    <w:rsid w:val="792F71B0"/>
    <w:rsid w:val="7A146AD1"/>
    <w:rsid w:val="7A560E98"/>
    <w:rsid w:val="7A652E89"/>
    <w:rsid w:val="7A9170CB"/>
    <w:rsid w:val="7A990D85"/>
    <w:rsid w:val="7AD3663F"/>
    <w:rsid w:val="7AE67CE9"/>
    <w:rsid w:val="7B430CF1"/>
    <w:rsid w:val="7BA23C69"/>
    <w:rsid w:val="7C091F3A"/>
    <w:rsid w:val="7C392FCB"/>
    <w:rsid w:val="7C49196C"/>
    <w:rsid w:val="7C701FB9"/>
    <w:rsid w:val="7C865339"/>
    <w:rsid w:val="7D0C7F34"/>
    <w:rsid w:val="7DD32800"/>
    <w:rsid w:val="7E1E7F1F"/>
    <w:rsid w:val="7E265025"/>
    <w:rsid w:val="7E971A7F"/>
    <w:rsid w:val="7EEB6A0A"/>
    <w:rsid w:val="7F2E23E3"/>
    <w:rsid w:val="7F65392B"/>
    <w:rsid w:val="7F6F6558"/>
    <w:rsid w:val="7FCF6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30"/>
      <w:sz w:val="30"/>
      <w:szCs w:val="21"/>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autoRedefine/>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5"/>
    <w:autoRedefine/>
    <w:qFormat/>
    <w:uiPriority w:val="99"/>
    <w:pPr>
      <w:keepNext/>
      <w:keepLines/>
      <w:spacing w:before="260" w:after="260" w:line="416" w:lineRule="auto"/>
      <w:outlineLvl w:val="2"/>
    </w:pPr>
    <w:rPr>
      <w:b/>
      <w:bCs/>
      <w:kern w:val="0"/>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Document Map"/>
    <w:basedOn w:val="1"/>
    <w:link w:val="41"/>
    <w:autoRedefine/>
    <w:semiHidden/>
    <w:unhideWhenUsed/>
    <w:qFormat/>
    <w:uiPriority w:val="99"/>
    <w:rPr>
      <w:rFonts w:ascii="宋体"/>
      <w:sz w:val="18"/>
      <w:szCs w:val="18"/>
    </w:rPr>
  </w:style>
  <w:style w:type="paragraph" w:styleId="7">
    <w:name w:val="annotation text"/>
    <w:basedOn w:val="1"/>
    <w:link w:val="39"/>
    <w:autoRedefine/>
    <w:unhideWhenUsed/>
    <w:qFormat/>
    <w:uiPriority w:val="99"/>
    <w:pPr>
      <w:jc w:val="left"/>
    </w:pPr>
  </w:style>
  <w:style w:type="paragraph" w:styleId="8">
    <w:name w:val="Body Text"/>
    <w:basedOn w:val="1"/>
    <w:next w:val="9"/>
    <w:link w:val="46"/>
    <w:autoRedefine/>
    <w:qFormat/>
    <w:uiPriority w:val="1"/>
    <w:pPr>
      <w:ind w:left="119"/>
      <w:jc w:val="left"/>
    </w:pPr>
    <w:rPr>
      <w:rFonts w:ascii="仿宋_GB2312" w:hAnsi="仿宋_GB2312" w:eastAsia="仿宋_GB2312" w:cstheme="minorBidi"/>
      <w:kern w:val="0"/>
      <w:szCs w:val="30"/>
      <w:lang w:eastAsia="en-US"/>
    </w:rPr>
  </w:style>
  <w:style w:type="paragraph" w:styleId="9">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Balloon Text"/>
    <w:basedOn w:val="1"/>
    <w:link w:val="38"/>
    <w:autoRedefine/>
    <w:semiHidden/>
    <w:unhideWhenUsed/>
    <w:qFormat/>
    <w:uiPriority w:val="99"/>
    <w:rPr>
      <w:sz w:val="18"/>
      <w:szCs w:val="18"/>
    </w:rPr>
  </w:style>
  <w:style w:type="paragraph" w:styleId="12">
    <w:name w:val="footer"/>
    <w:basedOn w:val="1"/>
    <w:link w:val="37"/>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unhideWhenUsed/>
    <w:qFormat/>
    <w:uiPriority w:val="39"/>
    <w:pPr>
      <w:widowControl/>
      <w:tabs>
        <w:tab w:val="right" w:leader="dot" w:pos="8931"/>
      </w:tabs>
      <w:spacing w:line="420" w:lineRule="exact"/>
      <w:ind w:right="25" w:rightChars="12"/>
      <w:jc w:val="left"/>
    </w:pPr>
    <w:rPr>
      <w:rFonts w:asciiTheme="minorHAnsi" w:hAnsiTheme="minorHAnsi" w:eastAsiaTheme="minorEastAsia"/>
      <w:kern w:val="0"/>
      <w:sz w:val="22"/>
      <w:szCs w:val="22"/>
    </w:rPr>
  </w:style>
  <w:style w:type="paragraph" w:styleId="15">
    <w:name w:val="table of figures"/>
    <w:basedOn w:val="1"/>
    <w:next w:val="1"/>
    <w:autoRedefine/>
    <w:unhideWhenUsed/>
    <w:qFormat/>
    <w:uiPriority w:val="0"/>
    <w:pPr>
      <w:spacing w:line="360" w:lineRule="auto"/>
      <w:ind w:left="200" w:leftChars="200" w:hanging="200" w:hangingChars="200"/>
      <w:jc w:val="left"/>
    </w:pPr>
    <w:rPr>
      <w:sz w:val="24"/>
    </w:rPr>
  </w:style>
  <w:style w:type="paragraph" w:styleId="16">
    <w:name w:val="toc 2"/>
    <w:basedOn w:val="1"/>
    <w:next w:val="1"/>
    <w:autoRedefine/>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8">
    <w:name w:val="annotation subject"/>
    <w:basedOn w:val="7"/>
    <w:next w:val="7"/>
    <w:link w:val="40"/>
    <w:autoRedefine/>
    <w:semiHidden/>
    <w:unhideWhenUsed/>
    <w:qFormat/>
    <w:uiPriority w:val="99"/>
    <w:rPr>
      <w:b/>
      <w:bCs/>
    </w:rPr>
  </w:style>
  <w:style w:type="paragraph" w:styleId="19">
    <w:name w:val="Body Text First Indent"/>
    <w:basedOn w:val="8"/>
    <w:autoRedefine/>
    <w:semiHidden/>
    <w:unhideWhenUsed/>
    <w:qFormat/>
    <w:uiPriority w:val="99"/>
    <w:pPr>
      <w:ind w:firstLine="420" w:firstLineChars="100"/>
    </w:pPr>
  </w:style>
  <w:style w:type="table" w:styleId="21">
    <w:name w:val="Table Grid"/>
    <w:basedOn w:val="20"/>
    <w:autoRedefine/>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basedOn w:val="22"/>
    <w:qFormat/>
    <w:uiPriority w:val="22"/>
    <w:rPr>
      <w:b/>
    </w:rPr>
  </w:style>
  <w:style w:type="character" w:styleId="24">
    <w:name w:val="page number"/>
    <w:basedOn w:val="22"/>
    <w:autoRedefine/>
    <w:qFormat/>
    <w:uiPriority w:val="0"/>
  </w:style>
  <w:style w:type="character" w:styleId="25">
    <w:name w:val="Hyperlink"/>
    <w:basedOn w:val="22"/>
    <w:autoRedefine/>
    <w:unhideWhenUsed/>
    <w:qFormat/>
    <w:uiPriority w:val="99"/>
    <w:rPr>
      <w:color w:val="0000FF" w:themeColor="hyperlink"/>
      <w:u w:val="single"/>
      <w14:textFill>
        <w14:solidFill>
          <w14:schemeClr w14:val="hlink"/>
        </w14:solidFill>
      </w14:textFill>
    </w:rPr>
  </w:style>
  <w:style w:type="character" w:styleId="26">
    <w:name w:val="annotation reference"/>
    <w:basedOn w:val="22"/>
    <w:autoRedefine/>
    <w:semiHidden/>
    <w:unhideWhenUsed/>
    <w:qFormat/>
    <w:uiPriority w:val="99"/>
    <w:rPr>
      <w:sz w:val="21"/>
      <w:szCs w:val="21"/>
    </w:rPr>
  </w:style>
  <w:style w:type="paragraph" w:customStyle="1" w:styleId="27">
    <w:name w:val="脚注文本1"/>
    <w:autoRedefine/>
    <w:qFormat/>
    <w:uiPriority w:val="0"/>
    <w:pPr>
      <w:widowControl w:val="0"/>
      <w:snapToGrid w:val="0"/>
      <w:jc w:val="left"/>
    </w:pPr>
    <w:rPr>
      <w:rFonts w:ascii="Calibri" w:hAnsi="Calibri" w:eastAsia="宋体" w:cs="Times New Roman"/>
      <w:kern w:val="2"/>
      <w:sz w:val="18"/>
      <w:szCs w:val="24"/>
      <w:lang w:val="en-US" w:eastAsia="zh-CN" w:bidi="ar-SA"/>
    </w:rPr>
  </w:style>
  <w:style w:type="paragraph" w:customStyle="1" w:styleId="28">
    <w:name w:val="Default"/>
    <w:next w:val="1"/>
    <w:autoRedefine/>
    <w:qFormat/>
    <w:uiPriority w:val="0"/>
    <w:pPr>
      <w:widowControl w:val="0"/>
      <w:autoSpaceDE w:val="0"/>
      <w:autoSpaceDN w:val="0"/>
      <w:adjustRightInd w:val="0"/>
      <w:spacing w:after="160" w:line="259" w:lineRule="auto"/>
    </w:pPr>
    <w:rPr>
      <w:rFonts w:ascii="宋体" w:hAnsi="Times New Roman" w:eastAsia="宋体" w:cs="宋体"/>
      <w:color w:val="000000"/>
      <w:kern w:val="0"/>
      <w:sz w:val="24"/>
      <w:szCs w:val="24"/>
      <w:lang w:val="en-US" w:eastAsia="zh-CN" w:bidi="ar-SA"/>
    </w:rPr>
  </w:style>
  <w:style w:type="paragraph" w:customStyle="1" w:styleId="29">
    <w:name w:val="一、报告标题"/>
    <w:basedOn w:val="1"/>
    <w:autoRedefine/>
    <w:qFormat/>
    <w:uiPriority w:val="0"/>
    <w:pPr>
      <w:spacing w:line="600" w:lineRule="exact"/>
      <w:ind w:firstLine="643" w:firstLineChars="200"/>
      <w:outlineLvl w:val="0"/>
    </w:pPr>
    <w:rPr>
      <w:rFonts w:hint="eastAsia" w:ascii="楷体_GB2312" w:hAnsi="楷体_GB2312" w:eastAsia="楷体_GB2312" w:cs="楷体_GB2312"/>
      <w:b/>
      <w:bCs/>
      <w:sz w:val="32"/>
      <w:szCs w:val="32"/>
    </w:rPr>
  </w:style>
  <w:style w:type="paragraph" w:customStyle="1" w:styleId="30">
    <w:name w:val="绩效一级"/>
    <w:basedOn w:val="29"/>
    <w:autoRedefine/>
    <w:qFormat/>
    <w:uiPriority w:val="0"/>
    <w:rPr>
      <w:rFonts w:hint="default" w:eastAsia="黑体" w:asciiTheme="minorAscii" w:hAnsiTheme="minorAscii"/>
      <w:kern w:val="30"/>
      <w:sz w:val="30"/>
    </w:rPr>
  </w:style>
  <w:style w:type="paragraph" w:customStyle="1" w:styleId="31">
    <w:name w:val="绩效二级"/>
    <w:basedOn w:val="1"/>
    <w:autoRedefine/>
    <w:qFormat/>
    <w:uiPriority w:val="0"/>
    <w:pPr>
      <w:adjustRightInd w:val="0"/>
      <w:snapToGrid w:val="0"/>
      <w:spacing w:line="579" w:lineRule="exact"/>
      <w:ind w:firstLine="630" w:firstLineChars="200"/>
      <w:outlineLvl w:val="9"/>
    </w:pPr>
    <w:rPr>
      <w:rFonts w:hint="eastAsia" w:ascii="Times New Roman" w:hAnsi="Times New Roman" w:eastAsia="楷体" w:cs="Times New Roman"/>
      <w:kern w:val="30"/>
      <w:sz w:val="30"/>
      <w:szCs w:val="30"/>
    </w:rPr>
  </w:style>
  <w:style w:type="paragraph" w:customStyle="1" w:styleId="32">
    <w:name w:val="绩效正文"/>
    <w:basedOn w:val="1"/>
    <w:autoRedefine/>
    <w:qFormat/>
    <w:uiPriority w:val="0"/>
    <w:pPr>
      <w:adjustRightInd/>
      <w:snapToGrid/>
      <w:spacing w:line="579" w:lineRule="exact"/>
      <w:ind w:firstLine="630" w:firstLineChars="200"/>
    </w:pPr>
    <w:rPr>
      <w:rFonts w:hint="eastAsia" w:ascii="仿宋" w:hAnsi="仿宋" w:eastAsia="仿宋" w:cs="Times New Roman"/>
      <w:kern w:val="30"/>
      <w:sz w:val="30"/>
      <w:szCs w:val="30"/>
    </w:rPr>
  </w:style>
  <w:style w:type="character" w:customStyle="1" w:styleId="33">
    <w:name w:val="标题 1 字符"/>
    <w:basedOn w:val="22"/>
    <w:link w:val="2"/>
    <w:autoRedefine/>
    <w:qFormat/>
    <w:uiPriority w:val="9"/>
    <w:rPr>
      <w:rFonts w:ascii="Times New Roman" w:hAnsi="Times New Roman" w:eastAsia="宋体" w:cs="Times New Roman"/>
      <w:b/>
      <w:bCs/>
      <w:kern w:val="44"/>
      <w:sz w:val="44"/>
      <w:szCs w:val="44"/>
    </w:rPr>
  </w:style>
  <w:style w:type="character" w:customStyle="1" w:styleId="34">
    <w:name w:val="标题 2 字符"/>
    <w:basedOn w:val="22"/>
    <w:link w:val="3"/>
    <w:autoRedefine/>
    <w:qFormat/>
    <w:uiPriority w:val="99"/>
    <w:rPr>
      <w:rFonts w:ascii="Cambria" w:hAnsi="Cambria" w:eastAsia="宋体" w:cs="Times New Roman"/>
      <w:b/>
      <w:bCs/>
      <w:kern w:val="0"/>
      <w:sz w:val="32"/>
      <w:szCs w:val="32"/>
    </w:rPr>
  </w:style>
  <w:style w:type="character" w:customStyle="1" w:styleId="35">
    <w:name w:val="标题 3 字符"/>
    <w:basedOn w:val="22"/>
    <w:link w:val="4"/>
    <w:autoRedefine/>
    <w:qFormat/>
    <w:uiPriority w:val="99"/>
    <w:rPr>
      <w:rFonts w:ascii="Times New Roman" w:hAnsi="Times New Roman" w:eastAsia="宋体" w:cs="Times New Roman"/>
      <w:b/>
      <w:bCs/>
      <w:kern w:val="0"/>
      <w:sz w:val="32"/>
      <w:szCs w:val="32"/>
    </w:rPr>
  </w:style>
  <w:style w:type="character" w:customStyle="1" w:styleId="36">
    <w:name w:val="页眉 字符"/>
    <w:basedOn w:val="22"/>
    <w:link w:val="13"/>
    <w:autoRedefine/>
    <w:qFormat/>
    <w:uiPriority w:val="99"/>
    <w:rPr>
      <w:sz w:val="18"/>
      <w:szCs w:val="18"/>
    </w:rPr>
  </w:style>
  <w:style w:type="character" w:customStyle="1" w:styleId="37">
    <w:name w:val="页脚 字符"/>
    <w:basedOn w:val="22"/>
    <w:link w:val="12"/>
    <w:autoRedefine/>
    <w:qFormat/>
    <w:uiPriority w:val="0"/>
    <w:rPr>
      <w:sz w:val="18"/>
      <w:szCs w:val="18"/>
    </w:rPr>
  </w:style>
  <w:style w:type="character" w:customStyle="1" w:styleId="38">
    <w:name w:val="批注框文本 字符"/>
    <w:basedOn w:val="22"/>
    <w:link w:val="11"/>
    <w:autoRedefine/>
    <w:semiHidden/>
    <w:qFormat/>
    <w:uiPriority w:val="99"/>
    <w:rPr>
      <w:rFonts w:ascii="Times New Roman" w:hAnsi="Times New Roman" w:eastAsia="宋体" w:cs="Times New Roman"/>
      <w:sz w:val="18"/>
      <w:szCs w:val="18"/>
    </w:rPr>
  </w:style>
  <w:style w:type="character" w:customStyle="1" w:styleId="39">
    <w:name w:val="批注文字 字符"/>
    <w:basedOn w:val="22"/>
    <w:link w:val="7"/>
    <w:autoRedefine/>
    <w:qFormat/>
    <w:uiPriority w:val="99"/>
    <w:rPr>
      <w:rFonts w:ascii="Times New Roman" w:hAnsi="Times New Roman" w:eastAsia="宋体" w:cs="Times New Roman"/>
      <w:szCs w:val="21"/>
    </w:rPr>
  </w:style>
  <w:style w:type="character" w:customStyle="1" w:styleId="40">
    <w:name w:val="批注主题 字符"/>
    <w:basedOn w:val="39"/>
    <w:link w:val="18"/>
    <w:autoRedefine/>
    <w:semiHidden/>
    <w:qFormat/>
    <w:uiPriority w:val="99"/>
    <w:rPr>
      <w:rFonts w:ascii="Times New Roman" w:hAnsi="Times New Roman" w:eastAsia="宋体" w:cs="Times New Roman"/>
      <w:b/>
      <w:bCs/>
      <w:szCs w:val="21"/>
    </w:rPr>
  </w:style>
  <w:style w:type="character" w:customStyle="1" w:styleId="41">
    <w:name w:val="文档结构图 字符"/>
    <w:basedOn w:val="22"/>
    <w:link w:val="6"/>
    <w:autoRedefine/>
    <w:semiHidden/>
    <w:qFormat/>
    <w:uiPriority w:val="99"/>
    <w:rPr>
      <w:rFonts w:ascii="宋体" w:hAnsi="Times New Roman" w:eastAsia="宋体" w:cs="Times New Roman"/>
      <w:sz w:val="18"/>
      <w:szCs w:val="18"/>
    </w:rPr>
  </w:style>
  <w:style w:type="paragraph" w:customStyle="1" w:styleId="42">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3">
    <w:name w:val="Revision"/>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4">
    <w:name w:val="页码 New New"/>
    <w:basedOn w:val="22"/>
    <w:autoRedefine/>
    <w:qFormat/>
    <w:uiPriority w:val="0"/>
  </w:style>
  <w:style w:type="paragraph" w:styleId="45">
    <w:name w:val="List Paragraph"/>
    <w:basedOn w:val="1"/>
    <w:autoRedefine/>
    <w:qFormat/>
    <w:uiPriority w:val="34"/>
    <w:pPr>
      <w:ind w:firstLine="420" w:firstLineChars="200"/>
    </w:pPr>
  </w:style>
  <w:style w:type="character" w:customStyle="1" w:styleId="46">
    <w:name w:val="正文文本 字符"/>
    <w:basedOn w:val="22"/>
    <w:link w:val="8"/>
    <w:autoRedefine/>
    <w:qFormat/>
    <w:uiPriority w:val="1"/>
    <w:rPr>
      <w:rFonts w:ascii="仿宋_GB2312" w:hAnsi="仿宋_GB2312" w:eastAsia="仿宋_GB2312"/>
      <w:kern w:val="0"/>
      <w:sz w:val="30"/>
      <w:szCs w:val="30"/>
      <w:lang w:eastAsia="en-US"/>
    </w:rPr>
  </w:style>
  <w:style w:type="character" w:customStyle="1" w:styleId="47">
    <w:name w:val="Unresolved Mention"/>
    <w:basedOn w:val="22"/>
    <w:autoRedefine/>
    <w:semiHidden/>
    <w:unhideWhenUsed/>
    <w:qFormat/>
    <w:uiPriority w:val="99"/>
    <w:rPr>
      <w:color w:val="605E5C"/>
      <w:shd w:val="clear" w:color="auto" w:fill="E1DFDD"/>
    </w:rPr>
  </w:style>
  <w:style w:type="paragraph" w:customStyle="1" w:styleId="4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79FAE-EF8C-4413-8BA6-6BA5B5841ADB}">
  <ds:schemaRefs/>
</ds:datastoreItem>
</file>

<file path=docProps/app.xml><?xml version="1.0" encoding="utf-8"?>
<Properties xmlns="http://schemas.openxmlformats.org/officeDocument/2006/extended-properties" xmlns:vt="http://schemas.openxmlformats.org/officeDocument/2006/docPropsVTypes">
  <Template>Normal</Template>
  <Pages>32</Pages>
  <Words>3819</Words>
  <Characters>4171</Characters>
  <Lines>30</Lines>
  <Paragraphs>8</Paragraphs>
  <TotalTime>296</TotalTime>
  <ScaleCrop>false</ScaleCrop>
  <LinksUpToDate>false</LinksUpToDate>
  <CharactersWithSpaces>4216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2017-10-30T07:15:00Z</dcterms:created>
  <dcterms:modified xsi:type="dcterms:W3CDTF">2024-11-14T15:07:46Z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406D519D8D9548B08E0461D8F282B387_13</vt:lpwstr>
  </property>
</Properties>
</file>