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F8900">
      <w:pPr>
        <w:keepNext w:val="0"/>
        <w:keepLines w:val="0"/>
        <w:pageBreakBefore w:val="0"/>
        <w:widowControl/>
        <w:kinsoku/>
        <w:wordWrap/>
        <w:overflowPunct/>
        <w:topLinePunct w:val="0"/>
        <w:autoSpaceDE/>
        <w:autoSpaceDN/>
        <w:bidi w:val="0"/>
        <w:adjustRightInd/>
        <w:snapToGrid w:val="0"/>
        <w:spacing w:line="520" w:lineRule="exact"/>
        <w:ind w:firstLine="420" w:firstLineChars="0"/>
        <w:jc w:val="center"/>
        <w:textAlignment w:val="auto"/>
        <w:rPr>
          <w:rFonts w:hint="default" w:ascii="Times New Roman" w:hAnsi="Times New Roman" w:eastAsia="黑体" w:cs="Times New Roman"/>
          <w:b/>
          <w:sz w:val="44"/>
          <w:szCs w:val="44"/>
          <w:lang w:val="zh-CN"/>
        </w:rPr>
      </w:pPr>
      <w:r>
        <w:rPr>
          <w:rFonts w:hint="default" w:ascii="Times New Roman" w:hAnsi="Times New Roman" w:eastAsia="黑体" w:cs="Times New Roman"/>
          <w:b/>
          <w:sz w:val="44"/>
          <w:szCs w:val="44"/>
          <w:lang w:val="zh-CN"/>
        </w:rPr>
        <w:t>目  录</w:t>
      </w:r>
      <w:bookmarkStart w:id="87" w:name="_GoBack"/>
      <w:bookmarkEnd w:id="87"/>
    </w:p>
    <w:p w14:paraId="464D2A57">
      <w:pPr>
        <w:widowControl/>
        <w:tabs>
          <w:tab w:val="left" w:pos="2151"/>
        </w:tabs>
        <w:spacing w:line="400" w:lineRule="exact"/>
        <w:jc w:val="left"/>
        <w:rPr>
          <w:rFonts w:hint="default" w:ascii="Times New Roman" w:hAnsi="Times New Roman" w:cs="Times New Roman" w:eastAsiaTheme="minorEastAsia"/>
          <w:b/>
          <w:sz w:val="36"/>
          <w:szCs w:val="36"/>
          <w:lang w:eastAsia="zh-CN"/>
        </w:rPr>
      </w:pPr>
      <w:r>
        <w:rPr>
          <w:rFonts w:hint="default" w:ascii="Times New Roman" w:hAnsi="Times New Roman" w:cs="Times New Roman" w:eastAsiaTheme="minorEastAsia"/>
          <w:b/>
          <w:sz w:val="36"/>
          <w:szCs w:val="36"/>
          <w:lang w:eastAsia="zh-CN"/>
        </w:rPr>
        <w:tab/>
      </w:r>
    </w:p>
    <w:p w14:paraId="39059C1A">
      <w:pPr>
        <w:pStyle w:val="15"/>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TOC \o "1-3" \h \z \u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_Toc20783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摘  要</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_Toc20783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I</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67E23393">
      <w:pPr>
        <w:pStyle w:val="15"/>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_Toc19874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一、基本情况</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_Toc19874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1C1D0242">
      <w:pPr>
        <w:pStyle w:val="15"/>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_Toc15895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（一）项目概况</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_Toc15895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0C4E43F6">
      <w:pPr>
        <w:pStyle w:val="15"/>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_Toc14167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（二）项目资金安排情况</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_Toc14167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4</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2A6A2D5A">
      <w:pPr>
        <w:pStyle w:val="15"/>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_Toc16711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（三）项目实施内容</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_Toc16711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5</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72BCB609">
      <w:pPr>
        <w:pStyle w:val="15"/>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_Toc16446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（四）项目绩效目标设立情况</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_Toc16446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7</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45CA83A4">
      <w:pPr>
        <w:pStyle w:val="15"/>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_Toc12487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（五）组织管理情况</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_Toc12487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9</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367BCF77">
      <w:pPr>
        <w:pStyle w:val="15"/>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_Toc22459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二、绩效评价工作开展情况</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_Toc22459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9</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16A72670">
      <w:pPr>
        <w:pStyle w:val="15"/>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_Toc23216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（一）绩效评价目的、对象和范围</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_Toc23216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9</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5FEB6824">
      <w:pPr>
        <w:pStyle w:val="15"/>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_Toc4175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（二）绩效评价原则、评价指标体系和等级、评价方法、评价抽样</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_Toc4175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10</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08B50179">
      <w:pPr>
        <w:pStyle w:val="15"/>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_Toc554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（三）绩效评价工作过程</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_Toc554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12</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6C997934">
      <w:pPr>
        <w:pStyle w:val="15"/>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_Toc18918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三、绩效评价结论</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_Toc18918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13</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487E2F18">
      <w:pPr>
        <w:pStyle w:val="15"/>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_Toc23165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（一）绩效评价综合结论</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_Toc23165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13</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03BE32C9">
      <w:pPr>
        <w:pStyle w:val="15"/>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_Toc29253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（二）绩效目标实现情况</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_Toc29253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14</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3D777C04">
      <w:pPr>
        <w:pStyle w:val="15"/>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_Toc2931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四、绩效评价情况分析</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_Toc2931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15</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38CCE74D">
      <w:pPr>
        <w:pStyle w:val="15"/>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_Toc9923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（一）决策情况分析</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_Toc9923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16</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004DCFD5">
      <w:pPr>
        <w:pStyle w:val="15"/>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_Toc18167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（二）过程情况分析</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_Toc18167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18</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2785EF43">
      <w:pPr>
        <w:pStyle w:val="15"/>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_Toc23523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（三）产出情况分析</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_Toc23523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20</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5C96F8F6">
      <w:pPr>
        <w:pStyle w:val="15"/>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_Toc6323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（四）效果情况分析</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_Toc6323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21</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67796D6F">
      <w:pPr>
        <w:pStyle w:val="15"/>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_Toc6904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五、存在问题及原因分析</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_Toc6904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23</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12BC9F0B">
      <w:pPr>
        <w:pStyle w:val="15"/>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_Toc10173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（一）绩效目标编制不准确，绩效管理有待加强</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_Toc10173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23</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3A608A9D">
      <w:pPr>
        <w:pStyle w:val="15"/>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_Toc19873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（二）合同签订不规范，合同管理有待加强</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_Toc19873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24</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0C8BC2ED">
      <w:pPr>
        <w:pStyle w:val="15"/>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_Toc8850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六、建议</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_Toc8850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24</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09E94737">
      <w:pPr>
        <w:pStyle w:val="15"/>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_Toc3672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（一）加强绩效管理工作，提升单位绩效意识</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_Toc3672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24</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62061F6C">
      <w:pPr>
        <w:pStyle w:val="15"/>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_Toc4073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（二）加强合同审核流程，进一步提升合同约束力</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_Toc4073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24</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4E84EB8C">
      <w:pPr>
        <w:pStyle w:val="15"/>
        <w:tabs>
          <w:tab w:val="right" w:leader="dot" w:pos="8844"/>
          <w:tab w:val="clear" w:pos="8931"/>
        </w:tabs>
        <w:spacing w:line="240" w:lineRule="auto"/>
        <w:rPr>
          <w:rFonts w:hint="eastAsia" w:ascii="仿宋" w:hAnsi="仿宋" w:eastAsia="仿宋" w:cs="仿宋"/>
          <w:b w:val="0"/>
          <w:bCs w:val="0"/>
          <w:kern w:val="0"/>
          <w:sz w:val="30"/>
          <w:szCs w:val="30"/>
          <w:lang w:val="en-US" w:eastAsia="zh-CN" w:bidi="ar-SA"/>
        </w:rPr>
      </w:pPr>
      <w:r>
        <w:rPr>
          <w:rFonts w:hint="default" w:ascii="Times New Roman" w:hAnsi="Times New Roman" w:eastAsia="仿宋" w:cs="Times New Roman"/>
          <w:b w:val="0"/>
          <w:bCs w:val="0"/>
          <w:sz w:val="30"/>
          <w:szCs w:val="30"/>
          <w:lang w:val="en-US" w:eastAsia="zh-CN"/>
        </w:rPr>
        <w:fldChar w:fldCharType="end"/>
      </w:r>
    </w:p>
    <w:p w14:paraId="6DD58315">
      <w:pPr>
        <w:pStyle w:val="15"/>
        <w:keepNext w:val="0"/>
        <w:keepLines w:val="0"/>
        <w:pageBreakBefore w:val="0"/>
        <w:widowControl/>
        <w:tabs>
          <w:tab w:val="right" w:leader="dot" w:pos="8789"/>
          <w:tab w:val="clear" w:pos="8931"/>
        </w:tabs>
        <w:kinsoku/>
        <w:wordWrap/>
        <w:overflowPunct/>
        <w:topLinePunct w:val="0"/>
        <w:autoSpaceDE/>
        <w:autoSpaceDN/>
        <w:bidi w:val="0"/>
        <w:adjustRightInd w:val="0"/>
        <w:snapToGrid w:val="0"/>
        <w:spacing w:line="240" w:lineRule="auto"/>
        <w:ind w:right="0" w:rightChars="0"/>
        <w:jc w:val="distribute"/>
        <w:textAlignment w:val="auto"/>
        <w:rPr>
          <w:rFonts w:hint="eastAsia" w:ascii="仿宋" w:hAnsi="仿宋" w:eastAsia="仿宋" w:cs="仿宋"/>
          <w:b w:val="0"/>
          <w:bCs w:val="0"/>
          <w:kern w:val="0"/>
          <w:sz w:val="30"/>
          <w:szCs w:val="30"/>
          <w:lang w:val="en-US" w:eastAsia="zh-CN" w:bidi="ar-SA"/>
        </w:rPr>
        <w:sectPr>
          <w:headerReference r:id="rId3" w:type="default"/>
          <w:footerReference r:id="rId5" w:type="default"/>
          <w:headerReference r:id="rId4" w:type="even"/>
          <w:type w:val="oddPage"/>
          <w:pgSz w:w="11906" w:h="16838"/>
          <w:pgMar w:top="2098" w:right="1474" w:bottom="1985" w:left="1588" w:header="851" w:footer="1474" w:gutter="0"/>
          <w:pgNumType w:fmt="decimal" w:start="1"/>
          <w:cols w:space="425" w:num="1"/>
          <w:docGrid w:type="linesAndChars" w:linePitch="579" w:charSpace="3247"/>
        </w:sectPr>
      </w:pPr>
    </w:p>
    <w:p w14:paraId="34FB6AE9">
      <w:pPr>
        <w:overflowPunct w:val="0"/>
        <w:spacing w:line="579" w:lineRule="exact"/>
        <w:jc w:val="center"/>
        <w:outlineLvl w:val="0"/>
        <w:rPr>
          <w:rFonts w:hint="default" w:ascii="Times New Roman" w:hAnsi="Times New Roman" w:eastAsia="方正小标宋简体" w:cs="Times New Roman"/>
          <w:sz w:val="44"/>
          <w:szCs w:val="44"/>
        </w:rPr>
      </w:pPr>
      <w:bookmarkStart w:id="0" w:name="_Toc20783"/>
      <w:bookmarkStart w:id="1" w:name="_Toc14708"/>
      <w:bookmarkStart w:id="2" w:name="_Hlk525313924"/>
      <w:r>
        <w:rPr>
          <w:rFonts w:hint="default" w:ascii="Times New Roman" w:hAnsi="Times New Roman" w:eastAsia="方正小标宋简体" w:cs="Times New Roman"/>
          <w:sz w:val="44"/>
          <w:szCs w:val="44"/>
        </w:rPr>
        <w:t>摘  要</w:t>
      </w:r>
      <w:bookmarkEnd w:id="0"/>
      <w:bookmarkEnd w:id="1"/>
    </w:p>
    <w:p w14:paraId="3A5D5D2B">
      <w:pPr>
        <w:overflowPunct w:val="0"/>
        <w:spacing w:line="579" w:lineRule="exact"/>
        <w:ind w:firstLine="632"/>
        <w:rPr>
          <w:rFonts w:hint="default" w:ascii="Times New Roman" w:hAnsi="Times New Roman" w:cs="Times New Roman"/>
          <w:szCs w:val="30"/>
        </w:rPr>
      </w:pPr>
    </w:p>
    <w:p w14:paraId="2FD01C5E">
      <w:pPr>
        <w:pStyle w:val="31"/>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一、基本情况</w:t>
      </w:r>
    </w:p>
    <w:p w14:paraId="7A00A233">
      <w:pPr>
        <w:pStyle w:val="32"/>
        <w:keepNext w:val="0"/>
        <w:keepLines w:val="0"/>
        <w:pageBreakBefore w:val="0"/>
        <w:kinsoku/>
        <w:wordWrap/>
        <w:topLinePunct w:val="0"/>
        <w:autoSpaceDE/>
        <w:autoSpaceDN/>
        <w:bidi w:val="0"/>
        <w:adjustRightInd/>
        <w:spacing w:line="579" w:lineRule="exact"/>
        <w:textAlignment w:val="auto"/>
        <w:outlineLvl w:val="9"/>
        <w:rPr>
          <w:rFonts w:hint="default" w:ascii="Times New Roman" w:hAnsi="Times New Roman" w:cs="Times New Roman"/>
        </w:rPr>
      </w:pPr>
      <w:r>
        <w:rPr>
          <w:rFonts w:hint="default" w:ascii="Times New Roman" w:hAnsi="Times New Roman" w:cs="Times New Roman"/>
        </w:rPr>
        <w:t>（一）项目概况</w:t>
      </w:r>
    </w:p>
    <w:p w14:paraId="1F3C811F">
      <w:pPr>
        <w:keepNext w:val="0"/>
        <w:keepLines w:val="0"/>
        <w:pageBreakBefore w:val="0"/>
        <w:shd w:val="clear"/>
        <w:kinsoku/>
        <w:wordWrap/>
        <w:overflowPunct/>
        <w:topLinePunct w:val="0"/>
        <w:autoSpaceDE/>
        <w:autoSpaceDN/>
        <w:bidi w:val="0"/>
        <w:adjustRightInd/>
        <w:spacing w:line="579" w:lineRule="exact"/>
        <w:ind w:firstLine="630" w:firstLineChars="200"/>
        <w:textAlignment w:val="auto"/>
        <w:rPr>
          <w:rFonts w:hint="default" w:ascii="Times New Roman" w:hAnsi="Times New Roman" w:eastAsia="仿宋" w:cs="Times New Roman"/>
          <w:kern w:val="30"/>
          <w:sz w:val="30"/>
          <w:szCs w:val="30"/>
          <w:highlight w:val="none"/>
          <w:lang w:val="en-US" w:eastAsia="zh-CN" w:bidi="ar-SA"/>
        </w:rPr>
      </w:pPr>
      <w:r>
        <w:rPr>
          <w:rFonts w:hint="default" w:ascii="Times New Roman" w:hAnsi="Times New Roman" w:cs="Times New Roman"/>
          <w:kern w:val="30"/>
          <w:sz w:val="30"/>
          <w:szCs w:val="30"/>
          <w:highlight w:val="none"/>
          <w:lang w:val="en-US" w:eastAsia="zh-CN" w:bidi="ar-SA"/>
        </w:rPr>
        <w:t>为深入贯彻关于新时代爱国卫生运动的重要指示，云南省人民政府于2020年制定《云南省推进爱国卫生“7个专项行动”方案》，动员全省各族群众参与，改善城乡人居环境。该方案涵盖裸露垃圾消除、公共厕所达标、洗手设施配套等七项行动。2021年，云南省委和省政府进一步落实相关政策，计划到2025年实现国家卫生县城创建和省级卫生乡镇全覆盖。2020至2021年，云南省财政投入65亿元，推动129个县达标。自2022年起，云南实施新“7个专项行动”，转向全面社会健康管理，连续两年在全国评估中名列第一。为巩固成果，西山区于2022年制定三年行动方案，持续改善城乡环境，保障公众健康。2023年，区卫健局设立专项补助经费，支持爱国卫生运动的深入实施。</w:t>
      </w:r>
    </w:p>
    <w:p w14:paraId="0B76A823">
      <w:pPr>
        <w:pStyle w:val="32"/>
        <w:keepNext w:val="0"/>
        <w:keepLines w:val="0"/>
        <w:pageBreakBefore w:val="0"/>
        <w:kinsoku/>
        <w:wordWrap/>
        <w:topLinePunct w:val="0"/>
        <w:autoSpaceDE/>
        <w:autoSpaceDN/>
        <w:bidi w:val="0"/>
        <w:adjustRightInd/>
        <w:spacing w:line="579" w:lineRule="exact"/>
        <w:textAlignment w:val="auto"/>
        <w:outlineLvl w:val="9"/>
        <w:rPr>
          <w:rFonts w:hint="default" w:ascii="Times New Roman" w:hAnsi="Times New Roman" w:cs="Times New Roman"/>
        </w:rPr>
      </w:pPr>
      <w:r>
        <w:rPr>
          <w:rFonts w:hint="default" w:ascii="Times New Roman" w:hAnsi="Times New Roman" w:cs="Times New Roman"/>
        </w:rPr>
        <w:t>（二）项目资金安排情</w:t>
      </w:r>
      <w:r>
        <w:rPr>
          <w:rFonts w:hint="default" w:ascii="Times New Roman" w:hAnsi="Times New Roman" w:cs="Times New Roman"/>
          <w:shd w:val="clear" w:fill="auto"/>
        </w:rPr>
        <w:t>况</w:t>
      </w:r>
    </w:p>
    <w:p w14:paraId="14E2DB8D">
      <w:pPr>
        <w:spacing w:line="600" w:lineRule="exact"/>
        <w:ind w:firstLine="630" w:firstLineChars="200"/>
        <w:rPr>
          <w:rFonts w:hint="default" w:ascii="Times New Roman" w:hAnsi="Times New Roman" w:eastAsia="仿宋" w:cs="Times New Roman"/>
          <w:b/>
          <w:bCs/>
          <w:kern w:val="2"/>
          <w:sz w:val="30"/>
          <w:szCs w:val="30"/>
          <w:lang w:val="en-US" w:eastAsia="zh-CN" w:bidi="ar-SA"/>
        </w:rPr>
      </w:pPr>
      <w:r>
        <w:rPr>
          <w:rFonts w:hint="default" w:ascii="Times New Roman" w:hAnsi="Times New Roman" w:cs="Times New Roman"/>
          <w:b w:val="0"/>
          <w:bCs w:val="0"/>
          <w:kern w:val="2"/>
          <w:sz w:val="30"/>
          <w:szCs w:val="30"/>
          <w:lang w:val="en-US" w:eastAsia="zh-CN" w:bidi="ar-SA"/>
        </w:rPr>
        <w:t>1.资金来源及到位情况</w:t>
      </w:r>
    </w:p>
    <w:p w14:paraId="32BF9C22">
      <w:pPr>
        <w:keepNext w:val="0"/>
        <w:keepLines w:val="0"/>
        <w:pageBreakBefore w:val="0"/>
        <w:widowControl w:val="0"/>
        <w:shd w:val="clear"/>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30"/>
          <w:sz w:val="30"/>
          <w:szCs w:val="30"/>
          <w:highlight w:val="none"/>
          <w:lang w:val="en-US" w:eastAsia="zh-CN" w:bidi="ar-SA"/>
        </w:rPr>
      </w:pPr>
      <w:r>
        <w:rPr>
          <w:rFonts w:hint="eastAsia" w:ascii="Times New Roman" w:cs="Times New Roman"/>
          <w:kern w:val="30"/>
          <w:sz w:val="30"/>
          <w:szCs w:val="30"/>
          <w:highlight w:val="none"/>
          <w:lang w:val="en-US" w:eastAsia="zh-CN" w:bidi="ar-SA"/>
        </w:rPr>
        <w:t>本项目预算单位为</w:t>
      </w:r>
      <w:r>
        <w:rPr>
          <w:rFonts w:hint="default" w:ascii="Times New Roman" w:hAnsi="Times New Roman" w:eastAsia="仿宋" w:cs="Times New Roman"/>
          <w:sz w:val="30"/>
          <w:szCs w:val="30"/>
          <w:lang w:val="en-US" w:eastAsia="zh-CN"/>
        </w:rPr>
        <w:t>昆明市西山区卫生健康局</w:t>
      </w:r>
      <w:r>
        <w:rPr>
          <w:rFonts w:hint="eastAsia" w:ascii="Times New Roman" w:hAnsi="Times New Roman" w:cs="Times New Roman"/>
          <w:sz w:val="30"/>
          <w:szCs w:val="30"/>
          <w:lang w:val="en-US" w:eastAsia="zh-CN"/>
        </w:rPr>
        <w:t>（以下简称“区卫健局”）</w:t>
      </w:r>
      <w:r>
        <w:rPr>
          <w:rFonts w:hint="eastAsia" w:ascii="Times New Roman" w:cs="Times New Roman"/>
          <w:kern w:val="30"/>
          <w:sz w:val="30"/>
          <w:szCs w:val="30"/>
          <w:highlight w:val="none"/>
          <w:lang w:val="en-US" w:eastAsia="zh-CN" w:bidi="ar-SA"/>
        </w:rPr>
        <w:t>，预算来源为一般公共预算。2023年本项目预算金额为44.56万元，根据《昆明市西山区财政局关于批复2023年部门预算的通知》（西财社〔2023〕10号），本项目实际下达44.56万元，预算到位率100%。</w:t>
      </w:r>
    </w:p>
    <w:p w14:paraId="21FA8AD7">
      <w:pPr>
        <w:shd w:val="clear"/>
        <w:spacing w:line="600" w:lineRule="exact"/>
        <w:ind w:firstLine="630" w:firstLineChars="200"/>
        <w:rPr>
          <w:rFonts w:hint="default" w:ascii="Times New Roman" w:hAnsi="Times New Roman" w:eastAsia="仿宋" w:cs="Times New Roman"/>
          <w:b/>
          <w:bCs/>
          <w:kern w:val="2"/>
          <w:sz w:val="30"/>
          <w:szCs w:val="30"/>
          <w:highlight w:val="none"/>
          <w:lang w:val="en-US" w:eastAsia="zh-CN" w:bidi="ar-SA"/>
        </w:rPr>
      </w:pPr>
      <w:r>
        <w:rPr>
          <w:rFonts w:hint="default" w:ascii="Times New Roman" w:hAnsi="Times New Roman" w:cs="Times New Roman"/>
          <w:b w:val="0"/>
          <w:bCs w:val="0"/>
          <w:kern w:val="2"/>
          <w:sz w:val="30"/>
          <w:szCs w:val="30"/>
          <w:lang w:val="en-US" w:eastAsia="zh-CN" w:bidi="ar-SA"/>
        </w:rPr>
        <w:t>2</w:t>
      </w:r>
      <w:r>
        <w:rPr>
          <w:rFonts w:hint="default" w:ascii="Times New Roman" w:hAnsi="Times New Roman" w:cs="Times New Roman"/>
          <w:b w:val="0"/>
          <w:bCs w:val="0"/>
          <w:kern w:val="2"/>
          <w:sz w:val="30"/>
          <w:szCs w:val="30"/>
          <w:highlight w:val="none"/>
          <w:lang w:val="en-US" w:eastAsia="zh-CN" w:bidi="ar-SA"/>
        </w:rPr>
        <w:t>.资金使用情况</w:t>
      </w:r>
    </w:p>
    <w:p w14:paraId="380018AC">
      <w:pPr>
        <w:keepNext w:val="0"/>
        <w:keepLines w:val="0"/>
        <w:pageBreakBefore w:val="0"/>
        <w:widowControl w:val="0"/>
        <w:shd w:val="clear"/>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30"/>
          <w:sz w:val="30"/>
          <w:szCs w:val="30"/>
          <w:highlight w:val="none"/>
          <w:lang w:val="en-US" w:eastAsia="zh-CN" w:bidi="ar-SA"/>
        </w:rPr>
      </w:pPr>
      <w:r>
        <w:rPr>
          <w:rFonts w:hint="default" w:ascii="Times New Roman" w:hAnsi="Times New Roman" w:eastAsia="仿宋" w:cs="Times New Roman"/>
          <w:kern w:val="30"/>
          <w:sz w:val="30"/>
          <w:szCs w:val="30"/>
          <w:highlight w:val="none"/>
          <w:lang w:val="en-US" w:eastAsia="zh-CN" w:bidi="ar-SA"/>
        </w:rPr>
        <w:t>截至2023年12月31日，本项目实际支出金额44.56万元，预算执行率100%。</w:t>
      </w:r>
    </w:p>
    <w:p w14:paraId="7A40BCFA">
      <w:pPr>
        <w:pStyle w:val="31"/>
        <w:keepNext w:val="0"/>
        <w:keepLines w:val="0"/>
        <w:pageBreakBefore w:val="0"/>
        <w:numPr>
          <w:ilvl w:val="0"/>
          <w:numId w:val="0"/>
        </w:numPr>
        <w:shd w:val="clear"/>
        <w:kinsoku/>
        <w:wordWrap/>
        <w:topLinePunct w:val="0"/>
        <w:autoSpaceDE/>
        <w:autoSpaceDN/>
        <w:bidi w:val="0"/>
        <w:adjustRightInd/>
        <w:spacing w:line="579" w:lineRule="exact"/>
        <w:ind w:firstLine="630" w:firstLineChars="200"/>
        <w:textAlignment w:val="auto"/>
        <w:outlineLvl w:val="9"/>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二、绩效评价结论</w:t>
      </w:r>
    </w:p>
    <w:p w14:paraId="22776C28">
      <w:pPr>
        <w:shd w:val="clear"/>
        <w:spacing w:line="579" w:lineRule="exact"/>
        <w:ind w:firstLine="630" w:firstLineChars="200"/>
        <w:rPr>
          <w:rFonts w:hint="default" w:ascii="Times New Roman" w:hAnsi="Times New Roman" w:eastAsia="仿宋" w:cs="Times New Roman"/>
          <w:kern w:val="30"/>
          <w:sz w:val="30"/>
          <w:szCs w:val="30"/>
          <w:highlight w:val="none"/>
          <w:lang w:val="en-US" w:eastAsia="zh-CN" w:bidi="ar-SA"/>
        </w:rPr>
      </w:pPr>
      <w:r>
        <w:rPr>
          <w:rFonts w:hint="eastAsia"/>
          <w:lang w:val="en-US" w:eastAsia="zh-CN"/>
        </w:rPr>
        <w:t>推进爱国卫生7个专项行动工作补助经费项目</w:t>
      </w:r>
      <w:r>
        <w:rPr>
          <w:rFonts w:hint="default" w:ascii="Times New Roman" w:hAnsi="Times New Roman" w:eastAsia="仿宋" w:cs="Times New Roman"/>
          <w:kern w:val="30"/>
          <w:sz w:val="30"/>
          <w:szCs w:val="30"/>
          <w:highlight w:val="none"/>
          <w:lang w:val="en-US" w:eastAsia="zh-CN" w:bidi="ar-SA"/>
        </w:rPr>
        <w:t>绩效评价得分</w:t>
      </w:r>
      <w:r>
        <w:rPr>
          <w:rFonts w:hint="eastAsia" w:ascii="Times New Roman" w:cs="Times New Roman"/>
          <w:kern w:val="30"/>
          <w:sz w:val="30"/>
          <w:szCs w:val="30"/>
          <w:highlight w:val="none"/>
          <w:shd w:val="clear"/>
          <w:lang w:val="en-US" w:eastAsia="zh-CN" w:bidi="ar-SA"/>
        </w:rPr>
        <w:t>89.00</w:t>
      </w:r>
      <w:r>
        <w:rPr>
          <w:rFonts w:hint="default" w:ascii="Times New Roman" w:hAnsi="Times New Roman" w:eastAsia="仿宋" w:cs="Times New Roman"/>
          <w:kern w:val="30"/>
          <w:sz w:val="30"/>
          <w:szCs w:val="30"/>
          <w:highlight w:val="none"/>
          <w:shd w:val="clear"/>
          <w:lang w:val="en-US" w:eastAsia="zh-CN" w:bidi="ar-SA"/>
        </w:rPr>
        <w:t>分，</w:t>
      </w:r>
      <w:r>
        <w:rPr>
          <w:rFonts w:hint="default" w:ascii="Times New Roman" w:hAnsi="Times New Roman" w:eastAsia="仿宋" w:cs="Times New Roman"/>
          <w:kern w:val="30"/>
          <w:sz w:val="30"/>
          <w:szCs w:val="30"/>
          <w:highlight w:val="none"/>
          <w:lang w:val="en-US" w:eastAsia="zh-CN" w:bidi="ar-SA"/>
        </w:rPr>
        <w:t>评价等级为</w:t>
      </w:r>
      <w:r>
        <w:rPr>
          <w:rFonts w:hint="default" w:ascii="Times New Roman" w:hAnsi="Times New Roman" w:cs="Times New Roman"/>
          <w:kern w:val="30"/>
          <w:sz w:val="30"/>
          <w:szCs w:val="30"/>
          <w:highlight w:val="none"/>
          <w:lang w:val="en-US" w:eastAsia="zh-CN" w:bidi="ar-SA"/>
        </w:rPr>
        <w:t>“</w:t>
      </w:r>
      <w:r>
        <w:rPr>
          <w:rFonts w:hint="eastAsia" w:ascii="Times New Roman" w:cs="Times New Roman"/>
          <w:kern w:val="30"/>
          <w:sz w:val="30"/>
          <w:szCs w:val="30"/>
          <w:highlight w:val="none"/>
          <w:lang w:val="en-US" w:eastAsia="zh-CN" w:bidi="ar-SA"/>
        </w:rPr>
        <w:t>良</w:t>
      </w:r>
      <w:r>
        <w:rPr>
          <w:rFonts w:hint="default" w:ascii="Times New Roman" w:hAnsi="Times New Roman" w:cs="Times New Roman"/>
          <w:kern w:val="30"/>
          <w:sz w:val="30"/>
          <w:szCs w:val="30"/>
          <w:highlight w:val="none"/>
          <w:lang w:val="en-US" w:eastAsia="zh-CN" w:bidi="ar-SA"/>
        </w:rPr>
        <w:t>”</w:t>
      </w:r>
      <w:r>
        <w:rPr>
          <w:rFonts w:hint="default" w:ascii="Times New Roman" w:hAnsi="Times New Roman" w:eastAsia="仿宋" w:cs="Times New Roman"/>
          <w:kern w:val="30"/>
          <w:sz w:val="30"/>
          <w:szCs w:val="30"/>
          <w:highlight w:val="none"/>
          <w:lang w:val="en-US" w:eastAsia="zh-CN" w:bidi="ar-SA"/>
        </w:rPr>
        <w:t>。一级指标具体得分情况详见下表：</w:t>
      </w:r>
    </w:p>
    <w:p w14:paraId="7C58404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sz w:val="24"/>
          <w:szCs w:val="24"/>
        </w:rPr>
      </w:pPr>
      <w:r>
        <w:rPr>
          <w:rFonts w:hint="eastAsia" w:ascii="Times New Roman" w:eastAsia="黑体" w:cs="Times New Roman"/>
          <w:b w:val="0"/>
          <w:bCs/>
          <w:sz w:val="24"/>
          <w:szCs w:val="24"/>
          <w:lang w:val="en-US" w:eastAsia="zh-CN"/>
        </w:rPr>
        <w:t>表摘1</w:t>
      </w:r>
      <w:r>
        <w:rPr>
          <w:rFonts w:hint="default" w:ascii="Times New Roman" w:hAnsi="Times New Roman" w:eastAsia="黑体" w:cs="Times New Roman"/>
          <w:b w:val="0"/>
          <w:bCs/>
          <w:sz w:val="24"/>
          <w:szCs w:val="24"/>
          <w:lang w:eastAsia="zh-CN"/>
        </w:rPr>
        <w:t>绩效评价</w:t>
      </w:r>
      <w:r>
        <w:rPr>
          <w:rFonts w:hint="default" w:ascii="Times New Roman" w:hAnsi="Times New Roman" w:eastAsia="黑体" w:cs="Times New Roman"/>
          <w:b w:val="0"/>
          <w:bCs/>
          <w:sz w:val="24"/>
          <w:szCs w:val="24"/>
        </w:rPr>
        <w:t>得分情况表</w:t>
      </w:r>
    </w:p>
    <w:tbl>
      <w:tblPr>
        <w:tblStyle w:val="22"/>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2212"/>
        <w:gridCol w:w="2211"/>
        <w:gridCol w:w="2211"/>
        <w:gridCol w:w="2211"/>
      </w:tblGrid>
      <w:tr w14:paraId="214EF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tblHeader/>
          <w:jc w:val="center"/>
        </w:trPr>
        <w:tc>
          <w:tcPr>
            <w:tcW w:w="2212" w:type="dxa"/>
            <w:tcBorders>
              <w:top w:val="single" w:color="auto" w:sz="4" w:space="0"/>
            </w:tcBorders>
            <w:vAlign w:val="center"/>
          </w:tcPr>
          <w:p w14:paraId="3761EFA0">
            <w:pPr>
              <w:snapToGrid w:val="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一级指标</w:t>
            </w:r>
          </w:p>
        </w:tc>
        <w:tc>
          <w:tcPr>
            <w:tcW w:w="2211" w:type="dxa"/>
            <w:tcBorders>
              <w:top w:val="single" w:color="auto" w:sz="4" w:space="0"/>
            </w:tcBorders>
            <w:vAlign w:val="center"/>
          </w:tcPr>
          <w:p w14:paraId="5D147119">
            <w:pPr>
              <w:snapToGrid w:val="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指标分值</w:t>
            </w:r>
          </w:p>
        </w:tc>
        <w:tc>
          <w:tcPr>
            <w:tcW w:w="2211" w:type="dxa"/>
            <w:tcBorders>
              <w:top w:val="single" w:color="auto" w:sz="4" w:space="0"/>
            </w:tcBorders>
            <w:vAlign w:val="center"/>
          </w:tcPr>
          <w:p w14:paraId="7FCA7E67">
            <w:pPr>
              <w:snapToGrid w:val="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评价得分</w:t>
            </w:r>
          </w:p>
        </w:tc>
        <w:tc>
          <w:tcPr>
            <w:tcW w:w="2211" w:type="dxa"/>
            <w:tcBorders>
              <w:top w:val="single" w:color="auto" w:sz="4" w:space="0"/>
            </w:tcBorders>
            <w:vAlign w:val="center"/>
          </w:tcPr>
          <w:p w14:paraId="24A5A95B">
            <w:pPr>
              <w:snapToGrid w:val="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得分率</w:t>
            </w:r>
          </w:p>
        </w:tc>
      </w:tr>
      <w:tr w14:paraId="60A10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6BCA75EA">
            <w:pPr>
              <w:snapToGrid w:val="0"/>
              <w:jc w:val="center"/>
              <w:rPr>
                <w:rFonts w:hint="default" w:ascii="Times New Roman" w:hAnsi="Times New Roman" w:eastAsia="仿宋" w:cs="Times New Roman"/>
                <w:bCs/>
                <w:spacing w:val="6"/>
                <w:sz w:val="21"/>
                <w:lang w:eastAsia="zh-CN"/>
              </w:rPr>
            </w:pPr>
            <w:r>
              <w:rPr>
                <w:rFonts w:hint="default" w:ascii="Times New Roman" w:hAnsi="Times New Roman" w:cs="Times New Roman"/>
                <w:bCs/>
                <w:spacing w:val="6"/>
                <w:sz w:val="21"/>
                <w:lang w:val="en-US" w:eastAsia="zh-CN"/>
              </w:rPr>
              <w:t>决策</w:t>
            </w:r>
          </w:p>
        </w:tc>
        <w:tc>
          <w:tcPr>
            <w:tcW w:w="2211" w:type="dxa"/>
            <w:vAlign w:val="center"/>
          </w:tcPr>
          <w:p w14:paraId="33804A58">
            <w:pPr>
              <w:snapToGrid w:val="0"/>
              <w:jc w:val="center"/>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rPr>
              <w:t>15</w:t>
            </w:r>
            <w:r>
              <w:rPr>
                <w:rFonts w:hint="eastAsia" w:ascii="Times New Roman" w:cs="Times New Roman"/>
                <w:bCs/>
                <w:spacing w:val="6"/>
                <w:sz w:val="21"/>
                <w:lang w:val="en-US" w:eastAsia="zh-CN"/>
              </w:rPr>
              <w:t>.00</w:t>
            </w:r>
          </w:p>
        </w:tc>
        <w:tc>
          <w:tcPr>
            <w:tcW w:w="2211" w:type="dxa"/>
            <w:vAlign w:val="center"/>
          </w:tcPr>
          <w:p w14:paraId="7BB1DD89">
            <w:pPr>
              <w:snapToGrid w:val="0"/>
              <w:jc w:val="center"/>
              <w:rPr>
                <w:rFonts w:hint="default" w:ascii="Times New Roman" w:hAnsi="Times New Roman" w:eastAsia="仿宋" w:cs="Times New Roman"/>
                <w:bCs/>
                <w:spacing w:val="6"/>
                <w:sz w:val="21"/>
                <w:lang w:val="en-US" w:eastAsia="zh-CN"/>
              </w:rPr>
            </w:pPr>
            <w:r>
              <w:rPr>
                <w:rFonts w:hint="eastAsia" w:ascii="Times New Roman" w:cs="Times New Roman"/>
                <w:bCs/>
                <w:spacing w:val="6"/>
                <w:sz w:val="21"/>
                <w:lang w:val="en-US" w:eastAsia="zh-CN"/>
              </w:rPr>
              <w:t>14.00</w:t>
            </w:r>
          </w:p>
        </w:tc>
        <w:tc>
          <w:tcPr>
            <w:tcW w:w="2211" w:type="dxa"/>
            <w:vAlign w:val="center"/>
          </w:tcPr>
          <w:p w14:paraId="55A76300">
            <w:pPr>
              <w:snapToGrid w:val="0"/>
              <w:jc w:val="center"/>
              <w:rPr>
                <w:rFonts w:hint="default" w:ascii="Times New Roman" w:hAnsi="Times New Roman" w:eastAsia="仿宋" w:cs="Times New Roman"/>
                <w:bCs/>
                <w:spacing w:val="6"/>
                <w:sz w:val="21"/>
                <w:lang w:val="en-US" w:eastAsia="zh-CN"/>
              </w:rPr>
            </w:pPr>
            <w:r>
              <w:rPr>
                <w:rFonts w:hint="eastAsia" w:ascii="Times New Roman" w:cs="Times New Roman"/>
                <w:bCs/>
                <w:spacing w:val="6"/>
                <w:sz w:val="21"/>
                <w:lang w:val="en-US" w:eastAsia="zh-CN"/>
              </w:rPr>
              <w:t>93.33%</w:t>
            </w:r>
          </w:p>
        </w:tc>
      </w:tr>
      <w:tr w14:paraId="1D28F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0F676245">
            <w:pPr>
              <w:snapToGrid w:val="0"/>
              <w:jc w:val="center"/>
              <w:rPr>
                <w:rFonts w:hint="default" w:ascii="Times New Roman" w:hAnsi="Times New Roman" w:cs="Times New Roman"/>
                <w:bCs/>
                <w:spacing w:val="6"/>
                <w:sz w:val="21"/>
              </w:rPr>
            </w:pPr>
            <w:r>
              <w:rPr>
                <w:rFonts w:hint="default" w:ascii="Times New Roman" w:hAnsi="Times New Roman" w:cs="Times New Roman"/>
                <w:bCs/>
                <w:spacing w:val="6"/>
                <w:sz w:val="21"/>
              </w:rPr>
              <w:t>过程</w:t>
            </w:r>
          </w:p>
        </w:tc>
        <w:tc>
          <w:tcPr>
            <w:tcW w:w="2211" w:type="dxa"/>
            <w:vAlign w:val="center"/>
          </w:tcPr>
          <w:p w14:paraId="1B0546B7">
            <w:pPr>
              <w:snapToGrid w:val="0"/>
              <w:jc w:val="center"/>
              <w:rPr>
                <w:rFonts w:hint="default" w:ascii="Times New Roman" w:hAnsi="Times New Roman" w:cs="Times New Roman"/>
                <w:bCs/>
                <w:spacing w:val="6"/>
                <w:sz w:val="21"/>
              </w:rPr>
            </w:pPr>
            <w:r>
              <w:rPr>
                <w:rFonts w:hint="default" w:ascii="Times New Roman" w:hAnsi="Times New Roman" w:cs="Times New Roman"/>
                <w:bCs/>
                <w:spacing w:val="6"/>
                <w:sz w:val="21"/>
              </w:rPr>
              <w:t>20</w:t>
            </w:r>
            <w:r>
              <w:rPr>
                <w:rFonts w:hint="eastAsia" w:ascii="Times New Roman" w:cs="Times New Roman"/>
                <w:bCs/>
                <w:spacing w:val="6"/>
                <w:sz w:val="21"/>
                <w:lang w:val="en-US" w:eastAsia="zh-CN"/>
              </w:rPr>
              <w:t>.00</w:t>
            </w:r>
          </w:p>
        </w:tc>
        <w:tc>
          <w:tcPr>
            <w:tcW w:w="2211" w:type="dxa"/>
            <w:vAlign w:val="center"/>
          </w:tcPr>
          <w:p w14:paraId="744CD61B">
            <w:pPr>
              <w:snapToGrid w:val="0"/>
              <w:jc w:val="center"/>
              <w:rPr>
                <w:rFonts w:hint="default" w:ascii="Times New Roman" w:hAnsi="Times New Roman" w:eastAsia="仿宋" w:cs="Times New Roman"/>
                <w:bCs/>
                <w:spacing w:val="6"/>
                <w:sz w:val="21"/>
                <w:lang w:val="en-US" w:eastAsia="zh-CN"/>
              </w:rPr>
            </w:pPr>
            <w:r>
              <w:rPr>
                <w:rFonts w:hint="eastAsia" w:ascii="Times New Roman" w:cs="Times New Roman"/>
                <w:bCs/>
                <w:spacing w:val="6"/>
                <w:sz w:val="21"/>
                <w:lang w:val="en-US" w:eastAsia="zh-CN"/>
              </w:rPr>
              <w:t>18.00</w:t>
            </w:r>
          </w:p>
        </w:tc>
        <w:tc>
          <w:tcPr>
            <w:tcW w:w="2211" w:type="dxa"/>
            <w:vAlign w:val="center"/>
          </w:tcPr>
          <w:p w14:paraId="21AB9DE5">
            <w:pPr>
              <w:snapToGrid w:val="0"/>
              <w:jc w:val="center"/>
              <w:rPr>
                <w:rFonts w:hint="default" w:ascii="Times New Roman" w:hAnsi="Times New Roman" w:eastAsia="仿宋" w:cs="Times New Roman"/>
                <w:bCs/>
                <w:spacing w:val="6"/>
                <w:sz w:val="21"/>
                <w:lang w:val="en-US" w:eastAsia="zh-CN"/>
              </w:rPr>
            </w:pPr>
            <w:r>
              <w:rPr>
                <w:rFonts w:hint="eastAsia" w:ascii="Times New Roman" w:cs="Times New Roman"/>
                <w:bCs/>
                <w:spacing w:val="6"/>
                <w:sz w:val="21"/>
                <w:lang w:val="en-US" w:eastAsia="zh-CN"/>
              </w:rPr>
              <w:t>90.00%</w:t>
            </w:r>
          </w:p>
        </w:tc>
      </w:tr>
      <w:tr w14:paraId="46CB8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6C2542A1">
            <w:pPr>
              <w:snapToGrid w:val="0"/>
              <w:jc w:val="center"/>
              <w:rPr>
                <w:rFonts w:hint="default" w:ascii="Times New Roman" w:hAnsi="Times New Roman" w:cs="Times New Roman"/>
                <w:bCs/>
                <w:spacing w:val="6"/>
                <w:sz w:val="21"/>
              </w:rPr>
            </w:pPr>
            <w:r>
              <w:rPr>
                <w:rFonts w:hint="default" w:ascii="Times New Roman" w:hAnsi="Times New Roman" w:cs="Times New Roman"/>
                <w:bCs/>
                <w:spacing w:val="6"/>
                <w:sz w:val="21"/>
              </w:rPr>
              <w:t>产出</w:t>
            </w:r>
          </w:p>
        </w:tc>
        <w:tc>
          <w:tcPr>
            <w:tcW w:w="2211" w:type="dxa"/>
            <w:vAlign w:val="center"/>
          </w:tcPr>
          <w:p w14:paraId="448E190D">
            <w:pPr>
              <w:snapToGrid w:val="0"/>
              <w:jc w:val="center"/>
              <w:rPr>
                <w:rFonts w:hint="default" w:ascii="Times New Roman" w:hAnsi="Times New Roman" w:cs="Times New Roman"/>
                <w:bCs/>
                <w:spacing w:val="6"/>
                <w:sz w:val="21"/>
              </w:rPr>
            </w:pPr>
            <w:r>
              <w:rPr>
                <w:rFonts w:hint="default" w:ascii="Times New Roman" w:hAnsi="Times New Roman" w:cs="Times New Roman"/>
                <w:bCs/>
                <w:spacing w:val="6"/>
                <w:sz w:val="21"/>
              </w:rPr>
              <w:t>35</w:t>
            </w:r>
            <w:r>
              <w:rPr>
                <w:rFonts w:hint="eastAsia" w:ascii="Times New Roman" w:cs="Times New Roman"/>
                <w:bCs/>
                <w:spacing w:val="6"/>
                <w:sz w:val="21"/>
                <w:lang w:val="en-US" w:eastAsia="zh-CN"/>
              </w:rPr>
              <w:t>.00</w:t>
            </w:r>
          </w:p>
        </w:tc>
        <w:tc>
          <w:tcPr>
            <w:tcW w:w="2211" w:type="dxa"/>
            <w:vAlign w:val="center"/>
          </w:tcPr>
          <w:p w14:paraId="3AFE130E">
            <w:pPr>
              <w:snapToGrid w:val="0"/>
              <w:jc w:val="center"/>
              <w:rPr>
                <w:rFonts w:hint="default" w:ascii="Times New Roman" w:hAnsi="Times New Roman" w:eastAsia="仿宋" w:cs="Times New Roman"/>
                <w:bCs/>
                <w:spacing w:val="6"/>
                <w:sz w:val="21"/>
                <w:lang w:val="en-US" w:eastAsia="zh-CN"/>
              </w:rPr>
            </w:pPr>
            <w:r>
              <w:rPr>
                <w:rFonts w:hint="eastAsia" w:ascii="Times New Roman" w:cs="Times New Roman"/>
                <w:bCs/>
                <w:spacing w:val="6"/>
                <w:sz w:val="21"/>
                <w:lang w:val="en-US" w:eastAsia="zh-CN"/>
              </w:rPr>
              <w:t>32.00</w:t>
            </w:r>
          </w:p>
        </w:tc>
        <w:tc>
          <w:tcPr>
            <w:tcW w:w="2211" w:type="dxa"/>
            <w:vAlign w:val="center"/>
          </w:tcPr>
          <w:p w14:paraId="28E51D4B">
            <w:pPr>
              <w:snapToGrid w:val="0"/>
              <w:jc w:val="center"/>
              <w:rPr>
                <w:rFonts w:hint="default" w:ascii="Times New Roman" w:hAnsi="Times New Roman" w:eastAsia="仿宋" w:cs="Times New Roman"/>
                <w:bCs/>
                <w:spacing w:val="6"/>
                <w:sz w:val="21"/>
                <w:lang w:val="en-US" w:eastAsia="zh-CN"/>
              </w:rPr>
            </w:pPr>
            <w:r>
              <w:rPr>
                <w:rFonts w:hint="eastAsia" w:ascii="Times New Roman" w:cs="Times New Roman"/>
                <w:bCs/>
                <w:spacing w:val="6"/>
                <w:sz w:val="21"/>
                <w:lang w:val="en-US" w:eastAsia="zh-CN"/>
              </w:rPr>
              <w:t>91.43%</w:t>
            </w:r>
          </w:p>
        </w:tc>
      </w:tr>
      <w:tr w14:paraId="45F07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76294943">
            <w:pPr>
              <w:snapToGrid w:val="0"/>
              <w:jc w:val="center"/>
              <w:rPr>
                <w:rFonts w:hint="default" w:ascii="Times New Roman" w:hAnsi="Times New Roman" w:cs="Times New Roman"/>
                <w:bCs/>
                <w:spacing w:val="6"/>
                <w:sz w:val="21"/>
              </w:rPr>
            </w:pPr>
            <w:r>
              <w:rPr>
                <w:rFonts w:hint="default" w:ascii="Times New Roman" w:hAnsi="Times New Roman" w:cs="Times New Roman"/>
                <w:bCs/>
                <w:spacing w:val="6"/>
                <w:sz w:val="21"/>
              </w:rPr>
              <w:t>效果</w:t>
            </w:r>
          </w:p>
        </w:tc>
        <w:tc>
          <w:tcPr>
            <w:tcW w:w="2211" w:type="dxa"/>
            <w:vAlign w:val="center"/>
          </w:tcPr>
          <w:p w14:paraId="5373E062">
            <w:pPr>
              <w:snapToGrid w:val="0"/>
              <w:jc w:val="center"/>
              <w:rPr>
                <w:rFonts w:hint="default" w:ascii="Times New Roman" w:hAnsi="Times New Roman" w:cs="Times New Roman"/>
                <w:bCs/>
                <w:spacing w:val="6"/>
                <w:sz w:val="21"/>
              </w:rPr>
            </w:pPr>
            <w:r>
              <w:rPr>
                <w:rFonts w:hint="default" w:ascii="Times New Roman" w:hAnsi="Times New Roman" w:cs="Times New Roman"/>
                <w:bCs/>
                <w:spacing w:val="6"/>
                <w:sz w:val="21"/>
              </w:rPr>
              <w:t>30</w:t>
            </w:r>
            <w:r>
              <w:rPr>
                <w:rFonts w:hint="eastAsia" w:ascii="Times New Roman" w:cs="Times New Roman"/>
                <w:bCs/>
                <w:spacing w:val="6"/>
                <w:sz w:val="21"/>
                <w:lang w:val="en-US" w:eastAsia="zh-CN"/>
              </w:rPr>
              <w:t>.00</w:t>
            </w:r>
          </w:p>
        </w:tc>
        <w:tc>
          <w:tcPr>
            <w:tcW w:w="2211" w:type="dxa"/>
            <w:vAlign w:val="center"/>
          </w:tcPr>
          <w:p w14:paraId="4CAE2A37">
            <w:pPr>
              <w:snapToGrid w:val="0"/>
              <w:jc w:val="center"/>
              <w:rPr>
                <w:rFonts w:hint="default" w:ascii="Times New Roman" w:hAnsi="Times New Roman" w:eastAsia="仿宋" w:cs="Times New Roman"/>
                <w:bCs/>
                <w:spacing w:val="6"/>
                <w:sz w:val="21"/>
                <w:lang w:val="en-US" w:eastAsia="zh-CN"/>
              </w:rPr>
            </w:pPr>
            <w:r>
              <w:rPr>
                <w:rFonts w:hint="eastAsia" w:ascii="Times New Roman" w:cs="Times New Roman"/>
                <w:bCs/>
                <w:spacing w:val="6"/>
                <w:sz w:val="21"/>
                <w:lang w:val="en-US" w:eastAsia="zh-CN"/>
              </w:rPr>
              <w:t>25.00</w:t>
            </w:r>
          </w:p>
        </w:tc>
        <w:tc>
          <w:tcPr>
            <w:tcW w:w="2211" w:type="dxa"/>
            <w:vAlign w:val="center"/>
          </w:tcPr>
          <w:p w14:paraId="139DB639">
            <w:pPr>
              <w:snapToGrid w:val="0"/>
              <w:jc w:val="center"/>
              <w:rPr>
                <w:rFonts w:hint="default" w:ascii="Times New Roman" w:hAnsi="Times New Roman" w:eastAsia="仿宋" w:cs="Times New Roman"/>
                <w:bCs/>
                <w:spacing w:val="6"/>
                <w:sz w:val="21"/>
                <w:lang w:val="en-US" w:eastAsia="zh-CN"/>
              </w:rPr>
            </w:pPr>
            <w:r>
              <w:rPr>
                <w:rFonts w:hint="eastAsia" w:ascii="Times New Roman" w:cs="Times New Roman"/>
                <w:bCs/>
                <w:spacing w:val="6"/>
                <w:sz w:val="21"/>
                <w:lang w:val="en-US" w:eastAsia="zh-CN"/>
              </w:rPr>
              <w:t>83.33%</w:t>
            </w:r>
          </w:p>
        </w:tc>
      </w:tr>
      <w:tr w14:paraId="3FD3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384AAE0F">
            <w:pPr>
              <w:snapToGrid w:val="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合 计</w:t>
            </w:r>
          </w:p>
        </w:tc>
        <w:tc>
          <w:tcPr>
            <w:tcW w:w="2211" w:type="dxa"/>
            <w:vAlign w:val="center"/>
          </w:tcPr>
          <w:p w14:paraId="790396BF">
            <w:pPr>
              <w:snapToGrid w:val="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100</w:t>
            </w:r>
            <w:r>
              <w:rPr>
                <w:rFonts w:hint="eastAsia" w:ascii="Times New Roman" w:cs="Times New Roman"/>
                <w:b/>
                <w:bCs/>
                <w:spacing w:val="6"/>
                <w:sz w:val="21"/>
                <w:lang w:val="en-US" w:eastAsia="zh-CN"/>
              </w:rPr>
              <w:t>.00</w:t>
            </w:r>
          </w:p>
        </w:tc>
        <w:tc>
          <w:tcPr>
            <w:tcW w:w="2211" w:type="dxa"/>
            <w:vAlign w:val="center"/>
          </w:tcPr>
          <w:p w14:paraId="29A57C42">
            <w:pPr>
              <w:snapToGrid w:val="0"/>
              <w:jc w:val="center"/>
              <w:rPr>
                <w:rFonts w:hint="default" w:ascii="Times New Roman" w:hAnsi="Times New Roman" w:eastAsia="仿宋" w:cs="Times New Roman"/>
                <w:b/>
                <w:bCs/>
                <w:spacing w:val="6"/>
                <w:sz w:val="21"/>
                <w:lang w:val="en-US" w:eastAsia="zh-CN"/>
              </w:rPr>
            </w:pPr>
            <w:r>
              <w:rPr>
                <w:rFonts w:hint="eastAsia" w:ascii="Times New Roman" w:cs="Times New Roman"/>
                <w:b/>
                <w:bCs/>
                <w:spacing w:val="6"/>
                <w:sz w:val="21"/>
                <w:lang w:val="en-US" w:eastAsia="zh-CN"/>
              </w:rPr>
              <w:t>89.00</w:t>
            </w:r>
          </w:p>
        </w:tc>
        <w:tc>
          <w:tcPr>
            <w:tcW w:w="2211" w:type="dxa"/>
            <w:vAlign w:val="center"/>
          </w:tcPr>
          <w:p w14:paraId="2A98EB36">
            <w:pPr>
              <w:snapToGrid w:val="0"/>
              <w:jc w:val="center"/>
              <w:rPr>
                <w:rFonts w:hint="default" w:ascii="Times New Roman" w:hAnsi="Times New Roman" w:eastAsia="仿宋" w:cs="Times New Roman"/>
                <w:b/>
                <w:bCs/>
                <w:spacing w:val="6"/>
                <w:sz w:val="21"/>
                <w:lang w:val="en-US" w:eastAsia="zh-CN"/>
              </w:rPr>
            </w:pPr>
            <w:r>
              <w:rPr>
                <w:rFonts w:hint="eastAsia" w:ascii="Times New Roman" w:cs="Times New Roman"/>
                <w:b/>
                <w:bCs/>
                <w:spacing w:val="6"/>
                <w:sz w:val="21"/>
                <w:lang w:val="en-US" w:eastAsia="zh-CN"/>
              </w:rPr>
              <w:t>89.00%</w:t>
            </w:r>
          </w:p>
        </w:tc>
      </w:tr>
    </w:tbl>
    <w:p w14:paraId="73645F47">
      <w:pPr>
        <w:spacing w:line="579" w:lineRule="exact"/>
        <w:ind w:firstLine="630" w:firstLineChars="200"/>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综合结论：本项目立项依据充分、立项程序规范，内容完善，项目实施方案及管理制度健全，项目实施效果良好，但绩效目标设定还有待提升，合同管理有待加强，个别工作精细化管理</w:t>
      </w:r>
      <w:r>
        <w:rPr>
          <w:rFonts w:hint="eastAsia" w:ascii="Times New Roman" w:cs="Times New Roman"/>
          <w:kern w:val="30"/>
          <w:sz w:val="30"/>
          <w:szCs w:val="30"/>
          <w:lang w:val="en-US" w:eastAsia="zh-CN" w:bidi="ar-SA"/>
        </w:rPr>
        <w:t>还有待完善</w:t>
      </w:r>
      <w:r>
        <w:rPr>
          <w:rFonts w:hint="default" w:ascii="Times New Roman" w:hAnsi="Times New Roman" w:eastAsia="仿宋" w:cs="Times New Roman"/>
          <w:kern w:val="30"/>
          <w:sz w:val="30"/>
          <w:szCs w:val="30"/>
          <w:lang w:val="en-US" w:eastAsia="zh-CN" w:bidi="ar-SA"/>
        </w:rPr>
        <w:t>。</w:t>
      </w:r>
    </w:p>
    <w:p w14:paraId="1B830863">
      <w:pPr>
        <w:pStyle w:val="31"/>
        <w:keepNext w:val="0"/>
        <w:keepLines w:val="0"/>
        <w:pageBreakBefore w:val="0"/>
        <w:numPr>
          <w:ilvl w:val="0"/>
          <w:numId w:val="0"/>
        </w:numPr>
        <w:shd w:val="clear"/>
        <w:kinsoku/>
        <w:wordWrap/>
        <w:topLinePunct w:val="0"/>
        <w:autoSpaceDE/>
        <w:autoSpaceDN/>
        <w:bidi w:val="0"/>
        <w:adjustRightInd/>
        <w:spacing w:line="579" w:lineRule="exact"/>
        <w:ind w:firstLine="630" w:firstLineChars="200"/>
        <w:textAlignment w:val="auto"/>
        <w:outlineLvl w:val="9"/>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三、存在的主要问题</w:t>
      </w:r>
    </w:p>
    <w:p w14:paraId="2D69BF97">
      <w:pPr>
        <w:pStyle w:val="32"/>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3" w:name="_Toc10264"/>
      <w:r>
        <w:rPr>
          <w:rFonts w:hint="default" w:ascii="Times New Roman" w:hAnsi="Times New Roman" w:cs="Times New Roman"/>
          <w:lang w:val="en-US" w:eastAsia="zh-CN"/>
        </w:rPr>
        <w:t>（一）绩效</w:t>
      </w:r>
      <w:r>
        <w:rPr>
          <w:rFonts w:hint="eastAsia" w:cs="Times New Roman"/>
          <w:lang w:val="en-US" w:eastAsia="zh-CN"/>
        </w:rPr>
        <w:t>目标编制不准确，绩效管理有待加强</w:t>
      </w:r>
      <w:bookmarkEnd w:id="3"/>
    </w:p>
    <w:p w14:paraId="2C084324">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eastAsia" w:ascii="Times New Roman" w:cs="Times New Roman"/>
          <w:kern w:val="2"/>
          <w:sz w:val="30"/>
          <w:szCs w:val="30"/>
          <w:highlight w:val="none"/>
          <w:lang w:val="en-US" w:eastAsia="zh-CN" w:bidi="ar-SA"/>
        </w:rPr>
      </w:pPr>
      <w:r>
        <w:rPr>
          <w:rFonts w:hint="eastAsia" w:ascii="Times New Roman" w:cs="Times New Roman"/>
          <w:kern w:val="2"/>
          <w:sz w:val="30"/>
          <w:szCs w:val="30"/>
          <w:highlight w:val="none"/>
          <w:lang w:val="en-US" w:eastAsia="zh-CN" w:bidi="ar-SA"/>
        </w:rPr>
        <w:t>个别指标编制不够准确，如数量指标中的“开展“绿城市、治污染、除四害、食安心、勤锻炼、管慢病、家健康”行动，推动全生命周期健康管理理念贯穿城市规划、建设、管理全过程各环节，将健康融入所有政策”、“聚焦营造健康环境、构建健康社会、优化健康服务、培育健康人群、弘扬健康文化，培育和践行社会主义核心价值观，传承中华优秀传统文化，开展“绿城市、治污染、除四害、食安心、勤锻炼、管慢病、家健康”行动制作宣传品及宣传报道”等指标的指标名称冗长，指向不明确；服务对象满意度指标中的“推动全生命周期健康管理理念贯穿城市规划、建设、管理全过程各环节，影响居民健康的主要因素得到有效控制，社会健康综合治理能力全面提高，培育先进典型，发挥示范引领作用。充分发挥基层组织作用，广泛动员社会力量和人民群众，营造全民知晓、全民支持、全民参与、共建共享的社会氛围。”也存在此类问题。</w:t>
      </w:r>
    </w:p>
    <w:p w14:paraId="29499BA1">
      <w:pPr>
        <w:pStyle w:val="32"/>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4" w:name="_Toc6107"/>
      <w:r>
        <w:rPr>
          <w:rFonts w:hint="default" w:ascii="Times New Roman" w:hAnsi="Times New Roman" w:cs="Times New Roman"/>
          <w:lang w:val="en-US" w:eastAsia="zh-CN"/>
        </w:rPr>
        <w:t>（</w:t>
      </w:r>
      <w:r>
        <w:rPr>
          <w:rFonts w:hint="eastAsia" w:ascii="Times New Roman" w:hAnsi="Times New Roman" w:cs="Times New Roman"/>
          <w:lang w:val="en-US" w:eastAsia="zh-CN"/>
        </w:rPr>
        <w:t>二</w:t>
      </w:r>
      <w:r>
        <w:rPr>
          <w:rFonts w:hint="default" w:ascii="Times New Roman" w:hAnsi="Times New Roman" w:cs="Times New Roman"/>
          <w:lang w:val="en-US" w:eastAsia="zh-CN"/>
        </w:rPr>
        <w:t>）</w:t>
      </w:r>
      <w:r>
        <w:rPr>
          <w:rFonts w:hint="eastAsia" w:ascii="Times New Roman" w:hAnsi="Times New Roman" w:cs="Times New Roman"/>
          <w:lang w:val="en-US" w:eastAsia="zh-CN"/>
        </w:rPr>
        <w:t>合同签订不规范</w:t>
      </w:r>
      <w:r>
        <w:rPr>
          <w:rFonts w:hint="eastAsia" w:cs="Times New Roman"/>
          <w:lang w:val="en-US" w:eastAsia="zh-CN"/>
        </w:rPr>
        <w:t>，合同管理有待加强</w:t>
      </w:r>
      <w:bookmarkEnd w:id="4"/>
    </w:p>
    <w:p w14:paraId="702A4FE1">
      <w:pPr>
        <w:pStyle w:val="51"/>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b w:val="0"/>
          <w:bCs w:val="0"/>
          <w:color w:val="auto"/>
          <w:kern w:val="2"/>
          <w:sz w:val="30"/>
          <w:szCs w:val="30"/>
          <w:highlight w:val="none"/>
          <w:lang w:val="en-US" w:eastAsia="zh-CN" w:bidi="ar-SA"/>
        </w:rPr>
      </w:pPr>
      <w:r>
        <w:rPr>
          <w:rFonts w:hint="default" w:ascii="Times New Roman" w:hAnsi="Times New Roman" w:eastAsia="仿宋" w:cs="Times New Roman"/>
          <w:b w:val="0"/>
          <w:bCs w:val="0"/>
          <w:color w:val="auto"/>
          <w:kern w:val="2"/>
          <w:sz w:val="30"/>
          <w:szCs w:val="30"/>
          <w:highlight w:val="none"/>
          <w:lang w:val="en-US" w:eastAsia="zh-CN" w:bidi="ar-SA"/>
        </w:rPr>
        <w:t>项目组查阅了区卫健局的材料，发现个别工作执行不够规范，如昆明伏特电子技术有限公司签订的合同中，并未明确具体履行日期及验收日期；与昆明日报社签订的合作协议中，合作时限有误。</w:t>
      </w:r>
    </w:p>
    <w:p w14:paraId="2C43BABF">
      <w:pPr>
        <w:pStyle w:val="31"/>
        <w:keepNext w:val="0"/>
        <w:keepLines w:val="0"/>
        <w:pageBreakBefore w:val="0"/>
        <w:numPr>
          <w:ilvl w:val="0"/>
          <w:numId w:val="0"/>
        </w:numPr>
        <w:shd w:val="clear"/>
        <w:kinsoku/>
        <w:wordWrap/>
        <w:topLinePunct w:val="0"/>
        <w:autoSpaceDE/>
        <w:autoSpaceDN/>
        <w:bidi w:val="0"/>
        <w:adjustRightInd/>
        <w:spacing w:line="579" w:lineRule="exact"/>
        <w:ind w:firstLine="630" w:firstLineChars="200"/>
        <w:textAlignment w:val="auto"/>
        <w:outlineLvl w:val="9"/>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四</w:t>
      </w:r>
      <w:r>
        <w:rPr>
          <w:rFonts w:hint="default" w:ascii="Times New Roman" w:hAnsi="Times New Roman" w:cs="Times New Roman"/>
          <w:highlight w:val="none"/>
          <w:lang w:val="en-US" w:eastAsia="zh-CN"/>
        </w:rPr>
        <w:t>、建议</w:t>
      </w:r>
    </w:p>
    <w:p w14:paraId="7AB040C2">
      <w:pPr>
        <w:pStyle w:val="32"/>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5" w:name="_Toc1291"/>
      <w:r>
        <w:rPr>
          <w:rFonts w:hint="default" w:ascii="Times New Roman" w:hAnsi="Times New Roman" w:cs="Times New Roman"/>
          <w:lang w:val="en-US" w:eastAsia="zh-CN"/>
        </w:rPr>
        <w:t>（</w:t>
      </w:r>
      <w:r>
        <w:rPr>
          <w:rFonts w:hint="eastAsia" w:ascii="Times New Roman" w:hAnsi="Times New Roman" w:cs="Times New Roman"/>
          <w:lang w:val="en-US" w:eastAsia="zh-CN"/>
        </w:rPr>
        <w:t>一</w:t>
      </w:r>
      <w:r>
        <w:rPr>
          <w:rFonts w:hint="default" w:ascii="Times New Roman" w:hAnsi="Times New Roman" w:cs="Times New Roman"/>
          <w:lang w:val="en-US" w:eastAsia="zh-CN"/>
        </w:rPr>
        <w:t>）</w:t>
      </w:r>
      <w:r>
        <w:rPr>
          <w:rFonts w:hint="eastAsia" w:ascii="Times New Roman" w:hAnsi="Times New Roman" w:cs="Times New Roman"/>
          <w:lang w:val="en-US" w:eastAsia="zh-CN"/>
        </w:rPr>
        <w:t>加强绩效管理工作</w:t>
      </w:r>
      <w:r>
        <w:rPr>
          <w:rFonts w:hint="default" w:ascii="Times New Roman" w:hAnsi="Times New Roman" w:cs="Times New Roman"/>
          <w:lang w:val="en-US" w:eastAsia="zh-CN"/>
        </w:rPr>
        <w:t>，提升单位绩效意识</w:t>
      </w:r>
      <w:bookmarkEnd w:id="5"/>
    </w:p>
    <w:p w14:paraId="57DB0EFD">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cs="Times New Roman"/>
          <w:szCs w:val="30"/>
          <w:lang w:val="en-US" w:eastAsia="zh-CN"/>
        </w:rPr>
      </w:pPr>
      <w:r>
        <w:rPr>
          <w:rFonts w:hint="default" w:ascii="Times New Roman" w:hAnsi="Times New Roman" w:cs="Times New Roman"/>
          <w:szCs w:val="30"/>
          <w:lang w:val="en-US" w:eastAsia="zh-CN"/>
        </w:rPr>
        <w:t>建议</w:t>
      </w:r>
      <w:r>
        <w:rPr>
          <w:rFonts w:hint="eastAsia" w:ascii="Times New Roman" w:cs="Times New Roman"/>
          <w:szCs w:val="30"/>
          <w:lang w:val="en-US" w:eastAsia="zh-CN"/>
        </w:rPr>
        <w:t>区卫健局按照</w:t>
      </w:r>
      <w:r>
        <w:rPr>
          <w:rFonts w:hint="default" w:ascii="Times New Roman" w:hAnsi="Times New Roman" w:eastAsia="仿宋" w:cs="Times New Roman"/>
          <w:kern w:val="2"/>
          <w:sz w:val="30"/>
          <w:szCs w:val="30"/>
          <w:lang w:val="en-US" w:eastAsia="zh-CN" w:bidi="ar-SA"/>
        </w:rPr>
        <w:t>国家、省</w:t>
      </w:r>
      <w:r>
        <w:rPr>
          <w:rFonts w:hint="eastAsia" w:ascii="Times New Roman" w:cs="Times New Roman"/>
          <w:kern w:val="2"/>
          <w:sz w:val="30"/>
          <w:szCs w:val="30"/>
          <w:lang w:val="en-US" w:eastAsia="zh-CN" w:bidi="ar-SA"/>
        </w:rPr>
        <w:t>、市、区</w:t>
      </w:r>
      <w:r>
        <w:rPr>
          <w:rFonts w:hint="eastAsia" w:ascii="Times New Roman" w:cs="Times New Roman"/>
          <w:szCs w:val="30"/>
          <w:lang w:val="en-US" w:eastAsia="zh-CN"/>
        </w:rPr>
        <w:t>绩效相关工作要求，严格编制绩效目标表</w:t>
      </w:r>
      <w:r>
        <w:rPr>
          <w:rFonts w:hint="default" w:ascii="Times New Roman" w:hAnsi="Times New Roman" w:cs="Times New Roman"/>
          <w:szCs w:val="30"/>
          <w:lang w:val="en-US" w:eastAsia="zh-CN"/>
        </w:rPr>
        <w:t>，确保后续指标评价的完整性及整体目标设置的合理性。</w:t>
      </w:r>
      <w:r>
        <w:rPr>
          <w:rFonts w:hint="eastAsia" w:ascii="Times New Roman" w:cs="Times New Roman"/>
          <w:szCs w:val="30"/>
          <w:lang w:val="en-US" w:eastAsia="zh-CN"/>
        </w:rPr>
        <w:t>对于本次项目，数量指标建议针对重点工作进行设置，如“培训工作完成率”、“宣传品制作完成数量”；</w:t>
      </w:r>
      <w:r>
        <w:rPr>
          <w:rFonts w:hint="eastAsia" w:ascii="Times New Roman" w:cs="Times New Roman"/>
          <w:kern w:val="2"/>
          <w:sz w:val="30"/>
          <w:szCs w:val="30"/>
          <w:highlight w:val="none"/>
          <w:lang w:val="en-US" w:eastAsia="zh-CN" w:bidi="ar-SA"/>
        </w:rPr>
        <w:t>服务对象满意度建议调整为“受益对象满意度”用于考核受益对象（周边居民）对项目实施的满意程度。</w:t>
      </w:r>
    </w:p>
    <w:p w14:paraId="7E4097F1">
      <w:pPr>
        <w:pStyle w:val="32"/>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6" w:name="_Toc31302"/>
      <w:r>
        <w:rPr>
          <w:rFonts w:hint="default" w:ascii="Times New Roman" w:hAnsi="Times New Roman" w:cs="Times New Roman"/>
          <w:lang w:val="en-US" w:eastAsia="zh-CN"/>
        </w:rPr>
        <w:t>（</w:t>
      </w:r>
      <w:r>
        <w:rPr>
          <w:rFonts w:hint="eastAsia" w:ascii="Times New Roman" w:hAnsi="Times New Roman" w:cs="Times New Roman"/>
          <w:lang w:val="en-US" w:eastAsia="zh-CN"/>
        </w:rPr>
        <w:t>二</w:t>
      </w:r>
      <w:r>
        <w:rPr>
          <w:rFonts w:hint="default" w:ascii="Times New Roman" w:hAnsi="Times New Roman" w:cs="Times New Roman"/>
          <w:lang w:val="en-US" w:eastAsia="zh-CN"/>
        </w:rPr>
        <w:t>）</w:t>
      </w:r>
      <w:r>
        <w:rPr>
          <w:rFonts w:hint="eastAsia" w:ascii="Times New Roman" w:hAnsi="Times New Roman" w:cs="Times New Roman"/>
          <w:lang w:val="en-US" w:eastAsia="zh-CN"/>
        </w:rPr>
        <w:t>加强合同审核流程</w:t>
      </w:r>
      <w:r>
        <w:rPr>
          <w:rFonts w:hint="default" w:ascii="Times New Roman" w:hAnsi="Times New Roman" w:cs="Times New Roman"/>
          <w:lang w:val="en-US" w:eastAsia="zh-CN"/>
        </w:rPr>
        <w:t>，</w:t>
      </w:r>
      <w:r>
        <w:rPr>
          <w:rFonts w:hint="eastAsia" w:ascii="Times New Roman" w:hAnsi="Times New Roman" w:cs="Times New Roman"/>
          <w:lang w:val="en-US" w:eastAsia="zh-CN"/>
        </w:rPr>
        <w:t>进一步提升合同约束力</w:t>
      </w:r>
      <w:bookmarkEnd w:id="6"/>
    </w:p>
    <w:p w14:paraId="0732296C">
      <w:pPr>
        <w:pStyle w:val="2"/>
        <w:keepNext w:val="0"/>
        <w:keepLines w:val="0"/>
        <w:pageBreakBefore w:val="0"/>
        <w:widowControl w:val="0"/>
        <w:kinsoku/>
        <w:wordWrap/>
        <w:overflowPunct/>
        <w:topLinePunct w:val="0"/>
        <w:autoSpaceDE/>
        <w:autoSpaceDN/>
        <w:bidi w:val="0"/>
        <w:adjustRightInd/>
        <w:snapToGrid w:val="0"/>
        <w:spacing w:line="579" w:lineRule="exact"/>
        <w:ind w:firstLine="630" w:firstLineChars="200"/>
        <w:textAlignment w:val="auto"/>
        <w:rPr>
          <w:rFonts w:hint="default" w:ascii="Times New Roman" w:hAnsi="Times New Roman" w:eastAsia="仿宋" w:cs="Times New Roman"/>
          <w:kern w:val="30"/>
          <w:sz w:val="30"/>
          <w:szCs w:val="30"/>
          <w:lang w:val="en-US" w:eastAsia="zh-CN" w:bidi="ar-SA"/>
        </w:rPr>
        <w:sectPr>
          <w:footerReference r:id="rId6" w:type="default"/>
          <w:footerReference r:id="rId7" w:type="even"/>
          <w:pgSz w:w="11906" w:h="16838"/>
          <w:pgMar w:top="2098" w:right="1474" w:bottom="1985" w:left="1588" w:header="851" w:footer="1474" w:gutter="0"/>
          <w:pgNumType w:fmt="upperRoman" w:start="1"/>
          <w:cols w:space="425" w:num="1"/>
          <w:docGrid w:type="linesAndChars" w:linePitch="579" w:charSpace="3247"/>
        </w:sectPr>
      </w:pPr>
      <w:r>
        <w:rPr>
          <w:rFonts w:hint="eastAsia" w:ascii="Times New Roman" w:hAnsi="Times New Roman" w:eastAsia="仿宋" w:cs="Times New Roman"/>
          <w:kern w:val="30"/>
          <w:sz w:val="30"/>
          <w:szCs w:val="30"/>
          <w:lang w:val="en-US" w:eastAsia="zh-CN" w:bidi="ar-SA"/>
        </w:rPr>
        <w:t>建议区卫健局加强合同审核/审批流程，在签订流程中明确相应的约束条件，如时间/周期等，加强合同对第三方的约束力，进一步保障工作的总体质量。同时，应建立完善的合同管理制度，确保所有合同在签署前经过多层次审核，涵盖法律、财务和业务等各方面的专业意见。此外，建议定期对相关人员进行培训，以提高他们的合同管理能力和法律意识，从而减少因不规范操作导致的风险。</w:t>
      </w:r>
    </w:p>
    <w:p w14:paraId="096CBBB8">
      <w:pPr>
        <w:rPr>
          <w:rFonts w:hint="default" w:ascii="Times New Roman" w:hAnsi="Times New Roman" w:eastAsia="方正小标宋简体" w:cs="Times New Roman"/>
          <w:sz w:val="44"/>
          <w:szCs w:val="44"/>
        </w:rPr>
      </w:pPr>
    </w:p>
    <w:bookmarkEnd w:id="2"/>
    <w:p w14:paraId="5C4E5CE9">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eastAsia" w:ascii="方正小标宋简体" w:hAnsi="方正小标宋简体" w:eastAsia="方正小标宋简体" w:cs="方正小标宋简体"/>
          <w:color w:val="auto"/>
          <w:kern w:val="36"/>
          <w:sz w:val="44"/>
          <w:szCs w:val="44"/>
          <w:highlight w:val="none"/>
          <w:lang w:val="en-US" w:eastAsia="zh-CN"/>
        </w:rPr>
      </w:pPr>
      <w:r>
        <w:rPr>
          <w:rFonts w:hint="default" w:ascii="Times New Roman" w:hAnsi="Times New Roman" w:eastAsia="方正小标宋简体" w:cs="Times New Roman"/>
          <w:color w:val="auto"/>
          <w:kern w:val="36"/>
          <w:sz w:val="44"/>
          <w:szCs w:val="44"/>
          <w:highlight w:val="none"/>
          <w:lang w:val="en-US" w:eastAsia="zh-CN"/>
        </w:rPr>
        <w:t>推进爱国卫生7个专项行动工作补助经费</w:t>
      </w:r>
      <w:r>
        <w:rPr>
          <w:rFonts w:hint="eastAsia" w:ascii="方正小标宋简体" w:hAnsi="方正小标宋简体" w:eastAsia="方正小标宋简体" w:cs="方正小标宋简体"/>
          <w:color w:val="auto"/>
          <w:kern w:val="36"/>
          <w:sz w:val="44"/>
          <w:szCs w:val="44"/>
          <w:highlight w:val="none"/>
          <w:lang w:val="en-US" w:eastAsia="zh-CN"/>
        </w:rPr>
        <w:t>项目支出绩效评价报告</w:t>
      </w:r>
    </w:p>
    <w:p w14:paraId="3EB45EEF">
      <w:pPr>
        <w:spacing w:line="579" w:lineRule="exact"/>
        <w:rPr>
          <w:rFonts w:hint="default" w:ascii="Times New Roman" w:hAnsi="Times New Roman" w:cs="Times New Roman"/>
          <w:sz w:val="36"/>
          <w:szCs w:val="36"/>
        </w:rPr>
      </w:pPr>
    </w:p>
    <w:p w14:paraId="463C43B5">
      <w:pPr>
        <w:keepNext w:val="0"/>
        <w:keepLines w:val="0"/>
        <w:pageBreakBefore w:val="0"/>
        <w:kinsoku/>
        <w:wordWrap/>
        <w:overflowPunct/>
        <w:topLinePunct w:val="0"/>
        <w:autoSpaceDE/>
        <w:autoSpaceDN/>
        <w:bidi w:val="0"/>
        <w:adjustRightInd/>
        <w:spacing w:line="579" w:lineRule="exact"/>
        <w:ind w:firstLine="630" w:firstLineChars="200"/>
        <w:textAlignment w:val="auto"/>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根据</w:t>
      </w:r>
      <w:r>
        <w:rPr>
          <w:rFonts w:hint="eastAsia" w:ascii="Times New Roman" w:hAnsi="Times New Roman" w:cs="Times New Roman"/>
          <w:szCs w:val="30"/>
          <w:lang w:val="en-US" w:eastAsia="zh-CN"/>
        </w:rPr>
        <w:t>《中华人民共和国预算法》《中共中央国务院关于全面实施预算绩效管理的意见》（中发〔2018〕34号）、《中共云南省委云南省人民政府关于全面实施预算绩效管理的实施意见》（云发〔2019〕11号）《云南省财政厅关于印发云南省财政厅绩效评价质量控制机制（试行）的通知》（云财办〔2022〕14号）</w:t>
      </w:r>
      <w:r>
        <w:rPr>
          <w:rFonts w:hint="default" w:ascii="Times New Roman" w:hAnsi="Times New Roman" w:eastAsia="仿宋" w:cs="Times New Roman"/>
          <w:kern w:val="30"/>
          <w:sz w:val="30"/>
          <w:szCs w:val="30"/>
          <w:lang w:val="en-US" w:eastAsia="zh-CN" w:bidi="ar-SA"/>
        </w:rPr>
        <w:t>的要求，</w:t>
      </w:r>
      <w:r>
        <w:rPr>
          <w:rFonts w:hint="eastAsia" w:ascii="Times New Roman" w:cs="Times New Roman"/>
          <w:szCs w:val="30"/>
          <w:lang w:val="en-US" w:eastAsia="zh-CN"/>
        </w:rPr>
        <w:t>昆明市西山区</w:t>
      </w:r>
      <w:r>
        <w:rPr>
          <w:rFonts w:hint="eastAsia" w:ascii="Times New Roman" w:hAnsi="Times New Roman" w:cs="Times New Roman"/>
          <w:szCs w:val="30"/>
          <w:lang w:val="en-US" w:eastAsia="zh-CN"/>
        </w:rPr>
        <w:t>财政局（以下简称“</w:t>
      </w:r>
      <w:r>
        <w:rPr>
          <w:rFonts w:hint="eastAsia" w:ascii="Times New Roman" w:cs="Times New Roman"/>
          <w:szCs w:val="30"/>
          <w:lang w:val="en-US" w:eastAsia="zh-CN"/>
        </w:rPr>
        <w:t>区</w:t>
      </w:r>
      <w:r>
        <w:rPr>
          <w:rFonts w:hint="eastAsia" w:ascii="Times New Roman" w:hAnsi="Times New Roman" w:cs="Times New Roman"/>
          <w:szCs w:val="30"/>
          <w:lang w:val="en-US" w:eastAsia="zh-CN"/>
        </w:rPr>
        <w:t>财政局”）委托昆明池砾项目咨询有限责任公司（以下简称“池砾公司”）对推进爱国卫生7个专项行动工作补助经费</w:t>
      </w:r>
      <w:r>
        <w:rPr>
          <w:rFonts w:hint="eastAsia" w:ascii="Times New Roman" w:cs="Times New Roman"/>
          <w:szCs w:val="30"/>
          <w:lang w:val="en-US" w:eastAsia="zh-CN"/>
        </w:rPr>
        <w:t>项目（以下简称“本项目”）</w:t>
      </w:r>
      <w:r>
        <w:rPr>
          <w:rFonts w:hint="eastAsia" w:ascii="Times New Roman" w:hAnsi="Times New Roman" w:cs="Times New Roman"/>
          <w:szCs w:val="30"/>
          <w:lang w:val="en-US" w:eastAsia="zh-CN"/>
        </w:rPr>
        <w:t>开展绩效评价</w:t>
      </w:r>
      <w:r>
        <w:rPr>
          <w:rFonts w:hint="default" w:ascii="Times New Roman" w:hAnsi="Times New Roman" w:eastAsia="仿宋" w:cs="Times New Roman"/>
          <w:kern w:val="30"/>
          <w:sz w:val="30"/>
          <w:szCs w:val="30"/>
          <w:lang w:val="en-US" w:eastAsia="zh-CN" w:bidi="ar-SA"/>
        </w:rPr>
        <w:t>。现将评价情况报告如下：</w:t>
      </w:r>
    </w:p>
    <w:p w14:paraId="09AA8248">
      <w:pPr>
        <w:pStyle w:val="31"/>
        <w:keepNext w:val="0"/>
        <w:keepLines w:val="0"/>
        <w:pageBreakBefore w:val="0"/>
        <w:numPr>
          <w:ilvl w:val="0"/>
          <w:numId w:val="0"/>
        </w:numPr>
        <w:kinsoku/>
        <w:wordWrap/>
        <w:overflowPunct/>
        <w:topLinePunct w:val="0"/>
        <w:autoSpaceDE/>
        <w:autoSpaceDN/>
        <w:bidi w:val="0"/>
        <w:adjustRightInd/>
        <w:spacing w:line="579" w:lineRule="exact"/>
        <w:ind w:firstLine="630" w:firstLineChars="200"/>
        <w:textAlignment w:val="auto"/>
        <w:rPr>
          <w:rFonts w:hint="default" w:ascii="Times New Roman" w:hAnsi="Times New Roman" w:cs="Times New Roman"/>
          <w:lang w:val="en-US" w:eastAsia="zh-CN"/>
        </w:rPr>
      </w:pPr>
      <w:bookmarkStart w:id="7" w:name="_Toc19874"/>
      <w:r>
        <w:rPr>
          <w:rFonts w:hint="default" w:ascii="Times New Roman" w:hAnsi="Times New Roman" w:cs="Times New Roman"/>
          <w:lang w:val="en-US" w:eastAsia="zh-CN"/>
        </w:rPr>
        <w:t>一、基本情况</w:t>
      </w:r>
      <w:bookmarkEnd w:id="7"/>
    </w:p>
    <w:p w14:paraId="6A0DBA4C">
      <w:pPr>
        <w:pStyle w:val="32"/>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b w:val="0"/>
          <w:bCs w:val="0"/>
        </w:rPr>
      </w:pPr>
      <w:bookmarkStart w:id="8" w:name="_Toc15895"/>
      <w:r>
        <w:rPr>
          <w:rFonts w:hint="default" w:ascii="Times New Roman" w:hAnsi="Times New Roman" w:cs="Times New Roman"/>
          <w:b w:val="0"/>
          <w:bCs w:val="0"/>
        </w:rPr>
        <w:t>（一）项目概况</w:t>
      </w:r>
      <w:bookmarkEnd w:id="8"/>
    </w:p>
    <w:p w14:paraId="67A4DB3D">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b w:val="0"/>
          <w:bCs w:val="0"/>
          <w:lang w:val="en-US" w:eastAsia="zh-CN"/>
        </w:rPr>
      </w:pPr>
      <w:bookmarkStart w:id="9" w:name="_Toc13322"/>
      <w:r>
        <w:rPr>
          <w:rFonts w:hint="default" w:ascii="Times New Roman" w:hAnsi="Times New Roman" w:eastAsia="仿宋" w:cs="Times New Roman"/>
          <w:b w:val="0"/>
          <w:bCs w:val="0"/>
          <w:lang w:val="en-US" w:eastAsia="zh-CN"/>
        </w:rPr>
        <w:t>1.项目设立背景</w:t>
      </w:r>
      <w:bookmarkEnd w:id="9"/>
    </w:p>
    <w:p w14:paraId="4E65E293">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sz w:val="30"/>
          <w:szCs w:val="30"/>
          <w:lang w:val="en-US" w:eastAsia="zh-CN"/>
        </w:rPr>
      </w:pPr>
      <w:bookmarkStart w:id="10" w:name="_Toc23086"/>
      <w:r>
        <w:rPr>
          <w:rFonts w:hint="default" w:ascii="Times New Roman" w:hAnsi="Times New Roman" w:eastAsia="仿宋" w:cs="Times New Roman"/>
          <w:sz w:val="30"/>
          <w:szCs w:val="30"/>
          <w:lang w:val="en-US" w:eastAsia="zh-CN"/>
        </w:rPr>
        <w:t>为深入贯彻落实习近平总书记关于新时代爱国卫生运动重要指示精神，动员全省各族群众广泛参与爱国卫生运动，全面改善城乡人居环境，推动新时代爱国卫生运动和常态化疫情防控不断取得新成效，更好地保障人民生命安全和身体健康，2020年，云南省人民政府办公厅制定并发布了《云南省推进爱国卫生“7个专项行动”方案》，方案中提出“在全省开展以“清垃圾、扫厕所、勤洗手、净餐馆、常消毒、管集市</w:t>
      </w:r>
      <w:r>
        <w:rPr>
          <w:rFonts w:hint="eastAsia" w:ascii="Times New Roman" w:cs="Times New Roman"/>
          <w:sz w:val="30"/>
          <w:szCs w:val="30"/>
          <w:lang w:val="en-US" w:eastAsia="zh-CN"/>
        </w:rPr>
        <w:t>、群</w:t>
      </w:r>
      <w:r>
        <w:rPr>
          <w:rFonts w:hint="default" w:ascii="Times New Roman" w:hAnsi="Times New Roman" w:eastAsia="仿宋" w:cs="Times New Roman"/>
          <w:sz w:val="30"/>
          <w:szCs w:val="30"/>
          <w:lang w:val="en-US" w:eastAsia="zh-CN"/>
        </w:rPr>
        <w:t>众参与”为主题的爱国卫生7个专项行动。7</w:t>
      </w:r>
      <w:r>
        <w:rPr>
          <w:rFonts w:hint="eastAsia" w:ascii="Times New Roman" w:cs="Times New Roman"/>
          <w:sz w:val="30"/>
          <w:szCs w:val="30"/>
          <w:lang w:val="en-US" w:eastAsia="zh-CN"/>
        </w:rPr>
        <w:t>个</w:t>
      </w:r>
      <w:r>
        <w:rPr>
          <w:rFonts w:hint="default" w:ascii="Times New Roman" w:hAnsi="Times New Roman" w:eastAsia="仿宋" w:cs="Times New Roman"/>
          <w:sz w:val="30"/>
          <w:szCs w:val="30"/>
          <w:lang w:val="en-US" w:eastAsia="zh-CN"/>
        </w:rPr>
        <w:t>专项行动包括：裸露垃圾全消除行动、公共厕所全达标行动、洗手设施全配套行动、公共场所清洁消毒全覆盖行动、餐饮服务环境卫生全改善行动、农贸市场环境卫生全提升行动、健康文明生活方式全参与行动”。2021年，为深入贯彻习近平总书记关于爱国卫生工作的重要指示批示精神，全面落实《国务院关于深入开展爱国卫生运动的意见》精神，有效保障人民群众健康，云南省委办公厅、人民政府办公厅印发《关于深入开展爱国卫生运动的实施意见》，实现“到2025年，全省爱国卫生“7个专项行动”不断深化拓展，农村人居环境整治不断推进提升，城乡公共卫生设施不断完善，国家卫生县城（城市）创建、省级卫生乡镇实现全覆盖，文明健康、绿色环保的生活方式广泛普及，健康城市和健康细胞建设深入推进，爱祖国、讲卫生、树文明、重健康的浓厚文化氛围普遍形成，全民健康素养水平大幅提升，全民参与社会健康管理的爱国卫生运动新格局基本建立，社会健康综合治理能力迈上新台阶。”2020年至2021年，云南省级财政投入65亿元用于开展“7个专项行动”，实现全省129个县（市、区）达到国家卫生县城标准。</w:t>
      </w:r>
    </w:p>
    <w:p w14:paraId="3DE36FC1">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sz w:val="30"/>
          <w:szCs w:val="30"/>
          <w:lang w:val="en-US" w:eastAsia="zh-CN"/>
        </w:rPr>
      </w:pPr>
      <w:r>
        <w:rPr>
          <w:rFonts w:hint="default" w:ascii="Times New Roman" w:hAnsi="Times New Roman" w:eastAsia="仿宋" w:cs="Times New Roman"/>
          <w:sz w:val="30"/>
          <w:szCs w:val="30"/>
          <w:lang w:val="en-US" w:eastAsia="zh-CN"/>
        </w:rPr>
        <w:t>为进一步深化拓展爱国卫生工作成果，推动健康云南建设走深走实，从2022年7月开始，云南对照健康中国建设总体要求，接续实施“绿城市、治污染、除四害、食安心、勤锻炼、管慢病、家健康”爱国卫生新“7个专项行动”，提炼出67项评价指标，在全国率先全域打造健康县城，推动爱国卫生运动从环境卫生治理向全面社会健康管理转变，全力打造卫生、干净、健康、美丽、宜居云南，在全国“倡导文明健康绿色环保生活方式”活动中，连续两年综合评估全国第一，为健康云南建设筑牢了坚实基础。</w:t>
      </w:r>
    </w:p>
    <w:p w14:paraId="2AF4A353">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sz w:val="30"/>
          <w:szCs w:val="30"/>
          <w:lang w:val="en-US" w:eastAsia="zh-CN"/>
        </w:rPr>
      </w:pPr>
      <w:r>
        <w:rPr>
          <w:rFonts w:hint="default" w:ascii="Times New Roman" w:hAnsi="Times New Roman" w:eastAsia="仿宋" w:cs="Times New Roman"/>
          <w:sz w:val="30"/>
          <w:szCs w:val="30"/>
          <w:lang w:val="en-US" w:eastAsia="zh-CN"/>
        </w:rPr>
        <w:t>2022年，为巩固爱国卫生运动“7个专项行动”、国家卫生城市（县城）创建成果，</w:t>
      </w:r>
      <w:r>
        <w:rPr>
          <w:rFonts w:hint="default" w:ascii="Times New Roman" w:hAnsi="Times New Roman" w:eastAsia="仿宋" w:cs="Times New Roman"/>
          <w:spacing w:val="0"/>
          <w:w w:val="100"/>
          <w:kern w:val="0"/>
          <w:sz w:val="30"/>
          <w:szCs w:val="30"/>
        </w:rPr>
        <w:t>落实《中共云南省委办公厅</w:t>
      </w:r>
      <w:r>
        <w:rPr>
          <w:rFonts w:hint="default" w:ascii="Times New Roman" w:hAnsi="Times New Roman" w:eastAsia="仿宋" w:cs="Times New Roman"/>
          <w:spacing w:val="0"/>
          <w:w w:val="100"/>
          <w:kern w:val="0"/>
          <w:sz w:val="30"/>
          <w:szCs w:val="30"/>
          <w:lang w:eastAsia="zh-CN"/>
        </w:rPr>
        <w:t>、</w:t>
      </w:r>
      <w:r>
        <w:rPr>
          <w:rFonts w:hint="default" w:ascii="Times New Roman" w:hAnsi="Times New Roman" w:eastAsia="仿宋" w:cs="Times New Roman"/>
          <w:spacing w:val="0"/>
          <w:w w:val="100"/>
          <w:kern w:val="0"/>
          <w:sz w:val="30"/>
          <w:szCs w:val="30"/>
        </w:rPr>
        <w:t>云南省人民政府办公厅关于印发〈云南省推进健康县城建设三年行动方案（2022—2024年）〉的通知》（云办发〔2022〕42号）精神，全面提升西山区国家卫生城市创建质量，</w:t>
      </w:r>
      <w:r>
        <w:rPr>
          <w:rFonts w:hint="default" w:ascii="Times New Roman" w:hAnsi="Times New Roman" w:eastAsia="仿宋" w:cs="Times New Roman"/>
          <w:sz w:val="30"/>
          <w:szCs w:val="30"/>
          <w:lang w:val="en-US" w:eastAsia="zh-CN"/>
        </w:rPr>
        <w:t>西山区委、区政府印发《西山区推进健康县城建设三年行动方案（2022—2024年）》，持续推进健康县城建设三年行动，广泛开展宣传发动、病媒生物防制、消毒杀虫等工作，全面改善城乡人居环境，保障人民群众身体健康。2023年，区卫健局</w:t>
      </w:r>
      <w:r>
        <w:rPr>
          <w:rFonts w:hint="eastAsia" w:ascii="Times New Roman" w:hAnsi="Times New Roman" w:cs="Times New Roman"/>
          <w:sz w:val="30"/>
          <w:szCs w:val="30"/>
          <w:lang w:val="en-US" w:eastAsia="zh-CN"/>
        </w:rPr>
        <w:t>作为职能单位，</w:t>
      </w:r>
      <w:r>
        <w:rPr>
          <w:rFonts w:hint="default" w:ascii="Times New Roman" w:hAnsi="Times New Roman" w:eastAsia="仿宋" w:cs="Times New Roman"/>
          <w:sz w:val="30"/>
          <w:szCs w:val="30"/>
          <w:lang w:val="en-US" w:eastAsia="zh-CN"/>
        </w:rPr>
        <w:t>特此设立“推进爱国卫生7个专项行动工作补助经费”项目。</w:t>
      </w:r>
    </w:p>
    <w:p w14:paraId="66AFD3EA">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2.项目设立目的</w:t>
      </w:r>
      <w:bookmarkEnd w:id="10"/>
    </w:p>
    <w:p w14:paraId="40667678">
      <w:pPr>
        <w:pStyle w:val="32"/>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eastAsia="仿宋" w:cs="Times New Roman"/>
          <w:spacing w:val="0"/>
          <w:w w:val="100"/>
          <w:kern w:val="0"/>
          <w:sz w:val="30"/>
          <w:szCs w:val="30"/>
          <w:lang w:val="en-US" w:eastAsia="zh-CN" w:bidi="ar-SA"/>
        </w:rPr>
      </w:pPr>
      <w:bookmarkStart w:id="11" w:name="_Toc7085"/>
      <w:bookmarkStart w:id="12" w:name="_Toc8894"/>
      <w:bookmarkStart w:id="13" w:name="_Toc25101"/>
      <w:bookmarkStart w:id="14" w:name="_Toc17361"/>
      <w:r>
        <w:rPr>
          <w:rFonts w:hint="default" w:ascii="Times New Roman" w:hAnsi="Times New Roman" w:eastAsia="仿宋" w:cs="Times New Roman"/>
          <w:spacing w:val="0"/>
          <w:w w:val="100"/>
          <w:kern w:val="0"/>
          <w:sz w:val="30"/>
          <w:szCs w:val="30"/>
          <w:lang w:val="en-US" w:eastAsia="zh-CN" w:bidi="ar-SA"/>
        </w:rPr>
        <w:t>为深入贯彻落实习近平总书记关于新时代爱国卫生运动的重要指示精神，动员全省各族群众广泛参与，云南省政府于2020年推出《云南省推进爱国卫生“7个专项行动”方案》，旨在改善城乡人居环境、推动卫生运动和疫情防控新成效，保障人民健康。2022年，云南省实施新“7个专项行动”，着重于全面社会健康管理，并在全国活动中评估第一。为巩固成果，2023年西山区设立“推进爱国卫生7个专项行动工作补助经费”项目，进一步提升城乡环境，保障人民健康。</w:t>
      </w:r>
      <w:bookmarkEnd w:id="11"/>
      <w:bookmarkEnd w:id="12"/>
      <w:bookmarkEnd w:id="13"/>
      <w:bookmarkEnd w:id="14"/>
    </w:p>
    <w:p w14:paraId="082C0ECB">
      <w:pPr>
        <w:pStyle w:val="32"/>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rPr>
      </w:pPr>
      <w:bookmarkStart w:id="15" w:name="_Toc14167"/>
      <w:r>
        <w:rPr>
          <w:rFonts w:hint="default" w:ascii="Times New Roman" w:hAnsi="Times New Roman" w:cs="Times New Roman"/>
        </w:rPr>
        <w:t>（二）项目资金安排情况</w:t>
      </w:r>
      <w:bookmarkEnd w:id="15"/>
    </w:p>
    <w:p w14:paraId="2C4E9A0A">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1.资金来源及到位情况</w:t>
      </w:r>
    </w:p>
    <w:p w14:paraId="260BC8FE">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szCs w:val="32"/>
          <w:lang w:val="en-US" w:eastAsia="zh-CN"/>
        </w:rPr>
      </w:pPr>
      <w:r>
        <w:rPr>
          <w:rFonts w:hint="default" w:ascii="Times New Roman" w:hAnsi="Times New Roman" w:eastAsia="仿宋" w:cs="Times New Roman"/>
          <w:szCs w:val="32"/>
          <w:lang w:val="en-US" w:eastAsia="zh-CN"/>
        </w:rPr>
        <w:t>本项目预算单位为</w:t>
      </w:r>
      <w:r>
        <w:rPr>
          <w:rFonts w:hint="eastAsia" w:ascii="Times New Roman" w:cs="Times New Roman"/>
          <w:szCs w:val="32"/>
          <w:lang w:val="en-US" w:eastAsia="zh-CN"/>
        </w:rPr>
        <w:t>区卫健局</w:t>
      </w:r>
      <w:r>
        <w:rPr>
          <w:rFonts w:hint="default" w:ascii="Times New Roman" w:hAnsi="Times New Roman" w:eastAsia="仿宋" w:cs="Times New Roman"/>
          <w:szCs w:val="32"/>
          <w:lang w:val="en-US" w:eastAsia="zh-CN"/>
        </w:rPr>
        <w:t>，预算来源为一般公共预算。2023年本项目预算金额为44.56万元，根据《昆明市西山区财政局关于批复2023年部门预算的通知》（西财社〔2023〕10号）</w:t>
      </w:r>
      <w:r>
        <w:rPr>
          <w:rFonts w:hint="eastAsia" w:ascii="Times New Roman" w:hAnsi="Times New Roman" w:cs="Times New Roman"/>
          <w:szCs w:val="32"/>
          <w:lang w:val="en-US" w:eastAsia="zh-CN"/>
        </w:rPr>
        <w:t>，本项目实际下达44.56万元，预算到位率100%。</w:t>
      </w:r>
    </w:p>
    <w:p w14:paraId="50021BD1">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b w:val="0"/>
          <w:bCs w:val="0"/>
          <w:lang w:val="en-US" w:eastAsia="zh-CN"/>
        </w:rPr>
      </w:pPr>
      <w:r>
        <w:rPr>
          <w:rFonts w:hint="default" w:ascii="Times New Roman" w:hAnsi="Times New Roman" w:eastAsia="仿宋" w:cs="Times New Roman"/>
          <w:b w:val="0"/>
          <w:bCs w:val="0"/>
          <w:lang w:val="en-US" w:eastAsia="zh-CN"/>
        </w:rPr>
        <w:t>2.资金使用情况</w:t>
      </w:r>
    </w:p>
    <w:p w14:paraId="57872A26">
      <w:pPr>
        <w:pStyle w:val="32"/>
        <w:keepNext w:val="0"/>
        <w:keepLines w:val="0"/>
        <w:pageBreakBefore w:val="0"/>
        <w:kinsoku/>
        <w:wordWrap/>
        <w:overflowPunct/>
        <w:topLinePunct w:val="0"/>
        <w:autoSpaceDE/>
        <w:autoSpaceDN/>
        <w:bidi w:val="0"/>
        <w:adjustRightInd/>
        <w:spacing w:line="579" w:lineRule="exact"/>
        <w:textAlignment w:val="auto"/>
        <w:outlineLvl w:val="1"/>
        <w:rPr>
          <w:rFonts w:hint="eastAsia" w:eastAsia="仿宋" w:cs="Times New Roman"/>
          <w:kern w:val="30"/>
          <w:sz w:val="30"/>
          <w:szCs w:val="32"/>
          <w:lang w:val="en-US" w:eastAsia="zh-CN" w:bidi="ar-SA"/>
        </w:rPr>
      </w:pPr>
      <w:bookmarkStart w:id="16" w:name="_Toc1444"/>
      <w:bookmarkStart w:id="17" w:name="_Toc20581"/>
      <w:bookmarkStart w:id="18" w:name="_Toc6430"/>
      <w:bookmarkStart w:id="19" w:name="_Toc7554"/>
      <w:r>
        <w:rPr>
          <w:rFonts w:hint="eastAsia" w:ascii="Times New Roman" w:hAnsi="Times New Roman" w:eastAsia="仿宋" w:cs="Times New Roman"/>
          <w:kern w:val="30"/>
          <w:sz w:val="30"/>
          <w:szCs w:val="32"/>
          <w:lang w:val="en-US" w:eastAsia="zh-CN" w:bidi="ar-SA"/>
        </w:rPr>
        <w:t>根据</w:t>
      </w:r>
      <w:r>
        <w:rPr>
          <w:rFonts w:hint="eastAsia" w:eastAsia="仿宋" w:cs="Times New Roman"/>
          <w:kern w:val="30"/>
          <w:sz w:val="30"/>
          <w:szCs w:val="32"/>
          <w:lang w:val="en-US" w:eastAsia="zh-CN" w:bidi="ar-SA"/>
        </w:rPr>
        <w:t>区卫健局提供的材料，本项目实际支出金额44.56万元，预算执行率100%，具体支出明细如下：</w:t>
      </w:r>
      <w:bookmarkEnd w:id="16"/>
      <w:bookmarkEnd w:id="17"/>
      <w:bookmarkEnd w:id="18"/>
      <w:bookmarkEnd w:id="19"/>
    </w:p>
    <w:p w14:paraId="68D3C030">
      <w:pPr>
        <w:pStyle w:val="32"/>
        <w:keepNext w:val="0"/>
        <w:keepLines w:val="0"/>
        <w:pageBreakBefore w:val="0"/>
        <w:kinsoku/>
        <w:wordWrap/>
        <w:overflowPunct/>
        <w:topLinePunct w:val="0"/>
        <w:autoSpaceDE/>
        <w:autoSpaceDN/>
        <w:bidi w:val="0"/>
        <w:adjustRightInd/>
        <w:spacing w:line="579" w:lineRule="exact"/>
        <w:ind w:left="0" w:leftChars="0" w:firstLine="0" w:firstLineChars="0"/>
        <w:jc w:val="center"/>
        <w:textAlignment w:val="auto"/>
        <w:outlineLvl w:val="1"/>
        <w:rPr>
          <w:rFonts w:hint="eastAsia" w:ascii="Times New Roman" w:hAnsi="Times New Roman" w:eastAsia="黑体" w:cs="Times New Roman"/>
          <w:b w:val="0"/>
          <w:bCs/>
          <w:kern w:val="30"/>
          <w:sz w:val="24"/>
          <w:szCs w:val="24"/>
          <w:lang w:val="en-US" w:eastAsia="zh-CN" w:bidi="ar-SA"/>
        </w:rPr>
      </w:pPr>
      <w:bookmarkStart w:id="20" w:name="_Toc22779"/>
      <w:bookmarkStart w:id="21" w:name="_Toc26017"/>
      <w:bookmarkStart w:id="22" w:name="_Toc25897"/>
      <w:bookmarkStart w:id="23" w:name="_Toc15610"/>
      <w:r>
        <w:rPr>
          <w:rFonts w:hint="eastAsia" w:eastAsia="黑体" w:cs="Times New Roman"/>
          <w:b w:val="0"/>
          <w:bCs/>
          <w:kern w:val="30"/>
          <w:sz w:val="24"/>
          <w:szCs w:val="24"/>
          <w:lang w:val="en-US" w:eastAsia="zh-CN" w:bidi="ar-SA"/>
        </w:rPr>
        <w:t xml:space="preserve">表1 </w:t>
      </w:r>
      <w:r>
        <w:rPr>
          <w:rFonts w:hint="eastAsia" w:ascii="Times New Roman" w:hAnsi="Times New Roman" w:eastAsia="黑体" w:cs="Times New Roman"/>
          <w:b w:val="0"/>
          <w:bCs/>
          <w:kern w:val="30"/>
          <w:sz w:val="24"/>
          <w:szCs w:val="24"/>
          <w:lang w:val="en-US" w:eastAsia="zh-CN" w:bidi="ar-SA"/>
        </w:rPr>
        <w:t>预算支出明细</w:t>
      </w:r>
      <w:bookmarkEnd w:id="20"/>
      <w:bookmarkEnd w:id="21"/>
      <w:bookmarkEnd w:id="22"/>
      <w:bookmarkEnd w:id="23"/>
    </w:p>
    <w:p w14:paraId="077A9C0B">
      <w:pPr>
        <w:pStyle w:val="32"/>
        <w:keepNext w:val="0"/>
        <w:keepLines w:val="0"/>
        <w:pageBreakBefore w:val="0"/>
        <w:kinsoku/>
        <w:wordWrap/>
        <w:overflowPunct/>
        <w:topLinePunct w:val="0"/>
        <w:autoSpaceDE/>
        <w:autoSpaceDN/>
        <w:bidi w:val="0"/>
        <w:adjustRightInd/>
        <w:spacing w:line="579" w:lineRule="exact"/>
        <w:ind w:left="0" w:leftChars="0" w:firstLine="0" w:firstLineChars="0"/>
        <w:jc w:val="right"/>
        <w:textAlignment w:val="auto"/>
        <w:outlineLvl w:val="1"/>
        <w:rPr>
          <w:rFonts w:hint="default" w:ascii="Times New Roman" w:hAnsi="Times New Roman" w:eastAsia="黑体" w:cs="Times New Roman"/>
          <w:b w:val="0"/>
          <w:bCs/>
          <w:kern w:val="30"/>
          <w:sz w:val="24"/>
          <w:szCs w:val="24"/>
          <w:lang w:val="en-US" w:eastAsia="zh-CN" w:bidi="ar-SA"/>
        </w:rPr>
      </w:pPr>
      <w:bookmarkStart w:id="24" w:name="_Toc9949"/>
      <w:bookmarkStart w:id="25" w:name="_Toc18175"/>
      <w:bookmarkStart w:id="26" w:name="_Toc15902"/>
      <w:bookmarkStart w:id="27" w:name="_Toc32220"/>
      <w:r>
        <w:rPr>
          <w:rFonts w:hint="eastAsia" w:ascii="Times New Roman" w:hAnsi="Times New Roman" w:eastAsia="黑体" w:cs="Times New Roman"/>
          <w:b w:val="0"/>
          <w:bCs/>
          <w:kern w:val="30"/>
          <w:sz w:val="24"/>
          <w:szCs w:val="24"/>
          <w:lang w:val="en-US" w:eastAsia="zh-CN" w:bidi="ar-SA"/>
        </w:rPr>
        <w:t>单位：</w:t>
      </w:r>
      <w:r>
        <w:rPr>
          <w:rFonts w:hint="eastAsia" w:eastAsia="黑体" w:cs="Times New Roman"/>
          <w:b w:val="0"/>
          <w:bCs/>
          <w:kern w:val="30"/>
          <w:sz w:val="24"/>
          <w:szCs w:val="24"/>
          <w:lang w:val="en-US" w:eastAsia="zh-CN" w:bidi="ar-SA"/>
        </w:rPr>
        <w:t>万</w:t>
      </w:r>
      <w:r>
        <w:rPr>
          <w:rFonts w:hint="eastAsia" w:ascii="Times New Roman" w:hAnsi="Times New Roman" w:eastAsia="黑体" w:cs="Times New Roman"/>
          <w:b w:val="0"/>
          <w:bCs/>
          <w:kern w:val="30"/>
          <w:sz w:val="24"/>
          <w:szCs w:val="24"/>
          <w:lang w:val="en-US" w:eastAsia="zh-CN" w:bidi="ar-SA"/>
        </w:rPr>
        <w:t>元</w:t>
      </w:r>
      <w:bookmarkEnd w:id="24"/>
      <w:bookmarkEnd w:id="25"/>
      <w:bookmarkEnd w:id="26"/>
      <w:bookmarkEnd w:id="27"/>
    </w:p>
    <w:tbl>
      <w:tblPr>
        <w:tblStyle w:val="22"/>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0"/>
        <w:gridCol w:w="6824"/>
        <w:gridCol w:w="1577"/>
      </w:tblGrid>
      <w:tr w14:paraId="59702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5AC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bCs/>
                <w:kern w:val="2"/>
                <w:sz w:val="21"/>
                <w:szCs w:val="21"/>
                <w:vertAlign w:val="baseline"/>
                <w:lang w:val="en-US" w:eastAsia="zh-CN" w:bidi="ar-SA"/>
              </w:rPr>
            </w:pPr>
            <w:r>
              <w:rPr>
                <w:rFonts w:hint="default" w:ascii="Times New Roman" w:hAnsi="Times New Roman" w:eastAsia="仿宋" w:cs="Times New Roman"/>
                <w:b/>
                <w:bCs/>
                <w:kern w:val="2"/>
                <w:sz w:val="21"/>
                <w:szCs w:val="21"/>
                <w:vertAlign w:val="baseline"/>
                <w:lang w:val="en-US" w:eastAsia="zh-CN" w:bidi="ar-SA"/>
              </w:rPr>
              <w:t>序号</w:t>
            </w:r>
          </w:p>
        </w:tc>
        <w:tc>
          <w:tcPr>
            <w:tcW w:w="3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D295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bCs/>
                <w:kern w:val="2"/>
                <w:sz w:val="21"/>
                <w:szCs w:val="21"/>
                <w:vertAlign w:val="baseline"/>
                <w:lang w:val="en-US" w:eastAsia="zh-CN" w:bidi="ar-SA"/>
              </w:rPr>
            </w:pPr>
            <w:r>
              <w:rPr>
                <w:rFonts w:hint="default" w:ascii="Times New Roman" w:hAnsi="Times New Roman" w:eastAsia="仿宋" w:cs="Times New Roman"/>
                <w:b/>
                <w:bCs/>
                <w:kern w:val="2"/>
                <w:sz w:val="21"/>
                <w:szCs w:val="21"/>
                <w:vertAlign w:val="baseline"/>
                <w:lang w:val="en-US" w:eastAsia="zh-CN" w:bidi="ar-SA"/>
              </w:rPr>
              <w:t>项目构成</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B0B8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b/>
                <w:bCs/>
                <w:kern w:val="2"/>
                <w:sz w:val="21"/>
                <w:szCs w:val="21"/>
                <w:vertAlign w:val="baseline"/>
                <w:lang w:val="en-US" w:eastAsia="zh-CN" w:bidi="ar-SA"/>
              </w:rPr>
            </w:pPr>
            <w:r>
              <w:rPr>
                <w:rFonts w:hint="default" w:ascii="Times New Roman" w:hAnsi="Times New Roman" w:eastAsia="仿宋" w:cs="Times New Roman"/>
                <w:b/>
                <w:bCs/>
                <w:kern w:val="2"/>
                <w:sz w:val="21"/>
                <w:szCs w:val="21"/>
                <w:vertAlign w:val="baseline"/>
                <w:lang w:val="en-US" w:eastAsia="zh-CN" w:bidi="ar-SA"/>
              </w:rPr>
              <w:t>实际支付金额</w:t>
            </w:r>
          </w:p>
        </w:tc>
      </w:tr>
      <w:tr w14:paraId="1C878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C11F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仿宋" w:cs="Times New Roman"/>
                <w:kern w:val="2"/>
                <w:sz w:val="21"/>
                <w:szCs w:val="21"/>
                <w:vertAlign w:val="baseline"/>
                <w:lang w:val="en-US" w:eastAsia="zh-CN" w:bidi="ar-SA"/>
              </w:rPr>
              <w:t>1</w:t>
            </w:r>
          </w:p>
        </w:tc>
        <w:tc>
          <w:tcPr>
            <w:tcW w:w="3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9508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仿宋" w:cs="Times New Roman"/>
                <w:kern w:val="2"/>
                <w:sz w:val="21"/>
                <w:szCs w:val="21"/>
                <w:vertAlign w:val="baseline"/>
                <w:lang w:val="en-US" w:eastAsia="zh-CN" w:bidi="ar-SA"/>
              </w:rPr>
              <w:t>制作云南省健康县城宣传喷画、裱板等宣传品经费</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C39F7">
            <w:pPr>
              <w:keepNext w:val="0"/>
              <w:keepLines w:val="0"/>
              <w:widowControl/>
              <w:suppressLineNumbers w:val="0"/>
              <w:jc w:val="center"/>
              <w:textAlignment w:val="center"/>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2.87</w:t>
            </w:r>
          </w:p>
        </w:tc>
      </w:tr>
      <w:tr w14:paraId="7E921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35D0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仿宋" w:cs="Times New Roman"/>
                <w:kern w:val="2"/>
                <w:sz w:val="21"/>
                <w:szCs w:val="21"/>
                <w:vertAlign w:val="baseline"/>
                <w:lang w:val="en-US" w:eastAsia="zh-CN" w:bidi="ar-SA"/>
              </w:rPr>
              <w:t>2</w:t>
            </w:r>
          </w:p>
        </w:tc>
        <w:tc>
          <w:tcPr>
            <w:tcW w:w="3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F7D3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仿宋" w:cs="Times New Roman"/>
                <w:kern w:val="2"/>
                <w:sz w:val="21"/>
                <w:szCs w:val="21"/>
                <w:vertAlign w:val="baseline"/>
                <w:lang w:val="en-US" w:eastAsia="zh-CN" w:bidi="ar-SA"/>
              </w:rPr>
              <w:t>紧急制作国卫复审宣传海报</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23589">
            <w:pPr>
              <w:keepNext w:val="0"/>
              <w:keepLines w:val="0"/>
              <w:widowControl/>
              <w:suppressLineNumbers w:val="0"/>
              <w:jc w:val="center"/>
              <w:textAlignment w:val="center"/>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2.48</w:t>
            </w:r>
          </w:p>
        </w:tc>
      </w:tr>
      <w:tr w14:paraId="74BB7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BD2F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仿宋" w:cs="Times New Roman"/>
                <w:kern w:val="2"/>
                <w:sz w:val="21"/>
                <w:szCs w:val="21"/>
                <w:vertAlign w:val="baseline"/>
                <w:lang w:val="en-US" w:eastAsia="zh-CN" w:bidi="ar-SA"/>
              </w:rPr>
              <w:t>3</w:t>
            </w:r>
          </w:p>
        </w:tc>
        <w:tc>
          <w:tcPr>
            <w:tcW w:w="3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B865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仿宋" w:cs="Times New Roman"/>
                <w:kern w:val="2"/>
                <w:sz w:val="21"/>
                <w:szCs w:val="21"/>
                <w:vertAlign w:val="baseline"/>
                <w:lang w:val="en-US" w:eastAsia="zh-CN" w:bidi="ar-SA"/>
              </w:rPr>
              <w:t>制作巩固国卫创建成果宣传海报经费</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2663">
            <w:pPr>
              <w:keepNext w:val="0"/>
              <w:keepLines w:val="0"/>
              <w:widowControl/>
              <w:suppressLineNumbers w:val="0"/>
              <w:jc w:val="center"/>
              <w:textAlignment w:val="center"/>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3.72</w:t>
            </w:r>
          </w:p>
        </w:tc>
      </w:tr>
      <w:tr w14:paraId="39773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CCFA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仿宋" w:cs="Times New Roman"/>
                <w:kern w:val="2"/>
                <w:sz w:val="21"/>
                <w:szCs w:val="21"/>
                <w:vertAlign w:val="baseline"/>
                <w:lang w:val="en-US" w:eastAsia="zh-CN" w:bidi="ar-SA"/>
              </w:rPr>
              <w:t>4</w:t>
            </w:r>
          </w:p>
        </w:tc>
        <w:tc>
          <w:tcPr>
            <w:tcW w:w="3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1455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仿宋" w:cs="Times New Roman"/>
                <w:kern w:val="2"/>
                <w:sz w:val="21"/>
                <w:szCs w:val="21"/>
                <w:vertAlign w:val="baseline"/>
                <w:lang w:val="en-US" w:eastAsia="zh-CN" w:bidi="ar-SA"/>
              </w:rPr>
              <w:t>2023年西山区病媒生物防制服务项目</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43F22">
            <w:pPr>
              <w:keepNext w:val="0"/>
              <w:keepLines w:val="0"/>
              <w:widowControl/>
              <w:suppressLineNumbers w:val="0"/>
              <w:jc w:val="center"/>
              <w:textAlignment w:val="center"/>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12.14</w:t>
            </w:r>
          </w:p>
        </w:tc>
      </w:tr>
      <w:tr w14:paraId="02972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2406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仿宋" w:cs="Times New Roman"/>
                <w:kern w:val="2"/>
                <w:sz w:val="21"/>
                <w:szCs w:val="21"/>
                <w:vertAlign w:val="baseline"/>
                <w:lang w:val="en-US" w:eastAsia="zh-CN" w:bidi="ar-SA"/>
              </w:rPr>
              <w:t>5</w:t>
            </w:r>
          </w:p>
        </w:tc>
        <w:tc>
          <w:tcPr>
            <w:tcW w:w="3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C862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仿宋" w:cs="Times New Roman"/>
                <w:kern w:val="2"/>
                <w:sz w:val="21"/>
                <w:szCs w:val="21"/>
                <w:vertAlign w:val="baseline"/>
                <w:lang w:val="en-US" w:eastAsia="zh-CN" w:bidi="ar-SA"/>
              </w:rPr>
              <w:t>2023年病媒生物省级技术指导餐费报销凭证</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AF58D">
            <w:pPr>
              <w:keepNext w:val="0"/>
              <w:keepLines w:val="0"/>
              <w:widowControl/>
              <w:suppressLineNumbers w:val="0"/>
              <w:jc w:val="center"/>
              <w:textAlignment w:val="center"/>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0.14</w:t>
            </w:r>
          </w:p>
        </w:tc>
      </w:tr>
      <w:tr w14:paraId="3DF6B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995D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仿宋" w:cs="Times New Roman"/>
                <w:kern w:val="2"/>
                <w:sz w:val="21"/>
                <w:szCs w:val="21"/>
                <w:vertAlign w:val="baseline"/>
                <w:lang w:val="en-US" w:eastAsia="zh-CN" w:bidi="ar-SA"/>
              </w:rPr>
              <w:t>6</w:t>
            </w:r>
          </w:p>
        </w:tc>
        <w:tc>
          <w:tcPr>
            <w:tcW w:w="3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D4D6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仿宋" w:cs="Times New Roman"/>
                <w:kern w:val="2"/>
                <w:sz w:val="21"/>
                <w:szCs w:val="21"/>
                <w:vertAlign w:val="baseline"/>
                <w:lang w:val="en-US" w:eastAsia="zh-CN" w:bidi="ar-SA"/>
              </w:rPr>
              <w:t>国卫复审省级技术指导餐费报销凭证</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585D6">
            <w:pPr>
              <w:keepNext w:val="0"/>
              <w:keepLines w:val="0"/>
              <w:widowControl/>
              <w:suppressLineNumbers w:val="0"/>
              <w:jc w:val="center"/>
              <w:textAlignment w:val="center"/>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0.23</w:t>
            </w:r>
          </w:p>
        </w:tc>
      </w:tr>
      <w:tr w14:paraId="556E8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B743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仿宋" w:cs="Times New Roman"/>
                <w:kern w:val="2"/>
                <w:sz w:val="21"/>
                <w:szCs w:val="21"/>
                <w:vertAlign w:val="baseline"/>
                <w:lang w:val="en-US" w:eastAsia="zh-CN" w:bidi="ar-SA"/>
              </w:rPr>
              <w:t>7</w:t>
            </w:r>
          </w:p>
        </w:tc>
        <w:tc>
          <w:tcPr>
            <w:tcW w:w="3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896E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仿宋" w:cs="Times New Roman"/>
                <w:kern w:val="2"/>
                <w:sz w:val="21"/>
                <w:szCs w:val="21"/>
                <w:vertAlign w:val="baseline"/>
                <w:lang w:val="en-US" w:eastAsia="zh-CN" w:bidi="ar-SA"/>
              </w:rPr>
              <w:t>病媒生物省级技术指导租车费报销凭证</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686F9">
            <w:pPr>
              <w:keepNext w:val="0"/>
              <w:keepLines w:val="0"/>
              <w:widowControl/>
              <w:suppressLineNumbers w:val="0"/>
              <w:jc w:val="center"/>
              <w:textAlignment w:val="center"/>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0.45</w:t>
            </w:r>
          </w:p>
        </w:tc>
      </w:tr>
      <w:tr w14:paraId="6F994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443A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仿宋" w:cs="Times New Roman"/>
                <w:kern w:val="2"/>
                <w:sz w:val="21"/>
                <w:szCs w:val="21"/>
                <w:vertAlign w:val="baseline"/>
                <w:lang w:val="en-US" w:eastAsia="zh-CN" w:bidi="ar-SA"/>
              </w:rPr>
              <w:t>8</w:t>
            </w:r>
          </w:p>
        </w:tc>
        <w:tc>
          <w:tcPr>
            <w:tcW w:w="3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950F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仿宋" w:cs="Times New Roman"/>
                <w:kern w:val="2"/>
                <w:sz w:val="21"/>
                <w:szCs w:val="21"/>
                <w:vertAlign w:val="baseline"/>
                <w:lang w:val="en-US" w:eastAsia="zh-CN" w:bidi="ar-SA"/>
              </w:rPr>
              <w:t>市人大第四</w:t>
            </w:r>
            <w:r>
              <w:rPr>
                <w:rFonts w:hint="eastAsia" w:ascii="Times New Roman" w:cs="Times New Roman"/>
                <w:kern w:val="2"/>
                <w:sz w:val="21"/>
                <w:szCs w:val="21"/>
                <w:vertAlign w:val="baseline"/>
                <w:lang w:val="en-US" w:eastAsia="zh-CN" w:bidi="ar-SA"/>
              </w:rPr>
              <w:t>督导</w:t>
            </w:r>
            <w:r>
              <w:rPr>
                <w:rFonts w:hint="default" w:ascii="Times New Roman" w:hAnsi="Times New Roman" w:eastAsia="仿宋" w:cs="Times New Roman"/>
                <w:kern w:val="2"/>
                <w:sz w:val="21"/>
                <w:szCs w:val="21"/>
                <w:vertAlign w:val="baseline"/>
                <w:lang w:val="en-US" w:eastAsia="zh-CN" w:bidi="ar-SA"/>
              </w:rPr>
              <w:t>组检查健康县城午餐费报销凭证</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F0F1A">
            <w:pPr>
              <w:keepNext w:val="0"/>
              <w:keepLines w:val="0"/>
              <w:widowControl/>
              <w:suppressLineNumbers w:val="0"/>
              <w:jc w:val="center"/>
              <w:textAlignment w:val="center"/>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0.09</w:t>
            </w:r>
          </w:p>
        </w:tc>
      </w:tr>
      <w:tr w14:paraId="3FBA3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2121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仿宋" w:cs="Times New Roman"/>
                <w:kern w:val="2"/>
                <w:sz w:val="21"/>
                <w:szCs w:val="21"/>
                <w:vertAlign w:val="baseline"/>
                <w:lang w:val="en-US" w:eastAsia="zh-CN" w:bidi="ar-SA"/>
              </w:rPr>
              <w:t>9</w:t>
            </w:r>
          </w:p>
        </w:tc>
        <w:tc>
          <w:tcPr>
            <w:tcW w:w="3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7D4A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仿宋" w:cs="Times New Roman"/>
                <w:kern w:val="2"/>
                <w:sz w:val="21"/>
                <w:szCs w:val="21"/>
                <w:vertAlign w:val="baseline"/>
                <w:lang w:val="en-US" w:eastAsia="zh-CN" w:bidi="ar-SA"/>
              </w:rPr>
              <w:t>国卫复审新标培训食堂餐费</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58233">
            <w:pPr>
              <w:keepNext w:val="0"/>
              <w:keepLines w:val="0"/>
              <w:widowControl/>
              <w:suppressLineNumbers w:val="0"/>
              <w:jc w:val="center"/>
              <w:textAlignment w:val="center"/>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0.06</w:t>
            </w:r>
          </w:p>
        </w:tc>
      </w:tr>
      <w:tr w14:paraId="01AA1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9AC8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仿宋" w:cs="Times New Roman"/>
                <w:kern w:val="2"/>
                <w:sz w:val="21"/>
                <w:szCs w:val="21"/>
                <w:vertAlign w:val="baseline"/>
                <w:lang w:val="en-US" w:eastAsia="zh-CN" w:bidi="ar-SA"/>
              </w:rPr>
              <w:t>10</w:t>
            </w:r>
          </w:p>
        </w:tc>
        <w:tc>
          <w:tcPr>
            <w:tcW w:w="3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136D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仿宋" w:cs="Times New Roman"/>
                <w:kern w:val="2"/>
                <w:sz w:val="21"/>
                <w:szCs w:val="21"/>
                <w:vertAlign w:val="baseline"/>
                <w:lang w:val="en-US" w:eastAsia="zh-CN" w:bidi="ar-SA"/>
              </w:rPr>
              <w:t>国卫复审新标培训租车费用报销</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DAFC">
            <w:pPr>
              <w:keepNext w:val="0"/>
              <w:keepLines w:val="0"/>
              <w:widowControl/>
              <w:suppressLineNumbers w:val="0"/>
              <w:jc w:val="center"/>
              <w:textAlignment w:val="center"/>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0.63</w:t>
            </w:r>
          </w:p>
        </w:tc>
      </w:tr>
      <w:tr w14:paraId="5251A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A422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仿宋" w:cs="Times New Roman"/>
                <w:kern w:val="2"/>
                <w:sz w:val="21"/>
                <w:szCs w:val="21"/>
                <w:vertAlign w:val="baseline"/>
                <w:lang w:val="en-US" w:eastAsia="zh-CN" w:bidi="ar-SA"/>
              </w:rPr>
              <w:t>11</w:t>
            </w:r>
          </w:p>
        </w:tc>
        <w:tc>
          <w:tcPr>
            <w:tcW w:w="3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BAF1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仿宋" w:cs="Times New Roman"/>
                <w:kern w:val="2"/>
                <w:sz w:val="21"/>
                <w:szCs w:val="21"/>
                <w:vertAlign w:val="baseline"/>
                <w:lang w:val="en-US" w:eastAsia="zh-CN" w:bidi="ar-SA"/>
              </w:rPr>
              <w:t>布标制作经费报销凭证</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7A833">
            <w:pPr>
              <w:keepNext w:val="0"/>
              <w:keepLines w:val="0"/>
              <w:widowControl/>
              <w:suppressLineNumbers w:val="0"/>
              <w:jc w:val="center"/>
              <w:textAlignment w:val="center"/>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0.07</w:t>
            </w:r>
          </w:p>
        </w:tc>
      </w:tr>
      <w:tr w14:paraId="38853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0661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仿宋" w:cs="Times New Roman"/>
                <w:kern w:val="2"/>
                <w:sz w:val="21"/>
                <w:szCs w:val="21"/>
                <w:vertAlign w:val="baseline"/>
                <w:lang w:val="en-US" w:eastAsia="zh-CN" w:bidi="ar-SA"/>
              </w:rPr>
              <w:t>12</w:t>
            </w:r>
          </w:p>
        </w:tc>
        <w:tc>
          <w:tcPr>
            <w:tcW w:w="3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7892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仿宋" w:cs="Times New Roman"/>
                <w:kern w:val="2"/>
                <w:sz w:val="21"/>
                <w:szCs w:val="21"/>
                <w:vertAlign w:val="baseline"/>
                <w:lang w:val="en-US" w:eastAsia="zh-CN" w:bidi="ar-SA"/>
              </w:rPr>
              <w:t>布标制作经费报销凭证</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448C">
            <w:pPr>
              <w:keepNext w:val="0"/>
              <w:keepLines w:val="0"/>
              <w:widowControl/>
              <w:suppressLineNumbers w:val="0"/>
              <w:jc w:val="center"/>
              <w:textAlignment w:val="center"/>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0.03</w:t>
            </w:r>
          </w:p>
        </w:tc>
      </w:tr>
      <w:tr w14:paraId="04D7C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5591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仿宋" w:cs="Times New Roman"/>
                <w:kern w:val="2"/>
                <w:sz w:val="21"/>
                <w:szCs w:val="21"/>
                <w:vertAlign w:val="baseline"/>
                <w:lang w:val="en-US" w:eastAsia="zh-CN" w:bidi="ar-SA"/>
              </w:rPr>
              <w:t>13</w:t>
            </w:r>
          </w:p>
        </w:tc>
        <w:tc>
          <w:tcPr>
            <w:tcW w:w="3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FDF5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仿宋" w:cs="Times New Roman"/>
                <w:kern w:val="2"/>
                <w:sz w:val="21"/>
                <w:szCs w:val="21"/>
                <w:vertAlign w:val="baseline"/>
                <w:lang w:val="en-US" w:eastAsia="zh-CN" w:bidi="ar-SA"/>
              </w:rPr>
              <w:t>市复审办对西山区卫生健康指挥部工作检查午餐报销凭证</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4D7C3">
            <w:pPr>
              <w:keepNext w:val="0"/>
              <w:keepLines w:val="0"/>
              <w:widowControl/>
              <w:suppressLineNumbers w:val="0"/>
              <w:jc w:val="center"/>
              <w:textAlignment w:val="center"/>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0.10</w:t>
            </w:r>
          </w:p>
        </w:tc>
      </w:tr>
      <w:tr w14:paraId="6E5D8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5647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仿宋" w:cs="Times New Roman"/>
                <w:kern w:val="2"/>
                <w:sz w:val="21"/>
                <w:szCs w:val="21"/>
                <w:vertAlign w:val="baseline"/>
                <w:lang w:val="en-US" w:eastAsia="zh-CN" w:bidi="ar-SA"/>
              </w:rPr>
              <w:t>14</w:t>
            </w:r>
          </w:p>
        </w:tc>
        <w:tc>
          <w:tcPr>
            <w:tcW w:w="3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54BB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仿宋" w:cs="Times New Roman"/>
                <w:kern w:val="2"/>
                <w:sz w:val="21"/>
                <w:szCs w:val="21"/>
                <w:vertAlign w:val="baseline"/>
                <w:lang w:val="en-US" w:eastAsia="zh-CN" w:bidi="ar-SA"/>
              </w:rPr>
              <w:t>拍摄爱国卫生70周年宣传片报销凭证</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5F248">
            <w:pPr>
              <w:keepNext w:val="0"/>
              <w:keepLines w:val="0"/>
              <w:widowControl/>
              <w:suppressLineNumbers w:val="0"/>
              <w:jc w:val="center"/>
              <w:textAlignment w:val="center"/>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8.50</w:t>
            </w:r>
          </w:p>
        </w:tc>
      </w:tr>
      <w:tr w14:paraId="385A8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B95E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仿宋" w:cs="Times New Roman"/>
                <w:kern w:val="2"/>
                <w:sz w:val="21"/>
                <w:szCs w:val="21"/>
                <w:vertAlign w:val="baseline"/>
                <w:lang w:val="en-US" w:eastAsia="zh-CN" w:bidi="ar-SA"/>
              </w:rPr>
              <w:t>15</w:t>
            </w:r>
          </w:p>
        </w:tc>
        <w:tc>
          <w:tcPr>
            <w:tcW w:w="3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324E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仿宋" w:cs="Times New Roman"/>
                <w:kern w:val="2"/>
                <w:sz w:val="21"/>
                <w:szCs w:val="21"/>
                <w:vertAlign w:val="baseline"/>
                <w:lang w:val="en-US" w:eastAsia="zh-CN" w:bidi="ar-SA"/>
              </w:rPr>
              <w:t>国卫复审培训专家讲课费</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339D2">
            <w:pPr>
              <w:keepNext w:val="0"/>
              <w:keepLines w:val="0"/>
              <w:widowControl/>
              <w:suppressLineNumbers w:val="0"/>
              <w:jc w:val="center"/>
              <w:textAlignment w:val="center"/>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0.10</w:t>
            </w:r>
          </w:p>
        </w:tc>
      </w:tr>
      <w:tr w14:paraId="6FBAB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6CF2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仿宋" w:cs="Times New Roman"/>
                <w:kern w:val="2"/>
                <w:sz w:val="21"/>
                <w:szCs w:val="21"/>
                <w:vertAlign w:val="baseline"/>
                <w:lang w:val="en-US" w:eastAsia="zh-CN" w:bidi="ar-SA"/>
              </w:rPr>
              <w:t>16</w:t>
            </w:r>
          </w:p>
        </w:tc>
        <w:tc>
          <w:tcPr>
            <w:tcW w:w="3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BD7D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仿宋" w:cs="Times New Roman"/>
                <w:kern w:val="2"/>
                <w:sz w:val="21"/>
                <w:szCs w:val="21"/>
                <w:vertAlign w:val="baseline"/>
                <w:lang w:val="en-US" w:eastAsia="zh-CN" w:bidi="ar-SA"/>
              </w:rPr>
              <w:t>健康县城督导加班餐费</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AD3E7">
            <w:pPr>
              <w:keepNext w:val="0"/>
              <w:keepLines w:val="0"/>
              <w:widowControl/>
              <w:suppressLineNumbers w:val="0"/>
              <w:jc w:val="center"/>
              <w:textAlignment w:val="center"/>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0.02</w:t>
            </w:r>
          </w:p>
        </w:tc>
      </w:tr>
      <w:tr w14:paraId="5118C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421E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仿宋" w:cs="Times New Roman"/>
                <w:kern w:val="2"/>
                <w:sz w:val="21"/>
                <w:szCs w:val="21"/>
                <w:vertAlign w:val="baseline"/>
                <w:lang w:val="en-US" w:eastAsia="zh-CN" w:bidi="ar-SA"/>
              </w:rPr>
              <w:t>17</w:t>
            </w:r>
          </w:p>
        </w:tc>
        <w:tc>
          <w:tcPr>
            <w:tcW w:w="3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3DB2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仿宋" w:cs="Times New Roman"/>
                <w:kern w:val="2"/>
                <w:sz w:val="21"/>
                <w:szCs w:val="21"/>
                <w:vertAlign w:val="baseline"/>
                <w:lang w:val="en-US" w:eastAsia="zh-CN" w:bidi="ar-SA"/>
              </w:rPr>
              <w:t>爱国卫生交叉检查加班餐费</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9EE17">
            <w:pPr>
              <w:keepNext w:val="0"/>
              <w:keepLines w:val="0"/>
              <w:widowControl/>
              <w:suppressLineNumbers w:val="0"/>
              <w:jc w:val="center"/>
              <w:textAlignment w:val="center"/>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0.02</w:t>
            </w:r>
          </w:p>
        </w:tc>
      </w:tr>
      <w:tr w14:paraId="5DFFB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6582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仿宋" w:cs="Times New Roman"/>
                <w:kern w:val="2"/>
                <w:sz w:val="21"/>
                <w:szCs w:val="21"/>
                <w:vertAlign w:val="baseline"/>
                <w:lang w:val="en-US" w:eastAsia="zh-CN" w:bidi="ar-SA"/>
              </w:rPr>
              <w:t>18</w:t>
            </w:r>
          </w:p>
        </w:tc>
        <w:tc>
          <w:tcPr>
            <w:tcW w:w="3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72D3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仿宋" w:cs="Times New Roman"/>
                <w:kern w:val="2"/>
                <w:sz w:val="21"/>
                <w:szCs w:val="21"/>
                <w:vertAlign w:val="baseline"/>
                <w:lang w:val="en-US" w:eastAsia="zh-CN" w:bidi="ar-SA"/>
              </w:rPr>
              <w:t>全国卫生城镇评审培训班食堂餐费</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742A">
            <w:pPr>
              <w:keepNext w:val="0"/>
              <w:keepLines w:val="0"/>
              <w:widowControl/>
              <w:suppressLineNumbers w:val="0"/>
              <w:jc w:val="center"/>
              <w:textAlignment w:val="center"/>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0.25</w:t>
            </w:r>
          </w:p>
        </w:tc>
      </w:tr>
      <w:tr w14:paraId="1D3A1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249A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仿宋" w:cs="Times New Roman"/>
                <w:kern w:val="2"/>
                <w:sz w:val="21"/>
                <w:szCs w:val="21"/>
                <w:vertAlign w:val="baseline"/>
                <w:lang w:val="en-US" w:eastAsia="zh-CN" w:bidi="ar-SA"/>
              </w:rPr>
              <w:t>19</w:t>
            </w:r>
          </w:p>
        </w:tc>
        <w:tc>
          <w:tcPr>
            <w:tcW w:w="3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59D4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仿宋" w:cs="Times New Roman"/>
                <w:kern w:val="2"/>
                <w:sz w:val="21"/>
                <w:szCs w:val="21"/>
                <w:vertAlign w:val="baseline"/>
                <w:lang w:val="en-US" w:eastAsia="zh-CN" w:bidi="ar-SA"/>
              </w:rPr>
              <w:t>2022年病媒生物防制先进城区复审租车费</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4E3B3">
            <w:pPr>
              <w:keepNext w:val="0"/>
              <w:keepLines w:val="0"/>
              <w:widowControl/>
              <w:suppressLineNumbers w:val="0"/>
              <w:jc w:val="center"/>
              <w:textAlignment w:val="center"/>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0.07</w:t>
            </w:r>
          </w:p>
        </w:tc>
      </w:tr>
      <w:tr w14:paraId="51E67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DAEA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仿宋" w:cs="Times New Roman"/>
                <w:kern w:val="2"/>
                <w:sz w:val="21"/>
                <w:szCs w:val="21"/>
                <w:vertAlign w:val="baseline"/>
                <w:lang w:val="en-US" w:eastAsia="zh-CN" w:bidi="ar-SA"/>
              </w:rPr>
              <w:t>20</w:t>
            </w:r>
          </w:p>
        </w:tc>
        <w:tc>
          <w:tcPr>
            <w:tcW w:w="3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0D40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仿宋" w:cs="Times New Roman"/>
                <w:kern w:val="2"/>
                <w:sz w:val="21"/>
                <w:szCs w:val="21"/>
                <w:vertAlign w:val="baseline"/>
                <w:lang w:val="en-US" w:eastAsia="zh-CN" w:bidi="ar-SA"/>
              </w:rPr>
              <w:t>卫生城市业务培训专家讲课费</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94C09">
            <w:pPr>
              <w:keepNext w:val="0"/>
              <w:keepLines w:val="0"/>
              <w:widowControl/>
              <w:suppressLineNumbers w:val="0"/>
              <w:jc w:val="center"/>
              <w:textAlignment w:val="center"/>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0.20</w:t>
            </w:r>
          </w:p>
        </w:tc>
      </w:tr>
      <w:tr w14:paraId="51EAC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3294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仿宋" w:cs="Times New Roman"/>
                <w:kern w:val="2"/>
                <w:sz w:val="21"/>
                <w:szCs w:val="21"/>
                <w:vertAlign w:val="baseline"/>
                <w:lang w:val="en-US" w:eastAsia="zh-CN" w:bidi="ar-SA"/>
              </w:rPr>
              <w:t>21</w:t>
            </w:r>
          </w:p>
        </w:tc>
        <w:tc>
          <w:tcPr>
            <w:tcW w:w="3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62F3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仿宋" w:cs="Times New Roman"/>
                <w:kern w:val="2"/>
                <w:sz w:val="21"/>
                <w:szCs w:val="21"/>
                <w:vertAlign w:val="baseline"/>
                <w:lang w:val="en-US" w:eastAsia="zh-CN" w:bidi="ar-SA"/>
              </w:rPr>
              <w:t>健康县城督导检查餐费</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53B75">
            <w:pPr>
              <w:keepNext w:val="0"/>
              <w:keepLines w:val="0"/>
              <w:widowControl/>
              <w:suppressLineNumbers w:val="0"/>
              <w:jc w:val="center"/>
              <w:textAlignment w:val="center"/>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0.05</w:t>
            </w:r>
          </w:p>
        </w:tc>
      </w:tr>
      <w:tr w14:paraId="16E10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A96F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仿宋" w:cs="Times New Roman"/>
                <w:kern w:val="2"/>
                <w:sz w:val="21"/>
                <w:szCs w:val="21"/>
                <w:vertAlign w:val="baseline"/>
                <w:lang w:val="en-US" w:eastAsia="zh-CN" w:bidi="ar-SA"/>
              </w:rPr>
              <w:t>22</w:t>
            </w:r>
          </w:p>
        </w:tc>
        <w:tc>
          <w:tcPr>
            <w:tcW w:w="3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DB97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仿宋" w:cs="Times New Roman"/>
                <w:kern w:val="2"/>
                <w:sz w:val="21"/>
                <w:szCs w:val="21"/>
                <w:vertAlign w:val="baseline"/>
                <w:lang w:val="en-US" w:eastAsia="zh-CN" w:bidi="ar-SA"/>
              </w:rPr>
              <w:t>国卫复审区级曝光片外出拍摄餐费</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38C32">
            <w:pPr>
              <w:keepNext w:val="0"/>
              <w:keepLines w:val="0"/>
              <w:widowControl/>
              <w:suppressLineNumbers w:val="0"/>
              <w:jc w:val="center"/>
              <w:textAlignment w:val="center"/>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0.04</w:t>
            </w:r>
          </w:p>
        </w:tc>
      </w:tr>
      <w:tr w14:paraId="064E5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81D4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仿宋" w:cs="Times New Roman"/>
                <w:kern w:val="2"/>
                <w:sz w:val="21"/>
                <w:szCs w:val="21"/>
                <w:vertAlign w:val="baseline"/>
                <w:lang w:val="en-US" w:eastAsia="zh-CN" w:bidi="ar-SA"/>
              </w:rPr>
              <w:t>23</w:t>
            </w:r>
          </w:p>
        </w:tc>
        <w:tc>
          <w:tcPr>
            <w:tcW w:w="3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68FE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仿宋" w:cs="Times New Roman"/>
                <w:kern w:val="2"/>
                <w:sz w:val="21"/>
                <w:szCs w:val="21"/>
                <w:vertAlign w:val="baseline"/>
                <w:lang w:val="en-US" w:eastAsia="zh-CN" w:bidi="ar-SA"/>
              </w:rPr>
              <w:t>病媒生物消杀服务报销材料</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B625D">
            <w:pPr>
              <w:keepNext w:val="0"/>
              <w:keepLines w:val="0"/>
              <w:widowControl/>
              <w:suppressLineNumbers w:val="0"/>
              <w:jc w:val="center"/>
              <w:textAlignment w:val="center"/>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12.30</w:t>
            </w:r>
          </w:p>
        </w:tc>
      </w:tr>
      <w:tr w14:paraId="62F74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43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98CB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仿宋" w:cs="Times New Roman"/>
                <w:kern w:val="2"/>
                <w:sz w:val="21"/>
                <w:szCs w:val="21"/>
                <w:vertAlign w:val="baseline"/>
                <w:lang w:val="en-US" w:eastAsia="zh-CN" w:bidi="ar-SA"/>
              </w:rPr>
              <w:t>合计</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614BC">
            <w:pPr>
              <w:keepNext w:val="0"/>
              <w:keepLines w:val="0"/>
              <w:widowControl/>
              <w:suppressLineNumbers w:val="0"/>
              <w:jc w:val="center"/>
              <w:textAlignment w:val="center"/>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44.5</w:t>
            </w:r>
            <w:r>
              <w:rPr>
                <w:rFonts w:hint="eastAsia" w:ascii="Times New Roman" w:hAnsi="Times New Roman" w:eastAsia="宋体" w:cs="Times New Roman"/>
                <w:i w:val="0"/>
                <w:iCs w:val="0"/>
                <w:color w:val="000000"/>
                <w:kern w:val="0"/>
                <w:sz w:val="22"/>
                <w:szCs w:val="22"/>
                <w:u w:val="none"/>
                <w:lang w:val="en-US" w:eastAsia="zh-CN" w:bidi="ar"/>
              </w:rPr>
              <w:t>6</w:t>
            </w:r>
          </w:p>
        </w:tc>
      </w:tr>
    </w:tbl>
    <w:p w14:paraId="0291212B">
      <w:pPr>
        <w:pStyle w:val="32"/>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b w:val="0"/>
          <w:bCs w:val="0"/>
        </w:rPr>
      </w:pPr>
      <w:bookmarkStart w:id="28" w:name="_Toc16711"/>
      <w:r>
        <w:rPr>
          <w:rFonts w:hint="default" w:ascii="Times New Roman" w:hAnsi="Times New Roman" w:cs="Times New Roman"/>
          <w:b w:val="0"/>
          <w:bCs w:val="0"/>
        </w:rPr>
        <w:t>（三）项目实施内容</w:t>
      </w:r>
      <w:bookmarkEnd w:id="28"/>
      <w:r>
        <w:rPr>
          <w:rFonts w:hint="default" w:ascii="Times New Roman" w:hAnsi="Times New Roman" w:cs="Times New Roman"/>
          <w:b w:val="0"/>
          <w:bCs w:val="0"/>
          <w:lang w:val="en-US" w:eastAsia="zh-CN"/>
        </w:rPr>
        <w:t xml:space="preserve"> </w:t>
      </w:r>
    </w:p>
    <w:p w14:paraId="03E7F62E">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eastAsia" w:ascii="Times New Roman" w:hAnsi="Times New Roman" w:cs="Times New Roman"/>
          <w:szCs w:val="30"/>
          <w:lang w:val="en-US" w:eastAsia="zh-CN"/>
        </w:rPr>
      </w:pPr>
      <w:r>
        <w:rPr>
          <w:rFonts w:hint="eastAsia" w:ascii="Times New Roman" w:hAnsi="Times New Roman" w:cs="Times New Roman"/>
          <w:szCs w:val="30"/>
          <w:lang w:val="en-US" w:eastAsia="zh-CN"/>
        </w:rPr>
        <w:t>该项目主要包含国家卫生城市复审及健康县城建设交叉检查工作、西山区国家卫生城市新标准业务培训会、西山区国家卫生城市新标准业务培训会、西山区国家卫生城市标准评审要点培训会议、西山区国家卫生城市复审迎检工作、爱国卫生70周年宣传片拍摄、2023年西山区推进健康县城建设暗访曝光片和病媒</w:t>
      </w:r>
      <w:r>
        <w:rPr>
          <w:rFonts w:hint="eastAsia" w:ascii="Times New Roman" w:cs="Times New Roman"/>
          <w:szCs w:val="30"/>
          <w:lang w:val="en-US" w:eastAsia="zh-CN"/>
        </w:rPr>
        <w:t>生物防治</w:t>
      </w:r>
      <w:r>
        <w:rPr>
          <w:rFonts w:hint="eastAsia" w:ascii="Times New Roman" w:hAnsi="Times New Roman" w:cs="Times New Roman"/>
          <w:szCs w:val="30"/>
          <w:lang w:val="en-US" w:eastAsia="zh-CN"/>
        </w:rPr>
        <w:t>工作等7项工作，各项工作实施计划完成情况如下：</w:t>
      </w:r>
    </w:p>
    <w:p w14:paraId="52D5FF51">
      <w:pPr>
        <w:pStyle w:val="32"/>
        <w:keepNext w:val="0"/>
        <w:keepLines w:val="0"/>
        <w:pageBreakBefore w:val="0"/>
        <w:kinsoku/>
        <w:wordWrap/>
        <w:overflowPunct/>
        <w:topLinePunct w:val="0"/>
        <w:autoSpaceDE/>
        <w:autoSpaceDN/>
        <w:bidi w:val="0"/>
        <w:adjustRightInd/>
        <w:spacing w:line="579" w:lineRule="exact"/>
        <w:ind w:left="0" w:leftChars="0" w:firstLine="0" w:firstLineChars="0"/>
        <w:jc w:val="center"/>
        <w:textAlignment w:val="auto"/>
        <w:outlineLvl w:val="1"/>
        <w:rPr>
          <w:rFonts w:hint="default" w:ascii="Times New Roman" w:hAnsi="Times New Roman" w:cs="Times New Roman"/>
          <w:szCs w:val="30"/>
          <w:lang w:val="en-US" w:eastAsia="zh-CN"/>
        </w:rPr>
      </w:pPr>
      <w:bookmarkStart w:id="29" w:name="_Toc12932"/>
      <w:bookmarkStart w:id="30" w:name="_Toc692"/>
      <w:bookmarkStart w:id="31" w:name="_Toc2317"/>
      <w:bookmarkStart w:id="32" w:name="_Toc29213"/>
      <w:r>
        <w:rPr>
          <w:rFonts w:hint="eastAsia" w:eastAsia="黑体" w:cs="Times New Roman"/>
          <w:b w:val="0"/>
          <w:bCs/>
          <w:kern w:val="30"/>
          <w:sz w:val="24"/>
          <w:szCs w:val="24"/>
          <w:lang w:val="en-US" w:eastAsia="zh-CN" w:bidi="ar-SA"/>
        </w:rPr>
        <w:t>表2 项目计划和实际实施对比表</w:t>
      </w:r>
      <w:bookmarkEnd w:id="29"/>
      <w:bookmarkEnd w:id="30"/>
      <w:bookmarkEnd w:id="31"/>
      <w:bookmarkEnd w:id="32"/>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7"/>
        <w:gridCol w:w="2049"/>
        <w:gridCol w:w="3819"/>
        <w:gridCol w:w="2815"/>
      </w:tblGrid>
      <w:tr w14:paraId="78575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blHeader/>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36EF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b/>
                <w:bCs/>
                <w:kern w:val="2"/>
                <w:sz w:val="21"/>
                <w:szCs w:val="21"/>
                <w:vertAlign w:val="baseline"/>
                <w:lang w:val="en-US" w:eastAsia="zh-CN" w:bidi="ar-SA"/>
              </w:rPr>
            </w:pPr>
            <w:r>
              <w:rPr>
                <w:rFonts w:hint="eastAsia" w:ascii="Times New Roman" w:hAnsi="Times New Roman" w:cs="Times New Roman"/>
                <w:b/>
                <w:bCs/>
                <w:kern w:val="2"/>
                <w:sz w:val="21"/>
                <w:szCs w:val="21"/>
                <w:vertAlign w:val="baseline"/>
                <w:lang w:val="en-US" w:eastAsia="zh-CN" w:bidi="ar-SA"/>
              </w:rPr>
              <w:t>序号</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A2D2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b/>
                <w:bCs/>
                <w:kern w:val="2"/>
                <w:sz w:val="21"/>
                <w:szCs w:val="21"/>
                <w:vertAlign w:val="baseline"/>
                <w:lang w:val="en-US" w:eastAsia="zh-CN" w:bidi="ar-SA"/>
              </w:rPr>
            </w:pPr>
            <w:r>
              <w:rPr>
                <w:rFonts w:hint="eastAsia" w:ascii="Times New Roman" w:hAnsi="Times New Roman" w:cs="Times New Roman"/>
                <w:b/>
                <w:bCs/>
                <w:kern w:val="2"/>
                <w:sz w:val="21"/>
                <w:szCs w:val="21"/>
                <w:vertAlign w:val="baseline"/>
                <w:lang w:val="en-US" w:eastAsia="zh-CN" w:bidi="ar-SA"/>
              </w:rPr>
              <w:t>项目构成</w:t>
            </w:r>
          </w:p>
        </w:tc>
        <w:tc>
          <w:tcPr>
            <w:tcW w:w="2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ACE4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b/>
                <w:bCs/>
                <w:kern w:val="2"/>
                <w:sz w:val="21"/>
                <w:szCs w:val="21"/>
                <w:vertAlign w:val="baseline"/>
                <w:lang w:val="en-US" w:eastAsia="zh-CN" w:bidi="ar-SA"/>
              </w:rPr>
            </w:pPr>
            <w:r>
              <w:rPr>
                <w:rFonts w:hint="eastAsia" w:ascii="Times New Roman" w:hAnsi="Times New Roman" w:cs="Times New Roman"/>
                <w:b/>
                <w:bCs/>
                <w:kern w:val="2"/>
                <w:sz w:val="21"/>
                <w:szCs w:val="21"/>
                <w:vertAlign w:val="baseline"/>
                <w:lang w:val="en-US" w:eastAsia="zh-CN" w:bidi="ar-SA"/>
              </w:rPr>
              <w:t>项目实施计划</w:t>
            </w:r>
          </w:p>
        </w:tc>
        <w:tc>
          <w:tcPr>
            <w:tcW w:w="1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30B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b/>
                <w:bCs/>
                <w:kern w:val="2"/>
                <w:sz w:val="21"/>
                <w:szCs w:val="21"/>
                <w:vertAlign w:val="baseline"/>
                <w:lang w:val="en-US" w:eastAsia="zh-CN" w:bidi="ar-SA"/>
              </w:rPr>
            </w:pPr>
            <w:r>
              <w:rPr>
                <w:rFonts w:hint="eastAsia" w:ascii="Times New Roman" w:hAnsi="Times New Roman" w:cs="Times New Roman"/>
                <w:b/>
                <w:bCs/>
                <w:kern w:val="2"/>
                <w:sz w:val="21"/>
                <w:szCs w:val="21"/>
                <w:vertAlign w:val="baseline"/>
                <w:lang w:val="en-US" w:eastAsia="zh-CN" w:bidi="ar-SA"/>
              </w:rPr>
              <w:t>项目完成情况</w:t>
            </w:r>
          </w:p>
        </w:tc>
      </w:tr>
      <w:tr w14:paraId="6B01D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1B7D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kern w:val="2"/>
                <w:sz w:val="21"/>
                <w:szCs w:val="21"/>
                <w:vertAlign w:val="baseline"/>
                <w:lang w:val="en-US" w:eastAsia="zh-CN" w:bidi="ar-SA"/>
              </w:rPr>
            </w:pPr>
            <w:r>
              <w:rPr>
                <w:rFonts w:hint="eastAsia" w:ascii="Times New Roman" w:hAnsi="Times New Roman" w:cs="Times New Roman"/>
                <w:kern w:val="2"/>
                <w:sz w:val="21"/>
                <w:szCs w:val="21"/>
                <w:vertAlign w:val="baseline"/>
                <w:lang w:val="en-US" w:eastAsia="zh-CN" w:bidi="ar-SA"/>
              </w:rPr>
              <w:t>1</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7530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kern w:val="2"/>
                <w:sz w:val="21"/>
                <w:szCs w:val="21"/>
                <w:vertAlign w:val="baseline"/>
                <w:lang w:val="en-US" w:eastAsia="zh-CN" w:bidi="ar-SA"/>
              </w:rPr>
            </w:pPr>
            <w:r>
              <w:rPr>
                <w:rFonts w:hint="eastAsia" w:ascii="Times New Roman" w:hAnsi="Times New Roman" w:cs="Times New Roman"/>
                <w:kern w:val="2"/>
                <w:sz w:val="21"/>
                <w:szCs w:val="21"/>
                <w:vertAlign w:val="baseline"/>
                <w:lang w:val="en-US" w:eastAsia="zh-CN" w:bidi="ar-SA"/>
              </w:rPr>
              <w:t>国家卫生城市复审及健康县城建设交叉检查工作</w:t>
            </w:r>
          </w:p>
        </w:tc>
        <w:tc>
          <w:tcPr>
            <w:tcW w:w="2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03DE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cs="Times New Roman"/>
                <w:kern w:val="2"/>
                <w:sz w:val="21"/>
                <w:szCs w:val="21"/>
                <w:vertAlign w:val="baseline"/>
                <w:lang w:val="en-US" w:eastAsia="zh-CN" w:bidi="ar-SA"/>
              </w:rPr>
            </w:pPr>
            <w:r>
              <w:rPr>
                <w:rFonts w:hint="eastAsia" w:ascii="Times New Roman" w:hAnsi="Times New Roman" w:cs="Times New Roman"/>
                <w:kern w:val="2"/>
                <w:sz w:val="21"/>
                <w:szCs w:val="21"/>
                <w:vertAlign w:val="baseline"/>
                <w:lang w:val="en-US" w:eastAsia="zh-CN" w:bidi="ar-SA"/>
              </w:rPr>
              <w:t>2023年3月27日至4月21日，检查安宁市。</w:t>
            </w:r>
          </w:p>
        </w:tc>
        <w:tc>
          <w:tcPr>
            <w:tcW w:w="1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DCCB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cs="Times New Roman"/>
                <w:kern w:val="2"/>
                <w:sz w:val="21"/>
                <w:szCs w:val="21"/>
                <w:vertAlign w:val="baseline"/>
                <w:lang w:val="en-US" w:eastAsia="zh-CN" w:bidi="ar-SA"/>
              </w:rPr>
            </w:pPr>
            <w:r>
              <w:rPr>
                <w:rFonts w:hint="eastAsia" w:ascii="Times New Roman" w:hAnsi="Times New Roman" w:cs="Times New Roman"/>
                <w:kern w:val="2"/>
                <w:sz w:val="21"/>
                <w:szCs w:val="21"/>
                <w:vertAlign w:val="baseline"/>
                <w:lang w:val="en-US" w:eastAsia="zh-CN" w:bidi="ar-SA"/>
              </w:rPr>
              <w:t>至2023年5月4日，此次与安宁市交叉</w:t>
            </w:r>
            <w:r>
              <w:rPr>
                <w:rFonts w:hint="eastAsia" w:ascii="Times New Roman" w:cs="Times New Roman"/>
                <w:kern w:val="2"/>
                <w:sz w:val="21"/>
                <w:szCs w:val="21"/>
                <w:vertAlign w:val="baseline"/>
                <w:lang w:val="en-US" w:eastAsia="zh-CN" w:bidi="ar-SA"/>
              </w:rPr>
              <w:t>检查</w:t>
            </w:r>
            <w:r>
              <w:rPr>
                <w:rFonts w:hint="eastAsia" w:ascii="Times New Roman" w:hAnsi="Times New Roman" w:cs="Times New Roman"/>
                <w:kern w:val="2"/>
                <w:sz w:val="21"/>
                <w:szCs w:val="21"/>
                <w:vertAlign w:val="baseline"/>
                <w:lang w:val="en-US" w:eastAsia="zh-CN" w:bidi="ar-SA"/>
              </w:rPr>
              <w:t>过程中，除共性问题共发现西山区需整改问题77项，目前77项已全部整改完毕。</w:t>
            </w:r>
          </w:p>
        </w:tc>
      </w:tr>
      <w:tr w14:paraId="22935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7232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kern w:val="2"/>
                <w:sz w:val="21"/>
                <w:szCs w:val="21"/>
                <w:vertAlign w:val="baseline"/>
                <w:lang w:val="en-US" w:eastAsia="zh-CN" w:bidi="ar-SA"/>
              </w:rPr>
            </w:pPr>
            <w:r>
              <w:rPr>
                <w:rFonts w:hint="eastAsia" w:ascii="Times New Roman" w:hAnsi="Times New Roman" w:cs="Times New Roman"/>
                <w:kern w:val="2"/>
                <w:sz w:val="21"/>
                <w:szCs w:val="21"/>
                <w:vertAlign w:val="baseline"/>
                <w:lang w:val="en-US" w:eastAsia="zh-CN" w:bidi="ar-SA"/>
              </w:rPr>
              <w:t>2</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C8A4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kern w:val="2"/>
                <w:sz w:val="21"/>
                <w:szCs w:val="21"/>
                <w:vertAlign w:val="baseline"/>
                <w:lang w:val="en-US" w:eastAsia="zh-CN" w:bidi="ar-SA"/>
              </w:rPr>
            </w:pPr>
            <w:r>
              <w:rPr>
                <w:rFonts w:hint="eastAsia" w:ascii="Times New Roman" w:hAnsi="Times New Roman" w:cs="Times New Roman"/>
                <w:kern w:val="2"/>
                <w:sz w:val="21"/>
                <w:szCs w:val="21"/>
                <w:vertAlign w:val="baseline"/>
                <w:lang w:val="en-US" w:eastAsia="zh-CN" w:bidi="ar-SA"/>
              </w:rPr>
              <w:t>西山区国家卫生城市新标准业务培训会</w:t>
            </w:r>
          </w:p>
        </w:tc>
        <w:tc>
          <w:tcPr>
            <w:tcW w:w="2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B545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cs="Times New Roman"/>
                <w:kern w:val="2"/>
                <w:sz w:val="21"/>
                <w:szCs w:val="21"/>
                <w:vertAlign w:val="baseline"/>
                <w:lang w:val="en-US" w:eastAsia="zh-CN" w:bidi="ar-SA"/>
              </w:rPr>
            </w:pPr>
            <w:r>
              <w:rPr>
                <w:rFonts w:hint="eastAsia" w:ascii="Times New Roman" w:hAnsi="Times New Roman" w:cs="Times New Roman"/>
                <w:kern w:val="2"/>
                <w:sz w:val="21"/>
                <w:szCs w:val="21"/>
                <w:vertAlign w:val="baseline"/>
                <w:lang w:val="en-US" w:eastAsia="zh-CN" w:bidi="ar-SA"/>
              </w:rPr>
              <w:t>2023年3月10日（星期五），会期一天；邀请昆明市卫生城市技术评审专家成员莅临我，开展国家卫生城市新标准业务培训，</w:t>
            </w:r>
          </w:p>
        </w:tc>
        <w:tc>
          <w:tcPr>
            <w:tcW w:w="1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99AE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cs="Times New Roman"/>
                <w:kern w:val="2"/>
                <w:sz w:val="21"/>
                <w:szCs w:val="21"/>
                <w:vertAlign w:val="baseline"/>
                <w:lang w:val="en-US" w:eastAsia="zh-CN" w:bidi="ar-SA"/>
              </w:rPr>
            </w:pPr>
            <w:r>
              <w:rPr>
                <w:rFonts w:hint="eastAsia" w:ascii="Times New Roman" w:hAnsi="Times New Roman" w:cs="Times New Roman"/>
                <w:kern w:val="2"/>
                <w:sz w:val="21"/>
                <w:szCs w:val="21"/>
                <w:vertAlign w:val="baseline"/>
                <w:lang w:val="en-US" w:eastAsia="zh-CN" w:bidi="ar-SA"/>
              </w:rPr>
              <w:t>各局及10个街道办事处、各社区等单位共计166人参加培训。</w:t>
            </w:r>
          </w:p>
        </w:tc>
      </w:tr>
      <w:tr w14:paraId="2646B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6E7E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kern w:val="2"/>
                <w:sz w:val="21"/>
                <w:szCs w:val="21"/>
                <w:vertAlign w:val="baseline"/>
                <w:lang w:val="en-US" w:eastAsia="zh-CN" w:bidi="ar-SA"/>
              </w:rPr>
            </w:pPr>
            <w:r>
              <w:rPr>
                <w:rFonts w:hint="eastAsia" w:ascii="Times New Roman" w:hAnsi="Times New Roman" w:cs="Times New Roman"/>
                <w:kern w:val="2"/>
                <w:sz w:val="21"/>
                <w:szCs w:val="21"/>
                <w:vertAlign w:val="baseline"/>
                <w:lang w:val="en-US" w:eastAsia="zh-CN" w:bidi="ar-SA"/>
              </w:rPr>
              <w:t>3</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BE3C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kern w:val="2"/>
                <w:sz w:val="21"/>
                <w:szCs w:val="21"/>
                <w:vertAlign w:val="baseline"/>
                <w:lang w:val="en-US" w:eastAsia="zh-CN" w:bidi="ar-SA"/>
              </w:rPr>
            </w:pPr>
            <w:r>
              <w:rPr>
                <w:rFonts w:hint="eastAsia" w:ascii="Times New Roman" w:hAnsi="Times New Roman" w:cs="Times New Roman"/>
                <w:kern w:val="2"/>
                <w:sz w:val="21"/>
                <w:szCs w:val="21"/>
                <w:vertAlign w:val="baseline"/>
                <w:lang w:val="en-US" w:eastAsia="zh-CN" w:bidi="ar-SA"/>
              </w:rPr>
              <w:t>西山区国家卫生城市标准评审要点培训会议</w:t>
            </w:r>
          </w:p>
        </w:tc>
        <w:tc>
          <w:tcPr>
            <w:tcW w:w="2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81FA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cs="Times New Roman"/>
                <w:kern w:val="2"/>
                <w:sz w:val="21"/>
                <w:szCs w:val="21"/>
                <w:vertAlign w:val="baseline"/>
                <w:lang w:val="en-US" w:eastAsia="zh-CN" w:bidi="ar-SA"/>
              </w:rPr>
            </w:pPr>
            <w:r>
              <w:rPr>
                <w:rFonts w:hint="eastAsia" w:ascii="Times New Roman" w:hAnsi="Times New Roman" w:cs="Times New Roman"/>
                <w:kern w:val="2"/>
                <w:sz w:val="21"/>
                <w:szCs w:val="21"/>
                <w:vertAlign w:val="baseline"/>
                <w:lang w:val="en-US" w:eastAsia="zh-CN" w:bidi="ar-SA"/>
              </w:rPr>
              <w:t>2023年9月7日，邀请云南省爱国卫生技术指导中心主任冯琳到西山区开展国家卫生城市标准评审要点培训</w:t>
            </w:r>
          </w:p>
        </w:tc>
        <w:tc>
          <w:tcPr>
            <w:tcW w:w="1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2C11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cs="Times New Roman"/>
                <w:kern w:val="2"/>
                <w:sz w:val="21"/>
                <w:szCs w:val="21"/>
                <w:vertAlign w:val="baseline"/>
                <w:lang w:val="en-US" w:eastAsia="zh-CN" w:bidi="ar-SA"/>
              </w:rPr>
            </w:pPr>
            <w:r>
              <w:rPr>
                <w:rFonts w:hint="eastAsia" w:ascii="Times New Roman" w:hAnsi="Times New Roman" w:cs="Times New Roman"/>
                <w:kern w:val="2"/>
                <w:sz w:val="21"/>
                <w:szCs w:val="21"/>
                <w:vertAlign w:val="baseline"/>
                <w:lang w:val="en-US" w:eastAsia="zh-CN" w:bidi="ar-SA"/>
              </w:rPr>
              <w:t>如期举行。</w:t>
            </w:r>
          </w:p>
        </w:tc>
      </w:tr>
      <w:tr w14:paraId="4BD9F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208" w:type="pct"/>
            <w:vMerge w:val="restart"/>
            <w:tcBorders>
              <w:top w:val="single" w:color="000000" w:sz="4" w:space="0"/>
              <w:left w:val="single" w:color="000000" w:sz="4" w:space="0"/>
              <w:right w:val="single" w:color="000000" w:sz="4" w:space="0"/>
            </w:tcBorders>
            <w:shd w:val="clear" w:color="auto" w:fill="auto"/>
            <w:noWrap/>
            <w:vAlign w:val="center"/>
          </w:tcPr>
          <w:p w14:paraId="09331A8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kern w:val="2"/>
                <w:sz w:val="21"/>
                <w:szCs w:val="21"/>
                <w:vertAlign w:val="baseline"/>
                <w:lang w:val="en-US" w:eastAsia="zh-CN" w:bidi="ar-SA"/>
              </w:rPr>
            </w:pPr>
            <w:r>
              <w:rPr>
                <w:rFonts w:hint="eastAsia" w:ascii="Times New Roman" w:hAnsi="Times New Roman" w:cs="Times New Roman"/>
                <w:kern w:val="2"/>
                <w:sz w:val="21"/>
                <w:szCs w:val="21"/>
                <w:vertAlign w:val="baseline"/>
                <w:lang w:val="en-US" w:eastAsia="zh-CN" w:bidi="ar-SA"/>
              </w:rPr>
              <w:t>4</w:t>
            </w:r>
          </w:p>
          <w:p w14:paraId="4B783E3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kern w:val="2"/>
                <w:sz w:val="21"/>
                <w:szCs w:val="21"/>
                <w:vertAlign w:val="baseline"/>
                <w:lang w:val="en-US" w:eastAsia="zh-CN" w:bidi="ar-SA"/>
              </w:rPr>
            </w:pPr>
          </w:p>
        </w:tc>
        <w:tc>
          <w:tcPr>
            <w:tcW w:w="113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147A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kern w:val="2"/>
                <w:sz w:val="21"/>
                <w:szCs w:val="21"/>
                <w:vertAlign w:val="baseline"/>
                <w:lang w:val="en-US" w:eastAsia="zh-CN" w:bidi="ar-SA"/>
              </w:rPr>
            </w:pPr>
            <w:r>
              <w:rPr>
                <w:rFonts w:hint="eastAsia" w:ascii="Times New Roman" w:hAnsi="Times New Roman" w:cs="Times New Roman"/>
                <w:kern w:val="2"/>
                <w:sz w:val="21"/>
                <w:szCs w:val="21"/>
                <w:vertAlign w:val="baseline"/>
                <w:lang w:val="en-US" w:eastAsia="zh-CN" w:bidi="ar-SA"/>
              </w:rPr>
              <w:t>西山区国家卫生城市复审迎检工作</w:t>
            </w:r>
          </w:p>
        </w:tc>
        <w:tc>
          <w:tcPr>
            <w:tcW w:w="2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F364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cs="Times New Roman"/>
                <w:kern w:val="2"/>
                <w:sz w:val="21"/>
                <w:szCs w:val="21"/>
                <w:vertAlign w:val="baseline"/>
                <w:lang w:val="en-US" w:eastAsia="zh-CN" w:bidi="ar-SA"/>
              </w:rPr>
            </w:pPr>
            <w:r>
              <w:rPr>
                <w:rFonts w:hint="eastAsia" w:ascii="Times New Roman" w:hAnsi="Times New Roman" w:cs="Times New Roman"/>
                <w:kern w:val="2"/>
                <w:sz w:val="21"/>
                <w:szCs w:val="21"/>
                <w:vertAlign w:val="baseline"/>
                <w:lang w:val="en-US" w:eastAsia="zh-CN" w:bidi="ar-SA"/>
              </w:rPr>
              <w:t>全国爱卫办实行季度定期抽查制度，在一个周期内每个季度随机抽取一定数量的城市进行复审评估，三年实现全覆盖（2022—2024年为第一周期，以此类推）。复审范围：西山区下辖的所有街道。</w:t>
            </w:r>
          </w:p>
        </w:tc>
        <w:tc>
          <w:tcPr>
            <w:tcW w:w="1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AC3D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cs="Times New Roman"/>
                <w:kern w:val="2"/>
                <w:sz w:val="21"/>
                <w:szCs w:val="21"/>
                <w:vertAlign w:val="baseline"/>
                <w:lang w:val="en-US" w:eastAsia="zh-CN" w:bidi="ar-SA"/>
              </w:rPr>
            </w:pPr>
            <w:r>
              <w:rPr>
                <w:rFonts w:hint="eastAsia" w:ascii="Times New Roman" w:hAnsi="Times New Roman" w:cs="Times New Roman"/>
                <w:kern w:val="2"/>
                <w:sz w:val="21"/>
                <w:szCs w:val="21"/>
                <w:vertAlign w:val="baseline"/>
                <w:lang w:val="en-US" w:eastAsia="zh-CN" w:bidi="ar-SA"/>
              </w:rPr>
              <w:t>2023年3月27日至2023年4月21日</w:t>
            </w:r>
            <w:r>
              <w:rPr>
                <w:rFonts w:hint="eastAsia" w:ascii="Times New Roman" w:cs="Times New Roman"/>
                <w:kern w:val="2"/>
                <w:sz w:val="21"/>
                <w:szCs w:val="21"/>
                <w:vertAlign w:val="baseline"/>
                <w:lang w:val="en-US" w:eastAsia="zh-CN" w:bidi="ar-SA"/>
              </w:rPr>
              <w:t>检查安宁。</w:t>
            </w:r>
          </w:p>
        </w:tc>
      </w:tr>
      <w:tr w14:paraId="44178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08" w:type="pct"/>
            <w:vMerge w:val="continue"/>
            <w:tcBorders>
              <w:left w:val="single" w:color="000000" w:sz="4" w:space="0"/>
              <w:bottom w:val="single" w:color="000000" w:sz="4" w:space="0"/>
              <w:right w:val="single" w:color="000000" w:sz="4" w:space="0"/>
            </w:tcBorders>
            <w:shd w:val="clear" w:color="auto" w:fill="auto"/>
            <w:noWrap/>
            <w:vAlign w:val="center"/>
          </w:tcPr>
          <w:p w14:paraId="3882F87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kern w:val="2"/>
                <w:sz w:val="21"/>
                <w:szCs w:val="21"/>
                <w:vertAlign w:val="baseline"/>
                <w:lang w:val="en-US" w:eastAsia="zh-CN" w:bidi="ar-SA"/>
              </w:rPr>
            </w:pPr>
          </w:p>
        </w:tc>
        <w:tc>
          <w:tcPr>
            <w:tcW w:w="11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DE43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kern w:val="2"/>
                <w:sz w:val="21"/>
                <w:szCs w:val="21"/>
                <w:vertAlign w:val="baseline"/>
                <w:lang w:val="en-US" w:eastAsia="zh-CN" w:bidi="ar-SA"/>
              </w:rPr>
            </w:pPr>
          </w:p>
        </w:tc>
        <w:tc>
          <w:tcPr>
            <w:tcW w:w="2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1FA2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cs="Times New Roman"/>
                <w:kern w:val="2"/>
                <w:sz w:val="21"/>
                <w:szCs w:val="21"/>
                <w:vertAlign w:val="baseline"/>
                <w:lang w:val="en-US" w:eastAsia="zh-CN" w:bidi="ar-SA"/>
              </w:rPr>
            </w:pPr>
            <w:r>
              <w:rPr>
                <w:rFonts w:hint="eastAsia" w:ascii="Times New Roman" w:hAnsi="Times New Roman" w:cs="Times New Roman"/>
                <w:kern w:val="2"/>
                <w:sz w:val="21"/>
                <w:szCs w:val="21"/>
                <w:highlight w:val="none"/>
                <w:vertAlign w:val="baseline"/>
                <w:lang w:val="en-US" w:eastAsia="zh-CN" w:bidi="ar-SA"/>
              </w:rPr>
              <w:t>2023年12月12日，迎接2023年省级病媒生物防制技术指导工作</w:t>
            </w:r>
          </w:p>
        </w:tc>
        <w:tc>
          <w:tcPr>
            <w:tcW w:w="1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CC9C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cs="Times New Roman"/>
                <w:kern w:val="2"/>
                <w:sz w:val="21"/>
                <w:szCs w:val="21"/>
                <w:vertAlign w:val="baseline"/>
                <w:lang w:val="en-US" w:eastAsia="zh-CN" w:bidi="ar-SA"/>
              </w:rPr>
            </w:pPr>
            <w:r>
              <w:rPr>
                <w:rFonts w:hint="eastAsia" w:ascii="Times New Roman" w:cs="Times New Roman"/>
                <w:kern w:val="2"/>
                <w:sz w:val="21"/>
                <w:szCs w:val="21"/>
                <w:vertAlign w:val="baseline"/>
                <w:lang w:val="en-US" w:eastAsia="zh-CN" w:bidi="ar-SA"/>
              </w:rPr>
              <w:t>1.2023年12月12日—15日昆明市国家卫生城市复审领导小组办公室对西山区下属街道进行了病媒生物防制四项达标省级技术评估。对于已发现的问题均已完成整改。</w:t>
            </w:r>
          </w:p>
          <w:p w14:paraId="74B6781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cs="Times New Roman"/>
                <w:kern w:val="2"/>
                <w:sz w:val="21"/>
                <w:szCs w:val="21"/>
                <w:vertAlign w:val="baseline"/>
                <w:lang w:val="en-US" w:eastAsia="zh-CN" w:bidi="ar-SA"/>
              </w:rPr>
            </w:pPr>
            <w:r>
              <w:rPr>
                <w:rFonts w:hint="eastAsia" w:ascii="Times New Roman" w:cs="Times New Roman"/>
                <w:kern w:val="2"/>
                <w:sz w:val="21"/>
                <w:szCs w:val="21"/>
                <w:vertAlign w:val="baseline"/>
                <w:lang w:val="en-US" w:eastAsia="zh-CN" w:bidi="ar-SA"/>
              </w:rPr>
              <w:t>2.2023年区卫健局委托云南炬鑫康利科技服务有限公司对西山区8个街道进行一次全面消杀，并及时进行孳生地调查及侵害查。</w:t>
            </w:r>
          </w:p>
        </w:tc>
      </w:tr>
      <w:tr w14:paraId="00092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F051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kern w:val="2"/>
                <w:sz w:val="21"/>
                <w:szCs w:val="21"/>
                <w:vertAlign w:val="baseline"/>
                <w:lang w:val="en-US" w:eastAsia="zh-CN" w:bidi="ar-SA"/>
              </w:rPr>
            </w:pPr>
            <w:r>
              <w:rPr>
                <w:rFonts w:hint="eastAsia" w:ascii="Times New Roman" w:hAnsi="Times New Roman" w:cs="Times New Roman"/>
                <w:kern w:val="2"/>
                <w:sz w:val="21"/>
                <w:szCs w:val="21"/>
                <w:vertAlign w:val="baseline"/>
                <w:lang w:val="en-US" w:eastAsia="zh-CN" w:bidi="ar-SA"/>
              </w:rPr>
              <w:t>5</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CE38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kern w:val="2"/>
                <w:sz w:val="21"/>
                <w:szCs w:val="21"/>
                <w:vertAlign w:val="baseline"/>
                <w:lang w:val="en-US" w:eastAsia="zh-CN" w:bidi="ar-SA"/>
              </w:rPr>
            </w:pPr>
            <w:r>
              <w:rPr>
                <w:rFonts w:hint="eastAsia" w:ascii="Times New Roman" w:hAnsi="Times New Roman" w:cs="Times New Roman"/>
                <w:kern w:val="2"/>
                <w:sz w:val="21"/>
                <w:szCs w:val="21"/>
                <w:vertAlign w:val="baseline"/>
                <w:lang w:val="en-US" w:eastAsia="zh-CN" w:bidi="ar-SA"/>
              </w:rPr>
              <w:t>爱国卫生70周年宣传片拍摄</w:t>
            </w:r>
          </w:p>
        </w:tc>
        <w:tc>
          <w:tcPr>
            <w:tcW w:w="2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7CD8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cs="Times New Roman"/>
                <w:kern w:val="2"/>
                <w:sz w:val="21"/>
                <w:szCs w:val="21"/>
                <w:vertAlign w:val="baseline"/>
                <w:lang w:val="en-US" w:eastAsia="zh-CN" w:bidi="ar-SA"/>
              </w:rPr>
            </w:pPr>
            <w:r>
              <w:rPr>
                <w:rFonts w:hint="eastAsia" w:ascii="Times New Roman" w:hAnsi="Times New Roman" w:cs="Times New Roman"/>
                <w:kern w:val="2"/>
                <w:sz w:val="21"/>
                <w:szCs w:val="21"/>
                <w:vertAlign w:val="baseline"/>
                <w:lang w:val="en-US" w:eastAsia="zh-CN" w:bidi="ar-SA"/>
              </w:rPr>
              <w:t>爱国卫生运动70周年系列纪念活动和第34个爱国卫生月活动。制作爱国卫生运动70周年主题宣传片，开展70周年系列宣传活动和第34个爱国卫生宣传活动。按照全国爱卫办、省爱卫办、市爱卫办要求，收集整理相关资料，配合市爱卫办开展纪念爱国卫生运动70周年系列活动。</w:t>
            </w:r>
          </w:p>
        </w:tc>
        <w:tc>
          <w:tcPr>
            <w:tcW w:w="1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D41A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cs="Times New Roman"/>
                <w:kern w:val="2"/>
                <w:sz w:val="21"/>
                <w:szCs w:val="21"/>
                <w:vertAlign w:val="baseline"/>
                <w:lang w:val="en-US" w:eastAsia="zh-CN" w:bidi="ar-SA"/>
              </w:rPr>
            </w:pPr>
            <w:r>
              <w:rPr>
                <w:rFonts w:hint="eastAsia" w:ascii="Times New Roman" w:cs="Times New Roman"/>
                <w:kern w:val="2"/>
                <w:sz w:val="21"/>
                <w:szCs w:val="21"/>
                <w:vertAlign w:val="baseline"/>
                <w:lang w:val="en-US" w:eastAsia="zh-CN" w:bidi="ar-SA"/>
              </w:rPr>
              <w:t>2023年委托昆明日报社拍摄制作一部8分钟的宣传片。</w:t>
            </w:r>
          </w:p>
        </w:tc>
      </w:tr>
      <w:tr w14:paraId="5459E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5E56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kern w:val="2"/>
                <w:sz w:val="21"/>
                <w:szCs w:val="21"/>
                <w:vertAlign w:val="baseline"/>
                <w:lang w:val="en-US" w:eastAsia="zh-CN" w:bidi="ar-SA"/>
              </w:rPr>
            </w:pPr>
            <w:r>
              <w:rPr>
                <w:rFonts w:hint="eastAsia" w:ascii="Times New Roman" w:hAnsi="Times New Roman" w:cs="Times New Roman"/>
                <w:kern w:val="2"/>
                <w:sz w:val="21"/>
                <w:szCs w:val="21"/>
                <w:vertAlign w:val="baseline"/>
                <w:lang w:val="en-US" w:eastAsia="zh-CN" w:bidi="ar-SA"/>
              </w:rPr>
              <w:t>6</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C316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kern w:val="2"/>
                <w:sz w:val="21"/>
                <w:szCs w:val="21"/>
                <w:vertAlign w:val="baseline"/>
                <w:lang w:val="en-US" w:eastAsia="zh-CN" w:bidi="ar-SA"/>
              </w:rPr>
            </w:pPr>
            <w:r>
              <w:rPr>
                <w:rFonts w:hint="eastAsia" w:ascii="Times New Roman" w:hAnsi="Times New Roman" w:cs="Times New Roman"/>
                <w:kern w:val="2"/>
                <w:sz w:val="21"/>
                <w:szCs w:val="21"/>
                <w:vertAlign w:val="baseline"/>
                <w:lang w:val="en-US" w:eastAsia="zh-CN" w:bidi="ar-SA"/>
              </w:rPr>
              <w:t>2023年西山区推进健康县城建设暗访曝光片</w:t>
            </w:r>
          </w:p>
        </w:tc>
        <w:tc>
          <w:tcPr>
            <w:tcW w:w="2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BD99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cs="Times New Roman"/>
                <w:kern w:val="2"/>
                <w:sz w:val="21"/>
                <w:szCs w:val="21"/>
                <w:vertAlign w:val="baseline"/>
                <w:lang w:val="en-US" w:eastAsia="zh-CN" w:bidi="ar-SA"/>
              </w:rPr>
            </w:pPr>
            <w:r>
              <w:rPr>
                <w:rFonts w:hint="eastAsia" w:ascii="Times New Roman" w:hAnsi="Times New Roman" w:cs="Times New Roman"/>
                <w:kern w:val="2"/>
                <w:sz w:val="21"/>
                <w:szCs w:val="21"/>
                <w:vertAlign w:val="baseline"/>
                <w:lang w:val="en-US" w:eastAsia="zh-CN" w:bidi="ar-SA"/>
              </w:rPr>
              <w:t>推进爱国卫生领导小组办公室对健康县城建设暨国家卫生城市复审工作进行暗访</w:t>
            </w:r>
          </w:p>
        </w:tc>
        <w:tc>
          <w:tcPr>
            <w:tcW w:w="1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CED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cs="Times New Roman"/>
                <w:kern w:val="2"/>
                <w:sz w:val="21"/>
                <w:szCs w:val="21"/>
                <w:vertAlign w:val="baseline"/>
                <w:lang w:val="en-US" w:eastAsia="zh-CN" w:bidi="ar-SA"/>
              </w:rPr>
            </w:pPr>
            <w:r>
              <w:rPr>
                <w:rFonts w:hint="eastAsia" w:ascii="Times New Roman" w:hAnsi="Times New Roman" w:cs="Times New Roman"/>
                <w:kern w:val="2"/>
                <w:sz w:val="21"/>
                <w:szCs w:val="21"/>
                <w:vertAlign w:val="baseline"/>
                <w:lang w:val="en-US" w:eastAsia="zh-CN" w:bidi="ar-SA"/>
              </w:rPr>
              <w:t>完成暗访，形成暗访检查情况通报</w:t>
            </w:r>
          </w:p>
        </w:tc>
      </w:tr>
      <w:tr w14:paraId="6BE26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0" w:hRule="atLeast"/>
        </w:trPr>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64C8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kern w:val="2"/>
                <w:sz w:val="21"/>
                <w:szCs w:val="21"/>
                <w:vertAlign w:val="baseline"/>
                <w:lang w:val="en-US" w:eastAsia="zh-CN" w:bidi="ar-SA"/>
              </w:rPr>
            </w:pPr>
            <w:r>
              <w:rPr>
                <w:rFonts w:hint="eastAsia" w:ascii="Times New Roman" w:hAnsi="Times New Roman" w:cs="Times New Roman"/>
                <w:kern w:val="2"/>
                <w:sz w:val="21"/>
                <w:szCs w:val="21"/>
                <w:vertAlign w:val="baseline"/>
                <w:lang w:val="en-US" w:eastAsia="zh-CN" w:bidi="ar-SA"/>
              </w:rPr>
              <w:t>7</w:t>
            </w:r>
          </w:p>
        </w:tc>
        <w:tc>
          <w:tcPr>
            <w:tcW w:w="113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9400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kern w:val="2"/>
                <w:sz w:val="21"/>
                <w:szCs w:val="21"/>
                <w:vertAlign w:val="baseline"/>
                <w:lang w:val="en-US" w:eastAsia="zh-CN" w:bidi="ar-SA"/>
              </w:rPr>
            </w:pPr>
            <w:r>
              <w:rPr>
                <w:rFonts w:hint="eastAsia" w:ascii="Times New Roman" w:hAnsi="Times New Roman" w:cs="Times New Roman"/>
                <w:kern w:val="2"/>
                <w:sz w:val="21"/>
                <w:szCs w:val="21"/>
                <w:vertAlign w:val="baseline"/>
                <w:lang w:val="en-US" w:eastAsia="zh-CN" w:bidi="ar-SA"/>
              </w:rPr>
              <w:t>病媒</w:t>
            </w:r>
            <w:r>
              <w:rPr>
                <w:rFonts w:hint="eastAsia" w:ascii="Times New Roman" w:cs="Times New Roman"/>
                <w:kern w:val="2"/>
                <w:sz w:val="21"/>
                <w:szCs w:val="21"/>
                <w:vertAlign w:val="baseline"/>
                <w:lang w:val="en-US" w:eastAsia="zh-CN" w:bidi="ar-SA"/>
              </w:rPr>
              <w:t>生物防治</w:t>
            </w:r>
            <w:r>
              <w:rPr>
                <w:rFonts w:hint="eastAsia" w:ascii="Times New Roman" w:hAnsi="Times New Roman" w:cs="Times New Roman"/>
                <w:kern w:val="2"/>
                <w:sz w:val="21"/>
                <w:szCs w:val="21"/>
                <w:vertAlign w:val="baseline"/>
                <w:lang w:val="en-US" w:eastAsia="zh-CN" w:bidi="ar-SA"/>
              </w:rPr>
              <w:t>工作</w:t>
            </w:r>
          </w:p>
        </w:tc>
        <w:tc>
          <w:tcPr>
            <w:tcW w:w="2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C783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cs="Times New Roman"/>
                <w:kern w:val="2"/>
                <w:sz w:val="21"/>
                <w:szCs w:val="21"/>
                <w:vertAlign w:val="baseline"/>
                <w:lang w:val="en-US" w:eastAsia="zh-CN" w:bidi="ar-SA"/>
              </w:rPr>
            </w:pPr>
            <w:r>
              <w:rPr>
                <w:rFonts w:hint="eastAsia" w:ascii="Times New Roman" w:hAnsi="Times New Roman" w:cs="Times New Roman"/>
                <w:kern w:val="2"/>
                <w:sz w:val="21"/>
                <w:szCs w:val="21"/>
                <w:vertAlign w:val="baseline"/>
                <w:lang w:val="en-US" w:eastAsia="zh-CN" w:bidi="ar-SA"/>
              </w:rPr>
              <w:t>2023年，提升病媒生物综合防</w:t>
            </w:r>
            <w:r>
              <w:rPr>
                <w:rFonts w:hint="eastAsia" w:ascii="Times New Roman" w:cs="Times New Roman"/>
                <w:kern w:val="2"/>
                <w:sz w:val="21"/>
                <w:szCs w:val="21"/>
                <w:vertAlign w:val="baseline"/>
                <w:lang w:val="en-US" w:eastAsia="zh-CN" w:bidi="ar-SA"/>
              </w:rPr>
              <w:t>治</w:t>
            </w:r>
            <w:r>
              <w:rPr>
                <w:rFonts w:hint="eastAsia" w:ascii="Times New Roman" w:hAnsi="Times New Roman" w:cs="Times New Roman"/>
                <w:kern w:val="2"/>
                <w:sz w:val="21"/>
                <w:szCs w:val="21"/>
                <w:vertAlign w:val="baseline"/>
                <w:lang w:val="en-US" w:eastAsia="zh-CN" w:bidi="ar-SA"/>
              </w:rPr>
              <w:t>能力。加大“四害”孳生地调查及治理力度；健全病媒生物监测、检测网络，加强病媒生物监测预警；做好病媒</w:t>
            </w:r>
            <w:r>
              <w:rPr>
                <w:rFonts w:hint="eastAsia" w:ascii="Times New Roman" w:cs="Times New Roman"/>
                <w:kern w:val="2"/>
                <w:sz w:val="21"/>
                <w:szCs w:val="21"/>
                <w:vertAlign w:val="baseline"/>
                <w:lang w:val="en-US" w:eastAsia="zh-CN" w:bidi="ar-SA"/>
              </w:rPr>
              <w:t>生物防治</w:t>
            </w:r>
            <w:r>
              <w:rPr>
                <w:rFonts w:hint="eastAsia" w:ascii="Times New Roman" w:hAnsi="Times New Roman" w:cs="Times New Roman"/>
                <w:kern w:val="2"/>
                <w:sz w:val="21"/>
                <w:szCs w:val="21"/>
                <w:vertAlign w:val="baseline"/>
                <w:lang w:val="en-US" w:eastAsia="zh-CN" w:bidi="ar-SA"/>
              </w:rPr>
              <w:t>C级达标工作。开展好今年的病媒生物的侵害调查工作。</w:t>
            </w:r>
          </w:p>
        </w:tc>
        <w:tc>
          <w:tcPr>
            <w:tcW w:w="1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D4B0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cs="Times New Roman"/>
                <w:kern w:val="2"/>
                <w:sz w:val="21"/>
                <w:szCs w:val="21"/>
                <w:vertAlign w:val="baseline"/>
                <w:lang w:val="en-US" w:eastAsia="zh-CN" w:bidi="ar-SA"/>
              </w:rPr>
            </w:pPr>
            <w:r>
              <w:rPr>
                <w:rFonts w:hint="eastAsia" w:ascii="Times New Roman" w:hAnsi="Times New Roman" w:cs="Times New Roman"/>
                <w:kern w:val="2"/>
                <w:sz w:val="21"/>
                <w:szCs w:val="21"/>
                <w:vertAlign w:val="baseline"/>
                <w:lang w:val="en-US" w:eastAsia="zh-CN" w:bidi="ar-SA"/>
              </w:rPr>
              <w:t>2023年组织在全区范围内组织开展春冬两季以灭鼠为重点的病媒生物防制工作、夏季三灭（灭蟑、灭蚊、灭蝇）活动，使我区“四害”密度得到有效控制。</w:t>
            </w:r>
          </w:p>
        </w:tc>
      </w:tr>
      <w:tr w14:paraId="34039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8781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kern w:val="2"/>
                <w:sz w:val="21"/>
                <w:szCs w:val="21"/>
                <w:vertAlign w:val="baseline"/>
                <w:lang w:val="en-US" w:eastAsia="zh-CN" w:bidi="ar-SA"/>
              </w:rPr>
            </w:pPr>
          </w:p>
        </w:tc>
        <w:tc>
          <w:tcPr>
            <w:tcW w:w="11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DD6A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kern w:val="2"/>
                <w:sz w:val="21"/>
                <w:szCs w:val="21"/>
                <w:vertAlign w:val="baseline"/>
                <w:lang w:val="en-US" w:eastAsia="zh-CN" w:bidi="ar-SA"/>
              </w:rPr>
            </w:pPr>
          </w:p>
        </w:tc>
        <w:tc>
          <w:tcPr>
            <w:tcW w:w="2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282F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cs="Times New Roman"/>
                <w:kern w:val="2"/>
                <w:sz w:val="21"/>
                <w:szCs w:val="21"/>
                <w:vertAlign w:val="baseline"/>
                <w:lang w:val="en-US" w:eastAsia="zh-CN" w:bidi="ar-SA"/>
              </w:rPr>
            </w:pPr>
            <w:r>
              <w:rPr>
                <w:rFonts w:hint="eastAsia" w:ascii="Times New Roman" w:cs="Times New Roman"/>
                <w:kern w:val="2"/>
                <w:sz w:val="21"/>
                <w:szCs w:val="21"/>
                <w:vertAlign w:val="baseline"/>
                <w:lang w:val="en-US" w:eastAsia="zh-CN" w:bidi="ar-SA"/>
              </w:rPr>
              <w:t>支付</w:t>
            </w:r>
            <w:r>
              <w:rPr>
                <w:rFonts w:hint="eastAsia" w:ascii="Times New Roman" w:hAnsi="Times New Roman" w:cs="Times New Roman"/>
                <w:kern w:val="2"/>
                <w:sz w:val="21"/>
                <w:szCs w:val="21"/>
                <w:vertAlign w:val="baseline"/>
                <w:lang w:val="en-US" w:eastAsia="zh-CN" w:bidi="ar-SA"/>
              </w:rPr>
              <w:t>2022年媒生物防制工作</w:t>
            </w:r>
            <w:r>
              <w:rPr>
                <w:rFonts w:hint="eastAsia" w:ascii="Times New Roman" w:cs="Times New Roman"/>
                <w:kern w:val="2"/>
                <w:sz w:val="21"/>
                <w:szCs w:val="21"/>
                <w:vertAlign w:val="baseline"/>
                <w:lang w:val="en-US" w:eastAsia="zh-CN" w:bidi="ar-SA"/>
              </w:rPr>
              <w:t>经费</w:t>
            </w:r>
            <w:r>
              <w:rPr>
                <w:rFonts w:hint="eastAsia" w:ascii="Times New Roman" w:hAnsi="Times New Roman" w:cs="Times New Roman"/>
                <w:kern w:val="2"/>
                <w:sz w:val="21"/>
                <w:szCs w:val="21"/>
                <w:vertAlign w:val="baseline"/>
                <w:lang w:val="en-US" w:eastAsia="zh-CN" w:bidi="ar-SA"/>
              </w:rPr>
              <w:t>。</w:t>
            </w:r>
          </w:p>
        </w:tc>
        <w:tc>
          <w:tcPr>
            <w:tcW w:w="1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CEB8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cs="Times New Roman"/>
                <w:kern w:val="2"/>
                <w:sz w:val="21"/>
                <w:szCs w:val="21"/>
                <w:vertAlign w:val="baseline"/>
                <w:lang w:val="en-US" w:eastAsia="zh-CN" w:bidi="ar-SA"/>
              </w:rPr>
            </w:pPr>
            <w:r>
              <w:rPr>
                <w:rFonts w:hint="eastAsia" w:ascii="Times New Roman" w:cs="Times New Roman"/>
                <w:kern w:val="2"/>
                <w:sz w:val="21"/>
                <w:szCs w:val="21"/>
                <w:vertAlign w:val="baseline"/>
                <w:lang w:val="en-US" w:eastAsia="zh-CN" w:bidi="ar-SA"/>
              </w:rPr>
              <w:t>支付</w:t>
            </w:r>
            <w:r>
              <w:rPr>
                <w:rFonts w:hint="eastAsia" w:ascii="Times New Roman" w:hAnsi="Times New Roman" w:cs="Times New Roman"/>
                <w:kern w:val="2"/>
                <w:sz w:val="21"/>
                <w:szCs w:val="21"/>
                <w:vertAlign w:val="baseline"/>
                <w:lang w:val="en-US" w:eastAsia="zh-CN" w:bidi="ar-SA"/>
              </w:rPr>
              <w:t>2022年媒</w:t>
            </w:r>
            <w:r>
              <w:rPr>
                <w:rFonts w:hint="eastAsia" w:ascii="Times New Roman" w:cs="Times New Roman"/>
                <w:kern w:val="2"/>
                <w:sz w:val="21"/>
                <w:szCs w:val="21"/>
                <w:vertAlign w:val="baseline"/>
                <w:lang w:val="en-US" w:eastAsia="zh-CN" w:bidi="ar-SA"/>
              </w:rPr>
              <w:t>生物防治</w:t>
            </w:r>
            <w:r>
              <w:rPr>
                <w:rFonts w:hint="eastAsia" w:ascii="Times New Roman" w:hAnsi="Times New Roman" w:cs="Times New Roman"/>
                <w:kern w:val="2"/>
                <w:sz w:val="21"/>
                <w:szCs w:val="21"/>
                <w:vertAlign w:val="baseline"/>
                <w:lang w:val="en-US" w:eastAsia="zh-CN" w:bidi="ar-SA"/>
              </w:rPr>
              <w:t>工作</w:t>
            </w:r>
            <w:r>
              <w:rPr>
                <w:rFonts w:hint="eastAsia" w:ascii="Times New Roman" w:cs="Times New Roman"/>
                <w:kern w:val="2"/>
                <w:sz w:val="21"/>
                <w:szCs w:val="21"/>
                <w:vertAlign w:val="baseline"/>
                <w:lang w:val="en-US" w:eastAsia="zh-CN" w:bidi="ar-SA"/>
              </w:rPr>
              <w:t>经费</w:t>
            </w:r>
            <w:r>
              <w:rPr>
                <w:rFonts w:hint="eastAsia" w:ascii="Times New Roman" w:hAnsi="Times New Roman" w:cs="Times New Roman"/>
                <w:kern w:val="2"/>
                <w:sz w:val="21"/>
                <w:szCs w:val="21"/>
                <w:vertAlign w:val="baseline"/>
                <w:lang w:val="en-US" w:eastAsia="zh-CN" w:bidi="ar-SA"/>
              </w:rPr>
              <w:t>。</w:t>
            </w:r>
          </w:p>
        </w:tc>
      </w:tr>
    </w:tbl>
    <w:p w14:paraId="2F5B6F1A">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1"/>
        <w:rPr>
          <w:rFonts w:hint="default" w:ascii="Times New Roman" w:hAnsi="Times New Roman" w:eastAsia="楷体" w:cs="Times New Roman"/>
          <w:szCs w:val="30"/>
        </w:rPr>
      </w:pPr>
      <w:bookmarkStart w:id="33" w:name="_Toc16446"/>
      <w:r>
        <w:rPr>
          <w:rFonts w:hint="default" w:ascii="Times New Roman" w:hAnsi="Times New Roman" w:eastAsia="楷体" w:cs="Times New Roman"/>
          <w:szCs w:val="30"/>
        </w:rPr>
        <w:t>（四）项目绩效目标设立情况</w:t>
      </w:r>
      <w:bookmarkEnd w:id="33"/>
    </w:p>
    <w:p w14:paraId="3AE7C0FA">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1.预算批复（申报）绩效目标和绩效指标情况</w:t>
      </w:r>
    </w:p>
    <w:p w14:paraId="7334828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firstLineChars="200"/>
        <w:jc w:val="both"/>
        <w:textAlignment w:val="auto"/>
        <w:outlineLvl w:val="9"/>
        <w:rPr>
          <w:rFonts w:hint="default" w:ascii="Times New Roman" w:hAnsi="Times New Roman" w:cs="Times New Roman"/>
          <w:szCs w:val="30"/>
          <w:highlight w:val="none"/>
          <w:lang w:val="en-US" w:eastAsia="zh-CN"/>
        </w:rPr>
      </w:pPr>
      <w:r>
        <w:rPr>
          <w:rFonts w:hint="default" w:ascii="Times New Roman" w:hAnsi="Times New Roman" w:cs="Times New Roman"/>
          <w:szCs w:val="30"/>
          <w:highlight w:val="none"/>
          <w:lang w:val="en-US" w:eastAsia="zh-CN"/>
        </w:rPr>
        <w:t>根据</w:t>
      </w:r>
      <w:r>
        <w:rPr>
          <w:rFonts w:hint="eastAsia" w:ascii="Times New Roman" w:cs="Times New Roman"/>
          <w:szCs w:val="30"/>
          <w:highlight w:val="none"/>
          <w:lang w:val="en-US" w:eastAsia="zh-CN"/>
        </w:rPr>
        <w:t>区卫健局提供的项目绩效目标表</w:t>
      </w:r>
      <w:r>
        <w:rPr>
          <w:rFonts w:hint="default" w:ascii="Times New Roman" w:hAnsi="Times New Roman" w:cs="Times New Roman"/>
          <w:szCs w:val="30"/>
          <w:highlight w:val="none"/>
          <w:lang w:val="en-US" w:eastAsia="zh-CN"/>
        </w:rPr>
        <w:t>，</w:t>
      </w:r>
      <w:r>
        <w:rPr>
          <w:rFonts w:hint="eastAsia" w:ascii="Times New Roman" w:hAnsi="Times New Roman" w:cs="Times New Roman"/>
          <w:szCs w:val="30"/>
          <w:highlight w:val="none"/>
          <w:lang w:val="en-US" w:eastAsia="zh-CN"/>
        </w:rPr>
        <w:t>经</w:t>
      </w:r>
      <w:r>
        <w:rPr>
          <w:rFonts w:hint="eastAsia" w:ascii="Times New Roman" w:cs="Times New Roman"/>
          <w:szCs w:val="30"/>
          <w:highlight w:val="none"/>
          <w:lang w:val="en-US" w:eastAsia="zh-CN"/>
        </w:rPr>
        <w:t>项目</w:t>
      </w:r>
      <w:r>
        <w:rPr>
          <w:rFonts w:hint="eastAsia" w:ascii="Times New Roman" w:hAnsi="Times New Roman" w:cs="Times New Roman"/>
          <w:szCs w:val="30"/>
          <w:highlight w:val="none"/>
          <w:lang w:val="en-US" w:eastAsia="zh-CN"/>
        </w:rPr>
        <w:t>组梳理，</w:t>
      </w:r>
      <w:r>
        <w:rPr>
          <w:rFonts w:hint="eastAsia" w:ascii="Times New Roman" w:cs="Times New Roman"/>
          <w:szCs w:val="30"/>
          <w:highlight w:val="none"/>
          <w:lang w:val="en-US" w:eastAsia="zh-CN"/>
        </w:rPr>
        <w:t>本项目</w:t>
      </w:r>
      <w:r>
        <w:rPr>
          <w:rFonts w:hint="default" w:ascii="Times New Roman" w:hAnsi="Times New Roman" w:cs="Times New Roman"/>
          <w:szCs w:val="30"/>
          <w:highlight w:val="none"/>
          <w:lang w:val="en-US" w:eastAsia="zh-CN"/>
        </w:rPr>
        <w:t>的绩效目标</w:t>
      </w:r>
      <w:r>
        <w:rPr>
          <w:rFonts w:hint="eastAsia" w:ascii="Times New Roman" w:cs="Times New Roman"/>
          <w:szCs w:val="30"/>
          <w:highlight w:val="none"/>
          <w:lang w:val="en-US" w:eastAsia="zh-CN"/>
        </w:rPr>
        <w:t>如下</w:t>
      </w:r>
      <w:r>
        <w:rPr>
          <w:rFonts w:hint="default" w:ascii="Times New Roman" w:hAnsi="Times New Roman" w:cs="Times New Roman"/>
          <w:szCs w:val="30"/>
          <w:highlight w:val="none"/>
          <w:lang w:val="en-US" w:eastAsia="zh-CN"/>
        </w:rPr>
        <w:t>：</w:t>
      </w:r>
    </w:p>
    <w:p w14:paraId="4AA3E862">
      <w:pPr>
        <w:pStyle w:val="32"/>
        <w:keepNext w:val="0"/>
        <w:keepLines w:val="0"/>
        <w:pageBreakBefore w:val="0"/>
        <w:kinsoku/>
        <w:wordWrap/>
        <w:overflowPunct/>
        <w:topLinePunct w:val="0"/>
        <w:autoSpaceDE/>
        <w:autoSpaceDN/>
        <w:bidi w:val="0"/>
        <w:adjustRightInd/>
        <w:spacing w:line="579" w:lineRule="exact"/>
        <w:ind w:left="0" w:leftChars="0" w:firstLine="0" w:firstLineChars="0"/>
        <w:jc w:val="center"/>
        <w:textAlignment w:val="auto"/>
        <w:outlineLvl w:val="1"/>
        <w:rPr>
          <w:rFonts w:hint="default" w:ascii="Times New Roman" w:hAnsi="Times New Roman" w:eastAsia="黑体" w:cs="Times New Roman"/>
          <w:b w:val="0"/>
          <w:bCs/>
          <w:kern w:val="30"/>
          <w:sz w:val="24"/>
          <w:szCs w:val="24"/>
          <w:lang w:val="en-US" w:eastAsia="zh-CN" w:bidi="ar-SA"/>
        </w:rPr>
      </w:pPr>
      <w:bookmarkStart w:id="34" w:name="_Toc15018"/>
      <w:bookmarkStart w:id="35" w:name="_Toc11691"/>
      <w:bookmarkStart w:id="36" w:name="_Toc23427"/>
      <w:bookmarkStart w:id="37" w:name="_Toc26572"/>
      <w:r>
        <w:rPr>
          <w:rFonts w:hint="eastAsia" w:eastAsia="黑体" w:cs="Times New Roman"/>
          <w:b w:val="0"/>
          <w:bCs/>
          <w:kern w:val="30"/>
          <w:sz w:val="24"/>
          <w:szCs w:val="24"/>
          <w:lang w:val="en-US" w:eastAsia="zh-CN" w:bidi="ar-SA"/>
        </w:rPr>
        <w:t xml:space="preserve">表3 </w:t>
      </w:r>
      <w:r>
        <w:rPr>
          <w:rFonts w:hint="eastAsia" w:ascii="Times New Roman" w:hAnsi="Times New Roman" w:eastAsia="黑体" w:cs="Times New Roman"/>
          <w:b w:val="0"/>
          <w:bCs/>
          <w:kern w:val="30"/>
          <w:sz w:val="24"/>
          <w:szCs w:val="24"/>
          <w:lang w:val="en-US" w:eastAsia="zh-CN" w:bidi="ar-SA"/>
        </w:rPr>
        <w:t>项目绩效目标表</w:t>
      </w:r>
      <w:bookmarkEnd w:id="34"/>
      <w:bookmarkEnd w:id="35"/>
      <w:bookmarkEnd w:id="36"/>
      <w:bookmarkEnd w:id="37"/>
    </w:p>
    <w:tbl>
      <w:tblPr>
        <w:tblStyle w:val="2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672"/>
        <w:gridCol w:w="1472"/>
        <w:gridCol w:w="4253"/>
        <w:gridCol w:w="1674"/>
      </w:tblGrid>
      <w:tr w14:paraId="0385B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blHeader/>
          <w:jc w:val="center"/>
        </w:trPr>
        <w:tc>
          <w:tcPr>
            <w:tcW w:w="0" w:type="auto"/>
            <w:shd w:val="clear" w:color="auto" w:fill="auto"/>
            <w:vAlign w:val="center"/>
          </w:tcPr>
          <w:p w14:paraId="02F96AD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 w:cs="Times New Roman"/>
                <w:b/>
                <w:bCs/>
                <w:i w:val="0"/>
                <w:iCs w:val="0"/>
                <w:color w:val="000000"/>
                <w:sz w:val="21"/>
                <w:szCs w:val="21"/>
                <w:highlight w:val="none"/>
                <w:u w:val="none"/>
              </w:rPr>
            </w:pPr>
            <w:r>
              <w:rPr>
                <w:rFonts w:hint="default" w:ascii="Times New Roman" w:hAnsi="Times New Roman" w:eastAsia="仿宋" w:cs="Times New Roman"/>
                <w:b/>
                <w:bCs/>
                <w:i w:val="0"/>
                <w:iCs w:val="0"/>
                <w:color w:val="000000"/>
                <w:kern w:val="0"/>
                <w:sz w:val="21"/>
                <w:szCs w:val="21"/>
                <w:highlight w:val="none"/>
                <w:u w:val="none"/>
                <w:lang w:val="en-US" w:eastAsia="zh-CN" w:bidi="ar"/>
              </w:rPr>
              <w:t>一级指标</w:t>
            </w:r>
          </w:p>
        </w:tc>
        <w:tc>
          <w:tcPr>
            <w:tcW w:w="1472" w:type="dxa"/>
            <w:shd w:val="clear" w:color="auto" w:fill="auto"/>
            <w:vAlign w:val="center"/>
          </w:tcPr>
          <w:p w14:paraId="222163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 w:cs="Times New Roman"/>
                <w:b/>
                <w:bCs/>
                <w:i w:val="0"/>
                <w:iCs w:val="0"/>
                <w:color w:val="000000"/>
                <w:sz w:val="21"/>
                <w:szCs w:val="21"/>
                <w:highlight w:val="none"/>
                <w:u w:val="none"/>
              </w:rPr>
            </w:pPr>
            <w:r>
              <w:rPr>
                <w:rFonts w:hint="default" w:ascii="Times New Roman" w:hAnsi="Times New Roman" w:eastAsia="仿宋" w:cs="Times New Roman"/>
                <w:b/>
                <w:bCs/>
                <w:i w:val="0"/>
                <w:iCs w:val="0"/>
                <w:color w:val="000000"/>
                <w:kern w:val="0"/>
                <w:sz w:val="21"/>
                <w:szCs w:val="21"/>
                <w:highlight w:val="none"/>
                <w:u w:val="none"/>
                <w:lang w:val="en-US" w:eastAsia="zh-CN" w:bidi="ar"/>
              </w:rPr>
              <w:t>二级指标</w:t>
            </w:r>
          </w:p>
        </w:tc>
        <w:tc>
          <w:tcPr>
            <w:tcW w:w="4253" w:type="dxa"/>
            <w:shd w:val="clear" w:color="auto" w:fill="auto"/>
            <w:vAlign w:val="center"/>
          </w:tcPr>
          <w:p w14:paraId="19CD15A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 w:cs="Times New Roman"/>
                <w:b/>
                <w:bCs/>
                <w:i w:val="0"/>
                <w:iCs w:val="0"/>
                <w:color w:val="000000"/>
                <w:sz w:val="21"/>
                <w:szCs w:val="21"/>
                <w:highlight w:val="none"/>
                <w:u w:val="none"/>
              </w:rPr>
            </w:pPr>
            <w:r>
              <w:rPr>
                <w:rFonts w:hint="default" w:ascii="Times New Roman" w:hAnsi="Times New Roman" w:eastAsia="仿宋" w:cs="Times New Roman"/>
                <w:b/>
                <w:bCs/>
                <w:i w:val="0"/>
                <w:iCs w:val="0"/>
                <w:color w:val="000000"/>
                <w:kern w:val="0"/>
                <w:sz w:val="21"/>
                <w:szCs w:val="21"/>
                <w:highlight w:val="none"/>
                <w:u w:val="none"/>
                <w:lang w:val="en-US" w:eastAsia="zh-CN" w:bidi="ar"/>
              </w:rPr>
              <w:t>三级指标</w:t>
            </w:r>
          </w:p>
        </w:tc>
        <w:tc>
          <w:tcPr>
            <w:tcW w:w="1674" w:type="dxa"/>
            <w:shd w:val="clear" w:color="auto" w:fill="auto"/>
            <w:vAlign w:val="center"/>
          </w:tcPr>
          <w:p w14:paraId="60F901B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 w:cs="Times New Roman"/>
                <w:b/>
                <w:bCs/>
                <w:i w:val="0"/>
                <w:iCs w:val="0"/>
                <w:color w:val="000000"/>
                <w:sz w:val="21"/>
                <w:szCs w:val="21"/>
                <w:highlight w:val="none"/>
                <w:u w:val="none"/>
              </w:rPr>
            </w:pPr>
            <w:r>
              <w:rPr>
                <w:rFonts w:hint="default" w:ascii="Times New Roman" w:hAnsi="Times New Roman" w:eastAsia="仿宋" w:cs="Times New Roman"/>
                <w:b/>
                <w:bCs/>
                <w:i w:val="0"/>
                <w:iCs w:val="0"/>
                <w:color w:val="000000"/>
                <w:kern w:val="0"/>
                <w:sz w:val="21"/>
                <w:szCs w:val="21"/>
                <w:highlight w:val="none"/>
                <w:u w:val="none"/>
                <w:lang w:val="en-US" w:eastAsia="zh-CN" w:bidi="ar"/>
              </w:rPr>
              <w:t>指标值</w:t>
            </w:r>
          </w:p>
        </w:tc>
      </w:tr>
      <w:tr w14:paraId="5480E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0" w:type="auto"/>
            <w:vMerge w:val="restart"/>
            <w:shd w:val="clear" w:color="auto" w:fill="auto"/>
            <w:vAlign w:val="center"/>
          </w:tcPr>
          <w:p w14:paraId="6A9A681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 w:cs="Times New Roman"/>
                <w:b w:val="0"/>
                <w:bCs w:val="0"/>
                <w:i w:val="0"/>
                <w:iCs w:val="0"/>
                <w:color w:val="000000"/>
                <w:sz w:val="21"/>
                <w:szCs w:val="21"/>
                <w:highlight w:val="none"/>
                <w:u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产出指标</w:t>
            </w:r>
          </w:p>
        </w:tc>
        <w:tc>
          <w:tcPr>
            <w:tcW w:w="1472" w:type="dxa"/>
            <w:vMerge w:val="restart"/>
            <w:shd w:val="clear" w:color="auto" w:fill="auto"/>
            <w:vAlign w:val="center"/>
          </w:tcPr>
          <w:p w14:paraId="665D4F9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 w:cs="Times New Roman"/>
                <w:b w:val="0"/>
                <w:bCs w:val="0"/>
                <w:i w:val="0"/>
                <w:iCs w:val="0"/>
                <w:color w:val="000000"/>
                <w:sz w:val="21"/>
                <w:szCs w:val="21"/>
                <w:highlight w:val="none"/>
                <w:u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数量指标</w:t>
            </w:r>
          </w:p>
        </w:tc>
        <w:tc>
          <w:tcPr>
            <w:tcW w:w="4253" w:type="dxa"/>
            <w:shd w:val="clear" w:color="auto" w:fill="auto"/>
            <w:vAlign w:val="center"/>
          </w:tcPr>
          <w:p w14:paraId="715E130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sz w:val="21"/>
                <w:szCs w:val="21"/>
                <w:highlight w:val="none"/>
                <w:u w:val="none"/>
              </w:rPr>
              <w:t>开展“绿城市、治污染、除四害、食安心、勤锻炼、管慢病、家健康”行动</w:t>
            </w:r>
            <w:r>
              <w:rPr>
                <w:rFonts w:hint="eastAsia" w:ascii="Times New Roman" w:cs="Times New Roman"/>
                <w:i w:val="0"/>
                <w:iCs w:val="0"/>
                <w:color w:val="000000"/>
                <w:sz w:val="21"/>
                <w:szCs w:val="21"/>
                <w:highlight w:val="none"/>
                <w:u w:val="none"/>
                <w:lang w:eastAsia="zh-CN"/>
              </w:rPr>
              <w:t>，</w:t>
            </w:r>
            <w:r>
              <w:rPr>
                <w:rFonts w:hint="default" w:ascii="Times New Roman" w:hAnsi="Times New Roman" w:eastAsia="仿宋" w:cs="Times New Roman"/>
                <w:i w:val="0"/>
                <w:iCs w:val="0"/>
                <w:color w:val="000000"/>
                <w:sz w:val="21"/>
                <w:szCs w:val="21"/>
                <w:highlight w:val="none"/>
                <w:u w:val="none"/>
              </w:rPr>
              <w:t>推动全生命周期健康管理理念贯穿城市规划、建设、管理全过程各环节</w:t>
            </w:r>
            <w:r>
              <w:rPr>
                <w:rFonts w:hint="eastAsia" w:ascii="Times New Roman" w:cs="Times New Roman"/>
                <w:i w:val="0"/>
                <w:iCs w:val="0"/>
                <w:color w:val="000000"/>
                <w:sz w:val="21"/>
                <w:szCs w:val="21"/>
                <w:highlight w:val="none"/>
                <w:u w:val="none"/>
                <w:lang w:eastAsia="zh-CN"/>
              </w:rPr>
              <w:t>，</w:t>
            </w:r>
            <w:r>
              <w:rPr>
                <w:rFonts w:hint="default" w:ascii="Times New Roman" w:hAnsi="Times New Roman" w:eastAsia="仿宋" w:cs="Times New Roman"/>
                <w:i w:val="0"/>
                <w:iCs w:val="0"/>
                <w:color w:val="000000"/>
                <w:sz w:val="21"/>
                <w:szCs w:val="21"/>
                <w:highlight w:val="none"/>
                <w:u w:val="none"/>
              </w:rPr>
              <w:t>将健康融入所有政策</w:t>
            </w:r>
          </w:p>
        </w:tc>
        <w:tc>
          <w:tcPr>
            <w:tcW w:w="1674" w:type="dxa"/>
            <w:shd w:val="clear" w:color="auto" w:fill="auto"/>
            <w:vAlign w:val="center"/>
          </w:tcPr>
          <w:p w14:paraId="780E8AF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sz w:val="21"/>
                <w:szCs w:val="21"/>
                <w:highlight w:val="none"/>
                <w:u w:val="none"/>
              </w:rPr>
              <w:t>西山区10个街道</w:t>
            </w:r>
          </w:p>
        </w:tc>
      </w:tr>
      <w:tr w14:paraId="01605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0" w:type="auto"/>
            <w:vMerge w:val="continue"/>
            <w:shd w:val="clear" w:color="auto" w:fill="auto"/>
            <w:vAlign w:val="center"/>
          </w:tcPr>
          <w:p w14:paraId="073168D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 w:cs="Times New Roman"/>
                <w:b w:val="0"/>
                <w:bCs w:val="0"/>
                <w:i w:val="0"/>
                <w:iCs w:val="0"/>
                <w:color w:val="000000"/>
                <w:kern w:val="0"/>
                <w:sz w:val="21"/>
                <w:szCs w:val="21"/>
                <w:highlight w:val="none"/>
                <w:u w:val="none"/>
                <w:lang w:val="en-US" w:eastAsia="zh-CN" w:bidi="ar"/>
              </w:rPr>
            </w:pPr>
          </w:p>
        </w:tc>
        <w:tc>
          <w:tcPr>
            <w:tcW w:w="1472" w:type="dxa"/>
            <w:vMerge w:val="continue"/>
            <w:shd w:val="clear" w:color="auto" w:fill="auto"/>
            <w:vAlign w:val="center"/>
          </w:tcPr>
          <w:p w14:paraId="5FDE1EB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 w:cs="Times New Roman"/>
                <w:b w:val="0"/>
                <w:bCs w:val="0"/>
                <w:i w:val="0"/>
                <w:iCs w:val="0"/>
                <w:color w:val="000000"/>
                <w:kern w:val="0"/>
                <w:sz w:val="21"/>
                <w:szCs w:val="21"/>
                <w:highlight w:val="none"/>
                <w:u w:val="none"/>
                <w:lang w:val="en-US" w:eastAsia="zh-CN" w:bidi="ar"/>
              </w:rPr>
            </w:pPr>
          </w:p>
        </w:tc>
        <w:tc>
          <w:tcPr>
            <w:tcW w:w="4253" w:type="dxa"/>
            <w:shd w:val="clear" w:color="auto" w:fill="auto"/>
            <w:vAlign w:val="center"/>
          </w:tcPr>
          <w:p w14:paraId="0A9D00A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sz w:val="21"/>
                <w:szCs w:val="21"/>
                <w:highlight w:val="none"/>
                <w:u w:val="none"/>
              </w:rPr>
              <w:t>聚焦营造健康环境、构建健康社会、优化健康服务、培育健康人群、弘扬健康文化</w:t>
            </w:r>
            <w:r>
              <w:rPr>
                <w:rFonts w:hint="eastAsia" w:ascii="Times New Roman" w:cs="Times New Roman"/>
                <w:i w:val="0"/>
                <w:iCs w:val="0"/>
                <w:color w:val="000000"/>
                <w:sz w:val="21"/>
                <w:szCs w:val="21"/>
                <w:highlight w:val="none"/>
                <w:u w:val="none"/>
                <w:lang w:eastAsia="zh-CN"/>
              </w:rPr>
              <w:t>，</w:t>
            </w:r>
            <w:r>
              <w:rPr>
                <w:rFonts w:hint="default" w:ascii="Times New Roman" w:hAnsi="Times New Roman" w:eastAsia="仿宋" w:cs="Times New Roman"/>
                <w:i w:val="0"/>
                <w:iCs w:val="0"/>
                <w:color w:val="000000"/>
                <w:sz w:val="21"/>
                <w:szCs w:val="21"/>
                <w:highlight w:val="none"/>
                <w:u w:val="none"/>
              </w:rPr>
              <w:t>培育和践行社会主义核心价值观</w:t>
            </w:r>
            <w:r>
              <w:rPr>
                <w:rFonts w:hint="eastAsia" w:ascii="Times New Roman" w:cs="Times New Roman"/>
                <w:i w:val="0"/>
                <w:iCs w:val="0"/>
                <w:color w:val="000000"/>
                <w:sz w:val="21"/>
                <w:szCs w:val="21"/>
                <w:highlight w:val="none"/>
                <w:u w:val="none"/>
                <w:lang w:eastAsia="zh-CN"/>
              </w:rPr>
              <w:t>，</w:t>
            </w:r>
            <w:r>
              <w:rPr>
                <w:rFonts w:hint="default" w:ascii="Times New Roman" w:hAnsi="Times New Roman" w:eastAsia="仿宋" w:cs="Times New Roman"/>
                <w:i w:val="0"/>
                <w:iCs w:val="0"/>
                <w:color w:val="000000"/>
                <w:sz w:val="21"/>
                <w:szCs w:val="21"/>
                <w:highlight w:val="none"/>
                <w:u w:val="none"/>
              </w:rPr>
              <w:t>传承中华优秀传统文化</w:t>
            </w:r>
            <w:r>
              <w:rPr>
                <w:rFonts w:hint="eastAsia" w:ascii="Times New Roman" w:cs="Times New Roman"/>
                <w:i w:val="0"/>
                <w:iCs w:val="0"/>
                <w:color w:val="000000"/>
                <w:sz w:val="21"/>
                <w:szCs w:val="21"/>
                <w:highlight w:val="none"/>
                <w:u w:val="none"/>
                <w:lang w:eastAsia="zh-CN"/>
              </w:rPr>
              <w:t>，</w:t>
            </w:r>
            <w:r>
              <w:rPr>
                <w:rFonts w:hint="default" w:ascii="Times New Roman" w:hAnsi="Times New Roman" w:eastAsia="仿宋" w:cs="Times New Roman"/>
                <w:i w:val="0"/>
                <w:iCs w:val="0"/>
                <w:color w:val="000000"/>
                <w:sz w:val="21"/>
                <w:szCs w:val="21"/>
                <w:highlight w:val="none"/>
                <w:u w:val="none"/>
              </w:rPr>
              <w:t>开展“绿城市、治污染、除四害、食安心、勤锻炼、管慢病、家健康”行动制作宣传品及宣传报道</w:t>
            </w:r>
          </w:p>
        </w:tc>
        <w:tc>
          <w:tcPr>
            <w:tcW w:w="1674" w:type="dxa"/>
            <w:shd w:val="clear" w:color="auto" w:fill="auto"/>
            <w:vAlign w:val="center"/>
          </w:tcPr>
          <w:p w14:paraId="3AF7E7E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sz w:val="21"/>
                <w:szCs w:val="21"/>
                <w:highlight w:val="none"/>
                <w:u w:val="none"/>
              </w:rPr>
              <w:t>西山区辖区全覆盖</w:t>
            </w:r>
          </w:p>
        </w:tc>
      </w:tr>
      <w:tr w14:paraId="709B4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0" w:type="auto"/>
            <w:vMerge w:val="continue"/>
            <w:shd w:val="clear" w:color="auto" w:fill="auto"/>
            <w:vAlign w:val="center"/>
          </w:tcPr>
          <w:p w14:paraId="5403DE6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 w:cs="Times New Roman"/>
                <w:b w:val="0"/>
                <w:bCs w:val="0"/>
                <w:i w:val="0"/>
                <w:iCs w:val="0"/>
                <w:color w:val="000000"/>
                <w:kern w:val="0"/>
                <w:sz w:val="21"/>
                <w:szCs w:val="21"/>
                <w:highlight w:val="none"/>
                <w:u w:val="none"/>
                <w:lang w:val="en-US" w:eastAsia="zh-CN" w:bidi="ar"/>
              </w:rPr>
            </w:pPr>
          </w:p>
        </w:tc>
        <w:tc>
          <w:tcPr>
            <w:tcW w:w="1472" w:type="dxa"/>
            <w:vMerge w:val="continue"/>
            <w:shd w:val="clear" w:color="auto" w:fill="auto"/>
            <w:vAlign w:val="center"/>
          </w:tcPr>
          <w:p w14:paraId="38B8BDB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 w:cs="Times New Roman"/>
                <w:b w:val="0"/>
                <w:bCs w:val="0"/>
                <w:i w:val="0"/>
                <w:iCs w:val="0"/>
                <w:color w:val="000000"/>
                <w:kern w:val="0"/>
                <w:sz w:val="21"/>
                <w:szCs w:val="21"/>
                <w:highlight w:val="none"/>
                <w:u w:val="none"/>
                <w:lang w:val="en-US" w:eastAsia="zh-CN" w:bidi="ar"/>
              </w:rPr>
            </w:pPr>
          </w:p>
        </w:tc>
        <w:tc>
          <w:tcPr>
            <w:tcW w:w="4253" w:type="dxa"/>
            <w:shd w:val="clear" w:color="auto" w:fill="auto"/>
            <w:vAlign w:val="center"/>
          </w:tcPr>
          <w:p w14:paraId="29C6D18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sz w:val="21"/>
                <w:szCs w:val="21"/>
                <w:highlight w:val="none"/>
                <w:u w:val="none"/>
              </w:rPr>
              <w:t>西山区辖区重点区域病媒</w:t>
            </w:r>
            <w:r>
              <w:rPr>
                <w:rFonts w:hint="eastAsia" w:ascii="Times New Roman" w:cs="Times New Roman"/>
                <w:i w:val="0"/>
                <w:iCs w:val="0"/>
                <w:color w:val="000000"/>
                <w:sz w:val="21"/>
                <w:szCs w:val="21"/>
                <w:highlight w:val="none"/>
                <w:u w:val="none"/>
                <w:lang w:eastAsia="zh-CN"/>
              </w:rPr>
              <w:t>生物防治</w:t>
            </w:r>
          </w:p>
        </w:tc>
        <w:tc>
          <w:tcPr>
            <w:tcW w:w="1674" w:type="dxa"/>
            <w:shd w:val="clear" w:color="auto" w:fill="auto"/>
            <w:vAlign w:val="center"/>
          </w:tcPr>
          <w:p w14:paraId="51E3690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sz w:val="21"/>
                <w:szCs w:val="21"/>
                <w:highlight w:val="none"/>
                <w:u w:val="none"/>
              </w:rPr>
              <w:t>重点区域病媒</w:t>
            </w:r>
            <w:r>
              <w:rPr>
                <w:rFonts w:hint="eastAsia" w:ascii="Times New Roman" w:cs="Times New Roman"/>
                <w:i w:val="0"/>
                <w:iCs w:val="0"/>
                <w:color w:val="000000"/>
                <w:sz w:val="21"/>
                <w:szCs w:val="21"/>
                <w:highlight w:val="none"/>
                <w:u w:val="none"/>
                <w:lang w:eastAsia="zh-CN"/>
              </w:rPr>
              <w:t>生物防治</w:t>
            </w:r>
          </w:p>
        </w:tc>
      </w:tr>
      <w:tr w14:paraId="719DE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Merge w:val="continue"/>
            <w:shd w:val="clear" w:color="auto" w:fill="auto"/>
            <w:vAlign w:val="center"/>
          </w:tcPr>
          <w:p w14:paraId="50828A6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 w:cs="Times New Roman"/>
                <w:b w:val="0"/>
                <w:bCs w:val="0"/>
                <w:i w:val="0"/>
                <w:iCs w:val="0"/>
                <w:color w:val="000000"/>
                <w:kern w:val="0"/>
                <w:sz w:val="21"/>
                <w:szCs w:val="21"/>
                <w:highlight w:val="none"/>
                <w:u w:val="none"/>
                <w:lang w:val="en-US" w:eastAsia="zh-CN" w:bidi="ar"/>
              </w:rPr>
            </w:pPr>
          </w:p>
        </w:tc>
        <w:tc>
          <w:tcPr>
            <w:tcW w:w="1472" w:type="dxa"/>
            <w:vMerge w:val="continue"/>
            <w:shd w:val="clear" w:color="auto" w:fill="auto"/>
            <w:vAlign w:val="center"/>
          </w:tcPr>
          <w:p w14:paraId="456DEBD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 w:cs="Times New Roman"/>
                <w:b w:val="0"/>
                <w:bCs w:val="0"/>
                <w:i w:val="0"/>
                <w:iCs w:val="0"/>
                <w:color w:val="000000"/>
                <w:kern w:val="0"/>
                <w:sz w:val="21"/>
                <w:szCs w:val="21"/>
                <w:highlight w:val="none"/>
                <w:u w:val="none"/>
                <w:lang w:val="en-US" w:eastAsia="zh-CN" w:bidi="ar"/>
              </w:rPr>
            </w:pPr>
          </w:p>
        </w:tc>
        <w:tc>
          <w:tcPr>
            <w:tcW w:w="4253" w:type="dxa"/>
            <w:shd w:val="clear" w:color="auto" w:fill="auto"/>
            <w:vAlign w:val="center"/>
          </w:tcPr>
          <w:p w14:paraId="39855BA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sz w:val="21"/>
                <w:szCs w:val="21"/>
                <w:highlight w:val="none"/>
                <w:u w:val="none"/>
              </w:rPr>
              <w:t>采用第三方机构评估检查</w:t>
            </w:r>
          </w:p>
        </w:tc>
        <w:tc>
          <w:tcPr>
            <w:tcW w:w="1674" w:type="dxa"/>
            <w:shd w:val="clear" w:color="auto" w:fill="auto"/>
            <w:vAlign w:val="center"/>
          </w:tcPr>
          <w:p w14:paraId="4C27E91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sz w:val="21"/>
                <w:szCs w:val="21"/>
                <w:highlight w:val="none"/>
                <w:u w:val="none"/>
              </w:rPr>
              <w:t>西山区辖区全覆盖</w:t>
            </w:r>
          </w:p>
        </w:tc>
      </w:tr>
      <w:tr w14:paraId="6AF8A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0" w:type="auto"/>
            <w:vMerge w:val="continue"/>
            <w:shd w:val="clear" w:color="auto" w:fill="auto"/>
            <w:vAlign w:val="center"/>
          </w:tcPr>
          <w:p w14:paraId="43AB8C37">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仿宋" w:cs="Times New Roman"/>
                <w:b w:val="0"/>
                <w:bCs w:val="0"/>
                <w:i w:val="0"/>
                <w:iCs w:val="0"/>
                <w:color w:val="000000"/>
                <w:sz w:val="21"/>
                <w:szCs w:val="21"/>
                <w:highlight w:val="none"/>
                <w:u w:val="none"/>
              </w:rPr>
            </w:pPr>
          </w:p>
        </w:tc>
        <w:tc>
          <w:tcPr>
            <w:tcW w:w="1472" w:type="dxa"/>
            <w:shd w:val="clear" w:color="auto" w:fill="auto"/>
            <w:vAlign w:val="center"/>
          </w:tcPr>
          <w:p w14:paraId="0A11A50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 w:cs="Times New Roman"/>
                <w:b w:val="0"/>
                <w:bCs w:val="0"/>
                <w:i w:val="0"/>
                <w:iCs w:val="0"/>
                <w:color w:val="000000"/>
                <w:sz w:val="21"/>
                <w:szCs w:val="21"/>
                <w:highlight w:val="none"/>
                <w:u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质量指标</w:t>
            </w:r>
          </w:p>
        </w:tc>
        <w:tc>
          <w:tcPr>
            <w:tcW w:w="4253" w:type="dxa"/>
            <w:shd w:val="clear" w:color="auto" w:fill="auto"/>
            <w:vAlign w:val="center"/>
          </w:tcPr>
          <w:p w14:paraId="753360B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sz w:val="21"/>
                <w:szCs w:val="21"/>
                <w:highlight w:val="none"/>
                <w:u w:val="none"/>
              </w:rPr>
              <w:t>聚焦营造健康环境、构建健康社会、优化健康服务、培育健康人群、弘扬健康文化</w:t>
            </w:r>
            <w:r>
              <w:rPr>
                <w:rFonts w:hint="eastAsia" w:ascii="Times New Roman" w:cs="Times New Roman"/>
                <w:i w:val="0"/>
                <w:iCs w:val="0"/>
                <w:color w:val="000000"/>
                <w:sz w:val="21"/>
                <w:szCs w:val="21"/>
                <w:highlight w:val="none"/>
                <w:u w:val="none"/>
                <w:lang w:eastAsia="zh-CN"/>
              </w:rPr>
              <w:t>，</w:t>
            </w:r>
            <w:r>
              <w:rPr>
                <w:rFonts w:hint="default" w:ascii="Times New Roman" w:hAnsi="Times New Roman" w:eastAsia="仿宋" w:cs="Times New Roman"/>
                <w:i w:val="0"/>
                <w:iCs w:val="0"/>
                <w:color w:val="000000"/>
                <w:sz w:val="21"/>
                <w:szCs w:val="21"/>
                <w:highlight w:val="none"/>
                <w:u w:val="none"/>
              </w:rPr>
              <w:t>培育和践行社会主义核心价值观</w:t>
            </w:r>
            <w:r>
              <w:rPr>
                <w:rFonts w:hint="eastAsia" w:ascii="Times New Roman" w:cs="Times New Roman"/>
                <w:i w:val="0"/>
                <w:iCs w:val="0"/>
                <w:color w:val="000000"/>
                <w:sz w:val="21"/>
                <w:szCs w:val="21"/>
                <w:highlight w:val="none"/>
                <w:u w:val="none"/>
                <w:lang w:eastAsia="zh-CN"/>
              </w:rPr>
              <w:t>，</w:t>
            </w:r>
            <w:r>
              <w:rPr>
                <w:rFonts w:hint="default" w:ascii="Times New Roman" w:hAnsi="Times New Roman" w:eastAsia="仿宋" w:cs="Times New Roman"/>
                <w:i w:val="0"/>
                <w:iCs w:val="0"/>
                <w:color w:val="000000"/>
                <w:sz w:val="21"/>
                <w:szCs w:val="21"/>
                <w:highlight w:val="none"/>
                <w:u w:val="none"/>
              </w:rPr>
              <w:t>传承中华优秀传统文化</w:t>
            </w:r>
            <w:r>
              <w:rPr>
                <w:rFonts w:hint="eastAsia" w:ascii="Times New Roman" w:cs="Times New Roman"/>
                <w:i w:val="0"/>
                <w:iCs w:val="0"/>
                <w:color w:val="000000"/>
                <w:sz w:val="21"/>
                <w:szCs w:val="21"/>
                <w:highlight w:val="none"/>
                <w:u w:val="none"/>
                <w:lang w:eastAsia="zh-CN"/>
              </w:rPr>
              <w:t>，</w:t>
            </w:r>
            <w:r>
              <w:rPr>
                <w:rFonts w:hint="default" w:ascii="Times New Roman" w:hAnsi="Times New Roman" w:eastAsia="仿宋" w:cs="Times New Roman"/>
                <w:i w:val="0"/>
                <w:iCs w:val="0"/>
                <w:color w:val="000000"/>
                <w:sz w:val="21"/>
                <w:szCs w:val="21"/>
                <w:highlight w:val="none"/>
                <w:u w:val="none"/>
              </w:rPr>
              <w:t>开展“绿城市、治污染、除四害、食安心、勤锻炼、管慢病、家健康”行动</w:t>
            </w:r>
            <w:r>
              <w:rPr>
                <w:rFonts w:hint="eastAsia" w:ascii="Times New Roman" w:cs="Times New Roman"/>
                <w:i w:val="0"/>
                <w:iCs w:val="0"/>
                <w:color w:val="000000"/>
                <w:sz w:val="21"/>
                <w:szCs w:val="21"/>
                <w:highlight w:val="none"/>
                <w:u w:val="none"/>
                <w:lang w:eastAsia="zh-CN"/>
              </w:rPr>
              <w:t>，</w:t>
            </w:r>
            <w:r>
              <w:rPr>
                <w:rFonts w:hint="default" w:ascii="Times New Roman" w:hAnsi="Times New Roman" w:eastAsia="仿宋" w:cs="Times New Roman"/>
                <w:i w:val="0"/>
                <w:iCs w:val="0"/>
                <w:color w:val="000000"/>
                <w:sz w:val="21"/>
                <w:szCs w:val="21"/>
                <w:highlight w:val="none"/>
                <w:u w:val="none"/>
              </w:rPr>
              <w:t>推动全生命周期健康管理理念贯穿城市规划、建设、管理全过程各环节</w:t>
            </w:r>
            <w:r>
              <w:rPr>
                <w:rFonts w:hint="eastAsia" w:ascii="Times New Roman" w:cs="Times New Roman"/>
                <w:i w:val="0"/>
                <w:iCs w:val="0"/>
                <w:color w:val="000000"/>
                <w:sz w:val="21"/>
                <w:szCs w:val="21"/>
                <w:highlight w:val="none"/>
                <w:u w:val="none"/>
                <w:lang w:eastAsia="zh-CN"/>
              </w:rPr>
              <w:t>，</w:t>
            </w:r>
            <w:r>
              <w:rPr>
                <w:rFonts w:hint="default" w:ascii="Times New Roman" w:hAnsi="Times New Roman" w:eastAsia="仿宋" w:cs="Times New Roman"/>
                <w:i w:val="0"/>
                <w:iCs w:val="0"/>
                <w:color w:val="000000"/>
                <w:sz w:val="21"/>
                <w:szCs w:val="21"/>
                <w:highlight w:val="none"/>
                <w:u w:val="none"/>
              </w:rPr>
              <w:t>将健康 融入所有政策</w:t>
            </w:r>
            <w:r>
              <w:rPr>
                <w:rFonts w:hint="eastAsia" w:ascii="Times New Roman" w:cs="Times New Roman"/>
                <w:i w:val="0"/>
                <w:iCs w:val="0"/>
                <w:color w:val="000000"/>
                <w:sz w:val="21"/>
                <w:szCs w:val="21"/>
                <w:highlight w:val="none"/>
                <w:u w:val="none"/>
                <w:lang w:eastAsia="zh-CN"/>
              </w:rPr>
              <w:t>。</w:t>
            </w:r>
            <w:r>
              <w:rPr>
                <w:rFonts w:hint="default" w:ascii="Times New Roman" w:hAnsi="Times New Roman" w:eastAsia="仿宋" w:cs="Times New Roman"/>
                <w:i w:val="0"/>
                <w:iCs w:val="0"/>
                <w:color w:val="000000"/>
                <w:sz w:val="21"/>
                <w:szCs w:val="21"/>
                <w:highlight w:val="none"/>
                <w:u w:val="none"/>
              </w:rPr>
              <w:t>通过</w:t>
            </w:r>
            <w:r>
              <w:rPr>
                <w:rFonts w:hint="eastAsia" w:ascii="Times New Roman" w:cs="Times New Roman"/>
                <w:i w:val="0"/>
                <w:iCs w:val="0"/>
                <w:color w:val="000000"/>
                <w:sz w:val="21"/>
                <w:szCs w:val="21"/>
                <w:highlight w:val="none"/>
                <w:u w:val="none"/>
                <w:lang w:eastAsia="zh-CN"/>
              </w:rPr>
              <w:t>3</w:t>
            </w:r>
            <w:r>
              <w:rPr>
                <w:rFonts w:hint="default" w:ascii="Times New Roman" w:hAnsi="Times New Roman" w:eastAsia="仿宋" w:cs="Times New Roman"/>
                <w:i w:val="0"/>
                <w:iCs w:val="0"/>
                <w:color w:val="000000"/>
                <w:sz w:val="21"/>
                <w:szCs w:val="21"/>
                <w:highlight w:val="none"/>
                <w:u w:val="none"/>
              </w:rPr>
              <w:t>年努力</w:t>
            </w:r>
            <w:r>
              <w:rPr>
                <w:rFonts w:hint="eastAsia" w:ascii="Times New Roman" w:cs="Times New Roman"/>
                <w:i w:val="0"/>
                <w:iCs w:val="0"/>
                <w:color w:val="000000"/>
                <w:sz w:val="21"/>
                <w:szCs w:val="21"/>
                <w:highlight w:val="none"/>
                <w:u w:val="none"/>
                <w:lang w:eastAsia="zh-CN"/>
              </w:rPr>
              <w:t>，</w:t>
            </w:r>
            <w:r>
              <w:rPr>
                <w:rFonts w:hint="default" w:ascii="Times New Roman" w:hAnsi="Times New Roman" w:eastAsia="仿宋" w:cs="Times New Roman"/>
                <w:i w:val="0"/>
                <w:iCs w:val="0"/>
                <w:color w:val="000000"/>
                <w:sz w:val="21"/>
                <w:szCs w:val="21"/>
                <w:highlight w:val="none"/>
                <w:u w:val="none"/>
              </w:rPr>
              <w:t xml:space="preserve">力争顺利获得国家卫生县 </w:t>
            </w:r>
            <w:r>
              <w:rPr>
                <w:rFonts w:hint="eastAsia" w:ascii="Times New Roman" w:cs="Times New Roman"/>
                <w:i w:val="0"/>
                <w:iCs w:val="0"/>
                <w:color w:val="000000"/>
                <w:sz w:val="21"/>
                <w:szCs w:val="21"/>
                <w:highlight w:val="none"/>
                <w:u w:val="none"/>
                <w:lang w:eastAsia="zh-CN"/>
              </w:rPr>
              <w:t>（</w:t>
            </w:r>
            <w:r>
              <w:rPr>
                <w:rFonts w:hint="default" w:ascii="Times New Roman" w:hAnsi="Times New Roman" w:eastAsia="仿宋" w:cs="Times New Roman"/>
                <w:i w:val="0"/>
                <w:iCs w:val="0"/>
                <w:color w:val="000000"/>
                <w:sz w:val="21"/>
                <w:szCs w:val="21"/>
                <w:highlight w:val="none"/>
                <w:u w:val="none"/>
              </w:rPr>
              <w:t>城市</w:t>
            </w:r>
            <w:r>
              <w:rPr>
                <w:rFonts w:hint="eastAsia" w:ascii="Times New Roman" w:cs="Times New Roman"/>
                <w:i w:val="0"/>
                <w:iCs w:val="0"/>
                <w:color w:val="000000"/>
                <w:sz w:val="21"/>
                <w:szCs w:val="21"/>
                <w:highlight w:val="none"/>
                <w:u w:val="none"/>
                <w:lang w:eastAsia="zh-CN"/>
              </w:rPr>
              <w:t>）</w:t>
            </w:r>
            <w:r>
              <w:rPr>
                <w:rFonts w:hint="default" w:ascii="Times New Roman" w:hAnsi="Times New Roman" w:eastAsia="仿宋" w:cs="Times New Roman"/>
                <w:i w:val="0"/>
                <w:iCs w:val="0"/>
                <w:color w:val="000000"/>
                <w:sz w:val="21"/>
                <w:szCs w:val="21"/>
                <w:highlight w:val="none"/>
                <w:u w:val="none"/>
              </w:rPr>
              <w:t>命名</w:t>
            </w:r>
            <w:r>
              <w:rPr>
                <w:rFonts w:hint="eastAsia" w:ascii="Times New Roman" w:cs="Times New Roman"/>
                <w:i w:val="0"/>
                <w:iCs w:val="0"/>
                <w:color w:val="000000"/>
                <w:sz w:val="21"/>
                <w:szCs w:val="21"/>
                <w:highlight w:val="none"/>
                <w:u w:val="none"/>
                <w:lang w:eastAsia="zh-CN"/>
              </w:rPr>
              <w:t>，</w:t>
            </w:r>
            <w:r>
              <w:rPr>
                <w:rFonts w:hint="default" w:ascii="Times New Roman" w:hAnsi="Times New Roman" w:eastAsia="仿宋" w:cs="Times New Roman"/>
                <w:i w:val="0"/>
                <w:iCs w:val="0"/>
                <w:color w:val="000000"/>
                <w:sz w:val="21"/>
                <w:szCs w:val="21"/>
                <w:highlight w:val="none"/>
                <w:u w:val="none"/>
              </w:rPr>
              <w:t>影响居民健康的主要因素 得到有效控制</w:t>
            </w:r>
            <w:r>
              <w:rPr>
                <w:rFonts w:hint="eastAsia" w:ascii="Times New Roman" w:cs="Times New Roman"/>
                <w:i w:val="0"/>
                <w:iCs w:val="0"/>
                <w:color w:val="000000"/>
                <w:sz w:val="21"/>
                <w:szCs w:val="21"/>
                <w:highlight w:val="none"/>
                <w:u w:val="none"/>
                <w:lang w:eastAsia="zh-CN"/>
              </w:rPr>
              <w:t>，</w:t>
            </w:r>
            <w:r>
              <w:rPr>
                <w:rFonts w:hint="default" w:ascii="Times New Roman" w:hAnsi="Times New Roman" w:eastAsia="仿宋" w:cs="Times New Roman"/>
                <w:i w:val="0"/>
                <w:iCs w:val="0"/>
                <w:color w:val="000000"/>
                <w:sz w:val="21"/>
                <w:szCs w:val="21"/>
                <w:highlight w:val="none"/>
                <w:u w:val="none"/>
              </w:rPr>
              <w:t>社会健康综合治理能力全面提高</w:t>
            </w:r>
            <w:r>
              <w:rPr>
                <w:rFonts w:hint="eastAsia" w:ascii="Times New Roman" w:cs="Times New Roman"/>
                <w:i w:val="0"/>
                <w:iCs w:val="0"/>
                <w:color w:val="000000"/>
                <w:sz w:val="21"/>
                <w:szCs w:val="21"/>
                <w:highlight w:val="none"/>
                <w:u w:val="none"/>
                <w:lang w:eastAsia="zh-CN"/>
              </w:rPr>
              <w:t>，</w:t>
            </w:r>
            <w:r>
              <w:rPr>
                <w:rFonts w:hint="default" w:ascii="Times New Roman" w:hAnsi="Times New Roman" w:eastAsia="仿宋" w:cs="Times New Roman"/>
                <w:i w:val="0"/>
                <w:iCs w:val="0"/>
                <w:color w:val="000000"/>
                <w:sz w:val="21"/>
                <w:szCs w:val="21"/>
                <w:highlight w:val="none"/>
                <w:u w:val="none"/>
              </w:rPr>
              <w:t>健康昆明建设深入推进。</w:t>
            </w:r>
          </w:p>
        </w:tc>
        <w:tc>
          <w:tcPr>
            <w:tcW w:w="1674" w:type="dxa"/>
            <w:shd w:val="clear" w:color="auto" w:fill="auto"/>
            <w:vAlign w:val="center"/>
          </w:tcPr>
          <w:p w14:paraId="0C7A676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sz w:val="21"/>
                <w:szCs w:val="21"/>
                <w:highlight w:val="none"/>
                <w:u w:val="none"/>
              </w:rPr>
              <w:t>7个专项行动纵深发展覆盖全区</w:t>
            </w:r>
          </w:p>
        </w:tc>
      </w:tr>
      <w:tr w14:paraId="7F448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0" w:type="auto"/>
            <w:vMerge w:val="continue"/>
            <w:shd w:val="clear" w:color="auto" w:fill="auto"/>
            <w:vAlign w:val="center"/>
          </w:tcPr>
          <w:p w14:paraId="0A8A44DF">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仿宋" w:cs="Times New Roman"/>
                <w:b w:val="0"/>
                <w:bCs w:val="0"/>
                <w:i w:val="0"/>
                <w:iCs w:val="0"/>
                <w:color w:val="000000"/>
                <w:sz w:val="21"/>
                <w:szCs w:val="21"/>
                <w:highlight w:val="none"/>
                <w:u w:val="none"/>
              </w:rPr>
            </w:pPr>
          </w:p>
        </w:tc>
        <w:tc>
          <w:tcPr>
            <w:tcW w:w="1472" w:type="dxa"/>
            <w:shd w:val="clear" w:color="auto" w:fill="auto"/>
            <w:vAlign w:val="center"/>
          </w:tcPr>
          <w:p w14:paraId="75A8841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 w:cs="Times New Roman"/>
                <w:b w:val="0"/>
                <w:bCs w:val="0"/>
                <w:i w:val="0"/>
                <w:iCs w:val="0"/>
                <w:color w:val="000000"/>
                <w:sz w:val="21"/>
                <w:szCs w:val="21"/>
                <w:highlight w:val="none"/>
                <w:u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时效指标</w:t>
            </w:r>
          </w:p>
        </w:tc>
        <w:tc>
          <w:tcPr>
            <w:tcW w:w="4253" w:type="dxa"/>
            <w:shd w:val="clear" w:color="auto" w:fill="auto"/>
            <w:vAlign w:val="center"/>
          </w:tcPr>
          <w:p w14:paraId="1067C70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sz w:val="21"/>
                <w:szCs w:val="21"/>
                <w:highlight w:val="none"/>
                <w:u w:val="none"/>
              </w:rPr>
              <w:t>巩固深化拓展爱国卫生“</w:t>
            </w:r>
            <w:r>
              <w:rPr>
                <w:rFonts w:hint="eastAsia" w:ascii="Times New Roman" w:cs="Times New Roman"/>
                <w:i w:val="0"/>
                <w:iCs w:val="0"/>
                <w:color w:val="000000"/>
                <w:sz w:val="21"/>
                <w:szCs w:val="21"/>
                <w:highlight w:val="none"/>
                <w:u w:val="none"/>
                <w:lang w:eastAsia="zh-CN"/>
              </w:rPr>
              <w:t>7</w:t>
            </w:r>
            <w:r>
              <w:rPr>
                <w:rFonts w:hint="default" w:ascii="Times New Roman" w:hAnsi="Times New Roman" w:eastAsia="仿宋" w:cs="Times New Roman"/>
                <w:i w:val="0"/>
                <w:iCs w:val="0"/>
                <w:color w:val="000000"/>
                <w:sz w:val="21"/>
                <w:szCs w:val="21"/>
                <w:highlight w:val="none"/>
                <w:u w:val="none"/>
              </w:rPr>
              <w:t>个专项行动”成果，开展“绿城市、治污染、除四害、食安心、勤锻炼、管慢病、家健康”行动</w:t>
            </w:r>
            <w:r>
              <w:rPr>
                <w:rFonts w:hint="eastAsia" w:ascii="Times New Roman" w:cs="Times New Roman"/>
                <w:i w:val="0"/>
                <w:iCs w:val="0"/>
                <w:color w:val="000000"/>
                <w:sz w:val="21"/>
                <w:szCs w:val="21"/>
                <w:highlight w:val="none"/>
                <w:u w:val="none"/>
                <w:lang w:eastAsia="zh-CN"/>
              </w:rPr>
              <w:t>，</w:t>
            </w:r>
            <w:r>
              <w:rPr>
                <w:rFonts w:hint="default" w:ascii="Times New Roman" w:hAnsi="Times New Roman" w:eastAsia="仿宋" w:cs="Times New Roman"/>
                <w:i w:val="0"/>
                <w:iCs w:val="0"/>
                <w:color w:val="000000"/>
                <w:sz w:val="21"/>
                <w:szCs w:val="21"/>
                <w:highlight w:val="none"/>
                <w:u w:val="none"/>
              </w:rPr>
              <w:t>推动全生命周期健康管理理念贯穿城市规划、建设、管理全过程各环节</w:t>
            </w:r>
            <w:r>
              <w:rPr>
                <w:rFonts w:hint="eastAsia" w:ascii="Times New Roman" w:cs="Times New Roman"/>
                <w:i w:val="0"/>
                <w:iCs w:val="0"/>
                <w:color w:val="000000"/>
                <w:sz w:val="21"/>
                <w:szCs w:val="21"/>
                <w:highlight w:val="none"/>
                <w:u w:val="none"/>
                <w:lang w:eastAsia="zh-CN"/>
              </w:rPr>
              <w:t>，</w:t>
            </w:r>
            <w:r>
              <w:rPr>
                <w:rFonts w:hint="default" w:ascii="Times New Roman" w:hAnsi="Times New Roman" w:eastAsia="仿宋" w:cs="Times New Roman"/>
                <w:i w:val="0"/>
                <w:iCs w:val="0"/>
                <w:color w:val="000000"/>
                <w:sz w:val="21"/>
                <w:szCs w:val="21"/>
                <w:highlight w:val="none"/>
                <w:u w:val="none"/>
              </w:rPr>
              <w:t>将健康 融入所有政策</w:t>
            </w:r>
            <w:r>
              <w:rPr>
                <w:rFonts w:hint="eastAsia" w:ascii="Times New Roman" w:cs="Times New Roman"/>
                <w:i w:val="0"/>
                <w:iCs w:val="0"/>
                <w:color w:val="000000"/>
                <w:sz w:val="21"/>
                <w:szCs w:val="21"/>
                <w:highlight w:val="none"/>
                <w:u w:val="none"/>
                <w:lang w:eastAsia="zh-CN"/>
              </w:rPr>
              <w:t>。</w:t>
            </w:r>
            <w:r>
              <w:rPr>
                <w:rFonts w:hint="default" w:ascii="Times New Roman" w:hAnsi="Times New Roman" w:eastAsia="仿宋" w:cs="Times New Roman"/>
                <w:i w:val="0"/>
                <w:iCs w:val="0"/>
                <w:color w:val="000000"/>
                <w:sz w:val="21"/>
                <w:szCs w:val="21"/>
                <w:highlight w:val="none"/>
                <w:u w:val="none"/>
              </w:rPr>
              <w:t>通过</w:t>
            </w:r>
            <w:r>
              <w:rPr>
                <w:rFonts w:hint="eastAsia" w:ascii="Times New Roman" w:cs="Times New Roman"/>
                <w:i w:val="0"/>
                <w:iCs w:val="0"/>
                <w:color w:val="000000"/>
                <w:sz w:val="21"/>
                <w:szCs w:val="21"/>
                <w:highlight w:val="none"/>
                <w:u w:val="none"/>
                <w:lang w:eastAsia="zh-CN"/>
              </w:rPr>
              <w:t>3</w:t>
            </w:r>
            <w:r>
              <w:rPr>
                <w:rFonts w:hint="default" w:ascii="Times New Roman" w:hAnsi="Times New Roman" w:eastAsia="仿宋" w:cs="Times New Roman"/>
                <w:i w:val="0"/>
                <w:iCs w:val="0"/>
                <w:color w:val="000000"/>
                <w:sz w:val="21"/>
                <w:szCs w:val="21"/>
                <w:highlight w:val="none"/>
                <w:u w:val="none"/>
              </w:rPr>
              <w:t>年努力</w:t>
            </w:r>
            <w:r>
              <w:rPr>
                <w:rFonts w:hint="eastAsia" w:ascii="Times New Roman" w:cs="Times New Roman"/>
                <w:i w:val="0"/>
                <w:iCs w:val="0"/>
                <w:color w:val="000000"/>
                <w:sz w:val="21"/>
                <w:szCs w:val="21"/>
                <w:highlight w:val="none"/>
                <w:u w:val="none"/>
                <w:lang w:eastAsia="zh-CN"/>
              </w:rPr>
              <w:t>，</w:t>
            </w:r>
            <w:r>
              <w:rPr>
                <w:rFonts w:hint="default" w:ascii="Times New Roman" w:hAnsi="Times New Roman" w:eastAsia="仿宋" w:cs="Times New Roman"/>
                <w:i w:val="0"/>
                <w:iCs w:val="0"/>
                <w:color w:val="000000"/>
                <w:sz w:val="21"/>
                <w:szCs w:val="21"/>
                <w:highlight w:val="none"/>
                <w:u w:val="none"/>
              </w:rPr>
              <w:t xml:space="preserve">力争顺利获得国家卫生县 </w:t>
            </w:r>
            <w:r>
              <w:rPr>
                <w:rFonts w:hint="eastAsia" w:ascii="Times New Roman" w:cs="Times New Roman"/>
                <w:i w:val="0"/>
                <w:iCs w:val="0"/>
                <w:color w:val="000000"/>
                <w:sz w:val="21"/>
                <w:szCs w:val="21"/>
                <w:highlight w:val="none"/>
                <w:u w:val="none"/>
                <w:lang w:eastAsia="zh-CN"/>
              </w:rPr>
              <w:t>（</w:t>
            </w:r>
            <w:r>
              <w:rPr>
                <w:rFonts w:hint="default" w:ascii="Times New Roman" w:hAnsi="Times New Roman" w:eastAsia="仿宋" w:cs="Times New Roman"/>
                <w:i w:val="0"/>
                <w:iCs w:val="0"/>
                <w:color w:val="000000"/>
                <w:sz w:val="21"/>
                <w:szCs w:val="21"/>
                <w:highlight w:val="none"/>
                <w:u w:val="none"/>
              </w:rPr>
              <w:t>城市</w:t>
            </w:r>
            <w:r>
              <w:rPr>
                <w:rFonts w:hint="eastAsia" w:ascii="Times New Roman" w:cs="Times New Roman"/>
                <w:i w:val="0"/>
                <w:iCs w:val="0"/>
                <w:color w:val="000000"/>
                <w:sz w:val="21"/>
                <w:szCs w:val="21"/>
                <w:highlight w:val="none"/>
                <w:u w:val="none"/>
                <w:lang w:eastAsia="zh-CN"/>
              </w:rPr>
              <w:t>）</w:t>
            </w:r>
            <w:r>
              <w:rPr>
                <w:rFonts w:hint="default" w:ascii="Times New Roman" w:hAnsi="Times New Roman" w:eastAsia="仿宋" w:cs="Times New Roman"/>
                <w:i w:val="0"/>
                <w:iCs w:val="0"/>
                <w:color w:val="000000"/>
                <w:sz w:val="21"/>
                <w:szCs w:val="21"/>
                <w:highlight w:val="none"/>
                <w:u w:val="none"/>
              </w:rPr>
              <w:t>命名。</w:t>
            </w:r>
          </w:p>
        </w:tc>
        <w:tc>
          <w:tcPr>
            <w:tcW w:w="1674" w:type="dxa"/>
            <w:shd w:val="clear" w:color="auto" w:fill="auto"/>
            <w:vAlign w:val="center"/>
          </w:tcPr>
          <w:p w14:paraId="4BE0BB1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sz w:val="21"/>
                <w:szCs w:val="21"/>
                <w:highlight w:val="none"/>
                <w:u w:val="none"/>
              </w:rPr>
              <w:t>2022年12月31日环境卫生治理向全面社会健康管理转变</w:t>
            </w:r>
          </w:p>
        </w:tc>
      </w:tr>
      <w:tr w14:paraId="7CD3A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0" w:type="auto"/>
            <w:vMerge w:val="continue"/>
            <w:shd w:val="clear" w:color="auto" w:fill="auto"/>
            <w:vAlign w:val="center"/>
          </w:tcPr>
          <w:p w14:paraId="376F9861">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仿宋" w:cs="Times New Roman"/>
                <w:b w:val="0"/>
                <w:bCs w:val="0"/>
                <w:i w:val="0"/>
                <w:iCs w:val="0"/>
                <w:color w:val="000000"/>
                <w:sz w:val="21"/>
                <w:szCs w:val="21"/>
                <w:highlight w:val="none"/>
                <w:u w:val="none"/>
              </w:rPr>
            </w:pPr>
          </w:p>
        </w:tc>
        <w:tc>
          <w:tcPr>
            <w:tcW w:w="1472" w:type="dxa"/>
            <w:vMerge w:val="restart"/>
            <w:shd w:val="clear" w:color="auto" w:fill="auto"/>
            <w:vAlign w:val="center"/>
          </w:tcPr>
          <w:p w14:paraId="5140E40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 w:cs="Times New Roman"/>
                <w:b w:val="0"/>
                <w:bCs w:val="0"/>
                <w:i w:val="0"/>
                <w:iCs w:val="0"/>
                <w:color w:val="000000"/>
                <w:sz w:val="21"/>
                <w:szCs w:val="21"/>
                <w:highlight w:val="none"/>
                <w:u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成本指标</w:t>
            </w:r>
          </w:p>
        </w:tc>
        <w:tc>
          <w:tcPr>
            <w:tcW w:w="4253" w:type="dxa"/>
            <w:shd w:val="clear" w:color="auto" w:fill="auto"/>
            <w:vAlign w:val="center"/>
          </w:tcPr>
          <w:p w14:paraId="1160AE8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sz w:val="21"/>
                <w:szCs w:val="21"/>
                <w:highlight w:val="none"/>
                <w:u w:val="none"/>
              </w:rPr>
              <w:t>制作宣传用品及宣传报道。</w:t>
            </w:r>
          </w:p>
        </w:tc>
        <w:tc>
          <w:tcPr>
            <w:tcW w:w="1674" w:type="dxa"/>
            <w:shd w:val="clear" w:color="auto" w:fill="auto"/>
            <w:vAlign w:val="center"/>
          </w:tcPr>
          <w:p w14:paraId="78030AE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sz w:val="21"/>
                <w:szCs w:val="21"/>
                <w:highlight w:val="none"/>
                <w:u w:val="none"/>
              </w:rPr>
              <w:t>宣传费用40</w:t>
            </w:r>
            <w:r>
              <w:rPr>
                <w:rFonts w:hint="eastAsia" w:ascii="Times New Roman" w:cs="Times New Roman"/>
                <w:i w:val="0"/>
                <w:iCs w:val="0"/>
                <w:color w:val="000000"/>
                <w:sz w:val="21"/>
                <w:szCs w:val="21"/>
                <w:highlight w:val="none"/>
                <w:u w:val="none"/>
                <w:lang w:val="en-US" w:eastAsia="zh-CN"/>
              </w:rPr>
              <w:t>万</w:t>
            </w:r>
            <w:r>
              <w:rPr>
                <w:rFonts w:hint="default" w:ascii="Times New Roman" w:hAnsi="Times New Roman" w:eastAsia="仿宋" w:cs="Times New Roman"/>
                <w:i w:val="0"/>
                <w:iCs w:val="0"/>
                <w:color w:val="000000"/>
                <w:sz w:val="21"/>
                <w:szCs w:val="21"/>
                <w:highlight w:val="none"/>
                <w:u w:val="none"/>
              </w:rPr>
              <w:t>元</w:t>
            </w:r>
          </w:p>
        </w:tc>
      </w:tr>
      <w:tr w14:paraId="27828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0" w:type="auto"/>
            <w:vMerge w:val="continue"/>
            <w:shd w:val="clear" w:color="auto" w:fill="auto"/>
            <w:vAlign w:val="center"/>
          </w:tcPr>
          <w:p w14:paraId="407761E3">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仿宋" w:cs="Times New Roman"/>
                <w:b w:val="0"/>
                <w:bCs w:val="0"/>
                <w:i w:val="0"/>
                <w:iCs w:val="0"/>
                <w:color w:val="000000"/>
                <w:sz w:val="21"/>
                <w:szCs w:val="21"/>
                <w:highlight w:val="none"/>
                <w:u w:val="none"/>
              </w:rPr>
            </w:pPr>
          </w:p>
        </w:tc>
        <w:tc>
          <w:tcPr>
            <w:tcW w:w="1472" w:type="dxa"/>
            <w:vMerge w:val="continue"/>
            <w:shd w:val="clear" w:color="auto" w:fill="auto"/>
            <w:vAlign w:val="center"/>
          </w:tcPr>
          <w:p w14:paraId="14798B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 w:cs="Times New Roman"/>
                <w:b w:val="0"/>
                <w:bCs w:val="0"/>
                <w:i w:val="0"/>
                <w:iCs w:val="0"/>
                <w:color w:val="000000"/>
                <w:kern w:val="0"/>
                <w:sz w:val="21"/>
                <w:szCs w:val="21"/>
                <w:highlight w:val="none"/>
                <w:u w:val="none"/>
                <w:lang w:val="en-US" w:eastAsia="zh-CN" w:bidi="ar"/>
              </w:rPr>
            </w:pPr>
          </w:p>
        </w:tc>
        <w:tc>
          <w:tcPr>
            <w:tcW w:w="4253" w:type="dxa"/>
            <w:shd w:val="clear" w:color="auto" w:fill="auto"/>
            <w:vAlign w:val="center"/>
          </w:tcPr>
          <w:p w14:paraId="30E534C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sz w:val="21"/>
                <w:szCs w:val="21"/>
                <w:highlight w:val="none"/>
                <w:u w:val="none"/>
              </w:rPr>
              <w:t>聘请第三方开展测评工作。</w:t>
            </w:r>
          </w:p>
        </w:tc>
        <w:tc>
          <w:tcPr>
            <w:tcW w:w="1674" w:type="dxa"/>
            <w:shd w:val="clear" w:color="auto" w:fill="auto"/>
            <w:vAlign w:val="center"/>
          </w:tcPr>
          <w:p w14:paraId="1E87311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sz w:val="21"/>
                <w:szCs w:val="21"/>
                <w:highlight w:val="none"/>
                <w:u w:val="none"/>
              </w:rPr>
              <w:t>第三方测评费用10</w:t>
            </w:r>
            <w:r>
              <w:rPr>
                <w:rFonts w:hint="eastAsia" w:ascii="Times New Roman" w:cs="Times New Roman"/>
                <w:i w:val="0"/>
                <w:iCs w:val="0"/>
                <w:color w:val="000000"/>
                <w:sz w:val="21"/>
                <w:szCs w:val="21"/>
                <w:highlight w:val="none"/>
                <w:u w:val="none"/>
                <w:lang w:val="en-US" w:eastAsia="zh-CN"/>
              </w:rPr>
              <w:t>万</w:t>
            </w:r>
            <w:r>
              <w:rPr>
                <w:rFonts w:hint="default" w:ascii="Times New Roman" w:hAnsi="Times New Roman" w:eastAsia="仿宋" w:cs="Times New Roman"/>
                <w:i w:val="0"/>
                <w:iCs w:val="0"/>
                <w:color w:val="000000"/>
                <w:sz w:val="21"/>
                <w:szCs w:val="21"/>
                <w:highlight w:val="none"/>
                <w:u w:val="none"/>
              </w:rPr>
              <w:t>元</w:t>
            </w:r>
          </w:p>
        </w:tc>
      </w:tr>
      <w:tr w14:paraId="6943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0" w:type="auto"/>
            <w:vMerge w:val="continue"/>
            <w:shd w:val="clear" w:color="auto" w:fill="auto"/>
            <w:vAlign w:val="center"/>
          </w:tcPr>
          <w:p w14:paraId="1CAF82E2">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仿宋" w:cs="Times New Roman"/>
                <w:b w:val="0"/>
                <w:bCs w:val="0"/>
                <w:i w:val="0"/>
                <w:iCs w:val="0"/>
                <w:color w:val="000000"/>
                <w:sz w:val="21"/>
                <w:szCs w:val="21"/>
                <w:highlight w:val="none"/>
                <w:u w:val="none"/>
              </w:rPr>
            </w:pPr>
          </w:p>
        </w:tc>
        <w:tc>
          <w:tcPr>
            <w:tcW w:w="1472" w:type="dxa"/>
            <w:vMerge w:val="continue"/>
            <w:shd w:val="clear" w:color="auto" w:fill="auto"/>
            <w:vAlign w:val="center"/>
          </w:tcPr>
          <w:p w14:paraId="4CD88BC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 w:cs="Times New Roman"/>
                <w:b w:val="0"/>
                <w:bCs w:val="0"/>
                <w:i w:val="0"/>
                <w:iCs w:val="0"/>
                <w:color w:val="000000"/>
                <w:kern w:val="0"/>
                <w:sz w:val="21"/>
                <w:szCs w:val="21"/>
                <w:highlight w:val="none"/>
                <w:u w:val="none"/>
                <w:lang w:val="en-US" w:eastAsia="zh-CN" w:bidi="ar"/>
              </w:rPr>
            </w:pPr>
          </w:p>
        </w:tc>
        <w:tc>
          <w:tcPr>
            <w:tcW w:w="4253" w:type="dxa"/>
            <w:shd w:val="clear" w:color="auto" w:fill="auto"/>
            <w:vAlign w:val="center"/>
          </w:tcPr>
          <w:p w14:paraId="056873E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sz w:val="21"/>
                <w:szCs w:val="21"/>
                <w:highlight w:val="none"/>
                <w:u w:val="none"/>
              </w:rPr>
              <w:t>开展“绿城市、治污染、除四害、食安心、勤锻炼、管慢病、家健康”行动</w:t>
            </w:r>
            <w:r>
              <w:rPr>
                <w:rFonts w:hint="eastAsia" w:ascii="Times New Roman" w:cs="Times New Roman"/>
                <w:i w:val="0"/>
                <w:iCs w:val="0"/>
                <w:color w:val="000000"/>
                <w:sz w:val="21"/>
                <w:szCs w:val="21"/>
                <w:highlight w:val="none"/>
                <w:u w:val="none"/>
                <w:lang w:eastAsia="zh-CN"/>
              </w:rPr>
              <w:t>，</w:t>
            </w:r>
            <w:r>
              <w:rPr>
                <w:rFonts w:hint="default" w:ascii="Times New Roman" w:hAnsi="Times New Roman" w:eastAsia="仿宋" w:cs="Times New Roman"/>
                <w:i w:val="0"/>
                <w:iCs w:val="0"/>
                <w:color w:val="000000"/>
                <w:sz w:val="21"/>
                <w:szCs w:val="21"/>
                <w:highlight w:val="none"/>
                <w:u w:val="none"/>
              </w:rPr>
              <w:t>推动全生命周期健康管理理念贯穿城市规划、建设、管理全过程各环节</w:t>
            </w:r>
            <w:r>
              <w:rPr>
                <w:rFonts w:hint="eastAsia" w:ascii="Times New Roman" w:cs="Times New Roman"/>
                <w:i w:val="0"/>
                <w:iCs w:val="0"/>
                <w:color w:val="000000"/>
                <w:sz w:val="21"/>
                <w:szCs w:val="21"/>
                <w:highlight w:val="none"/>
                <w:u w:val="none"/>
                <w:lang w:eastAsia="zh-CN"/>
              </w:rPr>
              <w:t>，</w:t>
            </w:r>
            <w:r>
              <w:rPr>
                <w:rFonts w:hint="default" w:ascii="Times New Roman" w:hAnsi="Times New Roman" w:eastAsia="仿宋" w:cs="Times New Roman"/>
                <w:i w:val="0"/>
                <w:iCs w:val="0"/>
                <w:color w:val="000000"/>
                <w:sz w:val="21"/>
                <w:szCs w:val="21"/>
                <w:highlight w:val="none"/>
                <w:u w:val="none"/>
              </w:rPr>
              <w:t>将健康融入所有政策。</w:t>
            </w:r>
          </w:p>
        </w:tc>
        <w:tc>
          <w:tcPr>
            <w:tcW w:w="1674" w:type="dxa"/>
            <w:shd w:val="clear" w:color="auto" w:fill="auto"/>
            <w:vAlign w:val="center"/>
          </w:tcPr>
          <w:p w14:paraId="03CA10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sz w:val="21"/>
                <w:szCs w:val="21"/>
                <w:highlight w:val="none"/>
                <w:u w:val="none"/>
              </w:rPr>
              <w:t>覆盖全区10个街道，开展健康县城建设工作经费70</w:t>
            </w:r>
            <w:r>
              <w:rPr>
                <w:rFonts w:hint="eastAsia" w:ascii="Times New Roman" w:cs="Times New Roman"/>
                <w:i w:val="0"/>
                <w:iCs w:val="0"/>
                <w:color w:val="000000"/>
                <w:sz w:val="21"/>
                <w:szCs w:val="21"/>
                <w:highlight w:val="none"/>
                <w:u w:val="none"/>
                <w:lang w:val="en-US" w:eastAsia="zh-CN"/>
              </w:rPr>
              <w:t>万</w:t>
            </w:r>
            <w:r>
              <w:rPr>
                <w:rFonts w:hint="default" w:ascii="Times New Roman" w:hAnsi="Times New Roman" w:eastAsia="仿宋" w:cs="Times New Roman"/>
                <w:i w:val="0"/>
                <w:iCs w:val="0"/>
                <w:color w:val="000000"/>
                <w:sz w:val="21"/>
                <w:szCs w:val="21"/>
                <w:highlight w:val="none"/>
                <w:u w:val="none"/>
              </w:rPr>
              <w:t>元</w:t>
            </w:r>
          </w:p>
        </w:tc>
      </w:tr>
      <w:tr w14:paraId="3B3C2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Merge w:val="continue"/>
            <w:shd w:val="clear" w:color="auto" w:fill="auto"/>
            <w:vAlign w:val="center"/>
          </w:tcPr>
          <w:p w14:paraId="461F41B7">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仿宋" w:cs="Times New Roman"/>
                <w:b w:val="0"/>
                <w:bCs w:val="0"/>
                <w:i w:val="0"/>
                <w:iCs w:val="0"/>
                <w:color w:val="000000"/>
                <w:sz w:val="21"/>
                <w:szCs w:val="21"/>
                <w:highlight w:val="none"/>
                <w:u w:val="none"/>
              </w:rPr>
            </w:pPr>
          </w:p>
        </w:tc>
        <w:tc>
          <w:tcPr>
            <w:tcW w:w="1472" w:type="dxa"/>
            <w:vMerge w:val="continue"/>
            <w:shd w:val="clear" w:color="auto" w:fill="auto"/>
            <w:vAlign w:val="center"/>
          </w:tcPr>
          <w:p w14:paraId="6D16591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 w:cs="Times New Roman"/>
                <w:b w:val="0"/>
                <w:bCs w:val="0"/>
                <w:i w:val="0"/>
                <w:iCs w:val="0"/>
                <w:color w:val="000000"/>
                <w:sz w:val="21"/>
                <w:szCs w:val="21"/>
                <w:highlight w:val="none"/>
                <w:u w:val="none"/>
              </w:rPr>
            </w:pPr>
          </w:p>
        </w:tc>
        <w:tc>
          <w:tcPr>
            <w:tcW w:w="4253" w:type="dxa"/>
            <w:shd w:val="clear" w:color="auto" w:fill="auto"/>
            <w:vAlign w:val="center"/>
          </w:tcPr>
          <w:p w14:paraId="31FE3FB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sz w:val="21"/>
                <w:szCs w:val="21"/>
                <w:highlight w:val="none"/>
                <w:u w:val="none"/>
              </w:rPr>
              <w:t>全区重点区域消杀及密度监测工作费用。</w:t>
            </w:r>
          </w:p>
        </w:tc>
        <w:tc>
          <w:tcPr>
            <w:tcW w:w="1674" w:type="dxa"/>
            <w:shd w:val="clear" w:color="auto" w:fill="auto"/>
            <w:vAlign w:val="center"/>
          </w:tcPr>
          <w:p w14:paraId="7712177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sz w:val="21"/>
                <w:szCs w:val="21"/>
                <w:highlight w:val="none"/>
                <w:u w:val="none"/>
              </w:rPr>
              <w:t>病媒生物消杀、密度监测费用80</w:t>
            </w:r>
            <w:r>
              <w:rPr>
                <w:rFonts w:hint="eastAsia" w:ascii="Times New Roman" w:cs="Times New Roman"/>
                <w:i w:val="0"/>
                <w:iCs w:val="0"/>
                <w:color w:val="000000"/>
                <w:sz w:val="21"/>
                <w:szCs w:val="21"/>
                <w:highlight w:val="none"/>
                <w:u w:val="none"/>
                <w:lang w:val="en-US" w:eastAsia="zh-CN"/>
              </w:rPr>
              <w:t>万</w:t>
            </w:r>
            <w:r>
              <w:rPr>
                <w:rFonts w:hint="default" w:ascii="Times New Roman" w:hAnsi="Times New Roman" w:eastAsia="仿宋" w:cs="Times New Roman"/>
                <w:i w:val="0"/>
                <w:iCs w:val="0"/>
                <w:color w:val="000000"/>
                <w:sz w:val="21"/>
                <w:szCs w:val="21"/>
                <w:highlight w:val="none"/>
                <w:u w:val="none"/>
              </w:rPr>
              <w:t>元</w:t>
            </w:r>
          </w:p>
        </w:tc>
      </w:tr>
      <w:tr w14:paraId="2B514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Merge w:val="restart"/>
            <w:shd w:val="clear" w:color="auto" w:fill="auto"/>
            <w:vAlign w:val="center"/>
          </w:tcPr>
          <w:p w14:paraId="073D675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 w:cs="Times New Roman"/>
                <w:b w:val="0"/>
                <w:bCs w:val="0"/>
                <w:i w:val="0"/>
                <w:iCs w:val="0"/>
                <w:color w:val="000000"/>
                <w:kern w:val="0"/>
                <w:sz w:val="21"/>
                <w:szCs w:val="21"/>
                <w:highlight w:val="none"/>
                <w:u w:val="none"/>
                <w:lang w:val="en-US" w:eastAsia="zh-CN" w:bidi="ar"/>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效益指标</w:t>
            </w:r>
          </w:p>
        </w:tc>
        <w:tc>
          <w:tcPr>
            <w:tcW w:w="1472" w:type="dxa"/>
            <w:shd w:val="clear" w:color="auto" w:fill="auto"/>
            <w:vAlign w:val="center"/>
          </w:tcPr>
          <w:p w14:paraId="28453E7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 w:cs="Times New Roman"/>
                <w:b w:val="0"/>
                <w:bCs w:val="0"/>
                <w:i w:val="0"/>
                <w:iCs w:val="0"/>
                <w:color w:val="000000"/>
                <w:kern w:val="0"/>
                <w:sz w:val="21"/>
                <w:szCs w:val="21"/>
                <w:highlight w:val="none"/>
                <w:u w:val="none"/>
                <w:lang w:val="en-US" w:eastAsia="zh-CN" w:bidi="ar"/>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社会效益</w:t>
            </w:r>
          </w:p>
          <w:p w14:paraId="0720460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 w:cs="Times New Roman"/>
                <w:b w:val="0"/>
                <w:bCs w:val="0"/>
                <w:i w:val="0"/>
                <w:iCs w:val="0"/>
                <w:color w:val="000000"/>
                <w:kern w:val="0"/>
                <w:sz w:val="21"/>
                <w:szCs w:val="21"/>
                <w:highlight w:val="none"/>
                <w:u w:val="none"/>
                <w:lang w:val="en-US" w:eastAsia="zh-CN" w:bidi="ar"/>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指标</w:t>
            </w:r>
          </w:p>
        </w:tc>
        <w:tc>
          <w:tcPr>
            <w:tcW w:w="4253" w:type="dxa"/>
            <w:shd w:val="clear" w:color="auto" w:fill="auto"/>
            <w:vAlign w:val="center"/>
          </w:tcPr>
          <w:p w14:paraId="44FE27C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 w:cs="Times New Roman"/>
                <w:i w:val="0"/>
                <w:iCs w:val="0"/>
                <w:color w:val="000000"/>
                <w:sz w:val="21"/>
                <w:szCs w:val="21"/>
                <w:highlight w:val="none"/>
                <w:u w:val="none"/>
                <w:lang w:val="en-US" w:eastAsia="zh-CN"/>
              </w:rPr>
            </w:pPr>
            <w:r>
              <w:rPr>
                <w:rFonts w:hint="default" w:ascii="Times New Roman" w:hAnsi="Times New Roman" w:eastAsia="仿宋" w:cs="Times New Roman"/>
                <w:i w:val="0"/>
                <w:iCs w:val="0"/>
                <w:color w:val="000000"/>
                <w:sz w:val="21"/>
                <w:szCs w:val="21"/>
                <w:highlight w:val="none"/>
                <w:u w:val="none"/>
                <w:lang w:val="en-US" w:eastAsia="zh-CN"/>
              </w:rPr>
              <w:t>聚焦营造健康环境、构建健康社会、优化健康服务、培育健康人群、弘扬健康文化</w:t>
            </w:r>
            <w:r>
              <w:rPr>
                <w:rFonts w:hint="eastAsia" w:ascii="Times New Roman" w:cs="Times New Roman"/>
                <w:i w:val="0"/>
                <w:iCs w:val="0"/>
                <w:color w:val="000000"/>
                <w:sz w:val="21"/>
                <w:szCs w:val="21"/>
                <w:highlight w:val="none"/>
                <w:u w:val="none"/>
                <w:lang w:val="en-US" w:eastAsia="zh-CN"/>
              </w:rPr>
              <w:t>，</w:t>
            </w:r>
            <w:r>
              <w:rPr>
                <w:rFonts w:hint="default" w:ascii="Times New Roman" w:hAnsi="Times New Roman" w:eastAsia="仿宋" w:cs="Times New Roman"/>
                <w:i w:val="0"/>
                <w:iCs w:val="0"/>
                <w:color w:val="000000"/>
                <w:sz w:val="21"/>
                <w:szCs w:val="21"/>
                <w:highlight w:val="none"/>
                <w:u w:val="none"/>
                <w:lang w:val="en-US" w:eastAsia="zh-CN"/>
              </w:rPr>
              <w:t>培育和践行社会主义核心价值观</w:t>
            </w:r>
            <w:r>
              <w:rPr>
                <w:rFonts w:hint="eastAsia" w:ascii="Times New Roman" w:cs="Times New Roman"/>
                <w:i w:val="0"/>
                <w:iCs w:val="0"/>
                <w:color w:val="000000"/>
                <w:sz w:val="21"/>
                <w:szCs w:val="21"/>
                <w:highlight w:val="none"/>
                <w:u w:val="none"/>
                <w:lang w:val="en-US" w:eastAsia="zh-CN"/>
              </w:rPr>
              <w:t>，</w:t>
            </w:r>
            <w:r>
              <w:rPr>
                <w:rFonts w:hint="default" w:ascii="Times New Roman" w:hAnsi="Times New Roman" w:eastAsia="仿宋" w:cs="Times New Roman"/>
                <w:i w:val="0"/>
                <w:iCs w:val="0"/>
                <w:color w:val="000000"/>
                <w:sz w:val="21"/>
                <w:szCs w:val="21"/>
                <w:highlight w:val="none"/>
                <w:u w:val="none"/>
                <w:lang w:val="en-US" w:eastAsia="zh-CN"/>
              </w:rPr>
              <w:t>传承中华优秀传统文化。</w:t>
            </w:r>
          </w:p>
        </w:tc>
        <w:tc>
          <w:tcPr>
            <w:tcW w:w="1674" w:type="dxa"/>
            <w:shd w:val="clear" w:color="auto" w:fill="auto"/>
            <w:vAlign w:val="center"/>
          </w:tcPr>
          <w:p w14:paraId="269ED8B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 w:cs="Times New Roman"/>
                <w:i w:val="0"/>
                <w:iCs w:val="0"/>
                <w:color w:val="000000"/>
                <w:sz w:val="21"/>
                <w:szCs w:val="21"/>
                <w:highlight w:val="none"/>
                <w:u w:val="none"/>
                <w:lang w:val="en-US" w:eastAsia="zh-CN"/>
              </w:rPr>
            </w:pPr>
            <w:r>
              <w:rPr>
                <w:rFonts w:hint="default" w:ascii="Times New Roman" w:hAnsi="Times New Roman" w:eastAsia="仿宋" w:cs="Times New Roman"/>
                <w:i w:val="0"/>
                <w:iCs w:val="0"/>
                <w:color w:val="000000"/>
                <w:sz w:val="21"/>
                <w:szCs w:val="21"/>
                <w:highlight w:val="none"/>
                <w:u w:val="none"/>
                <w:lang w:val="en-US" w:eastAsia="zh-CN"/>
              </w:rPr>
              <w:t>聚焦营造健康环境、构建健康社会、优化健康服务、培育健康人群</w:t>
            </w:r>
          </w:p>
        </w:tc>
      </w:tr>
      <w:tr w14:paraId="31D43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Merge w:val="continue"/>
            <w:shd w:val="clear" w:color="auto" w:fill="auto"/>
            <w:vAlign w:val="center"/>
          </w:tcPr>
          <w:p w14:paraId="14C1548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 w:cs="Times New Roman"/>
                <w:b w:val="0"/>
                <w:bCs w:val="0"/>
                <w:i w:val="0"/>
                <w:iCs w:val="0"/>
                <w:color w:val="000000"/>
                <w:kern w:val="0"/>
                <w:sz w:val="21"/>
                <w:szCs w:val="21"/>
                <w:highlight w:val="none"/>
                <w:u w:val="none"/>
                <w:lang w:val="en-US" w:eastAsia="zh-CN" w:bidi="ar"/>
              </w:rPr>
            </w:pPr>
          </w:p>
        </w:tc>
        <w:tc>
          <w:tcPr>
            <w:tcW w:w="1472" w:type="dxa"/>
            <w:shd w:val="clear" w:color="auto" w:fill="auto"/>
            <w:vAlign w:val="center"/>
          </w:tcPr>
          <w:p w14:paraId="23C405C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 w:cs="Times New Roman"/>
                <w:b w:val="0"/>
                <w:bCs w:val="0"/>
                <w:i w:val="0"/>
                <w:iCs w:val="0"/>
                <w:color w:val="000000"/>
                <w:kern w:val="0"/>
                <w:sz w:val="21"/>
                <w:szCs w:val="21"/>
                <w:highlight w:val="none"/>
                <w:u w:val="none"/>
                <w:lang w:val="en-US" w:eastAsia="zh-CN" w:bidi="ar"/>
              </w:rPr>
            </w:pPr>
            <w:r>
              <w:rPr>
                <w:rFonts w:hint="eastAsia" w:ascii="Times New Roman" w:cs="Times New Roman"/>
                <w:b w:val="0"/>
                <w:bCs w:val="0"/>
                <w:i w:val="0"/>
                <w:iCs w:val="0"/>
                <w:color w:val="000000"/>
                <w:kern w:val="0"/>
                <w:sz w:val="21"/>
                <w:szCs w:val="21"/>
                <w:highlight w:val="none"/>
                <w:u w:val="none"/>
                <w:lang w:val="en-US" w:eastAsia="zh-CN" w:bidi="ar"/>
              </w:rPr>
              <w:t>可持续影响指标</w:t>
            </w:r>
          </w:p>
        </w:tc>
        <w:tc>
          <w:tcPr>
            <w:tcW w:w="4253" w:type="dxa"/>
            <w:shd w:val="clear" w:color="auto" w:fill="auto"/>
            <w:vAlign w:val="center"/>
          </w:tcPr>
          <w:p w14:paraId="4FDD706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仿宋" w:cs="Times New Roman"/>
                <w:i w:val="0"/>
                <w:iCs w:val="0"/>
                <w:color w:val="000000"/>
                <w:kern w:val="0"/>
                <w:sz w:val="21"/>
                <w:szCs w:val="21"/>
                <w:highlight w:val="none"/>
                <w:u w:val="none"/>
                <w:lang w:val="en-US" w:eastAsia="zh-CN" w:bidi="ar"/>
              </w:rPr>
            </w:pPr>
            <w:r>
              <w:rPr>
                <w:rFonts w:hint="default" w:ascii="Times New Roman" w:hAnsi="Times New Roman" w:eastAsia="仿宋" w:cs="Times New Roman"/>
                <w:i w:val="0"/>
                <w:iCs w:val="0"/>
                <w:color w:val="000000"/>
                <w:kern w:val="0"/>
                <w:sz w:val="21"/>
                <w:szCs w:val="21"/>
                <w:highlight w:val="none"/>
                <w:u w:val="none"/>
                <w:lang w:val="en-US" w:eastAsia="zh-CN" w:bidi="ar"/>
              </w:rPr>
              <w:t>推动全生命周期健康 管理理念贯穿城市规划、建设、管理全过程各环节</w:t>
            </w:r>
            <w:r>
              <w:rPr>
                <w:rFonts w:hint="eastAsia" w:ascii="Times New Roman" w:cs="Times New Roman"/>
                <w:i w:val="0"/>
                <w:iCs w:val="0"/>
                <w:color w:val="000000"/>
                <w:kern w:val="0"/>
                <w:sz w:val="21"/>
                <w:szCs w:val="21"/>
                <w:highlight w:val="none"/>
                <w:u w:val="none"/>
                <w:lang w:val="en-US" w:eastAsia="zh-CN" w:bidi="ar"/>
              </w:rPr>
              <w:t>，</w:t>
            </w:r>
            <w:r>
              <w:rPr>
                <w:rFonts w:hint="default" w:ascii="Times New Roman" w:hAnsi="Times New Roman" w:eastAsia="仿宋" w:cs="Times New Roman"/>
                <w:i w:val="0"/>
                <w:iCs w:val="0"/>
                <w:color w:val="000000"/>
                <w:kern w:val="0"/>
                <w:sz w:val="21"/>
                <w:szCs w:val="21"/>
                <w:highlight w:val="none"/>
                <w:u w:val="none"/>
                <w:lang w:val="en-US" w:eastAsia="zh-CN" w:bidi="ar"/>
              </w:rPr>
              <w:t>将健康融入所有政策</w:t>
            </w:r>
          </w:p>
        </w:tc>
        <w:tc>
          <w:tcPr>
            <w:tcW w:w="1674" w:type="dxa"/>
            <w:shd w:val="clear" w:color="auto" w:fill="auto"/>
            <w:vAlign w:val="center"/>
          </w:tcPr>
          <w:p w14:paraId="1136F8D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 w:cs="Times New Roman"/>
                <w:b/>
                <w:bCs/>
                <w:i w:val="0"/>
                <w:iCs w:val="0"/>
                <w:color w:val="000000"/>
                <w:kern w:val="0"/>
                <w:sz w:val="21"/>
                <w:szCs w:val="21"/>
                <w:highlight w:val="none"/>
                <w:u w:val="none"/>
                <w:lang w:val="en-US" w:eastAsia="zh-CN" w:bidi="ar"/>
              </w:rPr>
            </w:pPr>
            <w:r>
              <w:rPr>
                <w:rFonts w:hint="default" w:ascii="Times New Roman" w:hAnsi="Times New Roman" w:eastAsia="仿宋" w:cs="Times New Roman"/>
                <w:i w:val="0"/>
                <w:iCs w:val="0"/>
                <w:color w:val="000000"/>
                <w:sz w:val="21"/>
                <w:szCs w:val="21"/>
                <w:highlight w:val="none"/>
                <w:u w:val="none"/>
                <w:lang w:val="en-US" w:eastAsia="zh-CN"/>
              </w:rPr>
              <w:t>推动全生命周期健康 管理理念贯穿城市规划、建设、管理全过程各</w:t>
            </w:r>
          </w:p>
        </w:tc>
      </w:tr>
      <w:tr w14:paraId="3B0EB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shd w:val="clear" w:color="auto" w:fill="auto"/>
            <w:vAlign w:val="center"/>
          </w:tcPr>
          <w:p w14:paraId="4E0DAF3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 w:cs="Times New Roman"/>
                <w:b w:val="0"/>
                <w:bCs w:val="0"/>
                <w:i w:val="0"/>
                <w:iCs w:val="0"/>
                <w:color w:val="000000"/>
                <w:sz w:val="21"/>
                <w:szCs w:val="21"/>
                <w:highlight w:val="none"/>
                <w:u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满意度指标</w:t>
            </w:r>
          </w:p>
        </w:tc>
        <w:tc>
          <w:tcPr>
            <w:tcW w:w="1472" w:type="dxa"/>
            <w:shd w:val="clear" w:color="auto" w:fill="auto"/>
            <w:vAlign w:val="center"/>
          </w:tcPr>
          <w:p w14:paraId="464FAA3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 w:cs="Times New Roman"/>
                <w:b w:val="0"/>
                <w:bCs w:val="0"/>
                <w:i w:val="0"/>
                <w:iCs w:val="0"/>
                <w:color w:val="000000"/>
                <w:sz w:val="21"/>
                <w:szCs w:val="21"/>
                <w:highlight w:val="none"/>
                <w:u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服务对象满意度指标等</w:t>
            </w:r>
          </w:p>
        </w:tc>
        <w:tc>
          <w:tcPr>
            <w:tcW w:w="4253" w:type="dxa"/>
            <w:shd w:val="clear" w:color="auto" w:fill="auto"/>
            <w:vAlign w:val="center"/>
          </w:tcPr>
          <w:p w14:paraId="22EE7BA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sz w:val="21"/>
                <w:szCs w:val="21"/>
                <w:highlight w:val="none"/>
                <w:u w:val="none"/>
              </w:rPr>
              <w:t>推动全生命周期健康管理理念贯穿城市规划、建设、管理全过程各环节</w:t>
            </w:r>
            <w:r>
              <w:rPr>
                <w:rFonts w:hint="eastAsia" w:ascii="Times New Roman" w:cs="Times New Roman"/>
                <w:i w:val="0"/>
                <w:iCs w:val="0"/>
                <w:color w:val="000000"/>
                <w:sz w:val="21"/>
                <w:szCs w:val="21"/>
                <w:highlight w:val="none"/>
                <w:u w:val="none"/>
                <w:lang w:eastAsia="zh-CN"/>
              </w:rPr>
              <w:t>，</w:t>
            </w:r>
            <w:r>
              <w:rPr>
                <w:rFonts w:hint="default" w:ascii="Times New Roman" w:hAnsi="Times New Roman" w:eastAsia="仿宋" w:cs="Times New Roman"/>
                <w:i w:val="0"/>
                <w:iCs w:val="0"/>
                <w:color w:val="000000"/>
                <w:sz w:val="21"/>
                <w:szCs w:val="21"/>
                <w:highlight w:val="none"/>
                <w:u w:val="none"/>
              </w:rPr>
              <w:t>影响居民健康的主要因素得到有效控制</w:t>
            </w:r>
            <w:r>
              <w:rPr>
                <w:rFonts w:hint="eastAsia" w:ascii="Times New Roman" w:cs="Times New Roman"/>
                <w:i w:val="0"/>
                <w:iCs w:val="0"/>
                <w:color w:val="000000"/>
                <w:sz w:val="21"/>
                <w:szCs w:val="21"/>
                <w:highlight w:val="none"/>
                <w:u w:val="none"/>
                <w:lang w:eastAsia="zh-CN"/>
              </w:rPr>
              <w:t>，</w:t>
            </w:r>
            <w:r>
              <w:rPr>
                <w:rFonts w:hint="default" w:ascii="Times New Roman" w:hAnsi="Times New Roman" w:eastAsia="仿宋" w:cs="Times New Roman"/>
                <w:i w:val="0"/>
                <w:iCs w:val="0"/>
                <w:color w:val="000000"/>
                <w:sz w:val="21"/>
                <w:szCs w:val="21"/>
                <w:highlight w:val="none"/>
                <w:u w:val="none"/>
              </w:rPr>
              <w:t>社会健康综合治理能力全面提高</w:t>
            </w:r>
            <w:r>
              <w:rPr>
                <w:rFonts w:hint="eastAsia" w:ascii="Times New Roman" w:cs="Times New Roman"/>
                <w:i w:val="0"/>
                <w:iCs w:val="0"/>
                <w:color w:val="000000"/>
                <w:sz w:val="21"/>
                <w:szCs w:val="21"/>
                <w:highlight w:val="none"/>
                <w:u w:val="none"/>
                <w:lang w:eastAsia="zh-CN"/>
              </w:rPr>
              <w:t>，</w:t>
            </w:r>
            <w:r>
              <w:rPr>
                <w:rFonts w:hint="default" w:ascii="Times New Roman" w:hAnsi="Times New Roman" w:eastAsia="仿宋" w:cs="Times New Roman"/>
                <w:i w:val="0"/>
                <w:iCs w:val="0"/>
                <w:color w:val="000000"/>
                <w:sz w:val="21"/>
                <w:szCs w:val="21"/>
                <w:highlight w:val="none"/>
                <w:u w:val="none"/>
              </w:rPr>
              <w:t>培育先进典型</w:t>
            </w:r>
            <w:r>
              <w:rPr>
                <w:rFonts w:hint="eastAsia" w:ascii="Times New Roman" w:cs="Times New Roman"/>
                <w:i w:val="0"/>
                <w:iCs w:val="0"/>
                <w:color w:val="000000"/>
                <w:sz w:val="21"/>
                <w:szCs w:val="21"/>
                <w:highlight w:val="none"/>
                <w:u w:val="none"/>
                <w:lang w:eastAsia="zh-CN"/>
              </w:rPr>
              <w:t>，</w:t>
            </w:r>
            <w:r>
              <w:rPr>
                <w:rFonts w:hint="default" w:ascii="Times New Roman" w:hAnsi="Times New Roman" w:eastAsia="仿宋" w:cs="Times New Roman"/>
                <w:i w:val="0"/>
                <w:iCs w:val="0"/>
                <w:color w:val="000000"/>
                <w:sz w:val="21"/>
                <w:szCs w:val="21"/>
                <w:highlight w:val="none"/>
                <w:u w:val="none"/>
              </w:rPr>
              <w:t>发挥示范引领作用</w:t>
            </w:r>
            <w:r>
              <w:rPr>
                <w:rFonts w:hint="eastAsia" w:ascii="Times New Roman" w:cs="Times New Roman"/>
                <w:i w:val="0"/>
                <w:iCs w:val="0"/>
                <w:color w:val="000000"/>
                <w:sz w:val="21"/>
                <w:szCs w:val="21"/>
                <w:highlight w:val="none"/>
                <w:u w:val="none"/>
                <w:lang w:eastAsia="zh-CN"/>
              </w:rPr>
              <w:t>。</w:t>
            </w:r>
            <w:r>
              <w:rPr>
                <w:rFonts w:hint="default" w:ascii="Times New Roman" w:hAnsi="Times New Roman" w:eastAsia="仿宋" w:cs="Times New Roman"/>
                <w:i w:val="0"/>
                <w:iCs w:val="0"/>
                <w:color w:val="000000"/>
                <w:sz w:val="21"/>
                <w:szCs w:val="21"/>
                <w:highlight w:val="none"/>
                <w:u w:val="none"/>
              </w:rPr>
              <w:t>充分发挥基层组织作用</w:t>
            </w:r>
            <w:r>
              <w:rPr>
                <w:rFonts w:hint="eastAsia" w:ascii="Times New Roman" w:cs="Times New Roman"/>
                <w:i w:val="0"/>
                <w:iCs w:val="0"/>
                <w:color w:val="000000"/>
                <w:sz w:val="21"/>
                <w:szCs w:val="21"/>
                <w:highlight w:val="none"/>
                <w:u w:val="none"/>
                <w:lang w:eastAsia="zh-CN"/>
              </w:rPr>
              <w:t>，</w:t>
            </w:r>
            <w:r>
              <w:rPr>
                <w:rFonts w:hint="default" w:ascii="Times New Roman" w:hAnsi="Times New Roman" w:eastAsia="仿宋" w:cs="Times New Roman"/>
                <w:i w:val="0"/>
                <w:iCs w:val="0"/>
                <w:color w:val="000000"/>
                <w:sz w:val="21"/>
                <w:szCs w:val="21"/>
                <w:highlight w:val="none"/>
                <w:u w:val="none"/>
              </w:rPr>
              <w:t>广泛动员社会力量和人民群众</w:t>
            </w:r>
            <w:r>
              <w:rPr>
                <w:rFonts w:hint="eastAsia" w:ascii="Times New Roman" w:cs="Times New Roman"/>
                <w:i w:val="0"/>
                <w:iCs w:val="0"/>
                <w:color w:val="000000"/>
                <w:sz w:val="21"/>
                <w:szCs w:val="21"/>
                <w:highlight w:val="none"/>
                <w:u w:val="none"/>
                <w:lang w:eastAsia="zh-CN"/>
              </w:rPr>
              <w:t>，</w:t>
            </w:r>
            <w:r>
              <w:rPr>
                <w:rFonts w:hint="default" w:ascii="Times New Roman" w:hAnsi="Times New Roman" w:eastAsia="仿宋" w:cs="Times New Roman"/>
                <w:i w:val="0"/>
                <w:iCs w:val="0"/>
                <w:color w:val="000000"/>
                <w:sz w:val="21"/>
                <w:szCs w:val="21"/>
                <w:highlight w:val="none"/>
                <w:u w:val="none"/>
              </w:rPr>
              <w:t>营造全民知晓、全民支持、全民参与、共建共享的社会氛围。</w:t>
            </w:r>
          </w:p>
        </w:tc>
        <w:tc>
          <w:tcPr>
            <w:tcW w:w="1674" w:type="dxa"/>
            <w:shd w:val="clear" w:color="auto" w:fill="auto"/>
            <w:vAlign w:val="center"/>
          </w:tcPr>
          <w:p w14:paraId="70471C5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sz w:val="21"/>
                <w:szCs w:val="21"/>
                <w:highlight w:val="none"/>
                <w:u w:val="none"/>
              </w:rPr>
              <w:t>群众满意度达95%以上</w:t>
            </w:r>
          </w:p>
        </w:tc>
      </w:tr>
    </w:tbl>
    <w:p w14:paraId="73C26E5F">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2.绩效评价调整后的绩效目标和绩效指标情况</w:t>
      </w:r>
    </w:p>
    <w:p w14:paraId="2B24CB10">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30" w:firstLineChars="200"/>
        <w:jc w:val="left"/>
        <w:textAlignment w:val="auto"/>
        <w:outlineLvl w:val="9"/>
        <w:rPr>
          <w:rFonts w:hint="default" w:ascii="Times New Roman" w:hAnsi="Times New Roman" w:eastAsia="仿宋" w:cs="Times New Roman"/>
          <w:kern w:val="30"/>
          <w:sz w:val="30"/>
          <w:szCs w:val="30"/>
          <w:lang w:val="en-US" w:eastAsia="zh-CN" w:bidi="ar-SA"/>
        </w:rPr>
      </w:pPr>
      <w:bookmarkStart w:id="38" w:name="_Toc13974"/>
      <w:bookmarkStart w:id="39" w:name="_Toc76"/>
      <w:r>
        <w:rPr>
          <w:rFonts w:hint="default" w:ascii="Times New Roman" w:hAnsi="Times New Roman" w:eastAsia="仿宋" w:cs="Times New Roman"/>
          <w:kern w:val="30"/>
          <w:sz w:val="30"/>
          <w:szCs w:val="30"/>
          <w:lang w:val="en-US" w:eastAsia="zh-CN" w:bidi="ar-SA"/>
        </w:rPr>
        <w:t>通过对本项目的预算申报材料、绩效自评报告及部门职能职责进行分析，在与被评价单位充分沟通的基础上，确定本项目绩效目标，绩效评价调整后的绩效目标和绩效指标见附件</w:t>
      </w:r>
      <w:r>
        <w:rPr>
          <w:rFonts w:hint="eastAsia" w:ascii="Times New Roman" w:cs="Times New Roman"/>
          <w:kern w:val="30"/>
          <w:sz w:val="30"/>
          <w:szCs w:val="30"/>
          <w:lang w:val="en-US" w:eastAsia="zh-CN" w:bidi="ar-SA"/>
        </w:rPr>
        <w:t>1</w:t>
      </w:r>
      <w:r>
        <w:rPr>
          <w:rFonts w:hint="default" w:ascii="Times New Roman" w:hAnsi="Times New Roman" w:eastAsia="仿宋" w:cs="Times New Roman"/>
          <w:kern w:val="30"/>
          <w:sz w:val="30"/>
          <w:szCs w:val="30"/>
          <w:lang w:val="en-US" w:eastAsia="zh-CN" w:bidi="ar-SA"/>
        </w:rPr>
        <w:t>。</w:t>
      </w:r>
      <w:bookmarkEnd w:id="38"/>
      <w:bookmarkEnd w:id="39"/>
    </w:p>
    <w:p w14:paraId="7A9A3EF8">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1"/>
        <w:rPr>
          <w:rFonts w:hint="default" w:ascii="Times New Roman" w:hAnsi="Times New Roman" w:eastAsia="楷体_GB2312" w:cs="Times New Roman"/>
          <w:szCs w:val="30"/>
        </w:rPr>
      </w:pPr>
      <w:bookmarkStart w:id="40" w:name="_Toc12487"/>
      <w:r>
        <w:rPr>
          <w:rFonts w:hint="default" w:ascii="Times New Roman" w:hAnsi="Times New Roman" w:eastAsia="楷体" w:cs="Times New Roman"/>
          <w:szCs w:val="30"/>
        </w:rPr>
        <w:fldChar w:fldCharType="begin"/>
      </w:r>
      <w:r>
        <w:rPr>
          <w:rFonts w:hint="default" w:ascii="Times New Roman" w:hAnsi="Times New Roman" w:eastAsia="楷体" w:cs="Times New Roman"/>
          <w:szCs w:val="30"/>
        </w:rPr>
        <w:instrText xml:space="preserve"> HYPERLINK \l "_Toc434746189" </w:instrText>
      </w:r>
      <w:r>
        <w:rPr>
          <w:rFonts w:hint="default" w:ascii="Times New Roman" w:hAnsi="Times New Roman" w:eastAsia="楷体" w:cs="Times New Roman"/>
          <w:szCs w:val="30"/>
        </w:rPr>
        <w:fldChar w:fldCharType="separate"/>
      </w:r>
      <w:r>
        <w:rPr>
          <w:rFonts w:hint="default" w:ascii="Times New Roman" w:hAnsi="Times New Roman" w:eastAsia="楷体" w:cs="Times New Roman"/>
          <w:szCs w:val="30"/>
        </w:rPr>
        <w:t>（五）</w:t>
      </w:r>
      <w:r>
        <w:rPr>
          <w:rFonts w:hint="default" w:ascii="Times New Roman" w:hAnsi="Times New Roman" w:eastAsia="楷体" w:cs="Times New Roman"/>
          <w:szCs w:val="30"/>
        </w:rPr>
        <w:fldChar w:fldCharType="end"/>
      </w:r>
      <w:r>
        <w:rPr>
          <w:rFonts w:hint="default" w:ascii="Times New Roman" w:hAnsi="Times New Roman" w:eastAsia="楷体" w:cs="Times New Roman"/>
          <w:szCs w:val="30"/>
        </w:rPr>
        <w:t>组织管理情况</w:t>
      </w:r>
      <w:bookmarkEnd w:id="40"/>
    </w:p>
    <w:p w14:paraId="6D8FF4D5">
      <w:pPr>
        <w:keepNext w:val="0"/>
        <w:keepLines w:val="0"/>
        <w:pageBreakBefore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cs="Times New Roman"/>
          <w:szCs w:val="30"/>
          <w:lang w:val="en-US" w:eastAsia="zh-CN"/>
        </w:rPr>
      </w:pPr>
      <w:bookmarkStart w:id="41" w:name="_Toc31860"/>
      <w:bookmarkStart w:id="42" w:name="_Toc11168"/>
      <w:bookmarkStart w:id="43" w:name="_Toc31380"/>
      <w:bookmarkStart w:id="44" w:name="_Toc15491"/>
      <w:bookmarkStart w:id="45" w:name="_Toc31869"/>
      <w:r>
        <w:rPr>
          <w:rFonts w:hint="eastAsia" w:ascii="Times New Roman" w:hAnsi="Times New Roman" w:cs="Times New Roman"/>
          <w:sz w:val="30"/>
          <w:szCs w:val="30"/>
          <w:lang w:val="en-US" w:eastAsia="zh-CN"/>
        </w:rPr>
        <w:t>区卫健局</w:t>
      </w:r>
      <w:r>
        <w:rPr>
          <w:rFonts w:hint="eastAsia" w:ascii="Times New Roman" w:hAnsi="Times New Roman" w:cs="Times New Roman"/>
          <w:szCs w:val="30"/>
          <w:lang w:val="en-US" w:eastAsia="zh-CN"/>
        </w:rPr>
        <w:t>作为项目实施单位，负责</w:t>
      </w:r>
      <w:r>
        <w:rPr>
          <w:rFonts w:hint="default" w:ascii="Times New Roman" w:hAnsi="Times New Roman" w:cs="Times New Roman"/>
          <w:szCs w:val="30"/>
          <w:lang w:val="en-US" w:eastAsia="zh-CN"/>
        </w:rPr>
        <w:t>组织实施，项目严格执行项目管理规定，建立健全质量管理、安全生产等项目管理制度，为项目实施提供制度保障</w:t>
      </w:r>
      <w:r>
        <w:rPr>
          <w:rFonts w:hint="eastAsia" w:ascii="Times New Roman" w:cs="Times New Roman"/>
          <w:szCs w:val="30"/>
          <w:lang w:val="en-US" w:eastAsia="zh-CN"/>
        </w:rPr>
        <w:t>。</w:t>
      </w:r>
    </w:p>
    <w:p w14:paraId="7A0B5D3E">
      <w:pPr>
        <w:pStyle w:val="31"/>
        <w:keepNext w:val="0"/>
        <w:keepLines w:val="0"/>
        <w:pageBreakBefore w:val="0"/>
        <w:numPr>
          <w:ilvl w:val="0"/>
          <w:numId w:val="0"/>
        </w:numPr>
        <w:kinsoku/>
        <w:wordWrap/>
        <w:overflowPunct/>
        <w:topLinePunct w:val="0"/>
        <w:autoSpaceDE/>
        <w:autoSpaceDN/>
        <w:bidi w:val="0"/>
        <w:adjustRightInd/>
        <w:spacing w:line="579" w:lineRule="exact"/>
        <w:ind w:firstLine="630" w:firstLineChars="200"/>
        <w:textAlignment w:val="auto"/>
        <w:rPr>
          <w:rFonts w:hint="default" w:ascii="Times New Roman" w:hAnsi="Times New Roman" w:cs="Times New Roman"/>
          <w:lang w:val="en-US" w:eastAsia="zh-CN"/>
        </w:rPr>
      </w:pPr>
      <w:bookmarkStart w:id="46" w:name="_Toc22459"/>
      <w:r>
        <w:rPr>
          <w:rFonts w:hint="default" w:ascii="Times New Roman" w:hAnsi="Times New Roman" w:cs="Times New Roman"/>
          <w:lang w:val="en-US" w:eastAsia="zh-CN"/>
        </w:rPr>
        <w:t>二、</w:t>
      </w:r>
      <w:bookmarkEnd w:id="41"/>
      <w:r>
        <w:rPr>
          <w:rFonts w:hint="default" w:ascii="Times New Roman" w:hAnsi="Times New Roman" w:cs="Times New Roman"/>
          <w:lang w:val="en-US" w:eastAsia="zh-CN"/>
        </w:rPr>
        <w:t>绩效评价工作开展情况</w:t>
      </w:r>
      <w:bookmarkEnd w:id="42"/>
      <w:bookmarkEnd w:id="43"/>
      <w:bookmarkEnd w:id="46"/>
    </w:p>
    <w:p w14:paraId="069ED48F">
      <w:pPr>
        <w:pStyle w:val="32"/>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47" w:name="_Toc32250"/>
      <w:bookmarkStart w:id="48" w:name="_Toc23216"/>
      <w:bookmarkStart w:id="49" w:name="_Toc13545"/>
      <w:r>
        <w:rPr>
          <w:rFonts w:hint="default" w:ascii="Times New Roman" w:hAnsi="Times New Roman" w:cs="Times New Roman"/>
          <w:lang w:val="en-US" w:eastAsia="zh-CN"/>
        </w:rPr>
        <w:t>（一）绩效评价目的、对象和范围</w:t>
      </w:r>
      <w:bookmarkEnd w:id="47"/>
      <w:bookmarkEnd w:id="48"/>
      <w:bookmarkEnd w:id="49"/>
    </w:p>
    <w:p w14:paraId="539567A0">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bookmarkStart w:id="50" w:name="_Toc23687"/>
      <w:r>
        <w:rPr>
          <w:rFonts w:hint="default" w:ascii="Times New Roman" w:hAnsi="Times New Roman" w:eastAsia="仿宋" w:cs="Times New Roman"/>
          <w:lang w:val="en-US" w:eastAsia="zh-CN"/>
        </w:rPr>
        <w:t>1.评价目的</w:t>
      </w:r>
    </w:p>
    <w:p w14:paraId="45F61434">
      <w:pPr>
        <w:keepNext w:val="0"/>
        <w:keepLines w:val="0"/>
        <w:pageBreakBefore w:val="0"/>
        <w:kinsoku/>
        <w:wordWrap/>
        <w:overflowPunct/>
        <w:topLinePunct w:val="0"/>
        <w:autoSpaceDE/>
        <w:autoSpaceDN/>
        <w:bidi w:val="0"/>
        <w:adjustRightInd/>
        <w:spacing w:line="579" w:lineRule="exact"/>
        <w:ind w:firstLine="64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通过分析项目立项情况、资金使用情况、项目实施情况、项目绩效表现情况，了解资金使用是否达到预期目标、资金管理是否规范、资金使用是否有效，检验资金支出效率和效果，分析存在问题及原因，及时总结经验，改进管理措施，不断增强和落实绩效管理责任，完善工作机制，有效提高资金管理水平和使用效益。</w:t>
      </w:r>
    </w:p>
    <w:p w14:paraId="473CAB36">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2.评价对象及范围</w:t>
      </w:r>
    </w:p>
    <w:p w14:paraId="3A62D208">
      <w:pPr>
        <w:keepNext w:val="0"/>
        <w:keepLines w:val="0"/>
        <w:pageBreakBefore w:val="0"/>
        <w:kinsoku/>
        <w:wordWrap/>
        <w:overflowPunct/>
        <w:topLinePunct w:val="0"/>
        <w:autoSpaceDE/>
        <w:autoSpaceDN/>
        <w:bidi w:val="0"/>
        <w:adjustRightInd/>
        <w:spacing w:line="579" w:lineRule="exact"/>
        <w:ind w:firstLine="640"/>
        <w:textAlignment w:val="auto"/>
        <w:outlineLvl w:val="9"/>
        <w:rPr>
          <w:rFonts w:hint="default" w:ascii="Times New Roman" w:hAnsi="Times New Roman" w:eastAsia="仿宋" w:cs="Times New Roman"/>
          <w:kern w:val="30"/>
          <w:sz w:val="30"/>
          <w:szCs w:val="30"/>
          <w:lang w:val="en-US" w:eastAsia="zh-CN" w:bidi="ar-SA"/>
        </w:rPr>
      </w:pPr>
      <w:bookmarkStart w:id="51" w:name="_Toc11265"/>
      <w:bookmarkStart w:id="52" w:name="_Toc28767"/>
      <w:r>
        <w:rPr>
          <w:rFonts w:hint="default" w:ascii="Times New Roman" w:hAnsi="Times New Roman" w:eastAsia="仿宋" w:cs="Times New Roman"/>
          <w:kern w:val="30"/>
          <w:sz w:val="30"/>
          <w:szCs w:val="30"/>
          <w:lang w:val="en-US" w:eastAsia="zh-CN" w:bidi="ar-SA"/>
        </w:rPr>
        <w:t>本次评价对象为</w:t>
      </w:r>
      <w:r>
        <w:rPr>
          <w:rFonts w:hint="eastAsia"/>
          <w:lang w:val="en-US" w:eastAsia="zh-CN"/>
        </w:rPr>
        <w:t>推进爱国卫生7个专项行动工作补助经费项目</w:t>
      </w:r>
      <w:r>
        <w:rPr>
          <w:rFonts w:hint="default" w:ascii="Times New Roman" w:hAnsi="Times New Roman" w:eastAsia="仿宋" w:cs="Times New Roman"/>
          <w:kern w:val="30"/>
          <w:sz w:val="30"/>
          <w:szCs w:val="30"/>
          <w:lang w:val="en-US" w:eastAsia="zh-CN" w:bidi="ar-SA"/>
        </w:rPr>
        <w:t>，评价资金量</w:t>
      </w:r>
      <w:r>
        <w:rPr>
          <w:rFonts w:hint="eastAsia" w:ascii="Times New Roman" w:cs="Times New Roman"/>
          <w:kern w:val="30"/>
          <w:sz w:val="30"/>
          <w:szCs w:val="30"/>
          <w:highlight w:val="none"/>
          <w:lang w:val="en-US" w:eastAsia="zh-CN" w:bidi="ar-SA"/>
        </w:rPr>
        <w:t>44.56</w:t>
      </w:r>
      <w:r>
        <w:rPr>
          <w:rFonts w:hint="default" w:ascii="Times New Roman" w:hAnsi="Times New Roman" w:eastAsia="仿宋" w:cs="Times New Roman"/>
          <w:kern w:val="30"/>
          <w:sz w:val="30"/>
          <w:szCs w:val="30"/>
          <w:lang w:val="en-US" w:eastAsia="zh-CN" w:bidi="ar-SA"/>
        </w:rPr>
        <w:t>万元。评价的时间范围为202</w:t>
      </w:r>
      <w:r>
        <w:rPr>
          <w:rFonts w:hint="eastAsia" w:ascii="Times New Roman" w:cs="Times New Roman"/>
          <w:kern w:val="30"/>
          <w:sz w:val="30"/>
          <w:szCs w:val="30"/>
          <w:lang w:val="en-US" w:eastAsia="zh-CN" w:bidi="ar-SA"/>
        </w:rPr>
        <w:t>3</w:t>
      </w:r>
      <w:r>
        <w:rPr>
          <w:rFonts w:hint="default" w:ascii="Times New Roman" w:hAnsi="Times New Roman" w:eastAsia="仿宋" w:cs="Times New Roman"/>
          <w:kern w:val="30"/>
          <w:sz w:val="30"/>
          <w:szCs w:val="30"/>
          <w:lang w:val="en-US" w:eastAsia="zh-CN" w:bidi="ar-SA"/>
        </w:rPr>
        <w:t>年1月1日—202</w:t>
      </w:r>
      <w:r>
        <w:rPr>
          <w:rFonts w:hint="eastAsia" w:ascii="Times New Roman" w:cs="Times New Roman"/>
          <w:kern w:val="30"/>
          <w:sz w:val="30"/>
          <w:szCs w:val="30"/>
          <w:lang w:val="en-US" w:eastAsia="zh-CN" w:bidi="ar-SA"/>
        </w:rPr>
        <w:t>3</w:t>
      </w:r>
      <w:r>
        <w:rPr>
          <w:rFonts w:hint="default" w:ascii="Times New Roman" w:hAnsi="Times New Roman" w:eastAsia="仿宋" w:cs="Times New Roman"/>
          <w:kern w:val="30"/>
          <w:sz w:val="30"/>
          <w:szCs w:val="30"/>
          <w:lang w:val="en-US" w:eastAsia="zh-CN" w:bidi="ar-SA"/>
        </w:rPr>
        <w:t>年12月31日。</w:t>
      </w:r>
    </w:p>
    <w:p w14:paraId="1F158A2C">
      <w:pPr>
        <w:pStyle w:val="32"/>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53" w:name="_Toc4175"/>
      <w:r>
        <w:rPr>
          <w:rFonts w:hint="default" w:ascii="Times New Roman" w:hAnsi="Times New Roman" w:cs="Times New Roman"/>
        </w:rPr>
        <w:t>（</w:t>
      </w:r>
      <w:r>
        <w:rPr>
          <w:rFonts w:hint="default" w:ascii="Times New Roman" w:hAnsi="Times New Roman" w:cs="Times New Roman"/>
          <w:lang w:val="en-US" w:eastAsia="zh-CN"/>
        </w:rPr>
        <w:t>二</w:t>
      </w:r>
      <w:r>
        <w:rPr>
          <w:rFonts w:hint="default" w:ascii="Times New Roman" w:hAnsi="Times New Roman" w:cs="Times New Roman"/>
        </w:rPr>
        <w:t>）</w:t>
      </w:r>
      <w:r>
        <w:rPr>
          <w:rFonts w:hint="default" w:ascii="Times New Roman" w:hAnsi="Times New Roman" w:cs="Times New Roman"/>
          <w:lang w:val="en-US" w:eastAsia="zh-CN"/>
        </w:rPr>
        <w:t>绩效评价原则、评价指标体系和等级、评价方法、评价抽样</w:t>
      </w:r>
      <w:bookmarkEnd w:id="50"/>
      <w:bookmarkEnd w:id="51"/>
      <w:bookmarkEnd w:id="52"/>
      <w:bookmarkEnd w:id="53"/>
    </w:p>
    <w:p w14:paraId="44DF83D8">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1.绩效评价原则</w:t>
      </w:r>
    </w:p>
    <w:p w14:paraId="085F0AF0">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本次绩效评价严格遵循公平、客观、可行、公开的基本原则：</w:t>
      </w:r>
    </w:p>
    <w:p w14:paraId="67B4736E">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cs="Times New Roman"/>
          <w:szCs w:val="30"/>
          <w:lang w:val="en-US" w:eastAsia="zh-CN"/>
        </w:rPr>
        <w:t>（1）公平性原则。坚持公平的原则客观真实地反映绩效评价结果，运用科学合理的方法，按照规范的程序，对项目绩效进行</w:t>
      </w:r>
      <w:r>
        <w:rPr>
          <w:rFonts w:hint="default" w:ascii="Times New Roman" w:hAnsi="Times New Roman" w:eastAsia="仿宋" w:cs="Times New Roman"/>
          <w:kern w:val="30"/>
          <w:sz w:val="30"/>
          <w:szCs w:val="30"/>
          <w:lang w:val="en-US" w:eastAsia="zh-CN" w:bidi="ar-SA"/>
        </w:rPr>
        <w:t>客观、公正地反映。</w:t>
      </w:r>
    </w:p>
    <w:p w14:paraId="7B740C8C">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（2）客观性原则。绩效评价过程中将考核标准与绩效目标进行紧密联系，采取公众评判法、成本分析法等方法，以事实为依据，以数据为基础，客观真实评价项目整体效益。</w:t>
      </w:r>
    </w:p>
    <w:p w14:paraId="332DE07D">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（3）可行性原则。绩效评价标准应客观反映被评价单位的履职情况，评价的数据来源应具备明确的收集渠道，绩效指标应具备可考核性，保证绩效评价工作的可操作性。</w:t>
      </w:r>
    </w:p>
    <w:p w14:paraId="503BFFEA">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（4）公开性原则。绩效评价过程中评价内容、评价标准、评价结果应对被评价单位公开，避免评价结论出现误判。</w:t>
      </w:r>
    </w:p>
    <w:p w14:paraId="592C3A51">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2.绩效评价指标体系和等级</w:t>
      </w:r>
    </w:p>
    <w:p w14:paraId="623AF8C2">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bookmarkStart w:id="54" w:name="_Toc48250777"/>
      <w:bookmarkStart w:id="55" w:name="_Toc1625"/>
      <w:r>
        <w:rPr>
          <w:rFonts w:hint="default" w:ascii="Times New Roman" w:hAnsi="Times New Roman" w:eastAsia="仿宋" w:cs="Times New Roman"/>
          <w:lang w:val="en-US" w:eastAsia="zh-CN"/>
        </w:rPr>
        <w:t>根据《财政部关于印发〈预算绩效评价共性指标体系框架〉的通知》（财预〔2013〕53号）、《财政部关于印发〈项目支出绩效评价管理办法〉的通知》（财预〔2020〕10号）、《云南省财政厅关于印发〈云南省项目支出绩效评价管理办法〉的</w:t>
      </w:r>
      <w:r>
        <w:rPr>
          <w:rFonts w:hint="default" w:ascii="Times New Roman" w:hAnsi="Times New Roman" w:eastAsia="仿宋" w:cs="Times New Roman"/>
          <w:kern w:val="30"/>
          <w:sz w:val="30"/>
          <w:szCs w:val="30"/>
          <w:lang w:val="en-US" w:eastAsia="zh-CN" w:bidi="ar-SA"/>
        </w:rPr>
        <w:t>通知》（云财绩〔2020〕11号）等文件要求，按照绩效评价的基本原理、原则和项目特点，绩效评价工作组在绩效评价共性指标体系的基础上，结合项目实施内容，设置了针对本项目的指标体系及评价标准。</w:t>
      </w:r>
      <w:bookmarkEnd w:id="54"/>
      <w:bookmarkEnd w:id="55"/>
    </w:p>
    <w:p w14:paraId="206FA706">
      <w:pPr>
        <w:keepNext w:val="0"/>
        <w:keepLines w:val="0"/>
        <w:pageBreakBefore w:val="0"/>
        <w:shd w:val="clear"/>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highlight w:val="none"/>
          <w:lang w:val="en-US" w:eastAsia="zh-CN" w:bidi="ar-SA"/>
        </w:rPr>
      </w:pPr>
      <w:r>
        <w:rPr>
          <w:rFonts w:hint="default" w:ascii="Times New Roman" w:hAnsi="Times New Roman" w:eastAsia="仿宋" w:cs="Times New Roman"/>
          <w:kern w:val="30"/>
          <w:sz w:val="30"/>
          <w:szCs w:val="30"/>
          <w:highlight w:val="none"/>
          <w:lang w:val="en-US" w:eastAsia="zh-CN" w:bidi="ar-SA"/>
        </w:rPr>
        <w:t>评价指标体系包括决策、过程、产出和效益4个一级指标，下设1</w:t>
      </w:r>
      <w:r>
        <w:rPr>
          <w:rFonts w:hint="eastAsia" w:ascii="Times New Roman" w:cs="Times New Roman"/>
          <w:kern w:val="30"/>
          <w:sz w:val="30"/>
          <w:szCs w:val="30"/>
          <w:highlight w:val="none"/>
          <w:lang w:val="en-US" w:eastAsia="zh-CN" w:bidi="ar-SA"/>
        </w:rPr>
        <w:t>0</w:t>
      </w:r>
      <w:r>
        <w:rPr>
          <w:rFonts w:hint="default" w:ascii="Times New Roman" w:hAnsi="Times New Roman" w:eastAsia="仿宋" w:cs="Times New Roman"/>
          <w:kern w:val="30"/>
          <w:sz w:val="30"/>
          <w:szCs w:val="30"/>
          <w:highlight w:val="none"/>
          <w:lang w:val="en-US" w:eastAsia="zh-CN" w:bidi="ar-SA"/>
        </w:rPr>
        <w:t>个二级指标和</w:t>
      </w:r>
      <w:r>
        <w:rPr>
          <w:rFonts w:hint="eastAsia" w:ascii="Times New Roman" w:cs="Times New Roman"/>
          <w:kern w:val="30"/>
          <w:sz w:val="30"/>
          <w:szCs w:val="30"/>
          <w:highlight w:val="none"/>
          <w:lang w:val="en-US" w:eastAsia="zh-CN" w:bidi="ar-SA"/>
        </w:rPr>
        <w:t>22</w:t>
      </w:r>
      <w:r>
        <w:rPr>
          <w:rFonts w:hint="default" w:ascii="Times New Roman" w:hAnsi="Times New Roman" w:eastAsia="仿宋" w:cs="Times New Roman"/>
          <w:kern w:val="30"/>
          <w:sz w:val="30"/>
          <w:szCs w:val="30"/>
          <w:highlight w:val="none"/>
          <w:lang w:val="en-US" w:eastAsia="zh-CN" w:bidi="ar-SA"/>
        </w:rPr>
        <w:t>个三级指标。综合绩效评价总分值为100分，其中决策分值15分，过程分值20分，产出分值35分，效益分值30分。本次绩效评价结果共分为4个等级：综合得分在90</w:t>
      </w:r>
      <w:r>
        <w:rPr>
          <w:rFonts w:hint="eastAsia" w:ascii="Times New Roman" w:cs="Times New Roman"/>
          <w:kern w:val="30"/>
          <w:sz w:val="30"/>
          <w:szCs w:val="30"/>
          <w:highlight w:val="none"/>
          <w:lang w:val="en-US" w:eastAsia="zh-CN" w:bidi="ar-SA"/>
        </w:rPr>
        <w:t>—</w:t>
      </w:r>
      <w:r>
        <w:rPr>
          <w:rFonts w:hint="default" w:ascii="Times New Roman" w:hAnsi="Times New Roman" w:eastAsia="仿宋" w:cs="Times New Roman"/>
          <w:kern w:val="30"/>
          <w:sz w:val="30"/>
          <w:szCs w:val="30"/>
          <w:highlight w:val="none"/>
          <w:lang w:val="en-US" w:eastAsia="zh-CN" w:bidi="ar-SA"/>
        </w:rPr>
        <w:t>100分（含90分）为优；综合得分在80</w:t>
      </w:r>
      <w:r>
        <w:rPr>
          <w:rFonts w:hint="eastAsia" w:ascii="Times New Roman" w:cs="Times New Roman"/>
          <w:kern w:val="30"/>
          <w:sz w:val="30"/>
          <w:szCs w:val="30"/>
          <w:highlight w:val="none"/>
          <w:lang w:val="en-US" w:eastAsia="zh-CN" w:bidi="ar-SA"/>
        </w:rPr>
        <w:t>—</w:t>
      </w:r>
      <w:r>
        <w:rPr>
          <w:rFonts w:hint="default" w:ascii="Times New Roman" w:hAnsi="Times New Roman" w:eastAsia="仿宋" w:cs="Times New Roman"/>
          <w:kern w:val="30"/>
          <w:sz w:val="30"/>
          <w:szCs w:val="30"/>
          <w:highlight w:val="none"/>
          <w:lang w:val="en-US" w:eastAsia="zh-CN" w:bidi="ar-SA"/>
        </w:rPr>
        <w:t>89分（含80分）为良；综合得分在60</w:t>
      </w:r>
      <w:r>
        <w:rPr>
          <w:rFonts w:hint="eastAsia" w:ascii="Times New Roman" w:cs="Times New Roman"/>
          <w:kern w:val="30"/>
          <w:sz w:val="30"/>
          <w:szCs w:val="30"/>
          <w:highlight w:val="none"/>
          <w:lang w:val="en-US" w:eastAsia="zh-CN" w:bidi="ar-SA"/>
        </w:rPr>
        <w:t>—</w:t>
      </w:r>
      <w:r>
        <w:rPr>
          <w:rFonts w:hint="default" w:ascii="Times New Roman" w:hAnsi="Times New Roman" w:eastAsia="仿宋" w:cs="Times New Roman"/>
          <w:kern w:val="30"/>
          <w:sz w:val="30"/>
          <w:szCs w:val="30"/>
          <w:highlight w:val="none"/>
          <w:lang w:val="en-US" w:eastAsia="zh-CN" w:bidi="ar-SA"/>
        </w:rPr>
        <w:t>79分（含60分）为中；综合得分在60分以下为差。</w:t>
      </w:r>
    </w:p>
    <w:p w14:paraId="7603AD1B">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3.绩效评价方法</w:t>
      </w:r>
    </w:p>
    <w:p w14:paraId="52321B0C">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本次绩效评价严格按照《财政部关于印发〈项目支出绩效评价管理办法〉的通知》（财预〔2020〕10号）、《云南省财政厅关于印发〈云南省项目支出绩效评价管理办法〉的通知》（云财绩〔2020〕11号）等文件规定，采用定量与定性相结合、审阅自评相结合，对收集的相关基础资料，在归集、整理、分析的基础上，选择比较法、因素分析法、公众评判法、专家评议等评价方法。</w:t>
      </w:r>
    </w:p>
    <w:p w14:paraId="4C256E1F">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（1）比较法。通过对绩效目标和实施效果、历史和当期情况、不同部门和地区同类支出的比较，综合分析其绩效目标的实现程度。</w:t>
      </w:r>
    </w:p>
    <w:p w14:paraId="4E44ED13">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（2）因素分析法。通过综合分析影响项目资金支出绩效目标实现、实施效果的内外因素，评价项目绩效。</w:t>
      </w:r>
    </w:p>
    <w:p w14:paraId="25C5FC2E">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（3）公众评判法。通过专家评估、公众问卷及抽样调查等对财政支出效果进行评判，评价绩效目标实现程度。</w:t>
      </w:r>
    </w:p>
    <w:p w14:paraId="5CD4B341">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4）查问询证法和实地考察法。通过对项目采取书面材料检查、实地勘察、访谈等方式，对有关情况包括自评材料反映信息的真实性、准确性、全面性等进行深入具体、独立客观地了解与核实，形成书面及现场分析评价意见。</w:t>
      </w:r>
    </w:p>
    <w:p w14:paraId="3B8AF83C">
      <w:pPr>
        <w:pStyle w:val="32"/>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56" w:name="_Toc28874"/>
      <w:bookmarkStart w:id="57" w:name="_Toc554"/>
      <w:bookmarkStart w:id="58" w:name="_Toc14103"/>
      <w:bookmarkStart w:id="59" w:name="_Toc27181"/>
      <w:r>
        <w:rPr>
          <w:rFonts w:hint="default" w:ascii="Times New Roman" w:hAnsi="Times New Roman" w:cs="Times New Roman"/>
        </w:rPr>
        <w:t>（</w:t>
      </w:r>
      <w:r>
        <w:rPr>
          <w:rFonts w:hint="default" w:ascii="Times New Roman" w:hAnsi="Times New Roman" w:cs="Times New Roman"/>
          <w:lang w:val="en-US" w:eastAsia="zh-CN"/>
        </w:rPr>
        <w:t>三</w:t>
      </w:r>
      <w:r>
        <w:rPr>
          <w:rFonts w:hint="default" w:ascii="Times New Roman" w:hAnsi="Times New Roman" w:cs="Times New Roman"/>
        </w:rPr>
        <w:t>）</w:t>
      </w:r>
      <w:r>
        <w:rPr>
          <w:rFonts w:hint="default" w:ascii="Times New Roman" w:hAnsi="Times New Roman" w:cs="Times New Roman"/>
          <w:lang w:val="en-US" w:eastAsia="zh-CN"/>
        </w:rPr>
        <w:t>绩效评价工作过程</w:t>
      </w:r>
      <w:bookmarkEnd w:id="56"/>
      <w:bookmarkEnd w:id="57"/>
      <w:bookmarkEnd w:id="58"/>
      <w:bookmarkEnd w:id="59"/>
    </w:p>
    <w:p w14:paraId="7713543B">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1.资料收集</w:t>
      </w:r>
    </w:p>
    <w:p w14:paraId="2827D39A">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cs="Times New Roman"/>
          <w:szCs w:val="30"/>
          <w:lang w:val="en-US" w:eastAsia="zh-CN"/>
        </w:rPr>
      </w:pPr>
      <w:r>
        <w:rPr>
          <w:rFonts w:hint="eastAsia" w:ascii="Times New Roman" w:cs="Times New Roman"/>
          <w:szCs w:val="30"/>
          <w:lang w:val="en-US" w:eastAsia="zh-CN"/>
        </w:rPr>
        <w:t>池砾公司</w:t>
      </w:r>
      <w:r>
        <w:rPr>
          <w:rFonts w:hint="default" w:ascii="Times New Roman" w:hAnsi="Times New Roman" w:cs="Times New Roman"/>
          <w:szCs w:val="30"/>
          <w:lang w:val="en-US" w:eastAsia="zh-CN"/>
        </w:rPr>
        <w:t>成立绩效评价工作组，了解并收集与绩效评价项目相关的文件、资料，为研究制定绩效评价工作方案做好前期准备。</w:t>
      </w:r>
    </w:p>
    <w:p w14:paraId="642E6596">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2.编制实施方案</w:t>
      </w:r>
    </w:p>
    <w:p w14:paraId="5A649043">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结合项目资料设计绩效评价指标体系、调查问卷等工作底稿。</w:t>
      </w:r>
    </w:p>
    <w:p w14:paraId="63D121AE">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3.实施方案评审</w:t>
      </w:r>
    </w:p>
    <w:p w14:paraId="31EC9C08">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由</w:t>
      </w:r>
      <w:r>
        <w:rPr>
          <w:rFonts w:hint="eastAsia" w:ascii="Times New Roman" w:cs="Times New Roman"/>
          <w:szCs w:val="30"/>
          <w:lang w:val="en-US" w:eastAsia="zh-CN"/>
        </w:rPr>
        <w:t>区</w:t>
      </w:r>
      <w:r>
        <w:rPr>
          <w:rFonts w:hint="default" w:ascii="Times New Roman" w:hAnsi="Times New Roman" w:cs="Times New Roman"/>
          <w:szCs w:val="30"/>
          <w:lang w:val="en-US" w:eastAsia="zh-CN"/>
        </w:rPr>
        <w:t>财政局组织实施方案评审，形成方案修改意见，修改形成方案终稿。</w:t>
      </w:r>
    </w:p>
    <w:p w14:paraId="34F088F8">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4.实地调研</w:t>
      </w:r>
    </w:p>
    <w:p w14:paraId="6BA033A9">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根据项目分组安排，前往现场与相关部门对接并进行现场调研，包括资料核查、访谈、数据收集及问卷调查等工作。</w:t>
      </w:r>
    </w:p>
    <w:p w14:paraId="3DE6B225">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5.撰写绩效评价报告</w:t>
      </w:r>
    </w:p>
    <w:p w14:paraId="369173B0">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color w:val="auto"/>
          <w:szCs w:val="30"/>
          <w:lang w:val="en-US" w:eastAsia="zh-CN"/>
        </w:rPr>
      </w:pPr>
      <w:r>
        <w:rPr>
          <w:rFonts w:hint="default" w:ascii="Times New Roman" w:hAnsi="Times New Roman" w:eastAsia="仿宋" w:cs="Times New Roman"/>
          <w:color w:val="auto"/>
          <w:szCs w:val="30"/>
          <w:lang w:val="en-US" w:eastAsia="zh-CN"/>
        </w:rPr>
        <w:t>分析资料，统计数据，根据相应标准，进行综合性评价，完成绩效评分，并形成评价结论；根据评价结论撰写绩效评价报告初稿。</w:t>
      </w:r>
    </w:p>
    <w:p w14:paraId="3E445DC5">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6.绩效评价报告评审</w:t>
      </w:r>
    </w:p>
    <w:p w14:paraId="5DB1AFFB">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color w:val="auto"/>
          <w:szCs w:val="30"/>
          <w:lang w:val="en-US" w:eastAsia="zh-CN"/>
        </w:rPr>
      </w:pPr>
      <w:r>
        <w:rPr>
          <w:rFonts w:hint="default" w:ascii="Times New Roman" w:hAnsi="Times New Roman" w:eastAsia="仿宋" w:cs="Times New Roman"/>
          <w:color w:val="auto"/>
          <w:szCs w:val="30"/>
          <w:lang w:val="en-US" w:eastAsia="zh-CN"/>
        </w:rPr>
        <w:t>由</w:t>
      </w:r>
      <w:r>
        <w:rPr>
          <w:rFonts w:hint="eastAsia" w:ascii="Times New Roman" w:cs="Times New Roman"/>
          <w:color w:val="auto"/>
          <w:szCs w:val="30"/>
          <w:lang w:val="en-US" w:eastAsia="zh-CN"/>
        </w:rPr>
        <w:t>区</w:t>
      </w:r>
      <w:r>
        <w:rPr>
          <w:rFonts w:hint="default" w:ascii="Times New Roman" w:hAnsi="Times New Roman" w:eastAsia="仿宋" w:cs="Times New Roman"/>
          <w:color w:val="auto"/>
          <w:szCs w:val="30"/>
          <w:lang w:val="en-US" w:eastAsia="zh-CN"/>
        </w:rPr>
        <w:t>财政局组织绩效评价报告评审，形成报告修改意见；根据修改意见修改报告形成最终稿。</w:t>
      </w:r>
    </w:p>
    <w:p w14:paraId="662AC720">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7.撰写绩效评价汇总报告</w:t>
      </w:r>
    </w:p>
    <w:p w14:paraId="23DE141F">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黑体" w:cs="Times New Roman"/>
          <w:szCs w:val="30"/>
          <w:lang w:val="en-US" w:eastAsia="zh-CN"/>
        </w:rPr>
      </w:pPr>
      <w:r>
        <w:rPr>
          <w:rFonts w:hint="default" w:ascii="Times New Roman" w:hAnsi="Times New Roman" w:cs="Times New Roman"/>
          <w:szCs w:val="30"/>
          <w:lang w:val="en-US" w:eastAsia="zh-CN"/>
        </w:rPr>
        <w:t>根据各项目绩效评价结果撰写绩效评价汇总报告。</w:t>
      </w:r>
      <w:bookmarkEnd w:id="44"/>
      <w:bookmarkEnd w:id="45"/>
    </w:p>
    <w:p w14:paraId="0595A9C5">
      <w:pPr>
        <w:pStyle w:val="31"/>
        <w:keepNext w:val="0"/>
        <w:keepLines w:val="0"/>
        <w:pageBreakBefore w:val="0"/>
        <w:numPr>
          <w:ilvl w:val="0"/>
          <w:numId w:val="0"/>
        </w:numPr>
        <w:kinsoku/>
        <w:wordWrap/>
        <w:overflowPunct/>
        <w:topLinePunct w:val="0"/>
        <w:autoSpaceDE/>
        <w:autoSpaceDN/>
        <w:bidi w:val="0"/>
        <w:adjustRightInd/>
        <w:spacing w:line="579" w:lineRule="exact"/>
        <w:ind w:firstLine="630" w:firstLineChars="200"/>
        <w:textAlignment w:val="auto"/>
        <w:rPr>
          <w:rFonts w:hint="default" w:ascii="Times New Roman" w:hAnsi="Times New Roman" w:cs="Times New Roman"/>
          <w:lang w:val="en-US" w:eastAsia="zh-CN"/>
        </w:rPr>
      </w:pPr>
      <w:bookmarkStart w:id="60" w:name="_Toc18918"/>
      <w:r>
        <w:rPr>
          <w:rFonts w:hint="default" w:ascii="Times New Roman" w:hAnsi="Times New Roman" w:cs="Times New Roman"/>
          <w:lang w:val="en-US" w:eastAsia="zh-CN"/>
        </w:rPr>
        <w:t>三、绩效评价结论</w:t>
      </w:r>
      <w:bookmarkEnd w:id="60"/>
    </w:p>
    <w:p w14:paraId="37A61746">
      <w:pPr>
        <w:pStyle w:val="32"/>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rPr>
      </w:pPr>
      <w:bookmarkStart w:id="61" w:name="_Toc23165"/>
      <w:r>
        <w:rPr>
          <w:rFonts w:hint="default" w:ascii="Times New Roman" w:hAnsi="Times New Roman" w:cs="Times New Roman"/>
        </w:rPr>
        <w:t>（一）</w:t>
      </w:r>
      <w:r>
        <w:rPr>
          <w:rFonts w:hint="default" w:ascii="Times New Roman" w:hAnsi="Times New Roman" w:cs="Times New Roman"/>
          <w:shd w:val="clear" w:fill="auto"/>
          <w:lang w:eastAsia="zh-CN"/>
        </w:rPr>
        <w:t>绩效评价</w:t>
      </w:r>
      <w:r>
        <w:rPr>
          <w:rFonts w:hint="default" w:ascii="Times New Roman" w:hAnsi="Times New Roman" w:cs="Times New Roman"/>
          <w:shd w:val="clear" w:fill="auto"/>
        </w:rPr>
        <w:t>综合</w:t>
      </w:r>
      <w:r>
        <w:rPr>
          <w:rFonts w:hint="default" w:ascii="Times New Roman" w:hAnsi="Times New Roman" w:cs="Times New Roman"/>
        </w:rPr>
        <w:t>结论</w:t>
      </w:r>
      <w:bookmarkEnd w:id="61"/>
    </w:p>
    <w:p w14:paraId="68F85703">
      <w:pPr>
        <w:keepNext w:val="0"/>
        <w:keepLines w:val="0"/>
        <w:pageBreakBefore w:val="0"/>
        <w:kinsoku/>
        <w:wordWrap/>
        <w:overflowPunct/>
        <w:topLinePunct w:val="0"/>
        <w:autoSpaceDE/>
        <w:autoSpaceDN/>
        <w:bidi w:val="0"/>
        <w:adjustRightInd/>
        <w:spacing w:line="579" w:lineRule="exact"/>
        <w:ind w:firstLine="630" w:firstLineChars="200"/>
        <w:textAlignment w:val="auto"/>
        <w:rPr>
          <w:rFonts w:hint="default" w:ascii="Times New Roman" w:hAnsi="Times New Roman" w:cs="Times New Roman"/>
          <w:szCs w:val="30"/>
        </w:rPr>
      </w:pPr>
      <w:bookmarkStart w:id="62" w:name="_Hlk525314439"/>
      <w:r>
        <w:rPr>
          <w:rFonts w:hint="eastAsia"/>
          <w:lang w:val="en-US" w:eastAsia="zh-CN"/>
        </w:rPr>
        <w:t>推进爱国卫生7个专项行动工作补助经费项目</w:t>
      </w:r>
      <w:r>
        <w:rPr>
          <w:rFonts w:hint="default" w:ascii="Times New Roman" w:hAnsi="Times New Roman" w:cs="Times New Roman"/>
          <w:szCs w:val="30"/>
          <w:lang w:eastAsia="zh-CN"/>
        </w:rPr>
        <w:t>绩效</w:t>
      </w:r>
      <w:r>
        <w:rPr>
          <w:rFonts w:hint="default" w:ascii="Times New Roman" w:hAnsi="Times New Roman" w:cs="Times New Roman"/>
          <w:szCs w:val="30"/>
          <w:highlight w:val="none"/>
          <w:lang w:eastAsia="zh-CN"/>
        </w:rPr>
        <w:t>评价</w:t>
      </w:r>
      <w:r>
        <w:rPr>
          <w:rFonts w:hint="default" w:ascii="Times New Roman" w:hAnsi="Times New Roman" w:cs="Times New Roman"/>
          <w:szCs w:val="30"/>
          <w:highlight w:val="none"/>
        </w:rPr>
        <w:t>得分</w:t>
      </w:r>
      <w:r>
        <w:rPr>
          <w:rFonts w:hint="eastAsia" w:ascii="Times New Roman" w:cs="Times New Roman"/>
          <w:szCs w:val="30"/>
          <w:highlight w:val="none"/>
          <w:lang w:val="en-US" w:eastAsia="zh-CN"/>
        </w:rPr>
        <w:t>89.00</w:t>
      </w:r>
      <w:r>
        <w:rPr>
          <w:rFonts w:hint="default" w:ascii="Times New Roman" w:hAnsi="Times New Roman" w:cs="Times New Roman"/>
          <w:szCs w:val="30"/>
          <w:highlight w:val="none"/>
        </w:rPr>
        <w:t>分，评价等级为</w:t>
      </w:r>
      <w:r>
        <w:rPr>
          <w:rFonts w:hint="default" w:ascii="Times New Roman" w:hAnsi="Times New Roman" w:cs="Times New Roman"/>
          <w:szCs w:val="30"/>
          <w:highlight w:val="none"/>
          <w:lang w:eastAsia="zh-CN"/>
        </w:rPr>
        <w:t>“</w:t>
      </w:r>
      <w:r>
        <w:rPr>
          <w:rFonts w:hint="eastAsia" w:ascii="Times New Roman" w:cs="Times New Roman"/>
          <w:szCs w:val="30"/>
          <w:highlight w:val="none"/>
          <w:lang w:val="en-US" w:eastAsia="zh-CN"/>
        </w:rPr>
        <w:t>良</w:t>
      </w:r>
      <w:r>
        <w:rPr>
          <w:rFonts w:hint="default" w:ascii="Times New Roman" w:hAnsi="Times New Roman" w:cs="Times New Roman"/>
          <w:szCs w:val="30"/>
          <w:highlight w:val="none"/>
          <w:lang w:eastAsia="zh-CN"/>
        </w:rPr>
        <w:t>”</w:t>
      </w:r>
      <w:r>
        <w:rPr>
          <w:rFonts w:hint="default" w:ascii="Times New Roman" w:hAnsi="Times New Roman" w:cs="Times New Roman"/>
          <w:szCs w:val="30"/>
          <w:highlight w:val="none"/>
        </w:rPr>
        <w:t>。一级指标具体得分情况详见下表：</w:t>
      </w:r>
    </w:p>
    <w:p w14:paraId="5DBC724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sz w:val="24"/>
          <w:szCs w:val="24"/>
        </w:rPr>
      </w:pPr>
      <w:r>
        <w:rPr>
          <w:rFonts w:hint="eastAsia" w:ascii="Times New Roman" w:eastAsia="黑体" w:cs="Times New Roman"/>
          <w:b w:val="0"/>
          <w:bCs/>
          <w:sz w:val="24"/>
          <w:szCs w:val="24"/>
          <w:lang w:val="en-US" w:eastAsia="zh-CN"/>
        </w:rPr>
        <w:t xml:space="preserve">表4 </w:t>
      </w:r>
      <w:r>
        <w:rPr>
          <w:rFonts w:hint="default" w:ascii="Times New Roman" w:hAnsi="Times New Roman" w:eastAsia="黑体" w:cs="Times New Roman"/>
          <w:b w:val="0"/>
          <w:bCs/>
          <w:sz w:val="24"/>
          <w:szCs w:val="24"/>
          <w:lang w:eastAsia="zh-CN"/>
        </w:rPr>
        <w:t>绩效评价</w:t>
      </w:r>
      <w:r>
        <w:rPr>
          <w:rFonts w:hint="default" w:ascii="Times New Roman" w:hAnsi="Times New Roman" w:eastAsia="黑体" w:cs="Times New Roman"/>
          <w:b w:val="0"/>
          <w:bCs/>
          <w:sz w:val="24"/>
          <w:szCs w:val="24"/>
        </w:rPr>
        <w:t>得分情况表</w:t>
      </w:r>
    </w:p>
    <w:tbl>
      <w:tblPr>
        <w:tblStyle w:val="22"/>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2212"/>
        <w:gridCol w:w="2211"/>
        <w:gridCol w:w="2211"/>
        <w:gridCol w:w="2211"/>
      </w:tblGrid>
      <w:tr w14:paraId="3538F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tblHeader/>
          <w:jc w:val="center"/>
        </w:trPr>
        <w:tc>
          <w:tcPr>
            <w:tcW w:w="2212" w:type="dxa"/>
            <w:tcBorders>
              <w:top w:val="single" w:color="auto" w:sz="4" w:space="0"/>
            </w:tcBorders>
            <w:vAlign w:val="center"/>
          </w:tcPr>
          <w:p w14:paraId="32CFA9CE">
            <w:pPr>
              <w:snapToGrid w:val="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一级指标</w:t>
            </w:r>
          </w:p>
        </w:tc>
        <w:tc>
          <w:tcPr>
            <w:tcW w:w="2211" w:type="dxa"/>
            <w:tcBorders>
              <w:top w:val="single" w:color="auto" w:sz="4" w:space="0"/>
            </w:tcBorders>
            <w:vAlign w:val="center"/>
          </w:tcPr>
          <w:p w14:paraId="048A5159">
            <w:pPr>
              <w:snapToGrid w:val="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指标分值</w:t>
            </w:r>
          </w:p>
        </w:tc>
        <w:tc>
          <w:tcPr>
            <w:tcW w:w="2211" w:type="dxa"/>
            <w:tcBorders>
              <w:top w:val="single" w:color="auto" w:sz="4" w:space="0"/>
            </w:tcBorders>
            <w:vAlign w:val="center"/>
          </w:tcPr>
          <w:p w14:paraId="08FC3368">
            <w:pPr>
              <w:snapToGrid w:val="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评价得分</w:t>
            </w:r>
          </w:p>
        </w:tc>
        <w:tc>
          <w:tcPr>
            <w:tcW w:w="2211" w:type="dxa"/>
            <w:tcBorders>
              <w:top w:val="single" w:color="auto" w:sz="4" w:space="0"/>
            </w:tcBorders>
            <w:vAlign w:val="center"/>
          </w:tcPr>
          <w:p w14:paraId="024B92D8">
            <w:pPr>
              <w:snapToGrid w:val="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得分率</w:t>
            </w:r>
          </w:p>
        </w:tc>
      </w:tr>
      <w:tr w14:paraId="1CFA1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604D309A">
            <w:pPr>
              <w:snapToGrid w:val="0"/>
              <w:jc w:val="center"/>
              <w:rPr>
                <w:rFonts w:hint="default" w:ascii="Times New Roman" w:hAnsi="Times New Roman" w:eastAsia="仿宋" w:cs="Times New Roman"/>
                <w:bCs/>
                <w:spacing w:val="6"/>
                <w:sz w:val="21"/>
                <w:lang w:eastAsia="zh-CN"/>
              </w:rPr>
            </w:pPr>
            <w:r>
              <w:rPr>
                <w:rFonts w:hint="default" w:ascii="Times New Roman" w:hAnsi="Times New Roman" w:cs="Times New Roman"/>
                <w:bCs/>
                <w:spacing w:val="6"/>
                <w:sz w:val="21"/>
                <w:lang w:val="en-US" w:eastAsia="zh-CN"/>
              </w:rPr>
              <w:t>决策</w:t>
            </w:r>
          </w:p>
        </w:tc>
        <w:tc>
          <w:tcPr>
            <w:tcW w:w="2211" w:type="dxa"/>
            <w:vAlign w:val="center"/>
          </w:tcPr>
          <w:p w14:paraId="6337F938">
            <w:pPr>
              <w:snapToGrid w:val="0"/>
              <w:jc w:val="center"/>
              <w:rPr>
                <w:rFonts w:hint="default" w:ascii="Times New Roman" w:hAnsi="Times New Roman" w:cs="Times New Roman"/>
                <w:bCs/>
                <w:spacing w:val="6"/>
                <w:sz w:val="21"/>
              </w:rPr>
            </w:pPr>
            <w:r>
              <w:rPr>
                <w:rFonts w:hint="default" w:ascii="Times New Roman" w:hAnsi="Times New Roman" w:cs="Times New Roman"/>
                <w:bCs/>
                <w:spacing w:val="6"/>
                <w:sz w:val="21"/>
              </w:rPr>
              <w:t>15</w:t>
            </w:r>
            <w:r>
              <w:rPr>
                <w:rFonts w:hint="eastAsia" w:ascii="Times New Roman" w:cs="Times New Roman"/>
                <w:bCs/>
                <w:spacing w:val="6"/>
                <w:sz w:val="21"/>
                <w:lang w:val="en-US" w:eastAsia="zh-CN"/>
              </w:rPr>
              <w:t>.00</w:t>
            </w:r>
          </w:p>
        </w:tc>
        <w:tc>
          <w:tcPr>
            <w:tcW w:w="2211" w:type="dxa"/>
            <w:vAlign w:val="center"/>
          </w:tcPr>
          <w:p w14:paraId="782B35E9">
            <w:pPr>
              <w:snapToGrid w:val="0"/>
              <w:jc w:val="center"/>
              <w:rPr>
                <w:rFonts w:hint="default" w:ascii="Times New Roman" w:hAnsi="Times New Roman" w:eastAsia="仿宋" w:cs="Times New Roman"/>
                <w:bCs/>
                <w:spacing w:val="6"/>
                <w:sz w:val="21"/>
                <w:lang w:val="en-US" w:eastAsia="zh-CN"/>
              </w:rPr>
            </w:pPr>
            <w:r>
              <w:rPr>
                <w:rFonts w:hint="eastAsia" w:ascii="Times New Roman" w:cs="Times New Roman"/>
                <w:bCs/>
                <w:spacing w:val="6"/>
                <w:sz w:val="21"/>
                <w:lang w:val="en-US" w:eastAsia="zh-CN"/>
              </w:rPr>
              <w:t>14.00</w:t>
            </w:r>
          </w:p>
        </w:tc>
        <w:tc>
          <w:tcPr>
            <w:tcW w:w="2211" w:type="dxa"/>
            <w:vAlign w:val="center"/>
          </w:tcPr>
          <w:p w14:paraId="2F52498A">
            <w:pPr>
              <w:snapToGrid w:val="0"/>
              <w:jc w:val="center"/>
              <w:rPr>
                <w:rFonts w:hint="default" w:ascii="Times New Roman" w:hAnsi="Times New Roman" w:eastAsia="仿宋" w:cs="Times New Roman"/>
                <w:bCs/>
                <w:spacing w:val="6"/>
                <w:sz w:val="21"/>
                <w:lang w:val="en-US" w:eastAsia="zh-CN"/>
              </w:rPr>
            </w:pPr>
            <w:r>
              <w:rPr>
                <w:rFonts w:hint="eastAsia" w:ascii="Times New Roman" w:cs="Times New Roman"/>
                <w:bCs/>
                <w:spacing w:val="6"/>
                <w:sz w:val="21"/>
                <w:lang w:val="en-US" w:eastAsia="zh-CN"/>
              </w:rPr>
              <w:t>93.33%</w:t>
            </w:r>
          </w:p>
        </w:tc>
      </w:tr>
      <w:tr w14:paraId="6193D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785FAA54">
            <w:pPr>
              <w:snapToGrid w:val="0"/>
              <w:jc w:val="center"/>
              <w:rPr>
                <w:rFonts w:hint="default" w:ascii="Times New Roman" w:hAnsi="Times New Roman" w:cs="Times New Roman"/>
                <w:bCs/>
                <w:spacing w:val="6"/>
                <w:sz w:val="21"/>
              </w:rPr>
            </w:pPr>
            <w:r>
              <w:rPr>
                <w:rFonts w:hint="default" w:ascii="Times New Roman" w:hAnsi="Times New Roman" w:cs="Times New Roman"/>
                <w:bCs/>
                <w:spacing w:val="6"/>
                <w:sz w:val="21"/>
              </w:rPr>
              <w:t>过程</w:t>
            </w:r>
          </w:p>
        </w:tc>
        <w:tc>
          <w:tcPr>
            <w:tcW w:w="2211" w:type="dxa"/>
            <w:vAlign w:val="center"/>
          </w:tcPr>
          <w:p w14:paraId="37EB27B3">
            <w:pPr>
              <w:snapToGrid w:val="0"/>
              <w:jc w:val="center"/>
              <w:rPr>
                <w:rFonts w:hint="default" w:ascii="Times New Roman" w:hAnsi="Times New Roman" w:cs="Times New Roman"/>
                <w:bCs/>
                <w:spacing w:val="6"/>
                <w:sz w:val="21"/>
              </w:rPr>
            </w:pPr>
            <w:r>
              <w:rPr>
                <w:rFonts w:hint="default" w:ascii="Times New Roman" w:hAnsi="Times New Roman" w:cs="Times New Roman"/>
                <w:bCs/>
                <w:spacing w:val="6"/>
                <w:sz w:val="21"/>
              </w:rPr>
              <w:t>20</w:t>
            </w:r>
            <w:r>
              <w:rPr>
                <w:rFonts w:hint="eastAsia" w:ascii="Times New Roman" w:cs="Times New Roman"/>
                <w:bCs/>
                <w:spacing w:val="6"/>
                <w:sz w:val="21"/>
                <w:lang w:val="en-US" w:eastAsia="zh-CN"/>
              </w:rPr>
              <w:t>.00</w:t>
            </w:r>
          </w:p>
        </w:tc>
        <w:tc>
          <w:tcPr>
            <w:tcW w:w="2211" w:type="dxa"/>
            <w:vAlign w:val="center"/>
          </w:tcPr>
          <w:p w14:paraId="13DF003D">
            <w:pPr>
              <w:snapToGrid w:val="0"/>
              <w:jc w:val="center"/>
              <w:rPr>
                <w:rFonts w:hint="default" w:ascii="Times New Roman" w:hAnsi="Times New Roman" w:eastAsia="仿宋" w:cs="Times New Roman"/>
                <w:bCs/>
                <w:spacing w:val="6"/>
                <w:sz w:val="21"/>
                <w:lang w:val="en-US" w:eastAsia="zh-CN"/>
              </w:rPr>
            </w:pPr>
            <w:r>
              <w:rPr>
                <w:rFonts w:hint="eastAsia" w:ascii="Times New Roman" w:cs="Times New Roman"/>
                <w:bCs/>
                <w:spacing w:val="6"/>
                <w:sz w:val="21"/>
                <w:lang w:val="en-US" w:eastAsia="zh-CN"/>
              </w:rPr>
              <w:t>18.00</w:t>
            </w:r>
          </w:p>
        </w:tc>
        <w:tc>
          <w:tcPr>
            <w:tcW w:w="2211" w:type="dxa"/>
            <w:vAlign w:val="center"/>
          </w:tcPr>
          <w:p w14:paraId="2334F51A">
            <w:pPr>
              <w:snapToGrid w:val="0"/>
              <w:jc w:val="center"/>
              <w:rPr>
                <w:rFonts w:hint="default" w:ascii="Times New Roman" w:hAnsi="Times New Roman" w:eastAsia="仿宋" w:cs="Times New Roman"/>
                <w:bCs/>
                <w:spacing w:val="6"/>
                <w:sz w:val="21"/>
                <w:lang w:val="en-US" w:eastAsia="zh-CN"/>
              </w:rPr>
            </w:pPr>
            <w:r>
              <w:rPr>
                <w:rFonts w:hint="eastAsia" w:ascii="Times New Roman" w:cs="Times New Roman"/>
                <w:bCs/>
                <w:spacing w:val="6"/>
                <w:sz w:val="21"/>
                <w:lang w:val="en-US" w:eastAsia="zh-CN"/>
              </w:rPr>
              <w:t>90.00%</w:t>
            </w:r>
          </w:p>
        </w:tc>
      </w:tr>
      <w:tr w14:paraId="7498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27CF7B37">
            <w:pPr>
              <w:snapToGrid w:val="0"/>
              <w:jc w:val="center"/>
              <w:rPr>
                <w:rFonts w:hint="default" w:ascii="Times New Roman" w:hAnsi="Times New Roman" w:cs="Times New Roman"/>
                <w:bCs/>
                <w:spacing w:val="6"/>
                <w:sz w:val="21"/>
              </w:rPr>
            </w:pPr>
            <w:r>
              <w:rPr>
                <w:rFonts w:hint="default" w:ascii="Times New Roman" w:hAnsi="Times New Roman" w:cs="Times New Roman"/>
                <w:bCs/>
                <w:spacing w:val="6"/>
                <w:sz w:val="21"/>
              </w:rPr>
              <w:t>产出</w:t>
            </w:r>
          </w:p>
        </w:tc>
        <w:tc>
          <w:tcPr>
            <w:tcW w:w="2211" w:type="dxa"/>
            <w:vAlign w:val="center"/>
          </w:tcPr>
          <w:p w14:paraId="20C8C6A4">
            <w:pPr>
              <w:snapToGrid w:val="0"/>
              <w:jc w:val="center"/>
              <w:rPr>
                <w:rFonts w:hint="default" w:ascii="Times New Roman" w:hAnsi="Times New Roman" w:cs="Times New Roman"/>
                <w:bCs/>
                <w:spacing w:val="6"/>
                <w:sz w:val="21"/>
              </w:rPr>
            </w:pPr>
            <w:r>
              <w:rPr>
                <w:rFonts w:hint="default" w:ascii="Times New Roman" w:hAnsi="Times New Roman" w:cs="Times New Roman"/>
                <w:bCs/>
                <w:spacing w:val="6"/>
                <w:sz w:val="21"/>
              </w:rPr>
              <w:t>35</w:t>
            </w:r>
            <w:r>
              <w:rPr>
                <w:rFonts w:hint="eastAsia" w:ascii="Times New Roman" w:cs="Times New Roman"/>
                <w:bCs/>
                <w:spacing w:val="6"/>
                <w:sz w:val="21"/>
                <w:lang w:val="en-US" w:eastAsia="zh-CN"/>
              </w:rPr>
              <w:t>.00</w:t>
            </w:r>
          </w:p>
        </w:tc>
        <w:tc>
          <w:tcPr>
            <w:tcW w:w="2211" w:type="dxa"/>
            <w:vAlign w:val="center"/>
          </w:tcPr>
          <w:p w14:paraId="37C69583">
            <w:pPr>
              <w:snapToGrid w:val="0"/>
              <w:jc w:val="center"/>
              <w:rPr>
                <w:rFonts w:hint="default" w:ascii="Times New Roman" w:hAnsi="Times New Roman" w:eastAsia="仿宋" w:cs="Times New Roman"/>
                <w:bCs/>
                <w:spacing w:val="6"/>
                <w:sz w:val="21"/>
                <w:lang w:val="en-US" w:eastAsia="zh-CN"/>
              </w:rPr>
            </w:pPr>
            <w:r>
              <w:rPr>
                <w:rFonts w:hint="eastAsia" w:ascii="Times New Roman" w:cs="Times New Roman"/>
                <w:bCs/>
                <w:spacing w:val="6"/>
                <w:sz w:val="21"/>
                <w:lang w:val="en-US" w:eastAsia="zh-CN"/>
              </w:rPr>
              <w:t>32.00</w:t>
            </w:r>
          </w:p>
        </w:tc>
        <w:tc>
          <w:tcPr>
            <w:tcW w:w="2211" w:type="dxa"/>
            <w:vAlign w:val="center"/>
          </w:tcPr>
          <w:p w14:paraId="0EA79292">
            <w:pPr>
              <w:snapToGrid w:val="0"/>
              <w:jc w:val="center"/>
              <w:rPr>
                <w:rFonts w:hint="default" w:ascii="Times New Roman" w:hAnsi="Times New Roman" w:eastAsia="仿宋" w:cs="Times New Roman"/>
                <w:bCs/>
                <w:spacing w:val="6"/>
                <w:sz w:val="21"/>
                <w:lang w:val="en-US" w:eastAsia="zh-CN"/>
              </w:rPr>
            </w:pPr>
            <w:r>
              <w:rPr>
                <w:rFonts w:hint="eastAsia" w:ascii="Times New Roman" w:cs="Times New Roman"/>
                <w:bCs/>
                <w:spacing w:val="6"/>
                <w:sz w:val="21"/>
                <w:lang w:val="en-US" w:eastAsia="zh-CN"/>
              </w:rPr>
              <w:t>91.43%</w:t>
            </w:r>
          </w:p>
        </w:tc>
      </w:tr>
      <w:tr w14:paraId="5C542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3DA5ADC0">
            <w:pPr>
              <w:snapToGrid w:val="0"/>
              <w:jc w:val="center"/>
              <w:rPr>
                <w:rFonts w:hint="default" w:ascii="Times New Roman" w:hAnsi="Times New Roman" w:cs="Times New Roman"/>
                <w:bCs/>
                <w:spacing w:val="6"/>
                <w:sz w:val="21"/>
              </w:rPr>
            </w:pPr>
            <w:r>
              <w:rPr>
                <w:rFonts w:hint="default" w:ascii="Times New Roman" w:hAnsi="Times New Roman" w:cs="Times New Roman"/>
                <w:bCs/>
                <w:spacing w:val="6"/>
                <w:sz w:val="21"/>
              </w:rPr>
              <w:t>效果</w:t>
            </w:r>
          </w:p>
        </w:tc>
        <w:tc>
          <w:tcPr>
            <w:tcW w:w="2211" w:type="dxa"/>
            <w:vAlign w:val="center"/>
          </w:tcPr>
          <w:p w14:paraId="78D4B4F9">
            <w:pPr>
              <w:snapToGrid w:val="0"/>
              <w:jc w:val="center"/>
              <w:rPr>
                <w:rFonts w:hint="default" w:ascii="Times New Roman" w:hAnsi="Times New Roman" w:cs="Times New Roman"/>
                <w:bCs/>
                <w:spacing w:val="6"/>
                <w:sz w:val="21"/>
              </w:rPr>
            </w:pPr>
            <w:r>
              <w:rPr>
                <w:rFonts w:hint="default" w:ascii="Times New Roman" w:hAnsi="Times New Roman" w:cs="Times New Roman"/>
                <w:bCs/>
                <w:spacing w:val="6"/>
                <w:sz w:val="21"/>
              </w:rPr>
              <w:t>30</w:t>
            </w:r>
            <w:r>
              <w:rPr>
                <w:rFonts w:hint="eastAsia" w:ascii="Times New Roman" w:cs="Times New Roman"/>
                <w:bCs/>
                <w:spacing w:val="6"/>
                <w:sz w:val="21"/>
                <w:lang w:val="en-US" w:eastAsia="zh-CN"/>
              </w:rPr>
              <w:t>.00</w:t>
            </w:r>
          </w:p>
        </w:tc>
        <w:tc>
          <w:tcPr>
            <w:tcW w:w="2211" w:type="dxa"/>
            <w:vAlign w:val="center"/>
          </w:tcPr>
          <w:p w14:paraId="4FB1EC1C">
            <w:pPr>
              <w:snapToGrid w:val="0"/>
              <w:jc w:val="center"/>
              <w:rPr>
                <w:rFonts w:hint="default" w:ascii="Times New Roman" w:hAnsi="Times New Roman" w:eastAsia="仿宋" w:cs="Times New Roman"/>
                <w:bCs/>
                <w:spacing w:val="6"/>
                <w:sz w:val="21"/>
                <w:lang w:val="en-US" w:eastAsia="zh-CN"/>
              </w:rPr>
            </w:pPr>
            <w:r>
              <w:rPr>
                <w:rFonts w:hint="eastAsia" w:ascii="Times New Roman" w:cs="Times New Roman"/>
                <w:bCs/>
                <w:spacing w:val="6"/>
                <w:sz w:val="21"/>
                <w:lang w:val="en-US" w:eastAsia="zh-CN"/>
              </w:rPr>
              <w:t>25.00</w:t>
            </w:r>
          </w:p>
        </w:tc>
        <w:tc>
          <w:tcPr>
            <w:tcW w:w="2211" w:type="dxa"/>
            <w:vAlign w:val="center"/>
          </w:tcPr>
          <w:p w14:paraId="33A77F99">
            <w:pPr>
              <w:snapToGrid w:val="0"/>
              <w:jc w:val="center"/>
              <w:rPr>
                <w:rFonts w:hint="default" w:ascii="Times New Roman" w:hAnsi="Times New Roman" w:eastAsia="仿宋" w:cs="Times New Roman"/>
                <w:bCs/>
                <w:spacing w:val="6"/>
                <w:sz w:val="21"/>
                <w:lang w:val="en-US" w:eastAsia="zh-CN"/>
              </w:rPr>
            </w:pPr>
            <w:r>
              <w:rPr>
                <w:rFonts w:hint="eastAsia" w:ascii="Times New Roman" w:cs="Times New Roman"/>
                <w:bCs/>
                <w:spacing w:val="6"/>
                <w:sz w:val="21"/>
                <w:lang w:val="en-US" w:eastAsia="zh-CN"/>
              </w:rPr>
              <w:t>83.33%</w:t>
            </w:r>
          </w:p>
        </w:tc>
      </w:tr>
      <w:tr w14:paraId="730F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795F27AF">
            <w:pPr>
              <w:snapToGrid w:val="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合 计</w:t>
            </w:r>
          </w:p>
        </w:tc>
        <w:tc>
          <w:tcPr>
            <w:tcW w:w="2211" w:type="dxa"/>
            <w:vAlign w:val="center"/>
          </w:tcPr>
          <w:p w14:paraId="275A4180">
            <w:pPr>
              <w:snapToGrid w:val="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100</w:t>
            </w:r>
            <w:r>
              <w:rPr>
                <w:rFonts w:hint="eastAsia" w:ascii="Times New Roman" w:cs="Times New Roman"/>
                <w:b/>
                <w:bCs/>
                <w:spacing w:val="6"/>
                <w:sz w:val="21"/>
                <w:lang w:val="en-US" w:eastAsia="zh-CN"/>
              </w:rPr>
              <w:t>.00</w:t>
            </w:r>
          </w:p>
        </w:tc>
        <w:tc>
          <w:tcPr>
            <w:tcW w:w="2211" w:type="dxa"/>
            <w:vAlign w:val="center"/>
          </w:tcPr>
          <w:p w14:paraId="04F268EA">
            <w:pPr>
              <w:snapToGrid w:val="0"/>
              <w:jc w:val="center"/>
              <w:rPr>
                <w:rFonts w:hint="default" w:ascii="Times New Roman" w:hAnsi="Times New Roman" w:eastAsia="仿宋" w:cs="Times New Roman"/>
                <w:b/>
                <w:bCs/>
                <w:spacing w:val="6"/>
                <w:sz w:val="21"/>
                <w:lang w:val="en-US" w:eastAsia="zh-CN"/>
              </w:rPr>
            </w:pPr>
            <w:r>
              <w:rPr>
                <w:rFonts w:hint="eastAsia" w:ascii="Times New Roman" w:cs="Times New Roman"/>
                <w:b/>
                <w:bCs/>
                <w:spacing w:val="6"/>
                <w:sz w:val="21"/>
                <w:lang w:val="en-US" w:eastAsia="zh-CN"/>
              </w:rPr>
              <w:t>89.00</w:t>
            </w:r>
          </w:p>
        </w:tc>
        <w:tc>
          <w:tcPr>
            <w:tcW w:w="2211" w:type="dxa"/>
            <w:vAlign w:val="center"/>
          </w:tcPr>
          <w:p w14:paraId="66C2ECAA">
            <w:pPr>
              <w:snapToGrid w:val="0"/>
              <w:jc w:val="center"/>
              <w:rPr>
                <w:rFonts w:hint="default" w:ascii="Times New Roman" w:hAnsi="Times New Roman" w:eastAsia="仿宋" w:cs="Times New Roman"/>
                <w:b/>
                <w:bCs/>
                <w:spacing w:val="6"/>
                <w:sz w:val="21"/>
                <w:lang w:val="en-US" w:eastAsia="zh-CN"/>
              </w:rPr>
            </w:pPr>
            <w:r>
              <w:rPr>
                <w:rFonts w:hint="eastAsia" w:ascii="Times New Roman" w:cs="Times New Roman"/>
                <w:b/>
                <w:bCs/>
                <w:spacing w:val="6"/>
                <w:sz w:val="21"/>
                <w:lang w:val="en-US" w:eastAsia="zh-CN"/>
              </w:rPr>
              <w:t>89.00%</w:t>
            </w:r>
          </w:p>
        </w:tc>
      </w:tr>
      <w:bookmarkEnd w:id="62"/>
    </w:tbl>
    <w:p w14:paraId="15F9FCA2">
      <w:pPr>
        <w:spacing w:line="579" w:lineRule="exact"/>
        <w:ind w:firstLine="630" w:firstLineChars="200"/>
        <w:rPr>
          <w:rFonts w:hint="default" w:ascii="Times New Roman" w:hAnsi="Times New Roman" w:eastAsia="仿宋" w:cs="Times New Roman"/>
          <w:bCs/>
          <w:szCs w:val="30"/>
          <w:highlight w:val="yellow"/>
          <w:lang w:val="en-US" w:eastAsia="zh-CN"/>
        </w:rPr>
      </w:pPr>
      <w:r>
        <w:rPr>
          <w:rFonts w:hint="default" w:ascii="Times New Roman" w:hAnsi="Times New Roman" w:cs="Times New Roman"/>
          <w:szCs w:val="30"/>
          <w:lang w:val="en-US" w:eastAsia="zh-CN"/>
        </w:rPr>
        <w:t>综合</w:t>
      </w:r>
      <w:r>
        <w:rPr>
          <w:rFonts w:hint="default" w:ascii="Times New Roman" w:hAnsi="Times New Roman" w:cs="Times New Roman"/>
          <w:szCs w:val="30"/>
          <w:highlight w:val="none"/>
          <w:shd w:val="clear"/>
          <w:lang w:val="en-US" w:eastAsia="zh-CN"/>
        </w:rPr>
        <w:t>结论：</w:t>
      </w:r>
      <w:r>
        <w:rPr>
          <w:rFonts w:hint="eastAsia" w:ascii="Times New Roman" w:cs="Times New Roman"/>
          <w:highlight w:val="none"/>
          <w:shd w:val="clear"/>
          <w:lang w:val="en-US" w:eastAsia="zh-CN"/>
        </w:rPr>
        <w:t>本</w:t>
      </w:r>
      <w:r>
        <w:rPr>
          <w:rFonts w:hint="default" w:ascii="Times New Roman" w:hAnsi="Times New Roman" w:cs="Times New Roman"/>
          <w:highlight w:val="none"/>
          <w:shd w:val="clear"/>
          <w:lang w:val="en-US" w:eastAsia="zh-CN"/>
        </w:rPr>
        <w:t>项目</w:t>
      </w:r>
      <w:r>
        <w:rPr>
          <w:rFonts w:hint="default" w:ascii="Times New Roman" w:hAnsi="Times New Roman" w:cs="Times New Roman"/>
          <w:szCs w:val="30"/>
          <w:highlight w:val="none"/>
          <w:shd w:val="clear"/>
        </w:rPr>
        <w:t>立项依据充分、立项程序规范，内容完善</w:t>
      </w:r>
      <w:r>
        <w:rPr>
          <w:rFonts w:hint="default" w:ascii="Times New Roman" w:hAnsi="Times New Roman" w:cs="Times New Roman"/>
          <w:szCs w:val="30"/>
          <w:highlight w:val="none"/>
          <w:shd w:val="clear"/>
          <w:lang w:eastAsia="zh-CN"/>
        </w:rPr>
        <w:t>，</w:t>
      </w:r>
      <w:r>
        <w:rPr>
          <w:rFonts w:hint="default" w:ascii="Times New Roman" w:hAnsi="Times New Roman" w:cs="Times New Roman"/>
          <w:szCs w:val="30"/>
          <w:highlight w:val="none"/>
          <w:shd w:val="clear"/>
          <w:lang w:val="en-US" w:eastAsia="zh-CN"/>
        </w:rPr>
        <w:t>项目实施方案及管理制度健全，项目实施效果良好，但</w:t>
      </w:r>
      <w:r>
        <w:rPr>
          <w:rFonts w:hint="default" w:ascii="Times New Roman" w:hAnsi="Times New Roman" w:cs="Times New Roman"/>
          <w:szCs w:val="30"/>
          <w:highlight w:val="none"/>
          <w:shd w:val="clear"/>
        </w:rPr>
        <w:t>绩效目标设定</w:t>
      </w:r>
      <w:r>
        <w:rPr>
          <w:rFonts w:hint="eastAsia" w:ascii="Times New Roman" w:cs="Times New Roman"/>
          <w:szCs w:val="30"/>
          <w:highlight w:val="none"/>
          <w:shd w:val="clear"/>
          <w:lang w:val="en-US" w:eastAsia="zh-CN"/>
        </w:rPr>
        <w:t>还有待提升，合同管理有待加强，个别工作精细化管理还有待完善</w:t>
      </w:r>
      <w:r>
        <w:rPr>
          <w:rFonts w:hint="default" w:ascii="Times New Roman" w:hAnsi="Times New Roman" w:cs="Times New Roman"/>
          <w:szCs w:val="30"/>
          <w:highlight w:val="none"/>
          <w:shd w:val="clear"/>
          <w:lang w:val="en-US" w:eastAsia="zh-CN"/>
        </w:rPr>
        <w:t>。</w:t>
      </w:r>
    </w:p>
    <w:p w14:paraId="6800FBA3">
      <w:pPr>
        <w:pStyle w:val="32"/>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63" w:name="_Toc29253"/>
      <w:r>
        <w:rPr>
          <w:rFonts w:hint="default" w:ascii="Times New Roman" w:hAnsi="Times New Roman" w:cs="Times New Roman"/>
        </w:rPr>
        <w:t>（二）绩效目标实现情</w:t>
      </w:r>
      <w:r>
        <w:rPr>
          <w:rFonts w:hint="default" w:ascii="Times New Roman" w:hAnsi="Times New Roman" w:cs="Times New Roman"/>
          <w:lang w:val="en-US" w:eastAsia="zh-CN"/>
        </w:rPr>
        <w:t>况</w:t>
      </w:r>
      <w:bookmarkEnd w:id="63"/>
    </w:p>
    <w:p w14:paraId="3154A4DF">
      <w:pPr>
        <w:shd w:val="clear"/>
        <w:ind w:firstLine="631"/>
        <w:jc w:val="left"/>
        <w:rPr>
          <w:rFonts w:hint="default" w:ascii="Times New Roman" w:hAnsi="Times New Roman" w:cs="Times New Roman"/>
          <w:szCs w:val="30"/>
          <w:highlight w:val="none"/>
          <w:lang w:bidi="ar"/>
        </w:rPr>
      </w:pPr>
      <w:bookmarkStart w:id="64" w:name="_Hlk525314457"/>
      <w:r>
        <w:rPr>
          <w:rFonts w:hint="default" w:ascii="Times New Roman" w:hAnsi="Times New Roman" w:cs="Times New Roman"/>
          <w:szCs w:val="30"/>
          <w:highlight w:val="none"/>
          <w:lang w:val="en-US" w:eastAsia="zh-CN" w:bidi="ar"/>
        </w:rPr>
        <w:t>根据本次绩效评价情况</w:t>
      </w:r>
      <w:r>
        <w:rPr>
          <w:rFonts w:hint="eastAsia" w:ascii="Times New Roman" w:cs="Times New Roman"/>
          <w:szCs w:val="30"/>
          <w:highlight w:val="none"/>
          <w:lang w:val="en-US" w:eastAsia="zh-CN" w:bidi="ar"/>
        </w:rPr>
        <w:t>，</w:t>
      </w:r>
      <w:r>
        <w:rPr>
          <w:rFonts w:hint="default" w:ascii="Times New Roman" w:hAnsi="Times New Roman" w:cs="Times New Roman"/>
          <w:szCs w:val="30"/>
          <w:highlight w:val="none"/>
          <w:lang w:val="en-US" w:eastAsia="zh-CN" w:bidi="ar"/>
        </w:rPr>
        <w:t>推进爱国卫生7个专项行动工作补助经费项目</w:t>
      </w:r>
      <w:r>
        <w:rPr>
          <w:rFonts w:hint="eastAsia" w:ascii="Times New Roman" w:cs="Times New Roman"/>
          <w:szCs w:val="30"/>
          <w:highlight w:val="none"/>
          <w:lang w:val="en-US" w:eastAsia="zh-CN"/>
        </w:rPr>
        <w:t>10</w:t>
      </w:r>
      <w:r>
        <w:rPr>
          <w:rFonts w:hint="default" w:ascii="Times New Roman" w:hAnsi="Times New Roman" w:cs="Times New Roman"/>
          <w:szCs w:val="30"/>
          <w:highlight w:val="none"/>
          <w:lang w:bidi="ar"/>
        </w:rPr>
        <w:t>个具体绩效指标中，</w:t>
      </w:r>
      <w:r>
        <w:rPr>
          <w:rFonts w:hint="eastAsia" w:ascii="Times New Roman" w:cs="Times New Roman"/>
          <w:szCs w:val="30"/>
          <w:highlight w:val="none"/>
          <w:lang w:val="en-US" w:eastAsia="zh-CN" w:bidi="ar"/>
        </w:rPr>
        <w:t>8</w:t>
      </w:r>
      <w:r>
        <w:rPr>
          <w:rFonts w:hint="default" w:ascii="Times New Roman" w:hAnsi="Times New Roman" w:cs="Times New Roman"/>
          <w:szCs w:val="30"/>
          <w:highlight w:val="none"/>
          <w:lang w:bidi="ar"/>
        </w:rPr>
        <w:t>项实现了预期目标，</w:t>
      </w:r>
      <w:r>
        <w:rPr>
          <w:rFonts w:hint="eastAsia" w:ascii="Times New Roman" w:cs="Times New Roman"/>
          <w:szCs w:val="30"/>
          <w:highlight w:val="none"/>
          <w:lang w:val="en-US" w:eastAsia="zh-CN" w:bidi="ar"/>
        </w:rPr>
        <w:t>2个</w:t>
      </w:r>
      <w:r>
        <w:rPr>
          <w:rFonts w:hint="default" w:ascii="Times New Roman" w:hAnsi="Times New Roman" w:cs="Times New Roman"/>
          <w:szCs w:val="30"/>
          <w:highlight w:val="none"/>
          <w:lang w:bidi="ar"/>
        </w:rPr>
        <w:t>部分</w:t>
      </w:r>
      <w:r>
        <w:rPr>
          <w:rFonts w:hint="eastAsia" w:ascii="Times New Roman" w:cs="Times New Roman"/>
          <w:szCs w:val="30"/>
          <w:highlight w:val="none"/>
          <w:lang w:val="en-US" w:eastAsia="zh-CN" w:bidi="ar"/>
        </w:rPr>
        <w:t>未</w:t>
      </w:r>
      <w:r>
        <w:rPr>
          <w:rFonts w:hint="default" w:ascii="Times New Roman" w:hAnsi="Times New Roman" w:cs="Times New Roman"/>
          <w:szCs w:val="30"/>
          <w:highlight w:val="none"/>
          <w:lang w:bidi="ar"/>
        </w:rPr>
        <w:t>实现了预期目标</w:t>
      </w:r>
      <w:r>
        <w:rPr>
          <w:rFonts w:hint="default" w:ascii="Times New Roman" w:hAnsi="Times New Roman" w:cs="Times New Roman"/>
          <w:szCs w:val="30"/>
          <w:highlight w:val="none"/>
          <w:lang w:eastAsia="zh-CN" w:bidi="ar"/>
        </w:rPr>
        <w:t>。</w:t>
      </w:r>
      <w:r>
        <w:rPr>
          <w:rFonts w:hint="default" w:ascii="Times New Roman" w:hAnsi="Times New Roman" w:cs="Times New Roman"/>
          <w:szCs w:val="30"/>
          <w:highlight w:val="none"/>
        </w:rPr>
        <w:t>本项目</w:t>
      </w:r>
      <w:r>
        <w:rPr>
          <w:rFonts w:hint="default" w:ascii="Times New Roman" w:hAnsi="Times New Roman" w:cs="Times New Roman"/>
          <w:szCs w:val="30"/>
          <w:highlight w:val="none"/>
          <w:lang w:bidi="ar"/>
        </w:rPr>
        <w:t>绩效指标总体实现情况良好，基本实现了</w:t>
      </w:r>
      <w:r>
        <w:rPr>
          <w:rFonts w:hint="default" w:ascii="Times New Roman" w:hAnsi="Times New Roman" w:cs="Times New Roman"/>
          <w:szCs w:val="30"/>
          <w:highlight w:val="none"/>
          <w:lang w:val="en-US" w:eastAsia="zh-CN" w:bidi="ar"/>
        </w:rPr>
        <w:t>推进爱国卫生7个专项行动工作补助经费项目</w:t>
      </w:r>
      <w:r>
        <w:rPr>
          <w:rFonts w:hint="default" w:ascii="Times New Roman" w:hAnsi="Times New Roman" w:cs="Times New Roman"/>
          <w:szCs w:val="30"/>
          <w:highlight w:val="none"/>
          <w:lang w:bidi="ar"/>
        </w:rPr>
        <w:t>的绩效目标，各指标完成情况详见</w:t>
      </w:r>
      <w:r>
        <w:rPr>
          <w:rFonts w:hint="eastAsia" w:ascii="Times New Roman" w:cs="Times New Roman"/>
          <w:szCs w:val="30"/>
          <w:highlight w:val="none"/>
          <w:lang w:val="en-US" w:eastAsia="zh-CN" w:bidi="ar"/>
        </w:rPr>
        <w:t>下</w:t>
      </w:r>
      <w:r>
        <w:rPr>
          <w:rFonts w:hint="default" w:ascii="Times New Roman" w:hAnsi="Times New Roman" w:cs="Times New Roman"/>
          <w:szCs w:val="30"/>
          <w:highlight w:val="none"/>
          <w:lang w:bidi="ar"/>
        </w:rPr>
        <w:t>表。</w:t>
      </w:r>
    </w:p>
    <w:p w14:paraId="07CFA2D4">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sz w:val="24"/>
          <w:szCs w:val="24"/>
          <w:highlight w:val="none"/>
        </w:rPr>
      </w:pPr>
      <w:r>
        <w:rPr>
          <w:rFonts w:hint="eastAsia" w:ascii="Times New Roman" w:eastAsia="黑体" w:cs="Times New Roman"/>
          <w:b w:val="0"/>
          <w:bCs/>
          <w:sz w:val="24"/>
          <w:szCs w:val="24"/>
          <w:highlight w:val="none"/>
          <w:lang w:val="en-US" w:eastAsia="zh-CN"/>
        </w:rPr>
        <w:t xml:space="preserve">表5 </w:t>
      </w:r>
      <w:r>
        <w:rPr>
          <w:rFonts w:hint="default" w:ascii="Times New Roman" w:hAnsi="Times New Roman" w:eastAsia="黑体" w:cs="Times New Roman"/>
          <w:b w:val="0"/>
          <w:bCs/>
          <w:sz w:val="24"/>
          <w:szCs w:val="24"/>
          <w:highlight w:val="none"/>
        </w:rPr>
        <w:t>绩效指标完成情况表</w:t>
      </w:r>
    </w:p>
    <w:bookmarkEnd w:id="64"/>
    <w:tbl>
      <w:tblPr>
        <w:tblStyle w:val="2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6"/>
        <w:gridCol w:w="743"/>
        <w:gridCol w:w="1509"/>
        <w:gridCol w:w="1042"/>
        <w:gridCol w:w="1080"/>
        <w:gridCol w:w="3645"/>
      </w:tblGrid>
      <w:tr w14:paraId="1D742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trPr>
        <w:tc>
          <w:tcPr>
            <w:tcW w:w="18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CE50B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bCs/>
                <w:i w:val="0"/>
                <w:iCs w:val="0"/>
                <w:color w:val="000000"/>
                <w:sz w:val="20"/>
                <w:szCs w:val="20"/>
                <w:u w:val="none"/>
              </w:rPr>
            </w:pPr>
            <w:r>
              <w:rPr>
                <w:rFonts w:hint="default" w:ascii="Times New Roman" w:hAnsi="Times New Roman" w:eastAsia="仿宋" w:cs="Times New Roman"/>
                <w:b/>
                <w:bCs/>
                <w:i w:val="0"/>
                <w:iCs w:val="0"/>
                <w:color w:val="000000"/>
                <w:kern w:val="0"/>
                <w:sz w:val="20"/>
                <w:szCs w:val="20"/>
                <w:u w:val="none"/>
                <w:lang w:val="en-US" w:eastAsia="zh-CN" w:bidi="ar"/>
              </w:rPr>
              <w:t>绩效指标名称</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BB895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bCs/>
                <w:i w:val="0"/>
                <w:iCs w:val="0"/>
                <w:color w:val="000000"/>
                <w:sz w:val="20"/>
                <w:szCs w:val="20"/>
                <w:u w:val="none"/>
              </w:rPr>
            </w:pPr>
            <w:r>
              <w:rPr>
                <w:rFonts w:hint="default" w:ascii="Times New Roman" w:hAnsi="Times New Roman" w:eastAsia="仿宋" w:cs="Times New Roman"/>
                <w:b/>
                <w:bCs/>
                <w:i w:val="0"/>
                <w:iCs w:val="0"/>
                <w:color w:val="000000"/>
                <w:kern w:val="0"/>
                <w:sz w:val="20"/>
                <w:szCs w:val="20"/>
                <w:u w:val="none"/>
                <w:lang w:val="en-US" w:eastAsia="zh-CN" w:bidi="ar"/>
              </w:rPr>
              <w:t>指标值</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8CB3FB">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bCs/>
                <w:i w:val="0"/>
                <w:iCs w:val="0"/>
                <w:color w:val="000000"/>
                <w:sz w:val="20"/>
                <w:szCs w:val="20"/>
                <w:u w:val="none"/>
              </w:rPr>
            </w:pPr>
            <w:r>
              <w:rPr>
                <w:rFonts w:hint="default" w:ascii="Times New Roman" w:hAnsi="Times New Roman" w:eastAsia="仿宋" w:cs="Times New Roman"/>
                <w:b/>
                <w:bCs/>
                <w:i w:val="0"/>
                <w:iCs w:val="0"/>
                <w:color w:val="000000"/>
                <w:kern w:val="0"/>
                <w:sz w:val="20"/>
                <w:szCs w:val="20"/>
                <w:u w:val="none"/>
                <w:lang w:val="en-US" w:eastAsia="zh-CN" w:bidi="ar"/>
              </w:rPr>
              <w:t>指标实现情况</w:t>
            </w:r>
          </w:p>
        </w:tc>
        <w:tc>
          <w:tcPr>
            <w:tcW w:w="20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3F4DA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bCs/>
                <w:i w:val="0"/>
                <w:iCs w:val="0"/>
                <w:color w:val="000000"/>
                <w:sz w:val="20"/>
                <w:szCs w:val="20"/>
                <w:u w:val="none"/>
              </w:rPr>
            </w:pPr>
            <w:r>
              <w:rPr>
                <w:rFonts w:hint="default" w:ascii="Times New Roman" w:hAnsi="Times New Roman" w:eastAsia="仿宋" w:cs="Times New Roman"/>
                <w:b/>
                <w:bCs/>
                <w:i w:val="0"/>
                <w:iCs w:val="0"/>
                <w:color w:val="000000"/>
                <w:kern w:val="0"/>
                <w:sz w:val="20"/>
                <w:szCs w:val="20"/>
                <w:u w:val="none"/>
                <w:lang w:val="en-US" w:eastAsia="zh-CN" w:bidi="ar"/>
              </w:rPr>
              <w:t>完成情况说明</w:t>
            </w:r>
          </w:p>
        </w:tc>
      </w:tr>
      <w:tr w14:paraId="4C803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trPr>
        <w:tc>
          <w:tcPr>
            <w:tcW w:w="572" w:type="pct"/>
            <w:tcBorders>
              <w:top w:val="single" w:color="000000" w:sz="4" w:space="0"/>
              <w:left w:val="single" w:color="000000" w:sz="4" w:space="0"/>
              <w:bottom w:val="single" w:color="auto" w:sz="4" w:space="0"/>
              <w:right w:val="single" w:color="000000" w:sz="4" w:space="0"/>
            </w:tcBorders>
            <w:shd w:val="clear" w:color="auto" w:fill="auto"/>
            <w:vAlign w:val="center"/>
          </w:tcPr>
          <w:p w14:paraId="00A0C03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bCs/>
                <w:i w:val="0"/>
                <w:iCs w:val="0"/>
                <w:color w:val="000000"/>
                <w:sz w:val="20"/>
                <w:szCs w:val="20"/>
                <w:u w:val="none"/>
              </w:rPr>
            </w:pPr>
            <w:r>
              <w:rPr>
                <w:rFonts w:hint="default" w:ascii="Times New Roman" w:hAnsi="Times New Roman" w:eastAsia="仿宋" w:cs="Times New Roman"/>
                <w:b/>
                <w:bCs/>
                <w:i w:val="0"/>
                <w:iCs w:val="0"/>
                <w:color w:val="000000"/>
                <w:kern w:val="0"/>
                <w:sz w:val="20"/>
                <w:szCs w:val="20"/>
                <w:u w:val="none"/>
                <w:lang w:val="en-US" w:eastAsia="zh-CN" w:bidi="ar"/>
              </w:rPr>
              <w:t>一级指标</w:t>
            </w:r>
          </w:p>
        </w:tc>
        <w:tc>
          <w:tcPr>
            <w:tcW w:w="410" w:type="pct"/>
            <w:tcBorders>
              <w:top w:val="single" w:color="000000" w:sz="4" w:space="0"/>
              <w:left w:val="single" w:color="000000" w:sz="4" w:space="0"/>
              <w:bottom w:val="single" w:color="auto" w:sz="4" w:space="0"/>
              <w:right w:val="single" w:color="000000" w:sz="4" w:space="0"/>
            </w:tcBorders>
            <w:shd w:val="clear" w:color="auto" w:fill="auto"/>
            <w:vAlign w:val="center"/>
          </w:tcPr>
          <w:p w14:paraId="4CCDA11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bCs/>
                <w:i w:val="0"/>
                <w:iCs w:val="0"/>
                <w:color w:val="000000"/>
                <w:sz w:val="20"/>
                <w:szCs w:val="20"/>
                <w:u w:val="none"/>
              </w:rPr>
            </w:pPr>
            <w:r>
              <w:rPr>
                <w:rFonts w:hint="default" w:ascii="Times New Roman" w:hAnsi="Times New Roman" w:eastAsia="仿宋" w:cs="Times New Roman"/>
                <w:b/>
                <w:bCs/>
                <w:i w:val="0"/>
                <w:iCs w:val="0"/>
                <w:color w:val="000000"/>
                <w:kern w:val="0"/>
                <w:sz w:val="20"/>
                <w:szCs w:val="20"/>
                <w:u w:val="none"/>
                <w:lang w:val="en-US" w:eastAsia="zh-CN" w:bidi="ar"/>
              </w:rPr>
              <w:t>二级指标</w:t>
            </w:r>
          </w:p>
        </w:tc>
        <w:tc>
          <w:tcPr>
            <w:tcW w:w="833" w:type="pct"/>
            <w:tcBorders>
              <w:top w:val="single" w:color="000000" w:sz="4" w:space="0"/>
              <w:left w:val="single" w:color="000000" w:sz="4" w:space="0"/>
              <w:bottom w:val="single" w:color="auto" w:sz="4" w:space="0"/>
              <w:right w:val="single" w:color="000000" w:sz="4" w:space="0"/>
            </w:tcBorders>
            <w:shd w:val="clear" w:color="auto" w:fill="auto"/>
            <w:vAlign w:val="center"/>
          </w:tcPr>
          <w:p w14:paraId="50B894A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bCs/>
                <w:i w:val="0"/>
                <w:iCs w:val="0"/>
                <w:color w:val="000000"/>
                <w:sz w:val="20"/>
                <w:szCs w:val="20"/>
                <w:u w:val="none"/>
              </w:rPr>
            </w:pPr>
            <w:r>
              <w:rPr>
                <w:rFonts w:hint="default" w:ascii="Times New Roman" w:hAnsi="Times New Roman" w:eastAsia="仿宋" w:cs="Times New Roman"/>
                <w:b/>
                <w:bCs/>
                <w:i w:val="0"/>
                <w:iCs w:val="0"/>
                <w:color w:val="000000"/>
                <w:kern w:val="0"/>
                <w:sz w:val="20"/>
                <w:szCs w:val="20"/>
                <w:u w:val="none"/>
                <w:lang w:val="en-US" w:eastAsia="zh-CN" w:bidi="ar"/>
              </w:rPr>
              <w:t>三级指标</w:t>
            </w:r>
          </w:p>
        </w:tc>
        <w:tc>
          <w:tcPr>
            <w:tcW w:w="575"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024902E">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b/>
                <w:bCs/>
                <w:i w:val="0"/>
                <w:iCs w:val="0"/>
                <w:color w:val="000000"/>
                <w:sz w:val="20"/>
                <w:szCs w:val="20"/>
                <w:u w:val="none"/>
              </w:rPr>
            </w:pPr>
          </w:p>
        </w:tc>
        <w:tc>
          <w:tcPr>
            <w:tcW w:w="596"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74E38AC">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b/>
                <w:bCs/>
                <w:i w:val="0"/>
                <w:iCs w:val="0"/>
                <w:color w:val="000000"/>
                <w:sz w:val="20"/>
                <w:szCs w:val="20"/>
                <w:u w:val="none"/>
              </w:rPr>
            </w:pPr>
          </w:p>
        </w:tc>
        <w:tc>
          <w:tcPr>
            <w:tcW w:w="2012"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BB24433">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b/>
                <w:bCs/>
                <w:i w:val="0"/>
                <w:iCs w:val="0"/>
                <w:color w:val="000000"/>
                <w:sz w:val="20"/>
                <w:szCs w:val="20"/>
                <w:u w:val="none"/>
              </w:rPr>
            </w:pPr>
          </w:p>
        </w:tc>
      </w:tr>
      <w:tr w14:paraId="7B7FF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98CBB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rPr>
            </w:pPr>
            <w:r>
              <w:rPr>
                <w:rFonts w:hint="default" w:ascii="Times New Roman" w:hAnsi="Times New Roman" w:eastAsia="仿宋" w:cs="Times New Roman"/>
                <w:i w:val="0"/>
                <w:iCs w:val="0"/>
                <w:color w:val="000000"/>
                <w:kern w:val="0"/>
                <w:sz w:val="20"/>
                <w:szCs w:val="20"/>
                <w:u w:val="none"/>
                <w:lang w:val="en-US" w:eastAsia="zh-CN" w:bidi="ar"/>
              </w:rPr>
              <w:t>产出</w:t>
            </w:r>
            <w:r>
              <w:rPr>
                <w:rFonts w:hint="eastAsia" w:ascii="Times New Roman" w:cs="Times New Roman"/>
                <w:i w:val="0"/>
                <w:iCs w:val="0"/>
                <w:color w:val="000000"/>
                <w:kern w:val="0"/>
                <w:sz w:val="20"/>
                <w:szCs w:val="20"/>
                <w:u w:val="none"/>
                <w:lang w:val="en-US" w:eastAsia="zh-CN" w:bidi="ar"/>
              </w:rPr>
              <w:t>指标</w:t>
            </w: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14:paraId="08A6D72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产出数量</w:t>
            </w:r>
          </w:p>
        </w:tc>
        <w:tc>
          <w:tcPr>
            <w:tcW w:w="833" w:type="pct"/>
            <w:tcBorders>
              <w:top w:val="single" w:color="auto" w:sz="4" w:space="0"/>
              <w:left w:val="single" w:color="auto" w:sz="4" w:space="0"/>
              <w:bottom w:val="single" w:color="auto" w:sz="4" w:space="0"/>
              <w:right w:val="single" w:color="auto" w:sz="4" w:space="0"/>
            </w:tcBorders>
            <w:shd w:val="clear" w:color="auto" w:fill="auto"/>
            <w:vAlign w:val="center"/>
          </w:tcPr>
          <w:p w14:paraId="2282AB4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rPr>
            </w:pPr>
            <w:r>
              <w:rPr>
                <w:rFonts w:hint="default" w:ascii="Times New Roman" w:hAnsi="Times New Roman" w:eastAsia="仿宋" w:cs="Times New Roman"/>
                <w:i w:val="0"/>
                <w:iCs w:val="0"/>
                <w:color w:val="000000"/>
                <w:sz w:val="20"/>
                <w:szCs w:val="20"/>
                <w:u w:val="none"/>
                <w:lang w:val="en-US"/>
              </w:rPr>
              <w:t>项目相关培训和宣传活动完成情况</w:t>
            </w:r>
          </w:p>
        </w:tc>
        <w:tc>
          <w:tcPr>
            <w:tcW w:w="575" w:type="pct"/>
            <w:tcBorders>
              <w:top w:val="single" w:color="auto" w:sz="4" w:space="0"/>
              <w:left w:val="single" w:color="auto" w:sz="4" w:space="0"/>
              <w:bottom w:val="single" w:color="auto" w:sz="4" w:space="0"/>
              <w:right w:val="single" w:color="auto" w:sz="4" w:space="0"/>
            </w:tcBorders>
            <w:shd w:val="clear" w:color="auto" w:fill="auto"/>
            <w:vAlign w:val="center"/>
          </w:tcPr>
          <w:p w14:paraId="12CB3E1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100%</w:t>
            </w:r>
          </w:p>
        </w:tc>
        <w:tc>
          <w:tcPr>
            <w:tcW w:w="59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D5E14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100%</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46B7A892">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 w:cs="Times New Roman"/>
                <w:i w:val="0"/>
                <w:iCs w:val="0"/>
                <w:color w:val="000000"/>
                <w:sz w:val="20"/>
                <w:szCs w:val="20"/>
                <w:u w:val="none"/>
                <w:lang w:val="en-US" w:eastAsia="zh-CN"/>
              </w:rPr>
            </w:pPr>
            <w:r>
              <w:rPr>
                <w:rFonts w:hint="default" w:ascii="Times New Roman" w:hAnsi="Times New Roman" w:eastAsia="仿宋" w:cs="Times New Roman"/>
                <w:i w:val="0"/>
                <w:iCs w:val="0"/>
                <w:color w:val="000000"/>
                <w:sz w:val="20"/>
                <w:szCs w:val="20"/>
                <w:u w:val="none"/>
                <w:lang w:val="en-US" w:eastAsia="zh-CN"/>
              </w:rPr>
              <w:t>2023年，区卫健局开展了国家卫生城市新标准业务培训，各局及10个街道办事处、各社区等单位共计166人参加培训。同时，邀请云南省爱国卫生技术指导中心主任到西山区开展国家卫生城市标准评审要点培训。</w:t>
            </w:r>
          </w:p>
        </w:tc>
      </w:tr>
      <w:tr w14:paraId="7230C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5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6CE10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kern w:val="0"/>
                <w:sz w:val="20"/>
                <w:szCs w:val="20"/>
                <w:u w:val="none"/>
                <w:lang w:val="en-US" w:eastAsia="zh-CN" w:bidi="ar"/>
              </w:rPr>
            </w:pP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14:paraId="28EF16EE">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kern w:val="0"/>
                <w:sz w:val="20"/>
                <w:szCs w:val="20"/>
                <w:u w:val="none"/>
                <w:lang w:val="en-US" w:eastAsia="zh-CN" w:bidi="ar"/>
              </w:rPr>
            </w:pPr>
            <w:r>
              <w:rPr>
                <w:rFonts w:hint="default" w:ascii="Times New Roman" w:hAnsi="Times New Roman" w:eastAsia="仿宋" w:cs="Times New Roman"/>
                <w:i w:val="0"/>
                <w:iCs w:val="0"/>
                <w:color w:val="000000"/>
                <w:kern w:val="0"/>
                <w:sz w:val="20"/>
                <w:szCs w:val="20"/>
                <w:u w:val="none"/>
                <w:lang w:val="en-US" w:eastAsia="zh-CN" w:bidi="ar"/>
              </w:rPr>
              <w:t>产出数量</w:t>
            </w:r>
          </w:p>
        </w:tc>
        <w:tc>
          <w:tcPr>
            <w:tcW w:w="833" w:type="pct"/>
            <w:tcBorders>
              <w:top w:val="single" w:color="auto" w:sz="4" w:space="0"/>
              <w:left w:val="single" w:color="auto" w:sz="4" w:space="0"/>
              <w:bottom w:val="single" w:color="auto" w:sz="4" w:space="0"/>
              <w:right w:val="single" w:color="auto" w:sz="4" w:space="0"/>
            </w:tcBorders>
            <w:shd w:val="clear" w:color="auto" w:fill="auto"/>
            <w:vAlign w:val="center"/>
          </w:tcPr>
          <w:p w14:paraId="2C66B7C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rPr>
            </w:pPr>
            <w:r>
              <w:rPr>
                <w:rFonts w:hint="default" w:ascii="Times New Roman" w:hAnsi="Times New Roman" w:eastAsia="仿宋" w:cs="Times New Roman"/>
                <w:i w:val="0"/>
                <w:iCs w:val="0"/>
                <w:color w:val="000000"/>
                <w:sz w:val="20"/>
                <w:szCs w:val="20"/>
                <w:u w:val="none"/>
                <w:lang w:val="en-US"/>
              </w:rPr>
              <w:t>病媒</w:t>
            </w:r>
            <w:r>
              <w:rPr>
                <w:rFonts w:hint="eastAsia" w:ascii="Times New Roman" w:cs="Times New Roman"/>
                <w:i w:val="0"/>
                <w:iCs w:val="0"/>
                <w:color w:val="000000"/>
                <w:sz w:val="20"/>
                <w:szCs w:val="20"/>
                <w:u w:val="none"/>
                <w:lang w:val="en-US" w:eastAsia="zh-CN"/>
              </w:rPr>
              <w:t>生物防治</w:t>
            </w:r>
            <w:r>
              <w:rPr>
                <w:rFonts w:hint="default" w:ascii="Times New Roman" w:hAnsi="Times New Roman" w:eastAsia="仿宋" w:cs="Times New Roman"/>
                <w:i w:val="0"/>
                <w:iCs w:val="0"/>
                <w:color w:val="000000"/>
                <w:sz w:val="20"/>
                <w:szCs w:val="20"/>
                <w:u w:val="none"/>
                <w:lang w:val="en-US"/>
              </w:rPr>
              <w:t>工作</w:t>
            </w:r>
          </w:p>
        </w:tc>
        <w:tc>
          <w:tcPr>
            <w:tcW w:w="575" w:type="pct"/>
            <w:tcBorders>
              <w:top w:val="single" w:color="auto" w:sz="4" w:space="0"/>
              <w:left w:val="single" w:color="auto" w:sz="4" w:space="0"/>
              <w:bottom w:val="single" w:color="auto" w:sz="4" w:space="0"/>
              <w:right w:val="single" w:color="auto" w:sz="4" w:space="0"/>
            </w:tcBorders>
            <w:shd w:val="clear" w:color="auto" w:fill="auto"/>
            <w:vAlign w:val="center"/>
          </w:tcPr>
          <w:p w14:paraId="2B354DA4">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100%</w:t>
            </w:r>
          </w:p>
        </w:tc>
        <w:tc>
          <w:tcPr>
            <w:tcW w:w="59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18395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未完成</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086FA26C">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 w:cs="Times New Roman"/>
                <w:i w:val="0"/>
                <w:iCs w:val="0"/>
                <w:color w:val="000000"/>
                <w:sz w:val="20"/>
                <w:szCs w:val="20"/>
                <w:u w:val="none"/>
                <w:lang w:val="en-US"/>
              </w:rPr>
            </w:pPr>
            <w:r>
              <w:rPr>
                <w:rFonts w:hint="default" w:ascii="Times New Roman" w:hAnsi="Times New Roman" w:eastAsia="仿宋" w:cs="Times New Roman"/>
                <w:i w:val="0"/>
                <w:iCs w:val="0"/>
                <w:color w:val="000000"/>
                <w:sz w:val="20"/>
                <w:szCs w:val="20"/>
                <w:u w:val="none"/>
                <w:lang w:val="en-US"/>
              </w:rPr>
              <w:t>根据《西山区2023年病媒生物防制工作总结》（西爱卫办〔2023〕24号），西山区的卫生标准未达到C级标准。</w:t>
            </w:r>
          </w:p>
        </w:tc>
      </w:tr>
      <w:tr w14:paraId="6AEE1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5711EB">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i w:val="0"/>
                <w:iCs w:val="0"/>
                <w:color w:val="000000"/>
                <w:sz w:val="20"/>
                <w:szCs w:val="20"/>
                <w:u w:val="none"/>
              </w:rPr>
            </w:pP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14:paraId="774502C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产出质量</w:t>
            </w:r>
          </w:p>
        </w:tc>
        <w:tc>
          <w:tcPr>
            <w:tcW w:w="833" w:type="pct"/>
            <w:tcBorders>
              <w:top w:val="single" w:color="auto" w:sz="4" w:space="0"/>
              <w:left w:val="single" w:color="auto" w:sz="4" w:space="0"/>
              <w:bottom w:val="single" w:color="auto" w:sz="4" w:space="0"/>
              <w:right w:val="single" w:color="auto" w:sz="4" w:space="0"/>
            </w:tcBorders>
            <w:shd w:val="clear" w:color="auto" w:fill="auto"/>
            <w:vAlign w:val="center"/>
          </w:tcPr>
          <w:p w14:paraId="150B134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sz w:val="20"/>
                <w:szCs w:val="20"/>
                <w:u w:val="none"/>
              </w:rPr>
              <w:t>项目验收合格率</w:t>
            </w:r>
          </w:p>
        </w:tc>
        <w:tc>
          <w:tcPr>
            <w:tcW w:w="575" w:type="pct"/>
            <w:tcBorders>
              <w:top w:val="single" w:color="auto" w:sz="4" w:space="0"/>
              <w:left w:val="single" w:color="auto" w:sz="4" w:space="0"/>
              <w:bottom w:val="single" w:color="auto" w:sz="4" w:space="0"/>
              <w:right w:val="single" w:color="auto" w:sz="4" w:space="0"/>
            </w:tcBorders>
            <w:shd w:val="clear" w:color="auto" w:fill="auto"/>
            <w:vAlign w:val="center"/>
          </w:tcPr>
          <w:p w14:paraId="00C8243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100%</w:t>
            </w:r>
          </w:p>
        </w:tc>
        <w:tc>
          <w:tcPr>
            <w:tcW w:w="59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C3B70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rPr>
            </w:pPr>
            <w:r>
              <w:rPr>
                <w:rFonts w:hint="eastAsia" w:ascii="Times New Roman" w:cs="Times New Roman"/>
                <w:i w:val="0"/>
                <w:iCs w:val="0"/>
                <w:color w:val="000000"/>
                <w:sz w:val="20"/>
                <w:szCs w:val="20"/>
                <w:u w:val="none"/>
                <w:lang w:val="en-US" w:eastAsia="zh-CN"/>
              </w:rPr>
              <w:t>100%</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6E0E4F99">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sz w:val="20"/>
                <w:szCs w:val="20"/>
                <w:u w:val="none"/>
              </w:rPr>
              <w:t>2023年，区卫健局委托昆明伏特电子技术有限公司制作的宣传用品、宣传海报均通过了验收工作。</w:t>
            </w:r>
          </w:p>
        </w:tc>
      </w:tr>
      <w:tr w14:paraId="70630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118B92">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i w:val="0"/>
                <w:iCs w:val="0"/>
                <w:color w:val="000000"/>
                <w:sz w:val="20"/>
                <w:szCs w:val="20"/>
                <w:u w:val="none"/>
              </w:rPr>
            </w:pP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14:paraId="5560C86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产出时效</w:t>
            </w:r>
          </w:p>
        </w:tc>
        <w:tc>
          <w:tcPr>
            <w:tcW w:w="833" w:type="pct"/>
            <w:tcBorders>
              <w:top w:val="single" w:color="auto" w:sz="4" w:space="0"/>
              <w:left w:val="single" w:color="auto" w:sz="4" w:space="0"/>
              <w:bottom w:val="single" w:color="auto" w:sz="4" w:space="0"/>
              <w:right w:val="single" w:color="auto" w:sz="4" w:space="0"/>
            </w:tcBorders>
            <w:shd w:val="clear" w:color="auto" w:fill="auto"/>
            <w:vAlign w:val="center"/>
          </w:tcPr>
          <w:p w14:paraId="6C7C440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sz w:val="20"/>
                <w:szCs w:val="20"/>
                <w:u w:val="none"/>
              </w:rPr>
              <w:t>各项工作完成及时性</w:t>
            </w:r>
          </w:p>
        </w:tc>
        <w:tc>
          <w:tcPr>
            <w:tcW w:w="575" w:type="pct"/>
            <w:tcBorders>
              <w:top w:val="single" w:color="auto" w:sz="4" w:space="0"/>
              <w:left w:val="single" w:color="auto" w:sz="4" w:space="0"/>
              <w:bottom w:val="single" w:color="auto" w:sz="4" w:space="0"/>
              <w:right w:val="single" w:color="auto" w:sz="4" w:space="0"/>
            </w:tcBorders>
            <w:shd w:val="clear" w:color="auto" w:fill="auto"/>
            <w:vAlign w:val="center"/>
          </w:tcPr>
          <w:p w14:paraId="6722905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100%</w:t>
            </w:r>
          </w:p>
        </w:tc>
        <w:tc>
          <w:tcPr>
            <w:tcW w:w="59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D2BF2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100%</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033B14CB">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sz w:val="20"/>
                <w:szCs w:val="20"/>
                <w:u w:val="none"/>
              </w:rPr>
              <w:t>本项目在2023年并未出现未及时完成的工作。</w:t>
            </w:r>
          </w:p>
        </w:tc>
      </w:tr>
      <w:tr w14:paraId="46116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3FE62D">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i w:val="0"/>
                <w:iCs w:val="0"/>
                <w:color w:val="000000"/>
                <w:sz w:val="20"/>
                <w:szCs w:val="20"/>
                <w:u w:val="none"/>
              </w:rPr>
            </w:pP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14:paraId="0E52447E">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产出成本</w:t>
            </w:r>
          </w:p>
        </w:tc>
        <w:tc>
          <w:tcPr>
            <w:tcW w:w="833" w:type="pct"/>
            <w:tcBorders>
              <w:top w:val="single" w:color="auto" w:sz="4" w:space="0"/>
              <w:left w:val="single" w:color="auto" w:sz="4" w:space="0"/>
              <w:bottom w:val="single" w:color="auto" w:sz="4" w:space="0"/>
              <w:right w:val="single" w:color="auto" w:sz="4" w:space="0"/>
            </w:tcBorders>
            <w:shd w:val="clear" w:color="auto" w:fill="auto"/>
            <w:vAlign w:val="center"/>
          </w:tcPr>
          <w:p w14:paraId="62343E5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default" w:ascii="Times New Roman" w:hAnsi="Times New Roman" w:eastAsia="仿宋" w:cs="Times New Roman"/>
                <w:i w:val="0"/>
                <w:iCs w:val="0"/>
                <w:color w:val="000000"/>
                <w:sz w:val="20"/>
                <w:szCs w:val="20"/>
                <w:u w:val="none"/>
                <w:lang w:val="en-US" w:eastAsia="zh-CN"/>
              </w:rPr>
              <w:t>成本控制率</w:t>
            </w:r>
          </w:p>
        </w:tc>
        <w:tc>
          <w:tcPr>
            <w:tcW w:w="575" w:type="pct"/>
            <w:tcBorders>
              <w:top w:val="single" w:color="auto" w:sz="4" w:space="0"/>
              <w:left w:val="single" w:color="auto" w:sz="4" w:space="0"/>
              <w:bottom w:val="single" w:color="auto" w:sz="4" w:space="0"/>
              <w:right w:val="single" w:color="auto" w:sz="4" w:space="0"/>
            </w:tcBorders>
            <w:shd w:val="clear" w:color="auto" w:fill="auto"/>
            <w:vAlign w:val="center"/>
          </w:tcPr>
          <w:p w14:paraId="796148B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≤5%</w:t>
            </w:r>
          </w:p>
        </w:tc>
        <w:tc>
          <w:tcPr>
            <w:tcW w:w="59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8C56D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完成</w:t>
            </w:r>
          </w:p>
        </w:tc>
        <w:tc>
          <w:tcPr>
            <w:tcW w:w="2012" w:type="pct"/>
            <w:tcBorders>
              <w:top w:val="single" w:color="auto" w:sz="4" w:space="0"/>
              <w:left w:val="single" w:color="auto" w:sz="4" w:space="0"/>
              <w:bottom w:val="single" w:color="auto" w:sz="4" w:space="0"/>
              <w:right w:val="single" w:color="auto" w:sz="4" w:space="0"/>
            </w:tcBorders>
            <w:shd w:val="clear" w:color="auto" w:fill="auto"/>
            <w:vAlign w:val="center"/>
          </w:tcPr>
          <w:p w14:paraId="24CEFC75">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Times New Roman" w:hAnsi="Times New Roman" w:eastAsia="仿宋" w:cs="Times New Roman"/>
                <w:i w:val="0"/>
                <w:iCs w:val="0"/>
                <w:color w:val="000000"/>
                <w:sz w:val="20"/>
                <w:szCs w:val="20"/>
                <w:u w:val="none"/>
                <w:lang w:val="en-US" w:eastAsia="zh-CN"/>
              </w:rPr>
            </w:pPr>
            <w:r>
              <w:rPr>
                <w:rFonts w:hint="eastAsia" w:ascii="Times New Roman" w:hAnsi="Times New Roman" w:eastAsia="仿宋" w:cs="Times New Roman"/>
                <w:i w:val="0"/>
                <w:iCs w:val="0"/>
                <w:color w:val="000000"/>
                <w:sz w:val="20"/>
                <w:szCs w:val="20"/>
                <w:u w:val="none"/>
                <w:lang w:val="en-US" w:eastAsia="zh-CN"/>
              </w:rPr>
              <w:t>本项目并未出现超预算的情况。</w:t>
            </w:r>
          </w:p>
        </w:tc>
      </w:tr>
      <w:tr w14:paraId="04C68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456510">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效益</w:t>
            </w:r>
            <w:r>
              <w:rPr>
                <w:rFonts w:hint="eastAsia" w:ascii="Times New Roman" w:cs="Times New Roman"/>
                <w:i w:val="0"/>
                <w:iCs w:val="0"/>
                <w:color w:val="000000"/>
                <w:kern w:val="0"/>
                <w:sz w:val="20"/>
                <w:szCs w:val="20"/>
                <w:u w:val="none"/>
                <w:lang w:val="en-US" w:eastAsia="zh-CN" w:bidi="ar"/>
              </w:rPr>
              <w:t>指标</w:t>
            </w:r>
          </w:p>
        </w:tc>
        <w:tc>
          <w:tcPr>
            <w:tcW w:w="41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84FB5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社会效益</w:t>
            </w:r>
          </w:p>
        </w:tc>
        <w:tc>
          <w:tcPr>
            <w:tcW w:w="833" w:type="pct"/>
            <w:tcBorders>
              <w:top w:val="single" w:color="auto" w:sz="4" w:space="0"/>
              <w:left w:val="single" w:color="auto" w:sz="4" w:space="0"/>
              <w:bottom w:val="single" w:color="auto" w:sz="4" w:space="0"/>
              <w:right w:val="single" w:color="auto" w:sz="4" w:space="0"/>
            </w:tcBorders>
            <w:shd w:val="clear" w:color="auto" w:fill="auto"/>
            <w:vAlign w:val="center"/>
          </w:tcPr>
          <w:p w14:paraId="0423E1A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sz w:val="20"/>
                <w:szCs w:val="20"/>
                <w:u w:val="none"/>
              </w:rPr>
              <w:t>改善辖区环境卫生</w:t>
            </w:r>
          </w:p>
        </w:tc>
        <w:tc>
          <w:tcPr>
            <w:tcW w:w="575" w:type="pct"/>
            <w:tcBorders>
              <w:top w:val="single" w:color="auto" w:sz="4" w:space="0"/>
              <w:left w:val="single" w:color="auto" w:sz="4" w:space="0"/>
              <w:bottom w:val="single" w:color="auto" w:sz="4" w:space="0"/>
              <w:right w:val="single" w:color="auto" w:sz="4" w:space="0"/>
            </w:tcBorders>
            <w:shd w:val="clear" w:color="auto" w:fill="auto"/>
            <w:vAlign w:val="center"/>
          </w:tcPr>
          <w:p w14:paraId="67DBC93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改善</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D192F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改善</w:t>
            </w:r>
          </w:p>
        </w:tc>
        <w:tc>
          <w:tcPr>
            <w:tcW w:w="36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22BF06">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 w:cs="Times New Roman"/>
                <w:i w:val="0"/>
                <w:iCs w:val="0"/>
                <w:color w:val="000000"/>
                <w:sz w:val="20"/>
                <w:szCs w:val="20"/>
                <w:u w:val="none"/>
              </w:rPr>
            </w:pPr>
            <w:r>
              <w:rPr>
                <w:rFonts w:hint="eastAsia" w:ascii="Times New Roman" w:hAnsi="Times New Roman" w:eastAsia="仿宋" w:cs="Times New Roman"/>
                <w:i w:val="0"/>
                <w:iCs w:val="0"/>
                <w:color w:val="000000"/>
                <w:sz w:val="20"/>
                <w:szCs w:val="20"/>
                <w:u w:val="none"/>
                <w:lang w:val="en-US" w:eastAsia="zh-CN"/>
              </w:rPr>
              <w:t>2023年，区卫健局委托相关公司对辖区内的环境进行了清理。项目组通过在问卷调查中添加“您对西山区爱国卫生7个专项行动工作完成后对居住环境改善情况的满意度”问题，用于考察居民对清理工作的满意度。根据结果，179人中，144人对环境改善情况表示非常满意，34人表示满意，1人表示一般</w:t>
            </w:r>
            <w:r>
              <w:rPr>
                <w:rFonts w:hint="eastAsia" w:ascii="Times New Roman" w:cs="Times New Roman"/>
                <w:i w:val="0"/>
                <w:iCs w:val="0"/>
                <w:color w:val="000000"/>
                <w:sz w:val="20"/>
                <w:szCs w:val="20"/>
                <w:u w:val="none"/>
                <w:lang w:val="en-US" w:eastAsia="zh-CN"/>
              </w:rPr>
              <w:t>。</w:t>
            </w:r>
          </w:p>
        </w:tc>
      </w:tr>
      <w:tr w14:paraId="2B3A5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72" w:type="pct"/>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726EA73A">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i w:val="0"/>
                <w:iCs w:val="0"/>
                <w:color w:val="000000"/>
                <w:sz w:val="20"/>
                <w:szCs w:val="20"/>
                <w:u w:val="none"/>
              </w:rPr>
            </w:pPr>
          </w:p>
        </w:tc>
        <w:tc>
          <w:tcPr>
            <w:tcW w:w="410" w:type="pct"/>
            <w:vMerge w:val="continue"/>
            <w:tcBorders>
              <w:top w:val="single" w:color="auto" w:sz="4" w:space="0"/>
              <w:left w:val="single" w:color="000000" w:sz="4" w:space="0"/>
              <w:right w:val="single" w:color="000000" w:sz="4" w:space="0"/>
            </w:tcBorders>
            <w:shd w:val="clear" w:color="auto" w:fill="auto"/>
            <w:vAlign w:val="center"/>
          </w:tcPr>
          <w:p w14:paraId="2BDA9BC3">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i w:val="0"/>
                <w:iCs w:val="0"/>
                <w:color w:val="000000"/>
                <w:sz w:val="20"/>
                <w:szCs w:val="20"/>
                <w:u w:val="none"/>
              </w:rPr>
            </w:pPr>
          </w:p>
        </w:tc>
        <w:tc>
          <w:tcPr>
            <w:tcW w:w="833" w:type="pct"/>
            <w:tcBorders>
              <w:top w:val="single" w:color="auto" w:sz="4" w:space="0"/>
              <w:left w:val="single" w:color="000000" w:sz="4" w:space="0"/>
              <w:bottom w:val="single" w:color="000000" w:sz="4" w:space="0"/>
              <w:right w:val="single" w:color="000000" w:sz="4" w:space="0"/>
            </w:tcBorders>
            <w:shd w:val="clear" w:color="auto" w:fill="auto"/>
            <w:vAlign w:val="center"/>
          </w:tcPr>
          <w:p w14:paraId="1860350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sz w:val="20"/>
                <w:szCs w:val="20"/>
                <w:u w:val="none"/>
              </w:rPr>
              <w:t>病媒</w:t>
            </w:r>
            <w:r>
              <w:rPr>
                <w:rFonts w:hint="eastAsia" w:ascii="Times New Roman" w:cs="Times New Roman"/>
                <w:i w:val="0"/>
                <w:iCs w:val="0"/>
                <w:color w:val="000000"/>
                <w:sz w:val="20"/>
                <w:szCs w:val="20"/>
                <w:u w:val="none"/>
                <w:lang w:eastAsia="zh-CN"/>
              </w:rPr>
              <w:t>生物防治</w:t>
            </w:r>
            <w:r>
              <w:rPr>
                <w:rFonts w:hint="default" w:ascii="Times New Roman" w:hAnsi="Times New Roman" w:eastAsia="仿宋" w:cs="Times New Roman"/>
                <w:i w:val="0"/>
                <w:iCs w:val="0"/>
                <w:color w:val="000000"/>
                <w:sz w:val="20"/>
                <w:szCs w:val="20"/>
                <w:u w:val="none"/>
              </w:rPr>
              <w:t>达标情况</w:t>
            </w:r>
          </w:p>
        </w:tc>
        <w:tc>
          <w:tcPr>
            <w:tcW w:w="575" w:type="pct"/>
            <w:tcBorders>
              <w:top w:val="single" w:color="auto" w:sz="4" w:space="0"/>
              <w:left w:val="single" w:color="000000" w:sz="4" w:space="0"/>
              <w:bottom w:val="single" w:color="000000" w:sz="4" w:space="0"/>
              <w:right w:val="single" w:color="000000" w:sz="4" w:space="0"/>
            </w:tcBorders>
            <w:shd w:val="clear" w:color="auto" w:fill="auto"/>
            <w:vAlign w:val="center"/>
          </w:tcPr>
          <w:p w14:paraId="188FC65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达标</w:t>
            </w:r>
          </w:p>
        </w:tc>
        <w:tc>
          <w:tcPr>
            <w:tcW w:w="108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F2C899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未达标</w:t>
            </w:r>
          </w:p>
        </w:tc>
        <w:tc>
          <w:tcPr>
            <w:tcW w:w="364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231BEBC">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 w:cs="Times New Roman"/>
                <w:i w:val="0"/>
                <w:iCs w:val="0"/>
                <w:color w:val="000000"/>
                <w:sz w:val="20"/>
                <w:szCs w:val="20"/>
                <w:u w:val="none"/>
                <w:lang w:val="en-US" w:eastAsia="zh-CN"/>
              </w:rPr>
            </w:pPr>
            <w:r>
              <w:rPr>
                <w:rFonts w:hint="default" w:ascii="Times New Roman" w:hAnsi="Times New Roman" w:eastAsia="仿宋" w:cs="Times New Roman"/>
                <w:i w:val="0"/>
                <w:iCs w:val="0"/>
                <w:color w:val="000000"/>
                <w:sz w:val="20"/>
                <w:szCs w:val="20"/>
                <w:highlight w:val="none"/>
                <w:u w:val="none"/>
              </w:rPr>
              <w:t>根据西山区爱国卫生运动委员会办公室发布的《西山区2023年病媒生物防制工作总结》（西爱卫办〔2023〕24号），西山区共存在三个问题一是部分街道重视程度不够，部分地段（点）除“四害”工作落实不到位。二是部分单位除“四害”综合防治设施落实不到位，对重点单位、一般单位的除“四害”设施需进一步加强和落实。三是部分区域在“四害”密度监测与标准要求有一定差距，存在着重点单位、一般单位数量不够，在选择布粉块点上不科学、不合理现象。未达到国家C级要求。</w:t>
            </w:r>
          </w:p>
        </w:tc>
      </w:tr>
      <w:tr w14:paraId="685B2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72"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0C1F6CBF">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i w:val="0"/>
                <w:iCs w:val="0"/>
                <w:color w:val="000000"/>
                <w:sz w:val="20"/>
                <w:szCs w:val="20"/>
                <w:u w:val="none"/>
              </w:rPr>
            </w:pPr>
          </w:p>
        </w:tc>
        <w:tc>
          <w:tcPr>
            <w:tcW w:w="410" w:type="pct"/>
            <w:vMerge w:val="continue"/>
            <w:tcBorders>
              <w:left w:val="single" w:color="000000" w:sz="4" w:space="0"/>
              <w:bottom w:val="single" w:color="000000" w:sz="4" w:space="0"/>
              <w:right w:val="single" w:color="000000" w:sz="4" w:space="0"/>
            </w:tcBorders>
            <w:shd w:val="clear" w:color="auto" w:fill="auto"/>
            <w:vAlign w:val="center"/>
          </w:tcPr>
          <w:p w14:paraId="20C2D84E">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i w:val="0"/>
                <w:iCs w:val="0"/>
                <w:color w:val="000000"/>
                <w:sz w:val="20"/>
                <w:szCs w:val="20"/>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7859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问题整改率</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C8C4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6FFD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highlight w:val="none"/>
                <w:u w:val="none"/>
                <w:lang w:val="en-US" w:eastAsia="zh-CN"/>
              </w:rPr>
              <w:t>100%</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710AD">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sz w:val="20"/>
                <w:szCs w:val="20"/>
                <w:highlight w:val="none"/>
                <w:u w:val="none"/>
              </w:rPr>
              <w:t>根据项目材料，2023年5月4日，在安宁市交叉检查过程中，除共性问题共发现西山区需整改问题77项，目前77项已全部整改完毕。</w:t>
            </w:r>
          </w:p>
        </w:tc>
      </w:tr>
      <w:tr w14:paraId="32C92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72"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6C82626D">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i w:val="0"/>
                <w:iCs w:val="0"/>
                <w:color w:val="000000"/>
                <w:sz w:val="20"/>
                <w:szCs w:val="20"/>
                <w:u w:val="none"/>
              </w:rPr>
            </w:pPr>
          </w:p>
        </w:tc>
        <w:tc>
          <w:tcPr>
            <w:tcW w:w="410" w:type="pct"/>
            <w:vMerge w:val="restart"/>
            <w:tcBorders>
              <w:top w:val="single" w:color="000000" w:sz="4" w:space="0"/>
              <w:left w:val="single" w:color="000000" w:sz="4" w:space="0"/>
              <w:right w:val="single" w:color="000000" w:sz="4" w:space="0"/>
            </w:tcBorders>
            <w:shd w:val="clear" w:color="auto" w:fill="auto"/>
            <w:vAlign w:val="center"/>
          </w:tcPr>
          <w:p w14:paraId="2DDF38A0">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满意度</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9898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sz w:val="20"/>
                <w:szCs w:val="20"/>
                <w:u w:val="none"/>
              </w:rPr>
              <w:t>项目管理人员满意度</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CD69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1062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highlight w:val="none"/>
                <w:u w:val="none"/>
                <w:lang w:val="en-US" w:eastAsia="zh-CN"/>
              </w:rPr>
              <w:t>100%</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71E99">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 w:cs="Times New Roman"/>
                <w:i w:val="0"/>
                <w:iCs w:val="0"/>
                <w:color w:val="000000"/>
                <w:sz w:val="20"/>
                <w:szCs w:val="20"/>
                <w:u w:val="none"/>
                <w:lang w:val="en-US" w:eastAsia="zh-CN"/>
              </w:rPr>
            </w:pPr>
            <w:r>
              <w:rPr>
                <w:rFonts w:hint="default" w:ascii="Times New Roman" w:hAnsi="Times New Roman" w:eastAsia="仿宋" w:cs="Times New Roman"/>
                <w:i w:val="0"/>
                <w:iCs w:val="0"/>
                <w:color w:val="000000"/>
                <w:sz w:val="20"/>
                <w:szCs w:val="20"/>
                <w:highlight w:val="none"/>
                <w:u w:val="none"/>
              </w:rPr>
              <w:t>本次发放电子问卷，共回收有效问卷13份，经项目组统计计算，受益对象满意度为100%。</w:t>
            </w:r>
          </w:p>
        </w:tc>
      </w:tr>
      <w:tr w14:paraId="2CFE2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72"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2567121C">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i w:val="0"/>
                <w:iCs w:val="0"/>
                <w:color w:val="000000"/>
                <w:sz w:val="20"/>
                <w:szCs w:val="20"/>
                <w:u w:val="none"/>
              </w:rPr>
            </w:pPr>
          </w:p>
        </w:tc>
        <w:tc>
          <w:tcPr>
            <w:tcW w:w="410" w:type="pct"/>
            <w:vMerge w:val="continue"/>
            <w:tcBorders>
              <w:left w:val="single" w:color="000000" w:sz="4" w:space="0"/>
              <w:bottom w:val="single" w:color="000000" w:sz="4" w:space="0"/>
              <w:right w:val="single" w:color="000000" w:sz="4" w:space="0"/>
            </w:tcBorders>
            <w:shd w:val="clear" w:color="auto" w:fill="auto"/>
            <w:vAlign w:val="center"/>
          </w:tcPr>
          <w:p w14:paraId="021C90C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6D58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sz w:val="20"/>
                <w:szCs w:val="20"/>
                <w:u w:val="none"/>
              </w:rPr>
              <w:t>人民群众满意度</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E05F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lang w:val="en-US" w:eastAsia="zh-CN"/>
              </w:rPr>
            </w:pPr>
            <w:r>
              <w:rPr>
                <w:rFonts w:hint="eastAsia" w:ascii="Times New Roman" w:cs="Times New Roman"/>
                <w:i w:val="0"/>
                <w:iCs w:val="0"/>
                <w:color w:val="000000"/>
                <w:sz w:val="20"/>
                <w:szCs w:val="20"/>
                <w:highlight w:val="none"/>
                <w:u w:val="none"/>
                <w:lang w:val="en-US" w:eastAsia="zh-CN"/>
              </w:rPr>
              <w:t>80%</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1BD1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lang w:val="en-US" w:eastAsia="zh-CN"/>
              </w:rPr>
            </w:pPr>
            <w:r>
              <w:rPr>
                <w:rFonts w:hint="eastAsia" w:ascii="Times New Roman" w:cs="Times New Roman"/>
                <w:i w:val="0"/>
                <w:iCs w:val="0"/>
                <w:color w:val="000000"/>
                <w:sz w:val="20"/>
                <w:szCs w:val="20"/>
                <w:highlight w:val="none"/>
                <w:u w:val="none"/>
                <w:lang w:val="en-US" w:eastAsia="zh-CN"/>
              </w:rPr>
              <w:t>92%</w:t>
            </w:r>
          </w:p>
        </w:tc>
        <w:tc>
          <w:tcPr>
            <w:tcW w:w="20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10F4A">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 w:cs="Times New Roman"/>
                <w:i w:val="0"/>
                <w:iCs w:val="0"/>
                <w:color w:val="000000"/>
                <w:sz w:val="20"/>
                <w:szCs w:val="20"/>
                <w:highlight w:val="none"/>
                <w:u w:val="none"/>
              </w:rPr>
            </w:pPr>
            <w:r>
              <w:rPr>
                <w:rFonts w:hint="default" w:ascii="Times New Roman" w:hAnsi="Times New Roman" w:eastAsia="仿宋" w:cs="Times New Roman"/>
                <w:i w:val="0"/>
                <w:iCs w:val="0"/>
                <w:color w:val="000000"/>
                <w:sz w:val="20"/>
                <w:szCs w:val="20"/>
                <w:highlight w:val="none"/>
                <w:u w:val="none"/>
              </w:rPr>
              <w:t>本次发放电子问卷，共回收有效问卷179份，经项目组统计计算，受益对象满意度为92%。</w:t>
            </w:r>
          </w:p>
        </w:tc>
      </w:tr>
    </w:tbl>
    <w:p w14:paraId="757D65FB">
      <w:pPr>
        <w:pStyle w:val="31"/>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rPr>
          <w:rFonts w:hint="default" w:ascii="Times New Roman" w:hAnsi="Times New Roman" w:cs="Times New Roman"/>
          <w:lang w:val="en-US" w:eastAsia="zh-CN"/>
        </w:rPr>
      </w:pPr>
      <w:bookmarkStart w:id="65" w:name="_Toc2931"/>
      <w:r>
        <w:rPr>
          <w:rFonts w:hint="default" w:ascii="Times New Roman" w:hAnsi="Times New Roman" w:cs="Times New Roman"/>
          <w:lang w:val="en-US" w:eastAsia="zh-CN"/>
        </w:rPr>
        <w:t>四、绩效评价情况分析</w:t>
      </w:r>
      <w:bookmarkEnd w:id="65"/>
    </w:p>
    <w:p w14:paraId="11D6EA4A">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2"/>
          <w:sz w:val="30"/>
          <w:szCs w:val="30"/>
          <w:lang w:val="en-US" w:eastAsia="zh-CN" w:bidi="ar-SA"/>
        </w:rPr>
      </w:pPr>
      <w:bookmarkStart w:id="66" w:name="_Toc2767"/>
      <w:bookmarkStart w:id="67" w:name="_Toc14682"/>
      <w:r>
        <w:rPr>
          <w:rFonts w:hint="eastAsia" w:ascii="Times New Roman" w:cs="Times New Roman"/>
          <w:kern w:val="2"/>
          <w:sz w:val="30"/>
          <w:szCs w:val="30"/>
          <w:lang w:val="en-US" w:eastAsia="zh-CN" w:bidi="ar-SA"/>
        </w:rPr>
        <w:t>池砾公司</w:t>
      </w:r>
      <w:r>
        <w:rPr>
          <w:rFonts w:hint="default" w:ascii="Times New Roman" w:hAnsi="Times New Roman" w:eastAsia="仿宋" w:cs="Times New Roman"/>
          <w:kern w:val="2"/>
          <w:sz w:val="30"/>
          <w:szCs w:val="30"/>
          <w:lang w:val="en-US" w:eastAsia="zh-CN" w:bidi="ar-SA"/>
        </w:rPr>
        <w:t>根据绩效管理基本原则，采用比较法、因素分析法、成本效益分析法、公众评议法等方法，按照《推进爱国卫生7个专项行动工作补助经费项目</w:t>
      </w:r>
      <w:r>
        <w:rPr>
          <w:rFonts w:hint="default" w:ascii="Times New Roman" w:hAnsi="Times New Roman" w:cs="Times New Roman"/>
          <w:kern w:val="2"/>
          <w:sz w:val="30"/>
          <w:szCs w:val="30"/>
          <w:lang w:val="en-US" w:eastAsia="zh-CN" w:bidi="ar-SA"/>
        </w:rPr>
        <w:t>绩效评价指标体系</w:t>
      </w:r>
      <w:r>
        <w:rPr>
          <w:rFonts w:hint="default" w:ascii="Times New Roman" w:hAnsi="Times New Roman" w:eastAsia="仿宋" w:cs="Times New Roman"/>
          <w:kern w:val="2"/>
          <w:sz w:val="30"/>
          <w:szCs w:val="30"/>
          <w:lang w:val="en-US" w:eastAsia="zh-CN" w:bidi="ar-SA"/>
        </w:rPr>
        <w:t>》，对推进爱国卫生7个专项行动工作补助经费项目的各项指标进行分析，具体内容如下：</w:t>
      </w:r>
      <w:bookmarkEnd w:id="66"/>
      <w:bookmarkEnd w:id="67"/>
    </w:p>
    <w:p w14:paraId="7A207F63">
      <w:pPr>
        <w:pStyle w:val="32"/>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rPr>
      </w:pPr>
      <w:bookmarkStart w:id="68" w:name="_Toc9923"/>
      <w:r>
        <w:rPr>
          <w:rFonts w:hint="default" w:ascii="Times New Roman" w:hAnsi="Times New Roman" w:cs="Times New Roman"/>
        </w:rPr>
        <w:t>（一）</w:t>
      </w:r>
      <w:r>
        <w:rPr>
          <w:rFonts w:hint="default" w:ascii="Times New Roman" w:hAnsi="Times New Roman" w:cs="Times New Roman"/>
          <w:lang w:val="en-US" w:eastAsia="zh-CN"/>
        </w:rPr>
        <w:t>决策</w:t>
      </w:r>
      <w:r>
        <w:rPr>
          <w:rFonts w:hint="default" w:ascii="Times New Roman" w:hAnsi="Times New Roman" w:cs="Times New Roman"/>
        </w:rPr>
        <w:t>情况分析</w:t>
      </w:r>
      <w:bookmarkEnd w:id="68"/>
    </w:p>
    <w:p w14:paraId="460EA984">
      <w:pPr>
        <w:keepNext w:val="0"/>
        <w:keepLines w:val="0"/>
        <w:pageBreakBefore w:val="0"/>
        <w:widowControl w:val="0"/>
        <w:shd w:val="clear"/>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w:t>
      </w:r>
      <w:r>
        <w:rPr>
          <w:rFonts w:hint="default" w:ascii="Times New Roman" w:hAnsi="Times New Roman" w:eastAsia="仿宋" w:cs="Times New Roman"/>
          <w:kern w:val="2"/>
          <w:sz w:val="30"/>
          <w:szCs w:val="30"/>
          <w:highlight w:val="none"/>
          <w:lang w:val="en-US" w:eastAsia="zh-CN" w:bidi="ar-SA"/>
        </w:rPr>
        <w:t>项目决策类</w:t>
      </w:r>
      <w:r>
        <w:rPr>
          <w:rFonts w:hint="default" w:ascii="Times New Roman" w:hAnsi="Times New Roman" w:cs="Times New Roman"/>
          <w:kern w:val="2"/>
          <w:sz w:val="30"/>
          <w:szCs w:val="30"/>
          <w:highlight w:val="none"/>
          <w:lang w:val="en-US" w:eastAsia="zh-CN" w:bidi="ar-SA"/>
        </w:rPr>
        <w:t>”</w:t>
      </w:r>
      <w:r>
        <w:rPr>
          <w:rFonts w:hint="default" w:ascii="Times New Roman" w:hAnsi="Times New Roman" w:eastAsia="仿宋" w:cs="Times New Roman"/>
          <w:kern w:val="2"/>
          <w:sz w:val="30"/>
          <w:szCs w:val="30"/>
          <w:highlight w:val="none"/>
          <w:lang w:val="en-US" w:eastAsia="zh-CN" w:bidi="ar-SA"/>
        </w:rPr>
        <w:t>指标包括项目立项、绩效目标和资金投入三个方面，采用6个三级指标进行考察。权重分值15分，绩效评价得分</w:t>
      </w:r>
      <w:r>
        <w:rPr>
          <w:rFonts w:hint="default" w:ascii="Times New Roman" w:hAnsi="Times New Roman" w:cs="Times New Roman"/>
          <w:kern w:val="2"/>
          <w:sz w:val="30"/>
          <w:szCs w:val="30"/>
          <w:highlight w:val="none"/>
          <w:lang w:val="en-US" w:eastAsia="zh-CN" w:bidi="ar-SA"/>
        </w:rPr>
        <w:t>1</w:t>
      </w:r>
      <w:r>
        <w:rPr>
          <w:rFonts w:hint="eastAsia" w:ascii="Times New Roman" w:cs="Times New Roman"/>
          <w:kern w:val="2"/>
          <w:sz w:val="30"/>
          <w:szCs w:val="30"/>
          <w:highlight w:val="none"/>
          <w:lang w:val="en-US" w:eastAsia="zh-CN" w:bidi="ar-SA"/>
        </w:rPr>
        <w:t>4</w:t>
      </w:r>
      <w:r>
        <w:rPr>
          <w:rFonts w:hint="default" w:ascii="Times New Roman" w:hAnsi="Times New Roman" w:eastAsia="仿宋" w:cs="Times New Roman"/>
          <w:kern w:val="2"/>
          <w:sz w:val="30"/>
          <w:szCs w:val="30"/>
          <w:highlight w:val="none"/>
          <w:lang w:val="en-US" w:eastAsia="zh-CN" w:bidi="ar-SA"/>
        </w:rPr>
        <w:t>分，得分率为</w:t>
      </w:r>
      <w:r>
        <w:rPr>
          <w:rFonts w:hint="eastAsia" w:ascii="Times New Roman" w:cs="Times New Roman"/>
          <w:kern w:val="2"/>
          <w:sz w:val="30"/>
          <w:szCs w:val="30"/>
          <w:highlight w:val="none"/>
          <w:lang w:val="en-US" w:eastAsia="zh-CN" w:bidi="ar-SA"/>
        </w:rPr>
        <w:t>93.33</w:t>
      </w:r>
      <w:r>
        <w:rPr>
          <w:rFonts w:hint="default" w:ascii="Times New Roman" w:hAnsi="Times New Roman" w:eastAsia="仿宋" w:cs="Times New Roman"/>
          <w:kern w:val="2"/>
          <w:sz w:val="30"/>
          <w:szCs w:val="30"/>
          <w:highlight w:val="none"/>
          <w:lang w:val="en-US" w:eastAsia="zh-CN" w:bidi="ar-SA"/>
        </w:rPr>
        <w:t>%。</w:t>
      </w:r>
    </w:p>
    <w:p w14:paraId="6491CE76">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1.项目立项</w:t>
      </w:r>
    </w:p>
    <w:p w14:paraId="36538484">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（1）立项依据充分性</w:t>
      </w:r>
    </w:p>
    <w:p w14:paraId="77A97CAF">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随着习近平总书记关于新时代爱国卫生运动的重要指示不断深化，云南省的爱国卫生“7个专项行动”不仅旨在改善城乡人居环境，也响应了保障人民生命安全与身体健康的重大需求。通过过去几年的努力，云南省已在全省范围内显著提高了卫生标准，促进了社会健康管理的转变。因此，继续推进该项目显得尤为重要，以巩固和扩展已取得的成果，确保卫生环境持续改善，并全面提升居民的健康素养。通过</w:t>
      </w:r>
      <w:r>
        <w:rPr>
          <w:rFonts w:hint="eastAsia" w:ascii="Times New Roman" w:cs="Times New Roman"/>
          <w:kern w:val="2"/>
          <w:sz w:val="30"/>
          <w:szCs w:val="30"/>
          <w:lang w:val="en-US" w:eastAsia="zh-CN" w:bidi="ar-SA"/>
        </w:rPr>
        <w:t>实施本</w:t>
      </w:r>
      <w:r>
        <w:rPr>
          <w:rFonts w:hint="default" w:ascii="Times New Roman" w:hAnsi="Times New Roman" w:eastAsia="仿宋" w:cs="Times New Roman"/>
          <w:kern w:val="2"/>
          <w:sz w:val="30"/>
          <w:szCs w:val="30"/>
          <w:lang w:val="en-US" w:eastAsia="zh-CN" w:bidi="ar-SA"/>
        </w:rPr>
        <w:t>项目，西山区将能有效加强公共卫生设施建设，落实健康文明的生活方式，构建更为良好的卫生生态。项目立项与国家政策方向一致，符合国家、省级、市级相关政策要求；项目立项与</w:t>
      </w:r>
      <w:r>
        <w:rPr>
          <w:rFonts w:hint="eastAsia" w:ascii="Times New Roman" w:cs="Times New Roman"/>
          <w:kern w:val="2"/>
          <w:sz w:val="30"/>
          <w:szCs w:val="30"/>
          <w:lang w:val="en-US" w:eastAsia="zh-CN" w:bidi="ar-SA"/>
        </w:rPr>
        <w:t>区卫健局的</w:t>
      </w:r>
      <w:r>
        <w:rPr>
          <w:rFonts w:hint="default" w:ascii="Times New Roman" w:hAnsi="Times New Roman" w:eastAsia="仿宋" w:cs="Times New Roman"/>
          <w:kern w:val="2"/>
          <w:sz w:val="30"/>
          <w:szCs w:val="30"/>
          <w:lang w:val="en-US" w:eastAsia="zh-CN" w:bidi="ar-SA"/>
        </w:rPr>
        <w:t>部门职能职责相关；项目属于公共财政支持范围，符合中央、地方事权支出责任划分原则；与相关部门同类项目或部门内部相关项目不重复。</w:t>
      </w:r>
      <w:r>
        <w:rPr>
          <w:rFonts w:hint="default" w:ascii="Times New Roman" w:hAnsi="Times New Roman" w:cs="Times New Roman"/>
          <w:kern w:val="2"/>
          <w:sz w:val="30"/>
          <w:szCs w:val="30"/>
          <w:lang w:val="en-US" w:eastAsia="zh-CN" w:bidi="ar-SA"/>
        </w:rPr>
        <w:t>因此，</w:t>
      </w:r>
      <w:r>
        <w:rPr>
          <w:rFonts w:hint="default" w:ascii="Times New Roman" w:hAnsi="Times New Roman" w:eastAsia="仿宋" w:cs="Times New Roman"/>
          <w:kern w:val="2"/>
          <w:sz w:val="30"/>
          <w:szCs w:val="30"/>
          <w:lang w:val="en-US" w:eastAsia="zh-CN" w:bidi="ar-SA"/>
        </w:rPr>
        <w:t>指标分值</w:t>
      </w:r>
      <w:r>
        <w:rPr>
          <w:rFonts w:hint="eastAsia" w:ascii="Times New Roman" w:cs="Times New Roman"/>
          <w:kern w:val="2"/>
          <w:sz w:val="30"/>
          <w:szCs w:val="30"/>
          <w:lang w:val="en-US" w:eastAsia="zh-CN" w:bidi="ar-SA"/>
        </w:rPr>
        <w:t>3</w:t>
      </w:r>
      <w:r>
        <w:rPr>
          <w:rFonts w:hint="default" w:ascii="Times New Roman" w:hAnsi="Times New Roman" w:eastAsia="仿宋" w:cs="Times New Roman"/>
          <w:kern w:val="2"/>
          <w:sz w:val="30"/>
          <w:szCs w:val="30"/>
          <w:lang w:val="en-US" w:eastAsia="zh-CN" w:bidi="ar-SA"/>
        </w:rPr>
        <w:t>分，评价得分</w:t>
      </w:r>
      <w:r>
        <w:rPr>
          <w:rFonts w:hint="eastAsia" w:ascii="Times New Roman" w:cs="Times New Roman"/>
          <w:kern w:val="2"/>
          <w:sz w:val="30"/>
          <w:szCs w:val="30"/>
          <w:lang w:val="en-US" w:eastAsia="zh-CN" w:bidi="ar-SA"/>
        </w:rPr>
        <w:t>3</w:t>
      </w:r>
      <w:r>
        <w:rPr>
          <w:rFonts w:hint="default" w:ascii="Times New Roman" w:hAnsi="Times New Roman" w:eastAsia="仿宋" w:cs="Times New Roman"/>
          <w:kern w:val="2"/>
          <w:sz w:val="30"/>
          <w:szCs w:val="30"/>
          <w:lang w:val="en-US" w:eastAsia="zh-CN" w:bidi="ar-SA"/>
        </w:rPr>
        <w:t>分。</w:t>
      </w:r>
    </w:p>
    <w:p w14:paraId="42ED033D">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（2）立项规范性</w:t>
      </w:r>
    </w:p>
    <w:p w14:paraId="5C09C1B2">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cs="Times New Roman"/>
          <w:kern w:val="2"/>
          <w:sz w:val="30"/>
          <w:szCs w:val="30"/>
          <w:lang w:val="en-US" w:eastAsia="zh-CN" w:bidi="ar-SA"/>
        </w:rPr>
        <w:t>该项目的实施遵循《云南省推进健康县城建设三年行动方案（2022—2024年）》及相关政策文件，确保各项活动符合政府规定和标准。</w:t>
      </w:r>
      <w:r>
        <w:rPr>
          <w:rFonts w:hint="eastAsia" w:ascii="Times New Roman" w:cs="Times New Roman"/>
          <w:kern w:val="2"/>
          <w:sz w:val="30"/>
          <w:szCs w:val="30"/>
          <w:lang w:val="en-US" w:eastAsia="zh-CN" w:bidi="ar-SA"/>
        </w:rPr>
        <w:t>区卫健局</w:t>
      </w:r>
      <w:r>
        <w:rPr>
          <w:rFonts w:hint="default" w:ascii="Times New Roman" w:hAnsi="Times New Roman" w:cs="Times New Roman"/>
          <w:kern w:val="2"/>
          <w:sz w:val="30"/>
          <w:szCs w:val="30"/>
          <w:lang w:val="en-US" w:eastAsia="zh-CN" w:bidi="ar-SA"/>
        </w:rPr>
        <w:t>在申报年初部门预算时，对项目进行了同步申报，并填报了项目立项申报表，项目按规定的程序申请设立，提交的文件、材料符合相关要求，项目立项</w:t>
      </w:r>
      <w:r>
        <w:rPr>
          <w:rFonts w:hint="eastAsia" w:ascii="Times New Roman" w:cs="Times New Roman"/>
          <w:kern w:val="2"/>
          <w:sz w:val="30"/>
          <w:szCs w:val="30"/>
          <w:lang w:val="en-US" w:eastAsia="zh-CN" w:bidi="ar-SA"/>
        </w:rPr>
        <w:t>程序</w:t>
      </w:r>
      <w:r>
        <w:rPr>
          <w:rFonts w:hint="default" w:ascii="Times New Roman" w:hAnsi="Times New Roman" w:cs="Times New Roman"/>
          <w:kern w:val="2"/>
          <w:sz w:val="30"/>
          <w:szCs w:val="30"/>
          <w:lang w:val="en-US" w:eastAsia="zh-CN" w:bidi="ar-SA"/>
        </w:rPr>
        <w:t>规范。因此，</w:t>
      </w:r>
      <w:r>
        <w:rPr>
          <w:rFonts w:hint="default" w:ascii="Times New Roman" w:hAnsi="Times New Roman" w:eastAsia="仿宋" w:cs="Times New Roman"/>
          <w:kern w:val="2"/>
          <w:sz w:val="30"/>
          <w:szCs w:val="30"/>
          <w:lang w:val="en-US" w:eastAsia="zh-CN" w:bidi="ar-SA"/>
        </w:rPr>
        <w:t>指标分值</w:t>
      </w:r>
      <w:r>
        <w:rPr>
          <w:rFonts w:hint="eastAsia" w:ascii="Times New Roman" w:cs="Times New Roman"/>
          <w:kern w:val="2"/>
          <w:sz w:val="30"/>
          <w:szCs w:val="30"/>
          <w:lang w:val="en-US" w:eastAsia="zh-CN" w:bidi="ar-SA"/>
        </w:rPr>
        <w:t>2</w:t>
      </w:r>
      <w:r>
        <w:rPr>
          <w:rFonts w:hint="default" w:ascii="Times New Roman" w:hAnsi="Times New Roman" w:eastAsia="仿宋" w:cs="Times New Roman"/>
          <w:kern w:val="2"/>
          <w:sz w:val="30"/>
          <w:szCs w:val="30"/>
          <w:lang w:val="en-US" w:eastAsia="zh-CN" w:bidi="ar-SA"/>
        </w:rPr>
        <w:t>分，评价得分</w:t>
      </w:r>
      <w:r>
        <w:rPr>
          <w:rFonts w:hint="eastAsia" w:ascii="Times New Roman" w:cs="Times New Roman"/>
          <w:kern w:val="2"/>
          <w:sz w:val="30"/>
          <w:szCs w:val="30"/>
          <w:lang w:val="en-US" w:eastAsia="zh-CN" w:bidi="ar-SA"/>
        </w:rPr>
        <w:t>2</w:t>
      </w:r>
      <w:r>
        <w:rPr>
          <w:rFonts w:hint="default" w:ascii="Times New Roman" w:hAnsi="Times New Roman" w:eastAsia="仿宋" w:cs="Times New Roman"/>
          <w:kern w:val="2"/>
          <w:sz w:val="30"/>
          <w:szCs w:val="30"/>
          <w:lang w:val="en-US" w:eastAsia="zh-CN" w:bidi="ar-SA"/>
        </w:rPr>
        <w:t>分。</w:t>
      </w:r>
    </w:p>
    <w:p w14:paraId="7F9E212B">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2.绩效目标</w:t>
      </w:r>
    </w:p>
    <w:p w14:paraId="660A21FC">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（1）绩效目标合理性</w:t>
      </w:r>
    </w:p>
    <w:p w14:paraId="6F86ADDB">
      <w:pPr>
        <w:keepNext w:val="0"/>
        <w:keepLines w:val="0"/>
        <w:pageBreakBefore w:val="0"/>
        <w:widowControl w:val="0"/>
        <w:shd w:val="clear"/>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根据项目绩效目标申报表，</w:t>
      </w:r>
      <w:r>
        <w:rPr>
          <w:rFonts w:hint="default" w:ascii="Times New Roman" w:hAnsi="Times New Roman" w:cs="Times New Roman"/>
          <w:kern w:val="2"/>
          <w:sz w:val="30"/>
          <w:szCs w:val="30"/>
          <w:highlight w:val="none"/>
          <w:lang w:val="en-US" w:eastAsia="zh-CN" w:bidi="ar-SA"/>
        </w:rPr>
        <w:t>本项目</w:t>
      </w:r>
      <w:r>
        <w:rPr>
          <w:rFonts w:hint="default" w:ascii="Times New Roman" w:hAnsi="Times New Roman" w:eastAsia="仿宋" w:cs="Times New Roman"/>
          <w:kern w:val="2"/>
          <w:sz w:val="30"/>
          <w:szCs w:val="30"/>
          <w:highlight w:val="none"/>
          <w:lang w:val="en-US" w:eastAsia="zh-CN" w:bidi="ar-SA"/>
        </w:rPr>
        <w:t>的绩效目标与实际工作内容相关，绩效指标涵盖产出数量、质量、时效及效益指标；项目预期产出效益和效果符合正常的业绩水平；目标与预算确定的项目投资额或资金量相匹配。</w:t>
      </w:r>
    </w:p>
    <w:p w14:paraId="45D4BFE4">
      <w:pPr>
        <w:keepNext w:val="0"/>
        <w:keepLines w:val="0"/>
        <w:pageBreakBefore w:val="0"/>
        <w:widowControl w:val="0"/>
        <w:shd w:val="clear"/>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因此，</w:t>
      </w:r>
      <w:r>
        <w:rPr>
          <w:rFonts w:hint="default" w:ascii="Times New Roman" w:hAnsi="Times New Roman" w:eastAsia="仿宋" w:cs="Times New Roman"/>
          <w:kern w:val="2"/>
          <w:sz w:val="30"/>
          <w:szCs w:val="30"/>
          <w:highlight w:val="none"/>
          <w:lang w:val="en-US" w:eastAsia="zh-CN" w:bidi="ar-SA"/>
        </w:rPr>
        <w:t>指标分值</w:t>
      </w:r>
      <w:r>
        <w:rPr>
          <w:rFonts w:hint="eastAsia" w:ascii="Times New Roman" w:cs="Times New Roman"/>
          <w:kern w:val="2"/>
          <w:sz w:val="30"/>
          <w:szCs w:val="30"/>
          <w:highlight w:val="none"/>
          <w:lang w:val="en-US" w:eastAsia="zh-CN" w:bidi="ar-SA"/>
        </w:rPr>
        <w:t>2</w:t>
      </w:r>
      <w:r>
        <w:rPr>
          <w:rFonts w:hint="default" w:ascii="Times New Roman" w:hAnsi="Times New Roman" w:eastAsia="仿宋" w:cs="Times New Roman"/>
          <w:kern w:val="2"/>
          <w:sz w:val="30"/>
          <w:szCs w:val="30"/>
          <w:highlight w:val="none"/>
          <w:lang w:val="en-US" w:eastAsia="zh-CN" w:bidi="ar-SA"/>
        </w:rPr>
        <w:t>分，评价得分</w:t>
      </w:r>
      <w:r>
        <w:rPr>
          <w:rFonts w:hint="default" w:ascii="Times New Roman" w:hAnsi="Times New Roman" w:cs="Times New Roman"/>
          <w:kern w:val="2"/>
          <w:sz w:val="30"/>
          <w:szCs w:val="30"/>
          <w:highlight w:val="none"/>
          <w:lang w:val="en-US" w:eastAsia="zh-CN" w:bidi="ar-SA"/>
        </w:rPr>
        <w:t>2</w:t>
      </w:r>
      <w:r>
        <w:rPr>
          <w:rFonts w:hint="default" w:ascii="Times New Roman" w:hAnsi="Times New Roman" w:eastAsia="仿宋" w:cs="Times New Roman"/>
          <w:kern w:val="2"/>
          <w:sz w:val="30"/>
          <w:szCs w:val="30"/>
          <w:highlight w:val="none"/>
          <w:lang w:val="en-US" w:eastAsia="zh-CN" w:bidi="ar-SA"/>
        </w:rPr>
        <w:t>分。</w:t>
      </w:r>
    </w:p>
    <w:p w14:paraId="6D9EB1A5">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（2）绩效目标明确性</w:t>
      </w:r>
    </w:p>
    <w:p w14:paraId="2BBF4979">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根据项目绩效目标申报表，</w:t>
      </w:r>
      <w:r>
        <w:rPr>
          <w:rFonts w:hint="default" w:ascii="Times New Roman" w:hAnsi="Times New Roman" w:cs="Times New Roman"/>
          <w:kern w:val="2"/>
          <w:sz w:val="30"/>
          <w:szCs w:val="30"/>
          <w:highlight w:val="none"/>
          <w:lang w:val="en-US" w:eastAsia="zh-CN" w:bidi="ar-SA"/>
        </w:rPr>
        <w:t>本项目</w:t>
      </w:r>
      <w:r>
        <w:rPr>
          <w:rFonts w:hint="default" w:ascii="Times New Roman" w:hAnsi="Times New Roman" w:eastAsia="仿宋" w:cs="Times New Roman"/>
          <w:kern w:val="2"/>
          <w:sz w:val="30"/>
          <w:szCs w:val="30"/>
          <w:highlight w:val="none"/>
          <w:lang w:val="en-US" w:eastAsia="zh-CN" w:bidi="ar-SA"/>
        </w:rPr>
        <w:t>已将项目绩效目标细化分解为具体的绩效指标，绩效指标涵盖产出数量、质量、时效及效益指标</w:t>
      </w:r>
      <w:r>
        <w:rPr>
          <w:rFonts w:hint="eastAsia" w:ascii="Times New Roman" w:cs="Times New Roman"/>
          <w:kern w:val="2"/>
          <w:sz w:val="30"/>
          <w:szCs w:val="30"/>
          <w:highlight w:val="none"/>
          <w:lang w:val="en-US" w:eastAsia="zh-CN" w:bidi="ar-SA"/>
        </w:rPr>
        <w:t>，但是个别指标编制不够准确，如数量指标中的“开展“绿城市、治污染、除四害、食安心、勤锻炼、管慢病、家健康”行动，推动全生命周期健康管理理念贯穿城市规划、建设、管理全过程各环节，将健康融入所有政策”、“聚焦营造健康环境、构建健康社会、优化健康服务、培育健康人群、弘扬健康文化，培育和践行社会主义核心价值观，传承中华优秀传统文化，开展“绿城市、治污染、除四害、食安心、勤锻炼、管慢病、家健康”行动制作宣传品及宣传报道”等指标名称冗长，指向不明确；服务对象满意度指标中的“推动全生命周期健康管理理念贯穿城市规划、建设、管理全过程各环节，影响居民健康的主要因素得到有效控制，社会健康综合治理能力全面提高，培育先进典型，发挥示范引领作用。充分发挥基层组织作用，广泛动员社会力量和人民群众，营造全民知晓、全民支持、全民参与、共建共享的社会氛围。”也存在此类问题。</w:t>
      </w:r>
      <w:r>
        <w:rPr>
          <w:rFonts w:hint="default" w:ascii="Times New Roman" w:hAnsi="Times New Roman" w:cs="Times New Roman"/>
          <w:kern w:val="2"/>
          <w:sz w:val="30"/>
          <w:szCs w:val="30"/>
          <w:highlight w:val="none"/>
          <w:lang w:val="en-US" w:eastAsia="zh-CN" w:bidi="ar-SA"/>
        </w:rPr>
        <w:t>因此，</w:t>
      </w:r>
      <w:r>
        <w:rPr>
          <w:rFonts w:hint="default" w:ascii="Times New Roman" w:hAnsi="Times New Roman" w:eastAsia="仿宋" w:cs="Times New Roman"/>
          <w:kern w:val="2"/>
          <w:sz w:val="30"/>
          <w:szCs w:val="30"/>
          <w:highlight w:val="none"/>
          <w:lang w:val="en-US" w:eastAsia="zh-CN" w:bidi="ar-SA"/>
        </w:rPr>
        <w:t>指标分值3分，评价得分</w:t>
      </w:r>
      <w:r>
        <w:rPr>
          <w:rFonts w:hint="eastAsia" w:ascii="Times New Roman" w:cs="Times New Roman"/>
          <w:kern w:val="2"/>
          <w:sz w:val="30"/>
          <w:szCs w:val="30"/>
          <w:highlight w:val="none"/>
          <w:lang w:val="en-US" w:eastAsia="zh-CN" w:bidi="ar-SA"/>
        </w:rPr>
        <w:t>2</w:t>
      </w:r>
      <w:r>
        <w:rPr>
          <w:rFonts w:hint="default" w:ascii="Times New Roman" w:hAnsi="Times New Roman" w:eastAsia="仿宋" w:cs="Times New Roman"/>
          <w:kern w:val="2"/>
          <w:sz w:val="30"/>
          <w:szCs w:val="30"/>
          <w:highlight w:val="none"/>
          <w:lang w:val="en-US" w:eastAsia="zh-CN" w:bidi="ar-SA"/>
        </w:rPr>
        <w:t>分。</w:t>
      </w:r>
    </w:p>
    <w:p w14:paraId="491ECBA8">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3.资金投入</w:t>
      </w:r>
    </w:p>
    <w:p w14:paraId="4F422639">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（1）预算编制科学性</w:t>
      </w:r>
    </w:p>
    <w:p w14:paraId="59293577">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eastAsia" w:ascii="Times New Roman" w:cs="Times New Roman"/>
          <w:kern w:val="2"/>
          <w:sz w:val="30"/>
          <w:szCs w:val="30"/>
          <w:highlight w:val="none"/>
          <w:lang w:val="en-US" w:eastAsia="zh-CN" w:bidi="ar-SA"/>
        </w:rPr>
        <w:t>本项目主要由区卫健局根据历年的执行情况，结合新年度工作所需进行编制</w:t>
      </w:r>
      <w:r>
        <w:rPr>
          <w:rFonts w:hint="eastAsia" w:ascii="Times New Roman" w:cs="Times New Roman"/>
          <w:b w:val="0"/>
          <w:bCs w:val="0"/>
          <w:szCs w:val="30"/>
          <w:highlight w:val="none"/>
          <w:lang w:val="en-US" w:eastAsia="zh-CN"/>
        </w:rPr>
        <w:t>，</w:t>
      </w:r>
      <w:r>
        <w:rPr>
          <w:rFonts w:hint="default" w:ascii="Times New Roman" w:hAnsi="Times New Roman" w:eastAsia="仿宋" w:cs="Times New Roman"/>
          <w:b w:val="0"/>
          <w:bCs w:val="0"/>
          <w:kern w:val="2"/>
          <w:sz w:val="30"/>
          <w:szCs w:val="30"/>
          <w:highlight w:val="none"/>
          <w:lang w:val="en-US" w:eastAsia="zh-CN" w:bidi="ar-SA"/>
        </w:rPr>
        <w:t>预算编制</w:t>
      </w:r>
      <w:r>
        <w:rPr>
          <w:rFonts w:hint="eastAsia" w:ascii="Times New Roman" w:cs="Times New Roman"/>
          <w:b w:val="0"/>
          <w:bCs w:val="0"/>
          <w:kern w:val="2"/>
          <w:sz w:val="30"/>
          <w:szCs w:val="30"/>
          <w:highlight w:val="none"/>
          <w:lang w:val="en-US" w:eastAsia="zh-CN" w:bidi="ar-SA"/>
        </w:rPr>
        <w:t>过程</w:t>
      </w:r>
      <w:r>
        <w:rPr>
          <w:rFonts w:hint="default" w:ascii="Times New Roman" w:hAnsi="Times New Roman" w:eastAsia="仿宋" w:cs="Times New Roman"/>
          <w:b w:val="0"/>
          <w:bCs w:val="0"/>
          <w:kern w:val="2"/>
          <w:sz w:val="30"/>
          <w:szCs w:val="30"/>
          <w:highlight w:val="none"/>
          <w:lang w:val="en-US" w:eastAsia="zh-CN" w:bidi="ar-SA"/>
        </w:rPr>
        <w:t>经过</w:t>
      </w:r>
      <w:r>
        <w:rPr>
          <w:rFonts w:hint="eastAsia" w:ascii="Times New Roman" w:cs="Times New Roman"/>
          <w:b w:val="0"/>
          <w:bCs w:val="0"/>
          <w:kern w:val="2"/>
          <w:sz w:val="30"/>
          <w:szCs w:val="30"/>
          <w:highlight w:val="none"/>
          <w:lang w:val="en-US" w:eastAsia="zh-CN" w:bidi="ar-SA"/>
        </w:rPr>
        <w:t>单位内部审议</w:t>
      </w:r>
      <w:r>
        <w:rPr>
          <w:rFonts w:hint="default" w:ascii="Times New Roman" w:hAnsi="Times New Roman" w:eastAsia="仿宋" w:cs="Times New Roman"/>
          <w:b w:val="0"/>
          <w:bCs w:val="0"/>
          <w:kern w:val="2"/>
          <w:sz w:val="30"/>
          <w:szCs w:val="30"/>
          <w:highlight w:val="none"/>
          <w:lang w:val="en-US" w:eastAsia="zh-CN" w:bidi="ar-SA"/>
        </w:rPr>
        <w:t>；预算内容与项目内容匹配；预算额度测算依据充分；预算确定的项目投资额或资金</w:t>
      </w:r>
      <w:r>
        <w:rPr>
          <w:rFonts w:hint="default" w:ascii="Times New Roman" w:hAnsi="Times New Roman" w:eastAsia="仿宋" w:cs="Times New Roman"/>
          <w:kern w:val="2"/>
          <w:sz w:val="30"/>
          <w:szCs w:val="30"/>
          <w:highlight w:val="none"/>
          <w:lang w:val="en-US" w:eastAsia="zh-CN" w:bidi="ar-SA"/>
        </w:rPr>
        <w:t>量与工作任务相匹配。</w:t>
      </w:r>
      <w:r>
        <w:rPr>
          <w:rFonts w:hint="default" w:ascii="Times New Roman" w:hAnsi="Times New Roman" w:cs="Times New Roman"/>
          <w:kern w:val="2"/>
          <w:sz w:val="30"/>
          <w:szCs w:val="30"/>
          <w:highlight w:val="none"/>
          <w:lang w:val="en-US" w:eastAsia="zh-CN" w:bidi="ar-SA"/>
        </w:rPr>
        <w:t>因此，</w:t>
      </w:r>
      <w:r>
        <w:rPr>
          <w:rFonts w:hint="default" w:ascii="Times New Roman" w:hAnsi="Times New Roman" w:eastAsia="仿宋" w:cs="Times New Roman"/>
          <w:kern w:val="2"/>
          <w:sz w:val="30"/>
          <w:szCs w:val="30"/>
          <w:highlight w:val="none"/>
          <w:lang w:val="en-US" w:eastAsia="zh-CN" w:bidi="ar-SA"/>
        </w:rPr>
        <w:t>指标分值3分，评价得分3分。</w:t>
      </w:r>
    </w:p>
    <w:p w14:paraId="42B7DB1F">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（2）资金分配合理性</w:t>
      </w:r>
    </w:p>
    <w:p w14:paraId="512A9246">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本项目预算资金分配依据充分；资金分配额度合理，与项目单位</w:t>
      </w:r>
      <w:r>
        <w:rPr>
          <w:rFonts w:hint="default" w:ascii="Times New Roman" w:hAnsi="Times New Roman" w:cs="Times New Roman"/>
          <w:kern w:val="2"/>
          <w:sz w:val="30"/>
          <w:szCs w:val="30"/>
          <w:highlight w:val="none"/>
          <w:lang w:val="en-US" w:eastAsia="zh-CN" w:bidi="ar-SA"/>
        </w:rPr>
        <w:t>和</w:t>
      </w:r>
      <w:r>
        <w:rPr>
          <w:rFonts w:hint="default" w:ascii="Times New Roman" w:hAnsi="Times New Roman" w:eastAsia="仿宋" w:cs="Times New Roman"/>
          <w:kern w:val="2"/>
          <w:sz w:val="30"/>
          <w:szCs w:val="30"/>
          <w:highlight w:val="none"/>
          <w:lang w:val="en-US" w:eastAsia="zh-CN" w:bidi="ar-SA"/>
        </w:rPr>
        <w:t>地方实际相适应。</w:t>
      </w:r>
      <w:r>
        <w:rPr>
          <w:rFonts w:hint="default" w:ascii="Times New Roman" w:hAnsi="Times New Roman" w:cs="Times New Roman"/>
          <w:kern w:val="2"/>
          <w:sz w:val="30"/>
          <w:szCs w:val="30"/>
          <w:highlight w:val="none"/>
          <w:lang w:val="en-US" w:eastAsia="zh-CN" w:bidi="ar-SA"/>
        </w:rPr>
        <w:t>因此，</w:t>
      </w:r>
      <w:r>
        <w:rPr>
          <w:rFonts w:hint="default" w:ascii="Times New Roman" w:hAnsi="Times New Roman" w:eastAsia="仿宋" w:cs="Times New Roman"/>
          <w:kern w:val="2"/>
          <w:sz w:val="30"/>
          <w:szCs w:val="30"/>
          <w:highlight w:val="none"/>
          <w:lang w:val="en-US" w:eastAsia="zh-CN" w:bidi="ar-SA"/>
        </w:rPr>
        <w:t>指标分值</w:t>
      </w:r>
      <w:r>
        <w:rPr>
          <w:rFonts w:hint="default" w:ascii="Times New Roman" w:hAnsi="Times New Roman" w:cs="Times New Roman"/>
          <w:kern w:val="2"/>
          <w:sz w:val="30"/>
          <w:szCs w:val="30"/>
          <w:highlight w:val="none"/>
          <w:lang w:val="en-US" w:eastAsia="zh-CN" w:bidi="ar-SA"/>
        </w:rPr>
        <w:t>2</w:t>
      </w:r>
      <w:r>
        <w:rPr>
          <w:rFonts w:hint="default" w:ascii="Times New Roman" w:hAnsi="Times New Roman" w:eastAsia="仿宋" w:cs="Times New Roman"/>
          <w:kern w:val="2"/>
          <w:sz w:val="30"/>
          <w:szCs w:val="30"/>
          <w:highlight w:val="none"/>
          <w:lang w:val="en-US" w:eastAsia="zh-CN" w:bidi="ar-SA"/>
        </w:rPr>
        <w:t>分，评价得分</w:t>
      </w:r>
      <w:r>
        <w:rPr>
          <w:rFonts w:hint="default" w:ascii="Times New Roman" w:hAnsi="Times New Roman" w:cs="Times New Roman"/>
          <w:kern w:val="2"/>
          <w:sz w:val="30"/>
          <w:szCs w:val="30"/>
          <w:highlight w:val="none"/>
          <w:lang w:val="en-US" w:eastAsia="zh-CN" w:bidi="ar-SA"/>
        </w:rPr>
        <w:t>2</w:t>
      </w:r>
      <w:r>
        <w:rPr>
          <w:rFonts w:hint="default" w:ascii="Times New Roman" w:hAnsi="Times New Roman" w:eastAsia="仿宋" w:cs="Times New Roman"/>
          <w:kern w:val="2"/>
          <w:sz w:val="30"/>
          <w:szCs w:val="30"/>
          <w:highlight w:val="none"/>
          <w:lang w:val="en-US" w:eastAsia="zh-CN" w:bidi="ar-SA"/>
        </w:rPr>
        <w:t>分。</w:t>
      </w:r>
    </w:p>
    <w:p w14:paraId="0B284699">
      <w:pPr>
        <w:pStyle w:val="32"/>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rPr>
      </w:pPr>
      <w:bookmarkStart w:id="69" w:name="_Toc18167"/>
      <w:r>
        <w:rPr>
          <w:rFonts w:hint="default" w:ascii="Times New Roman" w:hAnsi="Times New Roman" w:cs="Times New Roman"/>
        </w:rPr>
        <w:t>（二）过程情况分析</w:t>
      </w:r>
      <w:bookmarkEnd w:id="69"/>
    </w:p>
    <w:p w14:paraId="3A000D32">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2"/>
          <w:sz w:val="30"/>
          <w:szCs w:val="30"/>
          <w:lang w:val="en-US" w:eastAsia="zh-CN" w:bidi="ar-SA"/>
        </w:rPr>
      </w:pPr>
      <w:r>
        <w:rPr>
          <w:rFonts w:hint="default" w:ascii="Times New Roman" w:hAnsi="Times New Roman" w:cs="Times New Roman"/>
          <w:kern w:val="2"/>
          <w:sz w:val="30"/>
          <w:szCs w:val="30"/>
          <w:lang w:val="en-US" w:eastAsia="zh-CN" w:bidi="ar-SA"/>
        </w:rPr>
        <w:t>“</w:t>
      </w:r>
      <w:r>
        <w:rPr>
          <w:rFonts w:hint="default" w:ascii="Times New Roman" w:hAnsi="Times New Roman" w:eastAsia="仿宋" w:cs="Times New Roman"/>
          <w:kern w:val="2"/>
          <w:sz w:val="30"/>
          <w:szCs w:val="30"/>
          <w:lang w:val="en-US" w:eastAsia="zh-CN" w:bidi="ar-SA"/>
        </w:rPr>
        <w:t>项目过程类</w:t>
      </w:r>
      <w:r>
        <w:rPr>
          <w:rFonts w:hint="default" w:ascii="Times New Roman" w:hAnsi="Times New Roman" w:cs="Times New Roman"/>
          <w:kern w:val="2"/>
          <w:sz w:val="30"/>
          <w:szCs w:val="30"/>
          <w:lang w:val="en-US" w:eastAsia="zh-CN" w:bidi="ar-SA"/>
        </w:rPr>
        <w:t>”</w:t>
      </w:r>
      <w:r>
        <w:rPr>
          <w:rFonts w:hint="default" w:ascii="Times New Roman" w:hAnsi="Times New Roman" w:eastAsia="仿宋" w:cs="Times New Roman"/>
          <w:kern w:val="2"/>
          <w:sz w:val="30"/>
          <w:szCs w:val="30"/>
          <w:lang w:val="en-US" w:eastAsia="zh-CN" w:bidi="ar-SA"/>
        </w:rPr>
        <w:t>指标，包括资金管理和组织实施两个方面，采用</w:t>
      </w:r>
      <w:r>
        <w:rPr>
          <w:rFonts w:hint="eastAsia" w:ascii="Times New Roman" w:cs="Times New Roman"/>
          <w:kern w:val="2"/>
          <w:sz w:val="30"/>
          <w:szCs w:val="30"/>
          <w:lang w:val="en-US" w:eastAsia="zh-CN" w:bidi="ar-SA"/>
        </w:rPr>
        <w:t>6</w:t>
      </w:r>
      <w:r>
        <w:rPr>
          <w:rFonts w:hint="default" w:ascii="Times New Roman" w:hAnsi="Times New Roman" w:eastAsia="仿宋" w:cs="Times New Roman"/>
          <w:kern w:val="2"/>
          <w:sz w:val="30"/>
          <w:szCs w:val="30"/>
          <w:lang w:val="en-US" w:eastAsia="zh-CN" w:bidi="ar-SA"/>
        </w:rPr>
        <w:t>个三级指标进行考察。权重分值20分，绩效评价得分</w:t>
      </w:r>
      <w:r>
        <w:rPr>
          <w:rFonts w:hint="eastAsia" w:ascii="Times New Roman" w:cs="Times New Roman"/>
          <w:kern w:val="2"/>
          <w:sz w:val="30"/>
          <w:szCs w:val="30"/>
          <w:lang w:val="en-US" w:eastAsia="zh-CN" w:bidi="ar-SA"/>
        </w:rPr>
        <w:t>18</w:t>
      </w:r>
      <w:r>
        <w:rPr>
          <w:rFonts w:hint="default" w:ascii="Times New Roman" w:hAnsi="Times New Roman" w:eastAsia="仿宋" w:cs="Times New Roman"/>
          <w:kern w:val="2"/>
          <w:sz w:val="30"/>
          <w:szCs w:val="30"/>
          <w:lang w:val="en-US" w:eastAsia="zh-CN" w:bidi="ar-SA"/>
        </w:rPr>
        <w:t>分，得分率为</w:t>
      </w:r>
      <w:r>
        <w:rPr>
          <w:rFonts w:hint="eastAsia" w:ascii="Times New Roman" w:cs="Times New Roman"/>
          <w:kern w:val="2"/>
          <w:sz w:val="30"/>
          <w:szCs w:val="30"/>
          <w:lang w:val="en-US" w:eastAsia="zh-CN" w:bidi="ar-SA"/>
        </w:rPr>
        <w:t>90</w:t>
      </w:r>
      <w:r>
        <w:rPr>
          <w:rFonts w:hint="default" w:ascii="Times New Roman" w:hAnsi="Times New Roman" w:eastAsia="仿宋" w:cs="Times New Roman"/>
          <w:kern w:val="2"/>
          <w:sz w:val="30"/>
          <w:szCs w:val="30"/>
          <w:lang w:val="en-US" w:eastAsia="zh-CN" w:bidi="ar-SA"/>
        </w:rPr>
        <w:t>%。</w:t>
      </w:r>
    </w:p>
    <w:p w14:paraId="28041943">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1.资金管理</w:t>
      </w:r>
    </w:p>
    <w:p w14:paraId="7D9FF13A">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（1）资金到位率</w:t>
      </w:r>
    </w:p>
    <w:p w14:paraId="7136D31C">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cs="Times New Roman"/>
          <w:kern w:val="2"/>
          <w:sz w:val="30"/>
          <w:szCs w:val="30"/>
          <w:lang w:val="en-US" w:eastAsia="zh-CN" w:bidi="ar-SA"/>
        </w:rPr>
        <w:t>本项目预算单位为</w:t>
      </w:r>
      <w:r>
        <w:rPr>
          <w:rFonts w:hint="eastAsia" w:ascii="Times New Roman" w:hAnsi="Times New Roman" w:cs="Times New Roman"/>
          <w:sz w:val="30"/>
          <w:szCs w:val="30"/>
          <w:lang w:val="en-US" w:eastAsia="zh-CN"/>
        </w:rPr>
        <w:t>区卫健局</w:t>
      </w:r>
      <w:r>
        <w:rPr>
          <w:rFonts w:hint="default" w:ascii="Times New Roman" w:hAnsi="Times New Roman" w:cs="Times New Roman"/>
          <w:kern w:val="2"/>
          <w:sz w:val="30"/>
          <w:szCs w:val="30"/>
          <w:lang w:val="en-US" w:eastAsia="zh-CN" w:bidi="ar-SA"/>
        </w:rPr>
        <w:t>，预算来源为一般公共预算。2023年本项目预算金额为44.56万元，根据《昆明市西山区财政局关于批复2023年部门预算的通知》（西财社〔2023〕10号），本项目实际下达44.56万元，预算到位率100%。因此，</w:t>
      </w:r>
      <w:r>
        <w:rPr>
          <w:rFonts w:hint="default" w:ascii="Times New Roman" w:hAnsi="Times New Roman" w:eastAsia="仿宋" w:cs="Times New Roman"/>
          <w:kern w:val="2"/>
          <w:sz w:val="30"/>
          <w:szCs w:val="30"/>
          <w:lang w:val="en-US" w:eastAsia="zh-CN" w:bidi="ar-SA"/>
        </w:rPr>
        <w:t>指标分值3分，评价得分3分。</w:t>
      </w:r>
    </w:p>
    <w:p w14:paraId="17FA247C">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（2）预算执行率</w:t>
      </w:r>
    </w:p>
    <w:p w14:paraId="778FE2D8">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b w:val="0"/>
          <w:bCs w:val="0"/>
          <w:kern w:val="2"/>
          <w:sz w:val="30"/>
          <w:szCs w:val="30"/>
          <w:lang w:val="en-US" w:eastAsia="zh-CN" w:bidi="ar-SA"/>
        </w:rPr>
        <w:t>根据区卫健局提供的材料，本项目实际支出金额44.56万元，预算执行率100%。</w:t>
      </w:r>
      <w:r>
        <w:rPr>
          <w:rFonts w:hint="default" w:ascii="Times New Roman" w:hAnsi="Times New Roman" w:cs="Times New Roman"/>
          <w:b w:val="0"/>
          <w:bCs w:val="0"/>
          <w:kern w:val="2"/>
          <w:sz w:val="30"/>
          <w:szCs w:val="30"/>
          <w:lang w:val="en-US" w:eastAsia="zh-CN" w:bidi="ar-SA"/>
        </w:rPr>
        <w:t>因</w:t>
      </w:r>
      <w:r>
        <w:rPr>
          <w:rFonts w:hint="default" w:ascii="Times New Roman" w:hAnsi="Times New Roman" w:cs="Times New Roman"/>
          <w:kern w:val="2"/>
          <w:sz w:val="30"/>
          <w:szCs w:val="30"/>
          <w:lang w:val="en-US" w:eastAsia="zh-CN" w:bidi="ar-SA"/>
        </w:rPr>
        <w:t>此，</w:t>
      </w:r>
      <w:r>
        <w:rPr>
          <w:rFonts w:hint="default" w:ascii="Times New Roman" w:hAnsi="Times New Roman" w:eastAsia="仿宋" w:cs="Times New Roman"/>
          <w:kern w:val="2"/>
          <w:sz w:val="30"/>
          <w:szCs w:val="30"/>
          <w:lang w:val="en-US" w:eastAsia="zh-CN" w:bidi="ar-SA"/>
        </w:rPr>
        <w:t>指标分值3分，评价得分3分。</w:t>
      </w:r>
    </w:p>
    <w:p w14:paraId="5F4FEBDE">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（3）资金使用合规性</w:t>
      </w:r>
    </w:p>
    <w:p w14:paraId="70BB3196">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经项目组现场评价，并查阅项目相关费用支出凭证，</w:t>
      </w:r>
      <w:r>
        <w:rPr>
          <w:rFonts w:hint="eastAsia"/>
          <w:highlight w:val="none"/>
          <w:lang w:val="en-US" w:eastAsia="zh-CN"/>
        </w:rPr>
        <w:t>本项目</w:t>
      </w:r>
      <w:r>
        <w:rPr>
          <w:rFonts w:hint="default" w:ascii="Times New Roman" w:hAnsi="Times New Roman" w:eastAsia="仿宋" w:cs="Times New Roman"/>
          <w:kern w:val="2"/>
          <w:sz w:val="30"/>
          <w:szCs w:val="30"/>
          <w:highlight w:val="none"/>
          <w:lang w:val="en-US" w:eastAsia="zh-CN" w:bidi="ar-SA"/>
        </w:rPr>
        <w:t>资金使用符合专项资金管理办法的规定，未发现存在截留、挤占、挪用、虚列支出等情况。</w:t>
      </w:r>
      <w:r>
        <w:rPr>
          <w:rFonts w:hint="default" w:ascii="Times New Roman" w:hAnsi="Times New Roman" w:cs="Times New Roman"/>
          <w:kern w:val="2"/>
          <w:sz w:val="30"/>
          <w:szCs w:val="30"/>
          <w:highlight w:val="none"/>
          <w:lang w:val="en-US" w:eastAsia="zh-CN" w:bidi="ar-SA"/>
        </w:rPr>
        <w:t>因此，</w:t>
      </w:r>
      <w:r>
        <w:rPr>
          <w:rFonts w:hint="default" w:ascii="Times New Roman" w:hAnsi="Times New Roman" w:eastAsia="仿宋" w:cs="Times New Roman"/>
          <w:kern w:val="2"/>
          <w:sz w:val="30"/>
          <w:szCs w:val="30"/>
          <w:highlight w:val="none"/>
          <w:lang w:val="en-US" w:eastAsia="zh-CN" w:bidi="ar-SA"/>
        </w:rPr>
        <w:t>指标分值</w:t>
      </w:r>
      <w:r>
        <w:rPr>
          <w:rFonts w:hint="eastAsia" w:ascii="Times New Roman" w:cs="Times New Roman"/>
          <w:kern w:val="2"/>
          <w:sz w:val="30"/>
          <w:szCs w:val="30"/>
          <w:highlight w:val="none"/>
          <w:lang w:val="en-US" w:eastAsia="zh-CN" w:bidi="ar-SA"/>
        </w:rPr>
        <w:t>3</w:t>
      </w:r>
      <w:r>
        <w:rPr>
          <w:rFonts w:hint="default" w:ascii="Times New Roman" w:hAnsi="Times New Roman" w:eastAsia="仿宋" w:cs="Times New Roman"/>
          <w:kern w:val="2"/>
          <w:sz w:val="30"/>
          <w:szCs w:val="30"/>
          <w:highlight w:val="none"/>
          <w:lang w:val="en-US" w:eastAsia="zh-CN" w:bidi="ar-SA"/>
        </w:rPr>
        <w:t>分，评价得分</w:t>
      </w:r>
      <w:r>
        <w:rPr>
          <w:rFonts w:hint="eastAsia" w:ascii="Times New Roman" w:cs="Times New Roman"/>
          <w:kern w:val="2"/>
          <w:sz w:val="30"/>
          <w:szCs w:val="30"/>
          <w:highlight w:val="none"/>
          <w:lang w:val="en-US" w:eastAsia="zh-CN" w:bidi="ar-SA"/>
        </w:rPr>
        <w:t>3</w:t>
      </w:r>
      <w:r>
        <w:rPr>
          <w:rFonts w:hint="default" w:ascii="Times New Roman" w:hAnsi="Times New Roman" w:eastAsia="仿宋" w:cs="Times New Roman"/>
          <w:kern w:val="2"/>
          <w:sz w:val="30"/>
          <w:szCs w:val="30"/>
          <w:highlight w:val="none"/>
          <w:lang w:val="en-US" w:eastAsia="zh-CN" w:bidi="ar-SA"/>
        </w:rPr>
        <w:t>分。</w:t>
      </w:r>
    </w:p>
    <w:p w14:paraId="3E2A60BC">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2.组织实施</w:t>
      </w:r>
    </w:p>
    <w:p w14:paraId="3D8CB891">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（1）管理制度健全性</w:t>
      </w:r>
    </w:p>
    <w:p w14:paraId="04BFFA40">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cs="Times New Roman"/>
          <w:szCs w:val="30"/>
          <w:lang w:val="en-US" w:eastAsia="zh-CN"/>
        </w:rPr>
        <w:t>项目组查阅相关资料后确认，为保障项目的顺利实施，项目单</w:t>
      </w:r>
      <w:r>
        <w:rPr>
          <w:rFonts w:hint="default" w:ascii="Times New Roman" w:hAnsi="Times New Roman" w:cs="Times New Roman"/>
          <w:szCs w:val="30"/>
          <w:highlight w:val="none"/>
          <w:lang w:val="en-US" w:eastAsia="zh-CN"/>
        </w:rPr>
        <w:t>位制定并实施了多项内控管理办法。这些制度对项目流程中的各个环节进行了详细规范，确保了项目的合规性</w:t>
      </w:r>
      <w:r>
        <w:rPr>
          <w:rFonts w:hint="eastAsia" w:ascii="Times New Roman" w:cs="Times New Roman"/>
          <w:szCs w:val="30"/>
          <w:highlight w:val="none"/>
          <w:lang w:val="en-US" w:eastAsia="zh-CN"/>
        </w:rPr>
        <w:t>。</w:t>
      </w:r>
      <w:r>
        <w:rPr>
          <w:rFonts w:hint="default" w:ascii="Times New Roman" w:hAnsi="Times New Roman" w:eastAsia="仿宋" w:cs="Times New Roman"/>
          <w:kern w:val="2"/>
          <w:sz w:val="30"/>
          <w:szCs w:val="30"/>
          <w:highlight w:val="none"/>
          <w:lang w:val="en-US" w:eastAsia="zh-CN" w:bidi="ar-SA"/>
        </w:rPr>
        <w:t>因此，指标分值</w:t>
      </w:r>
      <w:r>
        <w:rPr>
          <w:rFonts w:hint="eastAsia" w:ascii="Times New Roman" w:cs="Times New Roman"/>
          <w:kern w:val="2"/>
          <w:sz w:val="30"/>
          <w:szCs w:val="30"/>
          <w:highlight w:val="none"/>
          <w:lang w:val="en-US" w:eastAsia="zh-CN" w:bidi="ar-SA"/>
        </w:rPr>
        <w:t>4</w:t>
      </w:r>
      <w:r>
        <w:rPr>
          <w:rFonts w:hint="default" w:ascii="Times New Roman" w:hAnsi="Times New Roman" w:eastAsia="仿宋" w:cs="Times New Roman"/>
          <w:kern w:val="2"/>
          <w:sz w:val="30"/>
          <w:szCs w:val="30"/>
          <w:highlight w:val="none"/>
          <w:lang w:val="en-US" w:eastAsia="zh-CN" w:bidi="ar-SA"/>
        </w:rPr>
        <w:t>分，评价得分</w:t>
      </w:r>
      <w:r>
        <w:rPr>
          <w:rFonts w:hint="eastAsia" w:ascii="Times New Roman" w:cs="Times New Roman"/>
          <w:kern w:val="2"/>
          <w:sz w:val="30"/>
          <w:szCs w:val="30"/>
          <w:highlight w:val="none"/>
          <w:lang w:val="en-US" w:eastAsia="zh-CN" w:bidi="ar-SA"/>
        </w:rPr>
        <w:t>4</w:t>
      </w:r>
      <w:r>
        <w:rPr>
          <w:rFonts w:hint="default" w:ascii="Times New Roman" w:hAnsi="Times New Roman" w:eastAsia="仿宋" w:cs="Times New Roman"/>
          <w:kern w:val="2"/>
          <w:sz w:val="30"/>
          <w:szCs w:val="30"/>
          <w:highlight w:val="none"/>
          <w:lang w:val="en-US" w:eastAsia="zh-CN" w:bidi="ar-SA"/>
        </w:rPr>
        <w:t>分。</w:t>
      </w:r>
    </w:p>
    <w:p w14:paraId="4DEADA54">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2"/>
          <w:sz w:val="30"/>
          <w:szCs w:val="30"/>
          <w:highlight w:val="none"/>
          <w:lang w:val="en-US" w:eastAsia="zh-CN" w:bidi="ar-SA"/>
        </w:rPr>
      </w:pPr>
      <w:r>
        <w:rPr>
          <w:rFonts w:hint="eastAsia" w:ascii="Times New Roman" w:cs="Times New Roman"/>
          <w:kern w:val="2"/>
          <w:sz w:val="30"/>
          <w:szCs w:val="30"/>
          <w:highlight w:val="none"/>
          <w:lang w:val="en-US" w:eastAsia="zh-CN" w:bidi="ar-SA"/>
        </w:rPr>
        <w:t>（2）绩效自评工作开展情况</w:t>
      </w:r>
    </w:p>
    <w:p w14:paraId="433F1797">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2"/>
          <w:sz w:val="30"/>
          <w:szCs w:val="30"/>
          <w:highlight w:val="none"/>
          <w:lang w:val="en-US" w:eastAsia="zh-CN" w:bidi="ar-SA"/>
        </w:rPr>
      </w:pPr>
      <w:r>
        <w:rPr>
          <w:rFonts w:hint="eastAsia" w:ascii="Times New Roman" w:cs="Times New Roman"/>
          <w:kern w:val="2"/>
          <w:sz w:val="30"/>
          <w:szCs w:val="30"/>
          <w:highlight w:val="none"/>
          <w:lang w:val="en-US" w:eastAsia="zh-CN" w:bidi="ar-SA"/>
        </w:rPr>
        <w:t>区卫健局均根据绩效工作要求完成绩效自评工作。</w:t>
      </w:r>
      <w:r>
        <w:rPr>
          <w:rFonts w:hint="default" w:ascii="Times New Roman" w:hAnsi="Times New Roman" w:eastAsia="仿宋" w:cs="Times New Roman"/>
          <w:kern w:val="2"/>
          <w:sz w:val="30"/>
          <w:szCs w:val="30"/>
          <w:highlight w:val="none"/>
          <w:lang w:val="en-US" w:eastAsia="zh-CN" w:bidi="ar-SA"/>
        </w:rPr>
        <w:t>因此，指标分值</w:t>
      </w:r>
      <w:r>
        <w:rPr>
          <w:rFonts w:hint="eastAsia" w:ascii="Times New Roman" w:cs="Times New Roman"/>
          <w:kern w:val="2"/>
          <w:sz w:val="30"/>
          <w:szCs w:val="30"/>
          <w:highlight w:val="none"/>
          <w:lang w:val="en-US" w:eastAsia="zh-CN" w:bidi="ar-SA"/>
        </w:rPr>
        <w:t>3</w:t>
      </w:r>
      <w:r>
        <w:rPr>
          <w:rFonts w:hint="default" w:ascii="Times New Roman" w:hAnsi="Times New Roman" w:eastAsia="仿宋" w:cs="Times New Roman"/>
          <w:kern w:val="2"/>
          <w:sz w:val="30"/>
          <w:szCs w:val="30"/>
          <w:highlight w:val="none"/>
          <w:lang w:val="en-US" w:eastAsia="zh-CN" w:bidi="ar-SA"/>
        </w:rPr>
        <w:t>分，评价得分</w:t>
      </w:r>
      <w:r>
        <w:rPr>
          <w:rFonts w:hint="eastAsia" w:ascii="Times New Roman" w:cs="Times New Roman"/>
          <w:kern w:val="2"/>
          <w:sz w:val="30"/>
          <w:szCs w:val="30"/>
          <w:highlight w:val="none"/>
          <w:lang w:val="en-US" w:eastAsia="zh-CN" w:bidi="ar-SA"/>
        </w:rPr>
        <w:t>3</w:t>
      </w:r>
      <w:r>
        <w:rPr>
          <w:rFonts w:hint="default" w:ascii="Times New Roman" w:hAnsi="Times New Roman" w:eastAsia="仿宋" w:cs="Times New Roman"/>
          <w:kern w:val="2"/>
          <w:sz w:val="30"/>
          <w:szCs w:val="30"/>
          <w:highlight w:val="none"/>
          <w:lang w:val="en-US" w:eastAsia="zh-CN" w:bidi="ar-SA"/>
        </w:rPr>
        <w:t>分。</w:t>
      </w:r>
    </w:p>
    <w:p w14:paraId="1FC54EE0">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w:t>
      </w:r>
      <w:r>
        <w:rPr>
          <w:rFonts w:hint="eastAsia" w:ascii="Times New Roman" w:cs="Times New Roman"/>
          <w:kern w:val="2"/>
          <w:sz w:val="30"/>
          <w:szCs w:val="30"/>
          <w:lang w:val="en-US" w:eastAsia="zh-CN" w:bidi="ar-SA"/>
        </w:rPr>
        <w:t>3</w:t>
      </w:r>
      <w:r>
        <w:rPr>
          <w:rFonts w:hint="default" w:ascii="Times New Roman" w:hAnsi="Times New Roman" w:eastAsia="仿宋" w:cs="Times New Roman"/>
          <w:kern w:val="2"/>
          <w:sz w:val="30"/>
          <w:szCs w:val="30"/>
          <w:lang w:val="en-US" w:eastAsia="zh-CN" w:bidi="ar-SA"/>
        </w:rPr>
        <w:t>）制度执行有效性</w:t>
      </w:r>
    </w:p>
    <w:p w14:paraId="7EA44845">
      <w:pPr>
        <w:keepNext w:val="0"/>
        <w:keepLines w:val="0"/>
        <w:pageBreakBefore w:val="0"/>
        <w:widowControl w:val="0"/>
        <w:shd w:val="clear"/>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2"/>
          <w:sz w:val="30"/>
          <w:szCs w:val="30"/>
          <w:highlight w:val="none"/>
          <w:lang w:val="en-US" w:eastAsia="zh-CN" w:bidi="ar-SA"/>
        </w:rPr>
      </w:pPr>
      <w:r>
        <w:rPr>
          <w:rFonts w:hint="eastAsia" w:ascii="Times New Roman" w:cs="Times New Roman"/>
          <w:kern w:val="2"/>
          <w:sz w:val="30"/>
          <w:szCs w:val="30"/>
          <w:highlight w:val="none"/>
          <w:lang w:val="en-US" w:eastAsia="zh-CN" w:bidi="ar-SA"/>
        </w:rPr>
        <w:t>项目组查阅了区卫健局的材料，包含采购资料，合同材料等，发现个别工作执行不够规范，如昆明伏特电子技术有限公司签订的合同中，并未明确具体履行日期及验收日期；与昆明日报社签订的合作协议中，合作时限有误。</w:t>
      </w:r>
      <w:r>
        <w:rPr>
          <w:rFonts w:hint="default" w:ascii="Times New Roman" w:hAnsi="Times New Roman" w:eastAsia="仿宋" w:cs="Times New Roman"/>
          <w:kern w:val="2"/>
          <w:sz w:val="30"/>
          <w:szCs w:val="30"/>
          <w:highlight w:val="none"/>
          <w:lang w:val="en-US" w:eastAsia="zh-CN" w:bidi="ar-SA"/>
        </w:rPr>
        <w:t>因此，指标分值</w:t>
      </w:r>
      <w:r>
        <w:rPr>
          <w:rFonts w:hint="eastAsia" w:ascii="Times New Roman" w:cs="Times New Roman"/>
          <w:kern w:val="2"/>
          <w:sz w:val="30"/>
          <w:szCs w:val="30"/>
          <w:highlight w:val="none"/>
          <w:lang w:val="en-US" w:eastAsia="zh-CN" w:bidi="ar-SA"/>
        </w:rPr>
        <w:t>4</w:t>
      </w:r>
      <w:r>
        <w:rPr>
          <w:rFonts w:hint="default" w:ascii="Times New Roman" w:hAnsi="Times New Roman" w:eastAsia="仿宋" w:cs="Times New Roman"/>
          <w:kern w:val="2"/>
          <w:sz w:val="30"/>
          <w:szCs w:val="30"/>
          <w:highlight w:val="none"/>
          <w:lang w:val="en-US" w:eastAsia="zh-CN" w:bidi="ar-SA"/>
        </w:rPr>
        <w:t>分，评价得分</w:t>
      </w:r>
      <w:r>
        <w:rPr>
          <w:rFonts w:hint="eastAsia" w:ascii="Times New Roman" w:cs="Times New Roman"/>
          <w:kern w:val="2"/>
          <w:sz w:val="30"/>
          <w:szCs w:val="30"/>
          <w:highlight w:val="none"/>
          <w:lang w:val="en-US" w:eastAsia="zh-CN" w:bidi="ar-SA"/>
        </w:rPr>
        <w:t>2</w:t>
      </w:r>
      <w:r>
        <w:rPr>
          <w:rFonts w:hint="default" w:ascii="Times New Roman" w:hAnsi="Times New Roman" w:eastAsia="仿宋" w:cs="Times New Roman"/>
          <w:kern w:val="2"/>
          <w:sz w:val="30"/>
          <w:szCs w:val="30"/>
          <w:highlight w:val="none"/>
          <w:lang w:val="en-US" w:eastAsia="zh-CN" w:bidi="ar-SA"/>
        </w:rPr>
        <w:t>分。</w:t>
      </w:r>
    </w:p>
    <w:p w14:paraId="1E0BF95F">
      <w:pPr>
        <w:pStyle w:val="32"/>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highlight w:val="none"/>
        </w:rPr>
      </w:pPr>
      <w:bookmarkStart w:id="70" w:name="_Toc23523"/>
      <w:r>
        <w:rPr>
          <w:rFonts w:hint="default" w:ascii="Times New Roman" w:hAnsi="Times New Roman" w:cs="Times New Roman"/>
          <w:highlight w:val="none"/>
        </w:rPr>
        <w:t>（三）产出情况分析</w:t>
      </w:r>
      <w:bookmarkEnd w:id="70"/>
    </w:p>
    <w:p w14:paraId="79AFCDBA">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w:t>
      </w:r>
      <w:r>
        <w:rPr>
          <w:rFonts w:hint="default" w:ascii="Times New Roman" w:hAnsi="Times New Roman" w:eastAsia="仿宋" w:cs="Times New Roman"/>
          <w:kern w:val="2"/>
          <w:sz w:val="30"/>
          <w:szCs w:val="30"/>
          <w:highlight w:val="none"/>
          <w:lang w:val="en-US" w:eastAsia="zh-CN" w:bidi="ar-SA"/>
        </w:rPr>
        <w:t>项目产出类</w:t>
      </w:r>
      <w:r>
        <w:rPr>
          <w:rFonts w:hint="default" w:ascii="Times New Roman" w:hAnsi="Times New Roman" w:cs="Times New Roman"/>
          <w:kern w:val="2"/>
          <w:sz w:val="30"/>
          <w:szCs w:val="30"/>
          <w:highlight w:val="none"/>
          <w:lang w:val="en-US" w:eastAsia="zh-CN" w:bidi="ar-SA"/>
        </w:rPr>
        <w:t>”</w:t>
      </w:r>
      <w:r>
        <w:rPr>
          <w:rFonts w:hint="default" w:ascii="Times New Roman" w:hAnsi="Times New Roman" w:eastAsia="仿宋" w:cs="Times New Roman"/>
          <w:kern w:val="2"/>
          <w:sz w:val="30"/>
          <w:szCs w:val="30"/>
          <w:highlight w:val="none"/>
          <w:lang w:val="en-US" w:eastAsia="zh-CN" w:bidi="ar-SA"/>
        </w:rPr>
        <w:t>指标，包括产出数量、产出质量、产出时效、产出成本四个方面，采用</w:t>
      </w:r>
      <w:r>
        <w:rPr>
          <w:rFonts w:hint="eastAsia" w:ascii="Times New Roman" w:cs="Times New Roman"/>
          <w:kern w:val="2"/>
          <w:sz w:val="30"/>
          <w:szCs w:val="30"/>
          <w:highlight w:val="none"/>
          <w:lang w:val="en-US" w:eastAsia="zh-CN" w:bidi="ar-SA"/>
        </w:rPr>
        <w:t>5</w:t>
      </w:r>
      <w:r>
        <w:rPr>
          <w:rFonts w:hint="default" w:ascii="Times New Roman" w:hAnsi="Times New Roman" w:eastAsia="仿宋" w:cs="Times New Roman"/>
          <w:kern w:val="2"/>
          <w:sz w:val="30"/>
          <w:szCs w:val="30"/>
          <w:highlight w:val="none"/>
          <w:lang w:val="en-US" w:eastAsia="zh-CN" w:bidi="ar-SA"/>
        </w:rPr>
        <w:t>个三级指标进行考察。权重分值35分，绩效评价得分</w:t>
      </w:r>
      <w:r>
        <w:rPr>
          <w:rFonts w:hint="default" w:ascii="Times New Roman" w:hAnsi="Times New Roman" w:cs="Times New Roman"/>
          <w:kern w:val="2"/>
          <w:sz w:val="30"/>
          <w:szCs w:val="30"/>
          <w:highlight w:val="none"/>
          <w:lang w:val="en-US" w:eastAsia="zh-CN" w:bidi="ar-SA"/>
        </w:rPr>
        <w:t>3</w:t>
      </w:r>
      <w:r>
        <w:rPr>
          <w:rFonts w:hint="eastAsia" w:ascii="Times New Roman" w:cs="Times New Roman"/>
          <w:kern w:val="2"/>
          <w:sz w:val="30"/>
          <w:szCs w:val="30"/>
          <w:highlight w:val="none"/>
          <w:lang w:val="en-US" w:eastAsia="zh-CN" w:bidi="ar-SA"/>
        </w:rPr>
        <w:t>2</w:t>
      </w:r>
      <w:r>
        <w:rPr>
          <w:rFonts w:hint="default" w:ascii="Times New Roman" w:hAnsi="Times New Roman" w:eastAsia="仿宋" w:cs="Times New Roman"/>
          <w:kern w:val="2"/>
          <w:sz w:val="30"/>
          <w:szCs w:val="30"/>
          <w:highlight w:val="none"/>
          <w:lang w:val="en-US" w:eastAsia="zh-CN" w:bidi="ar-SA"/>
        </w:rPr>
        <w:t>分，得分率为</w:t>
      </w:r>
      <w:r>
        <w:rPr>
          <w:rFonts w:hint="eastAsia" w:ascii="Times New Roman" w:cs="Times New Roman"/>
          <w:kern w:val="2"/>
          <w:sz w:val="30"/>
          <w:szCs w:val="30"/>
          <w:highlight w:val="none"/>
          <w:lang w:val="en-US" w:eastAsia="zh-CN" w:bidi="ar-SA"/>
        </w:rPr>
        <w:t>88.57</w:t>
      </w:r>
      <w:r>
        <w:rPr>
          <w:rFonts w:hint="default" w:ascii="Times New Roman" w:hAnsi="Times New Roman" w:eastAsia="仿宋" w:cs="Times New Roman"/>
          <w:kern w:val="2"/>
          <w:sz w:val="30"/>
          <w:szCs w:val="30"/>
          <w:highlight w:val="none"/>
          <w:lang w:val="en-US" w:eastAsia="zh-CN" w:bidi="ar-SA"/>
        </w:rPr>
        <w:t>%。</w:t>
      </w:r>
    </w:p>
    <w:p w14:paraId="3F1F7791">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1.产出数量</w:t>
      </w:r>
    </w:p>
    <w:p w14:paraId="676B2EAD">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eastAsia" w:ascii="Times New Roman" w:cs="Times New Roman"/>
          <w:kern w:val="2"/>
          <w:sz w:val="30"/>
          <w:szCs w:val="30"/>
          <w:highlight w:val="none"/>
          <w:lang w:val="en-US" w:eastAsia="zh-CN" w:bidi="ar-SA"/>
        </w:rPr>
      </w:pPr>
      <w:r>
        <w:rPr>
          <w:rFonts w:hint="eastAsia" w:ascii="Times New Roman" w:cs="Times New Roman"/>
          <w:kern w:val="2"/>
          <w:sz w:val="30"/>
          <w:szCs w:val="30"/>
          <w:highlight w:val="none"/>
          <w:lang w:val="en-US" w:eastAsia="zh-CN" w:bidi="ar-SA"/>
        </w:rPr>
        <w:t>（1）项目相关培训和宣传活动完成情况</w:t>
      </w:r>
    </w:p>
    <w:p w14:paraId="440DA364">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rPr>
          <w:rFonts w:hint="default" w:ascii="Times New Roman" w:cs="Times New Roman"/>
          <w:b w:val="0"/>
          <w:bCs w:val="0"/>
          <w:kern w:val="2"/>
          <w:sz w:val="30"/>
          <w:szCs w:val="30"/>
          <w:highlight w:val="none"/>
          <w:lang w:val="en-US" w:eastAsia="zh-CN" w:bidi="ar-SA"/>
        </w:rPr>
      </w:pPr>
      <w:r>
        <w:rPr>
          <w:rFonts w:hint="eastAsia" w:ascii="Times New Roman" w:cs="Times New Roman"/>
          <w:b w:val="0"/>
          <w:bCs w:val="0"/>
          <w:kern w:val="2"/>
          <w:sz w:val="30"/>
          <w:szCs w:val="30"/>
          <w:highlight w:val="none"/>
          <w:lang w:val="en-US" w:eastAsia="zh-CN" w:bidi="ar-SA"/>
        </w:rPr>
        <w:t>根据项目材料，2023年，区卫健局开展了国家卫生城市新标准业务培训，各局及10个街道办事处、各社区等单位共计166人参加培训。同时，邀请云南省爱国卫生技术指导中心主任到西山区开展国家卫生城市标准评审要点培训。</w:t>
      </w:r>
      <w:r>
        <w:rPr>
          <w:rFonts w:hint="default" w:ascii="Times New Roman" w:hAnsi="Times New Roman" w:eastAsia="仿宋" w:cs="Times New Roman"/>
          <w:b w:val="0"/>
          <w:bCs w:val="0"/>
          <w:kern w:val="2"/>
          <w:sz w:val="30"/>
          <w:szCs w:val="30"/>
          <w:highlight w:val="none"/>
          <w:lang w:val="en-US" w:eastAsia="zh-CN" w:bidi="ar-SA"/>
        </w:rPr>
        <w:t>因此，指标分值</w:t>
      </w:r>
      <w:r>
        <w:rPr>
          <w:rFonts w:hint="eastAsia" w:ascii="Times New Roman" w:cs="Times New Roman"/>
          <w:b w:val="0"/>
          <w:bCs w:val="0"/>
          <w:kern w:val="2"/>
          <w:sz w:val="30"/>
          <w:szCs w:val="30"/>
          <w:highlight w:val="none"/>
          <w:lang w:val="en-US" w:eastAsia="zh-CN" w:bidi="ar-SA"/>
        </w:rPr>
        <w:t>5</w:t>
      </w:r>
      <w:r>
        <w:rPr>
          <w:rFonts w:hint="default" w:ascii="Times New Roman" w:hAnsi="Times New Roman" w:eastAsia="仿宋" w:cs="Times New Roman"/>
          <w:b w:val="0"/>
          <w:bCs w:val="0"/>
          <w:kern w:val="2"/>
          <w:sz w:val="30"/>
          <w:szCs w:val="30"/>
          <w:highlight w:val="none"/>
          <w:lang w:val="en-US" w:eastAsia="zh-CN" w:bidi="ar-SA"/>
        </w:rPr>
        <w:t>分，评价得分</w:t>
      </w:r>
      <w:r>
        <w:rPr>
          <w:rFonts w:hint="eastAsia" w:ascii="Times New Roman" w:cs="Times New Roman"/>
          <w:b w:val="0"/>
          <w:bCs w:val="0"/>
          <w:kern w:val="2"/>
          <w:sz w:val="30"/>
          <w:szCs w:val="30"/>
          <w:highlight w:val="none"/>
          <w:lang w:val="en-US" w:eastAsia="zh-CN" w:bidi="ar-SA"/>
        </w:rPr>
        <w:t>5</w:t>
      </w:r>
      <w:r>
        <w:rPr>
          <w:rFonts w:hint="default" w:ascii="Times New Roman" w:hAnsi="Times New Roman" w:eastAsia="仿宋" w:cs="Times New Roman"/>
          <w:b w:val="0"/>
          <w:bCs w:val="0"/>
          <w:kern w:val="2"/>
          <w:sz w:val="30"/>
          <w:szCs w:val="30"/>
          <w:highlight w:val="none"/>
          <w:lang w:val="en-US" w:eastAsia="zh-CN" w:bidi="ar-SA"/>
        </w:rPr>
        <w:t>分。</w:t>
      </w:r>
    </w:p>
    <w:p w14:paraId="35121E72">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firstLine="630" w:firstLineChars="200"/>
        <w:jc w:val="both"/>
        <w:textAlignment w:val="auto"/>
        <w:outlineLvl w:val="9"/>
        <w:rPr>
          <w:rFonts w:hint="eastAsia" w:ascii="Times New Roman" w:cs="Times New Roman"/>
          <w:highlight w:val="none"/>
          <w:lang w:val="en-US" w:eastAsia="zh-CN"/>
        </w:rPr>
      </w:pPr>
      <w:r>
        <w:rPr>
          <w:rFonts w:hint="eastAsia" w:ascii="Times New Roman" w:cs="Times New Roman"/>
          <w:highlight w:val="none"/>
          <w:lang w:val="en-US" w:eastAsia="zh-CN"/>
        </w:rPr>
        <w:t>病媒生物防治工作</w:t>
      </w:r>
    </w:p>
    <w:p w14:paraId="161D416C">
      <w:pPr>
        <w:keepNext w:val="0"/>
        <w:keepLines w:val="0"/>
        <w:pageBreakBefore w:val="0"/>
        <w:widowControl w:val="0"/>
        <w:shd w:val="clear"/>
        <w:kinsoku/>
        <w:wordWrap/>
        <w:overflowPunct/>
        <w:topLinePunct w:val="0"/>
        <w:autoSpaceDE/>
        <w:autoSpaceDN/>
        <w:bidi w:val="0"/>
        <w:adjustRightInd/>
        <w:snapToGrid/>
        <w:spacing w:line="579" w:lineRule="exact"/>
        <w:ind w:firstLine="630" w:firstLineChars="200"/>
        <w:jc w:val="both"/>
        <w:textAlignment w:val="auto"/>
        <w:rPr>
          <w:rFonts w:hint="default" w:ascii="Times New Roman" w:hAnsi="Times New Roman" w:eastAsia="仿宋" w:cs="Times New Roman"/>
          <w:lang w:val="en-US" w:eastAsia="zh-CN"/>
        </w:rPr>
      </w:pPr>
      <w:r>
        <w:rPr>
          <w:rFonts w:hint="eastAsia" w:ascii="Times New Roman" w:cs="Times New Roman"/>
          <w:highlight w:val="none"/>
          <w:lang w:val="en-US" w:eastAsia="zh-CN"/>
        </w:rPr>
        <w:t>根据采购材料及合同材料，2023年，区卫健局委托云南炬鑫康利科技服务有限公司对全区8个街道公共区域及重点区域进行一次全面消杀，消杀质量须达到国家C级标准。但是此项工作并未设置总结或验收，无法判断其工作的完成情况。此外，根据</w:t>
      </w:r>
      <w:r>
        <w:rPr>
          <w:rFonts w:hint="eastAsia" w:ascii="Times New Roman" w:hAnsi="Times New Roman" w:cs="Times New Roman"/>
          <w:kern w:val="2"/>
          <w:sz w:val="30"/>
          <w:szCs w:val="30"/>
          <w:highlight w:val="none"/>
          <w:shd w:val="clear"/>
          <w:lang w:val="en-US" w:eastAsia="zh-CN" w:bidi="ar-SA"/>
        </w:rPr>
        <w:t>《西山区2023年病媒生物防制工作总结》（西爱卫办〔2023〕24号），西山区的卫生标准未达到</w:t>
      </w:r>
      <w:r>
        <w:rPr>
          <w:rFonts w:hint="eastAsia" w:ascii="Times New Roman" w:cs="Times New Roman"/>
          <w:highlight w:val="none"/>
          <w:lang w:val="en-US" w:eastAsia="zh-CN"/>
        </w:rPr>
        <w:t>C级标准。</w:t>
      </w:r>
      <w:r>
        <w:rPr>
          <w:rFonts w:hint="default" w:ascii="Times New Roman" w:hAnsi="Times New Roman" w:eastAsia="仿宋" w:cs="Times New Roman"/>
          <w:b w:val="0"/>
          <w:bCs w:val="0"/>
          <w:kern w:val="2"/>
          <w:sz w:val="30"/>
          <w:szCs w:val="30"/>
          <w:highlight w:val="none"/>
          <w:lang w:val="en-US" w:eastAsia="zh-CN" w:bidi="ar-SA"/>
        </w:rPr>
        <w:t>因此，指标分值</w:t>
      </w:r>
      <w:r>
        <w:rPr>
          <w:rFonts w:hint="eastAsia" w:ascii="Times New Roman" w:cs="Times New Roman"/>
          <w:b w:val="0"/>
          <w:bCs w:val="0"/>
          <w:kern w:val="2"/>
          <w:sz w:val="30"/>
          <w:szCs w:val="30"/>
          <w:highlight w:val="none"/>
          <w:lang w:val="en-US" w:eastAsia="zh-CN" w:bidi="ar-SA"/>
        </w:rPr>
        <w:t>5</w:t>
      </w:r>
      <w:r>
        <w:rPr>
          <w:rFonts w:hint="default" w:ascii="Times New Roman" w:hAnsi="Times New Roman" w:eastAsia="仿宋" w:cs="Times New Roman"/>
          <w:b w:val="0"/>
          <w:bCs w:val="0"/>
          <w:kern w:val="2"/>
          <w:sz w:val="30"/>
          <w:szCs w:val="30"/>
          <w:highlight w:val="none"/>
          <w:lang w:val="en-US" w:eastAsia="zh-CN" w:bidi="ar-SA"/>
        </w:rPr>
        <w:t>分，评价得分</w:t>
      </w:r>
      <w:r>
        <w:rPr>
          <w:rFonts w:hint="eastAsia" w:ascii="Times New Roman" w:cs="Times New Roman"/>
          <w:b w:val="0"/>
          <w:bCs w:val="0"/>
          <w:kern w:val="2"/>
          <w:sz w:val="30"/>
          <w:szCs w:val="30"/>
          <w:highlight w:val="none"/>
          <w:lang w:val="en-US" w:eastAsia="zh-CN" w:bidi="ar-SA"/>
        </w:rPr>
        <w:t>2</w:t>
      </w:r>
      <w:r>
        <w:rPr>
          <w:rFonts w:hint="default" w:ascii="Times New Roman" w:hAnsi="Times New Roman" w:eastAsia="仿宋" w:cs="Times New Roman"/>
          <w:b w:val="0"/>
          <w:bCs w:val="0"/>
          <w:kern w:val="2"/>
          <w:sz w:val="30"/>
          <w:szCs w:val="30"/>
          <w:highlight w:val="none"/>
          <w:lang w:val="en-US" w:eastAsia="zh-CN" w:bidi="ar-SA"/>
        </w:rPr>
        <w:t>分。</w:t>
      </w:r>
    </w:p>
    <w:p w14:paraId="4A16B0B9">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2.产出质量</w:t>
      </w:r>
    </w:p>
    <w:p w14:paraId="26093204">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eastAsia" w:ascii="Times New Roman" w:cs="Times New Roman"/>
          <w:kern w:val="2"/>
          <w:sz w:val="30"/>
          <w:szCs w:val="30"/>
          <w:lang w:val="en-US" w:eastAsia="zh-CN" w:bidi="ar-SA"/>
        </w:rPr>
      </w:pPr>
      <w:r>
        <w:rPr>
          <w:rFonts w:hint="eastAsia" w:ascii="Times New Roman" w:cs="Times New Roman"/>
          <w:kern w:val="2"/>
          <w:sz w:val="30"/>
          <w:szCs w:val="30"/>
          <w:lang w:val="en-US" w:eastAsia="zh-CN" w:bidi="ar-SA"/>
        </w:rPr>
        <w:t>（1）项目验收合格率</w:t>
      </w:r>
    </w:p>
    <w:p w14:paraId="1FDC2B4C">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cs="Times New Roman"/>
          <w:kern w:val="2"/>
          <w:sz w:val="30"/>
          <w:szCs w:val="30"/>
          <w:lang w:val="en-US" w:eastAsia="zh-CN" w:bidi="ar-SA"/>
        </w:rPr>
      </w:pPr>
      <w:r>
        <w:rPr>
          <w:rFonts w:hint="eastAsia" w:ascii="Times New Roman" w:cs="Times New Roman"/>
          <w:b w:val="0"/>
          <w:bCs w:val="0"/>
          <w:kern w:val="2"/>
          <w:sz w:val="30"/>
          <w:szCs w:val="30"/>
          <w:lang w:val="en-US" w:eastAsia="zh-CN" w:bidi="ar-SA"/>
        </w:rPr>
        <w:t>根据项目材料，2023年，区卫健局委托昆明伏特电子技术有限公司制作的宣传用品、宣传海报均通过了验收工作。</w:t>
      </w:r>
      <w:r>
        <w:rPr>
          <w:rFonts w:hint="default" w:ascii="Times New Roman" w:hAnsi="Times New Roman" w:eastAsia="仿宋" w:cs="Times New Roman"/>
          <w:b w:val="0"/>
          <w:bCs w:val="0"/>
          <w:kern w:val="2"/>
          <w:sz w:val="30"/>
          <w:szCs w:val="30"/>
          <w:lang w:val="en-US" w:eastAsia="zh-CN" w:bidi="ar-SA"/>
        </w:rPr>
        <w:t>因此，指标分值</w:t>
      </w:r>
      <w:r>
        <w:rPr>
          <w:rFonts w:hint="eastAsia" w:ascii="Times New Roman" w:cs="Times New Roman"/>
          <w:b w:val="0"/>
          <w:bCs w:val="0"/>
          <w:kern w:val="2"/>
          <w:sz w:val="30"/>
          <w:szCs w:val="30"/>
          <w:lang w:val="en-US" w:eastAsia="zh-CN" w:bidi="ar-SA"/>
        </w:rPr>
        <w:t>10</w:t>
      </w:r>
      <w:r>
        <w:rPr>
          <w:rFonts w:hint="default" w:ascii="Times New Roman" w:hAnsi="Times New Roman" w:eastAsia="仿宋" w:cs="Times New Roman"/>
          <w:b w:val="0"/>
          <w:bCs w:val="0"/>
          <w:kern w:val="2"/>
          <w:sz w:val="30"/>
          <w:szCs w:val="30"/>
          <w:lang w:val="en-US" w:eastAsia="zh-CN" w:bidi="ar-SA"/>
        </w:rPr>
        <w:t>分，评价得分</w:t>
      </w:r>
      <w:r>
        <w:rPr>
          <w:rFonts w:hint="eastAsia" w:ascii="Times New Roman" w:cs="Times New Roman"/>
          <w:b w:val="0"/>
          <w:bCs w:val="0"/>
          <w:kern w:val="2"/>
          <w:sz w:val="30"/>
          <w:szCs w:val="30"/>
          <w:lang w:val="en-US" w:eastAsia="zh-CN" w:bidi="ar-SA"/>
        </w:rPr>
        <w:t>10</w:t>
      </w:r>
      <w:r>
        <w:rPr>
          <w:rFonts w:hint="default" w:ascii="Times New Roman" w:hAnsi="Times New Roman" w:eastAsia="仿宋" w:cs="Times New Roman"/>
          <w:b w:val="0"/>
          <w:bCs w:val="0"/>
          <w:kern w:val="2"/>
          <w:sz w:val="30"/>
          <w:szCs w:val="30"/>
          <w:lang w:val="en-US" w:eastAsia="zh-CN" w:bidi="ar-SA"/>
        </w:rPr>
        <w:t>分。</w:t>
      </w:r>
    </w:p>
    <w:p w14:paraId="7671F7A7">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3.产出时效</w:t>
      </w:r>
    </w:p>
    <w:p w14:paraId="2916AF1B">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eastAsia" w:ascii="Times New Roman" w:cs="Times New Roman"/>
          <w:kern w:val="2"/>
          <w:sz w:val="30"/>
          <w:szCs w:val="30"/>
          <w:lang w:val="en-US" w:eastAsia="zh-CN" w:bidi="ar-SA"/>
        </w:rPr>
      </w:pPr>
      <w:r>
        <w:rPr>
          <w:rFonts w:hint="eastAsia" w:ascii="Times New Roman" w:cs="Times New Roman"/>
          <w:kern w:val="2"/>
          <w:sz w:val="30"/>
          <w:szCs w:val="30"/>
          <w:lang w:val="en-US" w:eastAsia="zh-CN" w:bidi="ar-SA"/>
        </w:rPr>
        <w:t>（1）各项工作完成及时性</w:t>
      </w:r>
    </w:p>
    <w:p w14:paraId="7EEEA6A2">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eastAsia" w:ascii="Times New Roman" w:cs="Times New Roman"/>
          <w:b w:val="0"/>
          <w:bCs w:val="0"/>
          <w:kern w:val="2"/>
          <w:sz w:val="30"/>
          <w:szCs w:val="30"/>
          <w:lang w:val="en-US" w:eastAsia="zh-CN" w:bidi="ar-SA"/>
        </w:rPr>
        <w:t>根据项目材料，本项目的工作在2023年均已及时完成。</w:t>
      </w:r>
      <w:r>
        <w:rPr>
          <w:rFonts w:hint="default" w:ascii="Times New Roman" w:hAnsi="Times New Roman" w:eastAsia="仿宋" w:cs="Times New Roman"/>
          <w:b w:val="0"/>
          <w:bCs w:val="0"/>
          <w:kern w:val="2"/>
          <w:sz w:val="30"/>
          <w:szCs w:val="30"/>
          <w:lang w:val="en-US" w:eastAsia="zh-CN" w:bidi="ar-SA"/>
        </w:rPr>
        <w:t>因此，指标分值</w:t>
      </w:r>
      <w:r>
        <w:rPr>
          <w:rFonts w:hint="eastAsia" w:ascii="Times New Roman" w:cs="Times New Roman"/>
          <w:b w:val="0"/>
          <w:bCs w:val="0"/>
          <w:kern w:val="2"/>
          <w:sz w:val="30"/>
          <w:szCs w:val="30"/>
          <w:lang w:val="en-US" w:eastAsia="zh-CN" w:bidi="ar-SA"/>
        </w:rPr>
        <w:t>10</w:t>
      </w:r>
      <w:r>
        <w:rPr>
          <w:rFonts w:hint="default" w:ascii="Times New Roman" w:hAnsi="Times New Roman" w:eastAsia="仿宋" w:cs="Times New Roman"/>
          <w:b w:val="0"/>
          <w:bCs w:val="0"/>
          <w:kern w:val="2"/>
          <w:sz w:val="30"/>
          <w:szCs w:val="30"/>
          <w:lang w:val="en-US" w:eastAsia="zh-CN" w:bidi="ar-SA"/>
        </w:rPr>
        <w:t>分，评价得分</w:t>
      </w:r>
      <w:r>
        <w:rPr>
          <w:rFonts w:hint="eastAsia" w:ascii="Times New Roman" w:cs="Times New Roman"/>
          <w:b w:val="0"/>
          <w:bCs w:val="0"/>
          <w:kern w:val="2"/>
          <w:sz w:val="30"/>
          <w:szCs w:val="30"/>
          <w:lang w:val="en-US" w:eastAsia="zh-CN" w:bidi="ar-SA"/>
        </w:rPr>
        <w:t>10</w:t>
      </w:r>
      <w:r>
        <w:rPr>
          <w:rFonts w:hint="default" w:ascii="Times New Roman" w:hAnsi="Times New Roman" w:eastAsia="仿宋" w:cs="Times New Roman"/>
          <w:b w:val="0"/>
          <w:bCs w:val="0"/>
          <w:kern w:val="2"/>
          <w:sz w:val="30"/>
          <w:szCs w:val="30"/>
          <w:lang w:val="en-US" w:eastAsia="zh-CN" w:bidi="ar-SA"/>
        </w:rPr>
        <w:t>分。</w:t>
      </w:r>
    </w:p>
    <w:p w14:paraId="7663544C">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4.产出成本</w:t>
      </w:r>
    </w:p>
    <w:p w14:paraId="4695BB84">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kern w:val="2"/>
          <w:sz w:val="30"/>
          <w:szCs w:val="30"/>
          <w:lang w:val="en-US" w:eastAsia="zh-CN" w:bidi="ar-SA"/>
        </w:rPr>
      </w:pPr>
      <w:r>
        <w:rPr>
          <w:rFonts w:hint="eastAsia" w:ascii="Times New Roman" w:cs="Times New Roman"/>
          <w:kern w:val="2"/>
          <w:sz w:val="30"/>
          <w:szCs w:val="30"/>
          <w:lang w:val="en-US" w:eastAsia="zh-CN" w:bidi="ar-SA"/>
        </w:rPr>
        <w:t>（1）</w:t>
      </w:r>
      <w:r>
        <w:rPr>
          <w:rFonts w:hint="default" w:ascii="Times New Roman" w:hAnsi="Times New Roman" w:cs="Times New Roman"/>
          <w:kern w:val="2"/>
          <w:sz w:val="30"/>
          <w:szCs w:val="30"/>
          <w:lang w:val="en-US" w:eastAsia="zh-CN" w:bidi="ar-SA"/>
        </w:rPr>
        <w:t>成本控制率</w:t>
      </w:r>
    </w:p>
    <w:p w14:paraId="0DCD2609">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eastAsia" w:ascii="Times New Roman" w:cs="Times New Roman"/>
          <w:szCs w:val="30"/>
          <w:lang w:val="en-US" w:eastAsia="zh-CN"/>
        </w:rPr>
        <w:t>根据项目</w:t>
      </w:r>
      <w:r>
        <w:rPr>
          <w:rFonts w:hint="eastAsia" w:ascii="Times New Roman" w:cs="Times New Roman"/>
          <w:szCs w:val="30"/>
          <w:highlight w:val="none"/>
          <w:lang w:val="en-US" w:eastAsia="zh-CN"/>
        </w:rPr>
        <w:t>支出情况，本项目并未出现超预算的情况。因此，</w:t>
      </w:r>
      <w:r>
        <w:rPr>
          <w:rFonts w:hint="default" w:ascii="Times New Roman" w:hAnsi="Times New Roman" w:eastAsia="仿宋" w:cs="Times New Roman"/>
          <w:kern w:val="2"/>
          <w:sz w:val="30"/>
          <w:szCs w:val="30"/>
          <w:highlight w:val="none"/>
          <w:lang w:val="en-US" w:eastAsia="zh-CN" w:bidi="ar-SA"/>
        </w:rPr>
        <w:t>指标分值</w:t>
      </w:r>
      <w:r>
        <w:rPr>
          <w:rFonts w:hint="eastAsia" w:ascii="Times New Roman" w:cs="Times New Roman"/>
          <w:kern w:val="2"/>
          <w:sz w:val="30"/>
          <w:szCs w:val="30"/>
          <w:highlight w:val="none"/>
          <w:lang w:val="en-US" w:eastAsia="zh-CN" w:bidi="ar-SA"/>
        </w:rPr>
        <w:t>5</w:t>
      </w:r>
      <w:r>
        <w:rPr>
          <w:rFonts w:hint="default" w:ascii="Times New Roman" w:hAnsi="Times New Roman" w:eastAsia="仿宋" w:cs="Times New Roman"/>
          <w:kern w:val="2"/>
          <w:sz w:val="30"/>
          <w:szCs w:val="30"/>
          <w:highlight w:val="none"/>
          <w:lang w:val="en-US" w:eastAsia="zh-CN" w:bidi="ar-SA"/>
        </w:rPr>
        <w:t>分，评价得分</w:t>
      </w:r>
      <w:r>
        <w:rPr>
          <w:rFonts w:hint="eastAsia" w:ascii="Times New Roman" w:cs="Times New Roman"/>
          <w:kern w:val="2"/>
          <w:sz w:val="30"/>
          <w:szCs w:val="30"/>
          <w:highlight w:val="none"/>
          <w:lang w:val="en-US" w:eastAsia="zh-CN" w:bidi="ar-SA"/>
        </w:rPr>
        <w:t>5</w:t>
      </w:r>
      <w:r>
        <w:rPr>
          <w:rFonts w:hint="default" w:ascii="Times New Roman" w:hAnsi="Times New Roman" w:eastAsia="仿宋" w:cs="Times New Roman"/>
          <w:kern w:val="2"/>
          <w:sz w:val="30"/>
          <w:szCs w:val="30"/>
          <w:highlight w:val="none"/>
          <w:lang w:val="en-US" w:eastAsia="zh-CN" w:bidi="ar-SA"/>
        </w:rPr>
        <w:t>分。</w:t>
      </w:r>
    </w:p>
    <w:p w14:paraId="43DF4AF1">
      <w:pPr>
        <w:pStyle w:val="32"/>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highlight w:val="none"/>
        </w:rPr>
      </w:pPr>
      <w:bookmarkStart w:id="71" w:name="_Toc6323"/>
      <w:r>
        <w:rPr>
          <w:rFonts w:hint="default" w:ascii="Times New Roman" w:hAnsi="Times New Roman" w:cs="Times New Roman"/>
          <w:highlight w:val="none"/>
        </w:rPr>
        <w:t>（四）效果情况分析</w:t>
      </w:r>
      <w:bookmarkEnd w:id="71"/>
    </w:p>
    <w:p w14:paraId="5C5C9867">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w:t>
      </w:r>
      <w:r>
        <w:rPr>
          <w:rFonts w:hint="default" w:ascii="Times New Roman" w:hAnsi="Times New Roman" w:eastAsia="仿宋" w:cs="Times New Roman"/>
          <w:kern w:val="2"/>
          <w:sz w:val="30"/>
          <w:szCs w:val="30"/>
          <w:highlight w:val="none"/>
          <w:lang w:val="en-US" w:eastAsia="zh-CN" w:bidi="ar-SA"/>
        </w:rPr>
        <w:t>项目</w:t>
      </w:r>
      <w:r>
        <w:rPr>
          <w:rFonts w:hint="default" w:ascii="Times New Roman" w:hAnsi="Times New Roman" w:cs="Times New Roman"/>
          <w:kern w:val="2"/>
          <w:sz w:val="30"/>
          <w:szCs w:val="30"/>
          <w:highlight w:val="none"/>
          <w:lang w:val="en-US" w:eastAsia="zh-CN" w:bidi="ar-SA"/>
        </w:rPr>
        <w:t>效果</w:t>
      </w:r>
      <w:r>
        <w:rPr>
          <w:rFonts w:hint="default" w:ascii="Times New Roman" w:hAnsi="Times New Roman" w:eastAsia="仿宋" w:cs="Times New Roman"/>
          <w:kern w:val="2"/>
          <w:sz w:val="30"/>
          <w:szCs w:val="30"/>
          <w:highlight w:val="none"/>
          <w:lang w:val="en-US" w:eastAsia="zh-CN" w:bidi="ar-SA"/>
        </w:rPr>
        <w:t>类</w:t>
      </w:r>
      <w:r>
        <w:rPr>
          <w:rFonts w:hint="default" w:ascii="Times New Roman" w:hAnsi="Times New Roman" w:cs="Times New Roman"/>
          <w:kern w:val="2"/>
          <w:sz w:val="30"/>
          <w:szCs w:val="30"/>
          <w:highlight w:val="none"/>
          <w:lang w:val="en-US" w:eastAsia="zh-CN" w:bidi="ar-SA"/>
        </w:rPr>
        <w:t>”</w:t>
      </w:r>
      <w:r>
        <w:rPr>
          <w:rFonts w:hint="default" w:ascii="Times New Roman" w:hAnsi="Times New Roman" w:eastAsia="仿宋" w:cs="Times New Roman"/>
          <w:kern w:val="2"/>
          <w:sz w:val="30"/>
          <w:szCs w:val="30"/>
          <w:highlight w:val="none"/>
          <w:lang w:val="en-US" w:eastAsia="zh-CN" w:bidi="ar-SA"/>
        </w:rPr>
        <w:t>指标，包括</w:t>
      </w:r>
      <w:r>
        <w:rPr>
          <w:rFonts w:hint="default" w:ascii="Times New Roman" w:hAnsi="Times New Roman" w:cs="Times New Roman"/>
          <w:kern w:val="2"/>
          <w:sz w:val="30"/>
          <w:szCs w:val="30"/>
          <w:highlight w:val="none"/>
          <w:lang w:val="en-US" w:eastAsia="zh-CN" w:bidi="ar-SA"/>
        </w:rPr>
        <w:t>社会效益</w:t>
      </w:r>
      <w:r>
        <w:rPr>
          <w:rFonts w:hint="default" w:ascii="Times New Roman" w:hAnsi="Times New Roman" w:eastAsia="仿宋" w:cs="Times New Roman"/>
          <w:kern w:val="2"/>
          <w:sz w:val="30"/>
          <w:szCs w:val="30"/>
          <w:highlight w:val="none"/>
          <w:lang w:val="en-US" w:eastAsia="zh-CN" w:bidi="ar-SA"/>
        </w:rPr>
        <w:t>、</w:t>
      </w:r>
      <w:r>
        <w:rPr>
          <w:rFonts w:hint="default" w:ascii="Times New Roman" w:hAnsi="Times New Roman" w:cs="Times New Roman"/>
          <w:kern w:val="2"/>
          <w:sz w:val="30"/>
          <w:szCs w:val="30"/>
          <w:highlight w:val="none"/>
          <w:lang w:val="en-US" w:eastAsia="zh-CN" w:bidi="ar-SA"/>
        </w:rPr>
        <w:t>可持续性和满意度三</w:t>
      </w:r>
      <w:r>
        <w:rPr>
          <w:rFonts w:hint="default" w:ascii="Times New Roman" w:hAnsi="Times New Roman" w:eastAsia="仿宋" w:cs="Times New Roman"/>
          <w:kern w:val="2"/>
          <w:sz w:val="30"/>
          <w:szCs w:val="30"/>
          <w:highlight w:val="none"/>
          <w:lang w:val="en-US" w:eastAsia="zh-CN" w:bidi="ar-SA"/>
        </w:rPr>
        <w:t>个方面，采用</w:t>
      </w:r>
      <w:r>
        <w:rPr>
          <w:rFonts w:hint="default" w:ascii="Times New Roman" w:hAnsi="Times New Roman" w:cs="Times New Roman"/>
          <w:kern w:val="2"/>
          <w:sz w:val="30"/>
          <w:szCs w:val="30"/>
          <w:highlight w:val="none"/>
          <w:lang w:val="en-US" w:eastAsia="zh-CN" w:bidi="ar-SA"/>
        </w:rPr>
        <w:t>5</w:t>
      </w:r>
      <w:r>
        <w:rPr>
          <w:rFonts w:hint="default" w:ascii="Times New Roman" w:hAnsi="Times New Roman" w:eastAsia="仿宋" w:cs="Times New Roman"/>
          <w:kern w:val="2"/>
          <w:sz w:val="30"/>
          <w:szCs w:val="30"/>
          <w:highlight w:val="none"/>
          <w:lang w:val="en-US" w:eastAsia="zh-CN" w:bidi="ar-SA"/>
        </w:rPr>
        <w:t>个三级指标进行考察。权重分值3</w:t>
      </w:r>
      <w:r>
        <w:rPr>
          <w:rFonts w:hint="default" w:ascii="Times New Roman" w:hAnsi="Times New Roman" w:cs="Times New Roman"/>
          <w:kern w:val="2"/>
          <w:sz w:val="30"/>
          <w:szCs w:val="30"/>
          <w:highlight w:val="none"/>
          <w:lang w:val="en-US" w:eastAsia="zh-CN" w:bidi="ar-SA"/>
        </w:rPr>
        <w:t>0</w:t>
      </w:r>
      <w:r>
        <w:rPr>
          <w:rFonts w:hint="default" w:ascii="Times New Roman" w:hAnsi="Times New Roman" w:eastAsia="仿宋" w:cs="Times New Roman"/>
          <w:kern w:val="2"/>
          <w:sz w:val="30"/>
          <w:szCs w:val="30"/>
          <w:highlight w:val="none"/>
          <w:lang w:val="en-US" w:eastAsia="zh-CN" w:bidi="ar-SA"/>
        </w:rPr>
        <w:t>分，绩效评价得分</w:t>
      </w:r>
      <w:r>
        <w:rPr>
          <w:rFonts w:hint="eastAsia" w:ascii="Times New Roman" w:cs="Times New Roman"/>
          <w:kern w:val="2"/>
          <w:sz w:val="30"/>
          <w:szCs w:val="30"/>
          <w:highlight w:val="none"/>
          <w:lang w:val="en-US" w:eastAsia="zh-CN" w:bidi="ar-SA"/>
        </w:rPr>
        <w:t>25</w:t>
      </w:r>
      <w:r>
        <w:rPr>
          <w:rFonts w:hint="default" w:ascii="Times New Roman" w:hAnsi="Times New Roman" w:eastAsia="仿宋" w:cs="Times New Roman"/>
          <w:kern w:val="2"/>
          <w:sz w:val="30"/>
          <w:szCs w:val="30"/>
          <w:highlight w:val="none"/>
          <w:lang w:val="en-US" w:eastAsia="zh-CN" w:bidi="ar-SA"/>
        </w:rPr>
        <w:t>分，得分率为</w:t>
      </w:r>
      <w:r>
        <w:rPr>
          <w:rFonts w:hint="eastAsia" w:ascii="Times New Roman" w:cs="Times New Roman"/>
          <w:kern w:val="2"/>
          <w:sz w:val="30"/>
          <w:szCs w:val="30"/>
          <w:highlight w:val="none"/>
          <w:lang w:val="en-US" w:eastAsia="zh-CN" w:bidi="ar-SA"/>
        </w:rPr>
        <w:t>83.33</w:t>
      </w:r>
      <w:r>
        <w:rPr>
          <w:rFonts w:hint="default" w:ascii="Times New Roman" w:hAnsi="Times New Roman" w:eastAsia="仿宋" w:cs="Times New Roman"/>
          <w:kern w:val="2"/>
          <w:sz w:val="30"/>
          <w:szCs w:val="30"/>
          <w:highlight w:val="none"/>
          <w:lang w:val="en-US" w:eastAsia="zh-CN" w:bidi="ar-SA"/>
        </w:rPr>
        <w:t>%。</w:t>
      </w:r>
    </w:p>
    <w:p w14:paraId="0938FEAD">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1.社会效益</w:t>
      </w:r>
    </w:p>
    <w:p w14:paraId="168619EF">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（1）改善辖区环境卫生</w:t>
      </w:r>
    </w:p>
    <w:p w14:paraId="2DA467AA">
      <w:pPr>
        <w:keepNext w:val="0"/>
        <w:keepLines w:val="0"/>
        <w:pageBreakBefore w:val="0"/>
        <w:widowControl w:val="0"/>
        <w:shd w:val="clear"/>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eastAsia" w:ascii="Times New Roman" w:cs="Times New Roman"/>
          <w:szCs w:val="30"/>
          <w:highlight w:val="none"/>
          <w:lang w:val="en-US" w:eastAsia="zh-CN"/>
        </w:rPr>
        <w:t>2023年，区卫健局委托相关公司对辖区内的环境进行了清理</w:t>
      </w:r>
      <w:r>
        <w:rPr>
          <w:rFonts w:hint="default" w:ascii="Times New Roman" w:hAnsi="Times New Roman" w:cs="Times New Roman"/>
          <w:szCs w:val="30"/>
          <w:highlight w:val="none"/>
          <w:lang w:val="en-US" w:eastAsia="zh-CN"/>
        </w:rPr>
        <w:t>。</w:t>
      </w:r>
      <w:r>
        <w:rPr>
          <w:rFonts w:hint="eastAsia" w:ascii="Times New Roman" w:cs="Times New Roman"/>
          <w:szCs w:val="30"/>
          <w:highlight w:val="none"/>
          <w:lang w:val="en-US" w:eastAsia="zh-CN"/>
        </w:rPr>
        <w:t>项目组通过在问卷调查中添加“您对西山区爱国卫生7个专项行动工作完成后对居住环境改善情况的满意度”问题，用于考察居民对清理工作的满意度。根据结果，179人中，144人对环境改善情况表示非常满意，34人表示满意，1人表示一般。</w:t>
      </w:r>
      <w:r>
        <w:rPr>
          <w:rFonts w:hint="default" w:ascii="Times New Roman" w:hAnsi="Times New Roman" w:cs="Times New Roman"/>
          <w:kern w:val="2"/>
          <w:sz w:val="30"/>
          <w:szCs w:val="30"/>
          <w:highlight w:val="none"/>
          <w:lang w:val="en-US" w:eastAsia="zh-CN" w:bidi="ar-SA"/>
        </w:rPr>
        <w:t>因此，</w:t>
      </w:r>
      <w:r>
        <w:rPr>
          <w:rFonts w:hint="default" w:ascii="Times New Roman" w:hAnsi="Times New Roman" w:eastAsia="仿宋" w:cs="Times New Roman"/>
          <w:kern w:val="2"/>
          <w:sz w:val="30"/>
          <w:szCs w:val="30"/>
          <w:highlight w:val="none"/>
          <w:lang w:val="en-US" w:eastAsia="zh-CN" w:bidi="ar-SA"/>
        </w:rPr>
        <w:t>指标分值</w:t>
      </w:r>
      <w:r>
        <w:rPr>
          <w:rFonts w:hint="eastAsia" w:ascii="Times New Roman" w:cs="Times New Roman"/>
          <w:kern w:val="2"/>
          <w:sz w:val="30"/>
          <w:szCs w:val="30"/>
          <w:highlight w:val="none"/>
          <w:lang w:val="en-US" w:eastAsia="zh-CN" w:bidi="ar-SA"/>
        </w:rPr>
        <w:t>7</w:t>
      </w:r>
      <w:r>
        <w:rPr>
          <w:rFonts w:hint="default" w:ascii="Times New Roman" w:hAnsi="Times New Roman" w:eastAsia="仿宋" w:cs="Times New Roman"/>
          <w:kern w:val="2"/>
          <w:sz w:val="30"/>
          <w:szCs w:val="30"/>
          <w:highlight w:val="none"/>
          <w:lang w:val="en-US" w:eastAsia="zh-CN" w:bidi="ar-SA"/>
        </w:rPr>
        <w:t>分，评价得分</w:t>
      </w:r>
      <w:r>
        <w:rPr>
          <w:rFonts w:hint="eastAsia" w:ascii="Times New Roman" w:cs="Times New Roman"/>
          <w:kern w:val="2"/>
          <w:sz w:val="30"/>
          <w:szCs w:val="30"/>
          <w:highlight w:val="none"/>
          <w:lang w:val="en-US" w:eastAsia="zh-CN" w:bidi="ar-SA"/>
        </w:rPr>
        <w:t>7</w:t>
      </w:r>
      <w:r>
        <w:rPr>
          <w:rFonts w:hint="default" w:ascii="Times New Roman" w:hAnsi="Times New Roman" w:eastAsia="仿宋" w:cs="Times New Roman"/>
          <w:kern w:val="2"/>
          <w:sz w:val="30"/>
          <w:szCs w:val="30"/>
          <w:highlight w:val="none"/>
          <w:lang w:val="en-US" w:eastAsia="zh-CN" w:bidi="ar-SA"/>
        </w:rPr>
        <w:t>分。</w:t>
      </w:r>
    </w:p>
    <w:p w14:paraId="5D22A99D">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（2）病媒</w:t>
      </w:r>
      <w:r>
        <w:rPr>
          <w:rFonts w:hint="eastAsia" w:ascii="Times New Roman" w:hAnsi="Times New Roman" w:cs="Times New Roman"/>
          <w:kern w:val="2"/>
          <w:sz w:val="30"/>
          <w:szCs w:val="30"/>
          <w:highlight w:val="none"/>
          <w:lang w:val="en-US" w:eastAsia="zh-CN" w:bidi="ar-SA"/>
        </w:rPr>
        <w:t>生物防治</w:t>
      </w:r>
      <w:r>
        <w:rPr>
          <w:rFonts w:hint="default" w:ascii="Times New Roman" w:hAnsi="Times New Roman" w:eastAsia="仿宋" w:cs="Times New Roman"/>
          <w:kern w:val="2"/>
          <w:sz w:val="30"/>
          <w:szCs w:val="30"/>
          <w:highlight w:val="none"/>
          <w:lang w:val="en-US" w:eastAsia="zh-CN" w:bidi="ar-SA"/>
        </w:rPr>
        <w:t>达标情况</w:t>
      </w:r>
    </w:p>
    <w:p w14:paraId="4275C3CF">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yellow"/>
          <w:lang w:val="en-US" w:eastAsia="zh-CN" w:bidi="ar-SA"/>
        </w:rPr>
      </w:pPr>
      <w:r>
        <w:rPr>
          <w:rFonts w:hint="eastAsia" w:ascii="Times New Roman" w:hAnsi="Times New Roman" w:cs="Times New Roman"/>
          <w:szCs w:val="30"/>
          <w:highlight w:val="none"/>
          <w:lang w:val="en-US" w:eastAsia="zh-CN"/>
        </w:rPr>
        <w:t>根</w:t>
      </w:r>
      <w:r>
        <w:rPr>
          <w:rFonts w:hint="eastAsia" w:ascii="Times New Roman" w:hAnsi="Times New Roman" w:cs="Times New Roman"/>
          <w:szCs w:val="30"/>
          <w:highlight w:val="none"/>
          <w:shd w:val="clear"/>
          <w:lang w:val="en-US" w:eastAsia="zh-CN"/>
        </w:rPr>
        <w:t>据</w:t>
      </w:r>
      <w:r>
        <w:rPr>
          <w:rFonts w:hint="default" w:ascii="Times New Roman" w:hAnsi="Times New Roman" w:eastAsia="仿宋" w:cs="Times New Roman"/>
          <w:kern w:val="2"/>
          <w:sz w:val="30"/>
          <w:szCs w:val="30"/>
          <w:highlight w:val="none"/>
          <w:shd w:val="clear"/>
          <w:lang w:val="en-US" w:eastAsia="zh-CN" w:bidi="ar-SA"/>
        </w:rPr>
        <w:t>西山区爱国卫生运动委员会</w:t>
      </w:r>
      <w:r>
        <w:rPr>
          <w:rFonts w:hint="eastAsia" w:ascii="Times New Roman" w:hAnsi="Times New Roman" w:eastAsia="仿宋" w:cs="Times New Roman"/>
          <w:kern w:val="2"/>
          <w:sz w:val="30"/>
          <w:szCs w:val="30"/>
          <w:highlight w:val="none"/>
          <w:shd w:val="clear"/>
          <w:lang w:val="en-US" w:eastAsia="zh-CN" w:bidi="ar-SA"/>
        </w:rPr>
        <w:t>办公室</w:t>
      </w:r>
      <w:r>
        <w:rPr>
          <w:rFonts w:hint="eastAsia" w:ascii="Times New Roman" w:hAnsi="Times New Roman" w:cs="Times New Roman"/>
          <w:kern w:val="2"/>
          <w:sz w:val="30"/>
          <w:szCs w:val="30"/>
          <w:highlight w:val="none"/>
          <w:shd w:val="clear"/>
          <w:lang w:val="en-US" w:eastAsia="zh-CN" w:bidi="ar-SA"/>
        </w:rPr>
        <w:t>发布的《西山区2023年病媒生物防制工作总结》（西爱卫办〔2023〕24号），西山区共存在三个问题</w:t>
      </w:r>
      <w:r>
        <w:rPr>
          <w:rFonts w:hint="eastAsia" w:ascii="Times New Roman" w:cs="Times New Roman"/>
          <w:kern w:val="2"/>
          <w:sz w:val="30"/>
          <w:szCs w:val="30"/>
          <w:highlight w:val="none"/>
          <w:shd w:val="clear"/>
          <w:lang w:val="en-US" w:eastAsia="zh-CN" w:bidi="ar-SA"/>
        </w:rPr>
        <w:t>：</w:t>
      </w:r>
      <w:r>
        <w:rPr>
          <w:rFonts w:hint="eastAsia" w:ascii="Times New Roman" w:hAnsi="Times New Roman" w:cs="Times New Roman"/>
          <w:kern w:val="2"/>
          <w:sz w:val="30"/>
          <w:szCs w:val="30"/>
          <w:highlight w:val="none"/>
          <w:shd w:val="clear"/>
          <w:lang w:val="en-US" w:eastAsia="zh-CN" w:bidi="ar-SA"/>
        </w:rPr>
        <w:t>一是部分街道重视程度不够，部分地段（点）除“四害”工作落实不到位</w:t>
      </w:r>
      <w:r>
        <w:rPr>
          <w:rFonts w:hint="eastAsia" w:ascii="Times New Roman" w:cs="Times New Roman"/>
          <w:kern w:val="2"/>
          <w:sz w:val="30"/>
          <w:szCs w:val="30"/>
          <w:highlight w:val="none"/>
          <w:shd w:val="clear"/>
          <w:lang w:val="en-US" w:eastAsia="zh-CN" w:bidi="ar-SA"/>
        </w:rPr>
        <w:t>；</w:t>
      </w:r>
      <w:r>
        <w:rPr>
          <w:rFonts w:hint="eastAsia" w:ascii="Times New Roman" w:hAnsi="Times New Roman" w:cs="Times New Roman"/>
          <w:kern w:val="2"/>
          <w:sz w:val="30"/>
          <w:szCs w:val="30"/>
          <w:highlight w:val="none"/>
          <w:shd w:val="clear"/>
          <w:lang w:val="en-US" w:eastAsia="zh-CN" w:bidi="ar-SA"/>
        </w:rPr>
        <w:t>二是部分单位除“四害”综合防治设施落实不到位，对重点单位、一般单位的除“四害”设施需进一步加强和落实</w:t>
      </w:r>
      <w:r>
        <w:rPr>
          <w:rFonts w:hint="eastAsia" w:ascii="Times New Roman" w:cs="Times New Roman"/>
          <w:kern w:val="2"/>
          <w:sz w:val="30"/>
          <w:szCs w:val="30"/>
          <w:highlight w:val="none"/>
          <w:shd w:val="clear"/>
          <w:lang w:val="en-US" w:eastAsia="zh-CN" w:bidi="ar-SA"/>
        </w:rPr>
        <w:t>；</w:t>
      </w:r>
      <w:r>
        <w:rPr>
          <w:rFonts w:hint="eastAsia" w:ascii="Times New Roman" w:hAnsi="Times New Roman" w:cs="Times New Roman"/>
          <w:kern w:val="2"/>
          <w:sz w:val="30"/>
          <w:szCs w:val="30"/>
          <w:highlight w:val="none"/>
          <w:shd w:val="clear"/>
          <w:lang w:val="en-US" w:eastAsia="zh-CN" w:bidi="ar-SA"/>
        </w:rPr>
        <w:t>三是部分区域在“四害”密度监测与标准要求有一定差距，存在着重点单位、一般单位数量不够，在选择布粉块点上不科学、不合理现象。未达到</w:t>
      </w:r>
      <w:r>
        <w:rPr>
          <w:rFonts w:hint="default" w:ascii="Times New Roman" w:hAnsi="Times New Roman" w:cs="Times New Roman"/>
          <w:kern w:val="2"/>
          <w:sz w:val="30"/>
          <w:szCs w:val="30"/>
          <w:highlight w:val="none"/>
          <w:shd w:val="clear"/>
          <w:lang w:val="en-US" w:eastAsia="zh-CN" w:bidi="ar-SA"/>
        </w:rPr>
        <w:t>国家C级要求</w:t>
      </w:r>
      <w:r>
        <w:rPr>
          <w:rFonts w:hint="eastAsia" w:ascii="Times New Roman" w:hAnsi="Times New Roman" w:cs="Times New Roman"/>
          <w:kern w:val="2"/>
          <w:sz w:val="30"/>
          <w:szCs w:val="30"/>
          <w:highlight w:val="none"/>
          <w:shd w:val="clear"/>
          <w:lang w:val="en-US" w:eastAsia="zh-CN" w:bidi="ar-SA"/>
        </w:rPr>
        <w:t>。</w:t>
      </w:r>
      <w:r>
        <w:rPr>
          <w:rFonts w:hint="default" w:ascii="Times New Roman" w:hAnsi="Times New Roman" w:cs="Times New Roman"/>
          <w:szCs w:val="30"/>
          <w:highlight w:val="none"/>
          <w:lang w:val="en-US" w:eastAsia="zh-CN"/>
        </w:rPr>
        <w:t>因此，指标分值</w:t>
      </w:r>
      <w:r>
        <w:rPr>
          <w:rFonts w:hint="eastAsia" w:ascii="Times New Roman" w:cs="Times New Roman"/>
          <w:szCs w:val="30"/>
          <w:highlight w:val="none"/>
          <w:lang w:val="en-US" w:eastAsia="zh-CN"/>
        </w:rPr>
        <w:t>5</w:t>
      </w:r>
      <w:r>
        <w:rPr>
          <w:rFonts w:hint="default" w:ascii="Times New Roman" w:hAnsi="Times New Roman" w:cs="Times New Roman"/>
          <w:szCs w:val="30"/>
          <w:highlight w:val="none"/>
          <w:lang w:val="en-US" w:eastAsia="zh-CN"/>
        </w:rPr>
        <w:t>分，评价得分</w:t>
      </w:r>
      <w:r>
        <w:rPr>
          <w:rFonts w:hint="eastAsia" w:ascii="Times New Roman" w:cs="Times New Roman"/>
          <w:szCs w:val="30"/>
          <w:highlight w:val="none"/>
          <w:lang w:val="en-US" w:eastAsia="zh-CN"/>
        </w:rPr>
        <w:t>0</w:t>
      </w:r>
      <w:r>
        <w:rPr>
          <w:rFonts w:hint="default" w:ascii="Times New Roman" w:hAnsi="Times New Roman" w:cs="Times New Roman"/>
          <w:szCs w:val="30"/>
          <w:highlight w:val="none"/>
          <w:lang w:val="en-US" w:eastAsia="zh-CN"/>
        </w:rPr>
        <w:t>分</w:t>
      </w:r>
      <w:r>
        <w:rPr>
          <w:rFonts w:hint="default" w:ascii="Times New Roman" w:hAnsi="Times New Roman" w:eastAsia="仿宋" w:cs="Times New Roman"/>
          <w:kern w:val="2"/>
          <w:sz w:val="30"/>
          <w:szCs w:val="30"/>
          <w:highlight w:val="none"/>
          <w:lang w:val="en-US" w:eastAsia="zh-CN" w:bidi="ar-SA"/>
        </w:rPr>
        <w:t>。</w:t>
      </w:r>
    </w:p>
    <w:p w14:paraId="4A201A28">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w:t>
      </w:r>
      <w:r>
        <w:rPr>
          <w:rFonts w:hint="eastAsia" w:ascii="Times New Roman" w:cs="Times New Roman"/>
          <w:kern w:val="2"/>
          <w:sz w:val="30"/>
          <w:szCs w:val="30"/>
          <w:highlight w:val="none"/>
          <w:lang w:val="en-US" w:eastAsia="zh-CN" w:bidi="ar-SA"/>
        </w:rPr>
        <w:t>3</w:t>
      </w:r>
      <w:r>
        <w:rPr>
          <w:rFonts w:hint="default" w:ascii="Times New Roman" w:hAnsi="Times New Roman" w:eastAsia="仿宋" w:cs="Times New Roman"/>
          <w:kern w:val="2"/>
          <w:sz w:val="30"/>
          <w:szCs w:val="30"/>
          <w:highlight w:val="none"/>
          <w:lang w:val="en-US" w:eastAsia="zh-CN" w:bidi="ar-SA"/>
        </w:rPr>
        <w:t>）问题整改率</w:t>
      </w:r>
    </w:p>
    <w:p w14:paraId="75D561F7">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eastAsia" w:ascii="Times New Roman" w:cs="Times New Roman"/>
          <w:szCs w:val="30"/>
          <w:highlight w:val="none"/>
          <w:lang w:val="en-US" w:eastAsia="zh-CN"/>
        </w:rPr>
        <w:t>根据项目材料</w:t>
      </w:r>
      <w:r>
        <w:rPr>
          <w:rFonts w:hint="default" w:ascii="Times New Roman" w:hAnsi="Times New Roman" w:cs="Times New Roman"/>
          <w:szCs w:val="30"/>
          <w:highlight w:val="none"/>
          <w:lang w:val="en-US" w:eastAsia="zh-CN"/>
        </w:rPr>
        <w:t>，2023年5月4日，</w:t>
      </w:r>
      <w:r>
        <w:rPr>
          <w:rFonts w:hint="eastAsia" w:ascii="Times New Roman" w:cs="Times New Roman"/>
          <w:szCs w:val="30"/>
          <w:highlight w:val="none"/>
          <w:lang w:val="en-US" w:eastAsia="zh-CN"/>
        </w:rPr>
        <w:t>在与</w:t>
      </w:r>
      <w:r>
        <w:rPr>
          <w:rFonts w:hint="default" w:ascii="Times New Roman" w:hAnsi="Times New Roman" w:cs="Times New Roman"/>
          <w:szCs w:val="30"/>
          <w:highlight w:val="none"/>
          <w:lang w:val="en-US" w:eastAsia="zh-CN"/>
        </w:rPr>
        <w:t>安宁市交叉</w:t>
      </w:r>
      <w:r>
        <w:rPr>
          <w:rFonts w:hint="eastAsia" w:ascii="Times New Roman" w:cs="Times New Roman"/>
          <w:szCs w:val="30"/>
          <w:highlight w:val="none"/>
          <w:lang w:val="en-US" w:eastAsia="zh-CN"/>
        </w:rPr>
        <w:t>检查</w:t>
      </w:r>
      <w:r>
        <w:rPr>
          <w:rFonts w:hint="default" w:ascii="Times New Roman" w:hAnsi="Times New Roman" w:cs="Times New Roman"/>
          <w:szCs w:val="30"/>
          <w:highlight w:val="none"/>
          <w:lang w:val="en-US" w:eastAsia="zh-CN"/>
        </w:rPr>
        <w:t>过程中，共发现西山区需整改问题77项，目前77项已全部整改完毕。因此，指标分值</w:t>
      </w:r>
      <w:r>
        <w:rPr>
          <w:rFonts w:hint="eastAsia" w:ascii="Times New Roman" w:cs="Times New Roman"/>
          <w:szCs w:val="30"/>
          <w:highlight w:val="none"/>
          <w:lang w:val="en-US" w:eastAsia="zh-CN"/>
        </w:rPr>
        <w:t>8</w:t>
      </w:r>
      <w:r>
        <w:rPr>
          <w:rFonts w:hint="default" w:ascii="Times New Roman" w:hAnsi="Times New Roman" w:cs="Times New Roman"/>
          <w:szCs w:val="30"/>
          <w:highlight w:val="none"/>
          <w:lang w:val="en-US" w:eastAsia="zh-CN"/>
        </w:rPr>
        <w:t>分，评价得分</w:t>
      </w:r>
      <w:r>
        <w:rPr>
          <w:rFonts w:hint="eastAsia" w:ascii="Times New Roman" w:cs="Times New Roman"/>
          <w:szCs w:val="30"/>
          <w:highlight w:val="none"/>
          <w:lang w:val="en-US" w:eastAsia="zh-CN"/>
        </w:rPr>
        <w:t>8</w:t>
      </w:r>
      <w:r>
        <w:rPr>
          <w:rFonts w:hint="default" w:ascii="Times New Roman" w:hAnsi="Times New Roman" w:cs="Times New Roman"/>
          <w:szCs w:val="30"/>
          <w:highlight w:val="none"/>
          <w:lang w:val="en-US" w:eastAsia="zh-CN"/>
        </w:rPr>
        <w:t>分</w:t>
      </w:r>
      <w:r>
        <w:rPr>
          <w:rFonts w:hint="default" w:ascii="Times New Roman" w:hAnsi="Times New Roman" w:eastAsia="仿宋" w:cs="Times New Roman"/>
          <w:kern w:val="2"/>
          <w:sz w:val="30"/>
          <w:szCs w:val="30"/>
          <w:highlight w:val="none"/>
          <w:lang w:val="en-US" w:eastAsia="zh-CN" w:bidi="ar-SA"/>
        </w:rPr>
        <w:t>。</w:t>
      </w:r>
    </w:p>
    <w:p w14:paraId="15075386">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3.满意度</w:t>
      </w:r>
    </w:p>
    <w:p w14:paraId="0BBF9EFD">
      <w:pPr>
        <w:keepNext w:val="0"/>
        <w:keepLines w:val="0"/>
        <w:pageBreakBefore w:val="0"/>
        <w:widowControl w:val="0"/>
        <w:shd w:val="clear"/>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kern w:val="2"/>
          <w:sz w:val="30"/>
          <w:szCs w:val="30"/>
          <w:highlight w:val="none"/>
          <w:lang w:val="en-US" w:eastAsia="zh-CN" w:bidi="ar-SA"/>
        </w:rPr>
      </w:pPr>
      <w:r>
        <w:rPr>
          <w:rFonts w:hint="eastAsia" w:ascii="Times New Roman" w:cs="Times New Roman"/>
          <w:kern w:val="2"/>
          <w:sz w:val="30"/>
          <w:szCs w:val="30"/>
          <w:highlight w:val="none"/>
          <w:lang w:val="en-US" w:eastAsia="zh-CN" w:bidi="ar-SA"/>
        </w:rPr>
        <w:t>（1）</w:t>
      </w:r>
      <w:r>
        <w:rPr>
          <w:rFonts w:hint="default" w:ascii="Times New Roman" w:hAnsi="Times New Roman" w:cs="Times New Roman"/>
          <w:kern w:val="2"/>
          <w:sz w:val="30"/>
          <w:szCs w:val="30"/>
          <w:highlight w:val="none"/>
          <w:lang w:val="en-US" w:eastAsia="zh-CN" w:bidi="ar-SA"/>
        </w:rPr>
        <w:t>项目管理人员满意度</w:t>
      </w:r>
    </w:p>
    <w:p w14:paraId="7906DB0B">
      <w:pPr>
        <w:keepNext w:val="0"/>
        <w:keepLines w:val="0"/>
        <w:pageBreakBefore w:val="0"/>
        <w:widowControl w:val="0"/>
        <w:shd w:val="clear"/>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本次发放电子问卷</w:t>
      </w:r>
      <w:r>
        <w:rPr>
          <w:rFonts w:hint="eastAsia" w:ascii="Times New Roman" w:cs="Times New Roman"/>
          <w:kern w:val="2"/>
          <w:sz w:val="30"/>
          <w:szCs w:val="30"/>
          <w:highlight w:val="none"/>
          <w:lang w:val="en-US" w:eastAsia="zh-CN" w:bidi="ar-SA"/>
        </w:rPr>
        <w:t>，共</w:t>
      </w:r>
      <w:r>
        <w:rPr>
          <w:rFonts w:hint="default" w:ascii="Times New Roman" w:hAnsi="Times New Roman" w:cs="Times New Roman"/>
          <w:kern w:val="2"/>
          <w:sz w:val="30"/>
          <w:szCs w:val="30"/>
          <w:highlight w:val="none"/>
          <w:lang w:val="en-US" w:eastAsia="zh-CN" w:bidi="ar-SA"/>
        </w:rPr>
        <w:t>回收有效问卷</w:t>
      </w:r>
      <w:r>
        <w:rPr>
          <w:rFonts w:hint="eastAsia" w:ascii="Times New Roman" w:cs="Times New Roman"/>
          <w:kern w:val="2"/>
          <w:sz w:val="30"/>
          <w:szCs w:val="30"/>
          <w:highlight w:val="none"/>
          <w:lang w:val="en-US" w:eastAsia="zh-CN" w:bidi="ar-SA"/>
        </w:rPr>
        <w:t>13</w:t>
      </w:r>
      <w:r>
        <w:rPr>
          <w:rFonts w:hint="default" w:ascii="Times New Roman" w:hAnsi="Times New Roman" w:cs="Times New Roman"/>
          <w:kern w:val="2"/>
          <w:sz w:val="30"/>
          <w:szCs w:val="30"/>
          <w:highlight w:val="none"/>
          <w:lang w:val="en-US" w:eastAsia="zh-CN" w:bidi="ar-SA"/>
        </w:rPr>
        <w:t>份，经项目组统计计算，受益对象满意度为</w:t>
      </w:r>
      <w:r>
        <w:rPr>
          <w:rFonts w:hint="eastAsia" w:ascii="Times New Roman" w:cs="Times New Roman"/>
          <w:kern w:val="2"/>
          <w:sz w:val="30"/>
          <w:szCs w:val="30"/>
          <w:highlight w:val="none"/>
          <w:lang w:val="en-US" w:eastAsia="zh-CN" w:bidi="ar-SA"/>
        </w:rPr>
        <w:t>100</w:t>
      </w:r>
      <w:r>
        <w:rPr>
          <w:rFonts w:hint="default" w:ascii="Times New Roman" w:hAnsi="Times New Roman" w:cs="Times New Roman"/>
          <w:kern w:val="2"/>
          <w:sz w:val="30"/>
          <w:szCs w:val="30"/>
          <w:highlight w:val="none"/>
          <w:lang w:val="en-US" w:eastAsia="zh-CN" w:bidi="ar-SA"/>
        </w:rPr>
        <w:t>%</w:t>
      </w:r>
      <w:r>
        <w:rPr>
          <w:rFonts w:hint="eastAsia" w:ascii="Times New Roman" w:cs="Times New Roman"/>
          <w:kern w:val="2"/>
          <w:sz w:val="30"/>
          <w:szCs w:val="30"/>
          <w:highlight w:val="none"/>
          <w:lang w:val="en-US" w:eastAsia="zh-CN" w:bidi="ar-SA"/>
        </w:rPr>
        <w:t>。</w:t>
      </w:r>
      <w:r>
        <w:rPr>
          <w:rFonts w:hint="default" w:ascii="Times New Roman" w:hAnsi="Times New Roman" w:cs="Times New Roman"/>
          <w:kern w:val="2"/>
          <w:sz w:val="30"/>
          <w:szCs w:val="30"/>
          <w:highlight w:val="none"/>
          <w:lang w:val="en-US" w:eastAsia="zh-CN" w:bidi="ar-SA"/>
        </w:rPr>
        <w:t>因此，</w:t>
      </w:r>
      <w:r>
        <w:rPr>
          <w:rFonts w:hint="default" w:ascii="Times New Roman" w:hAnsi="Times New Roman" w:eastAsia="仿宋" w:cs="Times New Roman"/>
          <w:kern w:val="2"/>
          <w:sz w:val="30"/>
          <w:szCs w:val="30"/>
          <w:highlight w:val="none"/>
          <w:lang w:val="en-US" w:eastAsia="zh-CN" w:bidi="ar-SA"/>
        </w:rPr>
        <w:t>指标分值</w:t>
      </w:r>
      <w:r>
        <w:rPr>
          <w:rFonts w:hint="eastAsia" w:ascii="Times New Roman" w:cs="Times New Roman"/>
          <w:kern w:val="2"/>
          <w:sz w:val="30"/>
          <w:szCs w:val="30"/>
          <w:highlight w:val="none"/>
          <w:lang w:val="en-US" w:eastAsia="zh-CN" w:bidi="ar-SA"/>
        </w:rPr>
        <w:t>5</w:t>
      </w:r>
      <w:r>
        <w:rPr>
          <w:rFonts w:hint="default" w:ascii="Times New Roman" w:hAnsi="Times New Roman" w:eastAsia="仿宋" w:cs="Times New Roman"/>
          <w:kern w:val="2"/>
          <w:sz w:val="30"/>
          <w:szCs w:val="30"/>
          <w:highlight w:val="none"/>
          <w:lang w:val="en-US" w:eastAsia="zh-CN" w:bidi="ar-SA"/>
        </w:rPr>
        <w:t>分，评价得分</w:t>
      </w:r>
      <w:r>
        <w:rPr>
          <w:rFonts w:hint="eastAsia" w:ascii="Times New Roman" w:cs="Times New Roman"/>
          <w:kern w:val="2"/>
          <w:sz w:val="30"/>
          <w:szCs w:val="30"/>
          <w:highlight w:val="none"/>
          <w:lang w:val="en-US" w:eastAsia="zh-CN" w:bidi="ar-SA"/>
        </w:rPr>
        <w:t>5</w:t>
      </w:r>
      <w:r>
        <w:rPr>
          <w:rFonts w:hint="default" w:ascii="Times New Roman" w:hAnsi="Times New Roman" w:eastAsia="仿宋" w:cs="Times New Roman"/>
          <w:kern w:val="2"/>
          <w:sz w:val="30"/>
          <w:szCs w:val="30"/>
          <w:highlight w:val="none"/>
          <w:lang w:val="en-US" w:eastAsia="zh-CN" w:bidi="ar-SA"/>
        </w:rPr>
        <w:t>分。</w:t>
      </w:r>
    </w:p>
    <w:p w14:paraId="083409AE">
      <w:pPr>
        <w:keepNext w:val="0"/>
        <w:keepLines w:val="0"/>
        <w:pageBreakBefore w:val="0"/>
        <w:widowControl w:val="0"/>
        <w:numPr>
          <w:ilvl w:val="0"/>
          <w:numId w:val="2"/>
        </w:numPr>
        <w:shd w:val="clear"/>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人民群众满意度</w:t>
      </w:r>
    </w:p>
    <w:p w14:paraId="21665780">
      <w:pPr>
        <w:keepNext w:val="0"/>
        <w:keepLines w:val="0"/>
        <w:pageBreakBefore w:val="0"/>
        <w:widowControl w:val="0"/>
        <w:numPr>
          <w:ilvl w:val="0"/>
          <w:numId w:val="0"/>
        </w:numPr>
        <w:shd w:val="clear"/>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本次发放电子问卷</w:t>
      </w:r>
      <w:r>
        <w:rPr>
          <w:rFonts w:hint="eastAsia" w:ascii="Times New Roman" w:cs="Times New Roman"/>
          <w:kern w:val="2"/>
          <w:sz w:val="30"/>
          <w:szCs w:val="30"/>
          <w:highlight w:val="none"/>
          <w:lang w:val="en-US" w:eastAsia="zh-CN" w:bidi="ar-SA"/>
        </w:rPr>
        <w:t>，共</w:t>
      </w:r>
      <w:r>
        <w:rPr>
          <w:rFonts w:hint="default" w:ascii="Times New Roman" w:hAnsi="Times New Roman" w:cs="Times New Roman"/>
          <w:kern w:val="2"/>
          <w:sz w:val="30"/>
          <w:szCs w:val="30"/>
          <w:highlight w:val="none"/>
          <w:lang w:val="en-US" w:eastAsia="zh-CN" w:bidi="ar-SA"/>
        </w:rPr>
        <w:t>回收有效问卷</w:t>
      </w:r>
      <w:r>
        <w:rPr>
          <w:rFonts w:hint="eastAsia" w:ascii="Times New Roman" w:cs="Times New Roman"/>
          <w:kern w:val="2"/>
          <w:sz w:val="30"/>
          <w:szCs w:val="30"/>
          <w:highlight w:val="none"/>
          <w:lang w:val="en-US" w:eastAsia="zh-CN" w:bidi="ar-SA"/>
        </w:rPr>
        <w:t>179</w:t>
      </w:r>
      <w:r>
        <w:rPr>
          <w:rFonts w:hint="default" w:ascii="Times New Roman" w:hAnsi="Times New Roman" w:cs="Times New Roman"/>
          <w:kern w:val="2"/>
          <w:sz w:val="30"/>
          <w:szCs w:val="30"/>
          <w:highlight w:val="none"/>
          <w:lang w:val="en-US" w:eastAsia="zh-CN" w:bidi="ar-SA"/>
        </w:rPr>
        <w:t>份，经项目组统计计算，受益对象满意度为</w:t>
      </w:r>
      <w:r>
        <w:rPr>
          <w:rFonts w:hint="eastAsia" w:ascii="Times New Roman" w:cs="Times New Roman"/>
          <w:kern w:val="2"/>
          <w:sz w:val="30"/>
          <w:szCs w:val="30"/>
          <w:highlight w:val="none"/>
          <w:lang w:val="en-US" w:eastAsia="zh-CN" w:bidi="ar-SA"/>
        </w:rPr>
        <w:t>92</w:t>
      </w:r>
      <w:r>
        <w:rPr>
          <w:rFonts w:hint="default" w:ascii="Times New Roman" w:hAnsi="Times New Roman" w:cs="Times New Roman"/>
          <w:kern w:val="2"/>
          <w:sz w:val="30"/>
          <w:szCs w:val="30"/>
          <w:highlight w:val="none"/>
          <w:lang w:val="en-US" w:eastAsia="zh-CN" w:bidi="ar-SA"/>
        </w:rPr>
        <w:t>%</w:t>
      </w:r>
      <w:r>
        <w:rPr>
          <w:rFonts w:hint="eastAsia" w:ascii="Times New Roman" w:cs="Times New Roman"/>
          <w:kern w:val="2"/>
          <w:sz w:val="30"/>
          <w:szCs w:val="30"/>
          <w:highlight w:val="none"/>
          <w:lang w:val="en-US" w:eastAsia="zh-CN" w:bidi="ar-SA"/>
        </w:rPr>
        <w:t>。</w:t>
      </w:r>
      <w:r>
        <w:rPr>
          <w:rFonts w:hint="default" w:ascii="Times New Roman" w:hAnsi="Times New Roman" w:cs="Times New Roman"/>
          <w:kern w:val="2"/>
          <w:sz w:val="30"/>
          <w:szCs w:val="30"/>
          <w:highlight w:val="none"/>
          <w:lang w:val="en-US" w:eastAsia="zh-CN" w:bidi="ar-SA"/>
        </w:rPr>
        <w:t>因此，</w:t>
      </w:r>
      <w:r>
        <w:rPr>
          <w:rFonts w:hint="default" w:ascii="Times New Roman" w:hAnsi="Times New Roman" w:eastAsia="仿宋" w:cs="Times New Roman"/>
          <w:kern w:val="2"/>
          <w:sz w:val="30"/>
          <w:szCs w:val="30"/>
          <w:highlight w:val="none"/>
          <w:lang w:val="en-US" w:eastAsia="zh-CN" w:bidi="ar-SA"/>
        </w:rPr>
        <w:t>指标分值</w:t>
      </w:r>
      <w:r>
        <w:rPr>
          <w:rFonts w:hint="eastAsia" w:ascii="Times New Roman" w:cs="Times New Roman"/>
          <w:kern w:val="2"/>
          <w:sz w:val="30"/>
          <w:szCs w:val="30"/>
          <w:highlight w:val="none"/>
          <w:lang w:val="en-US" w:eastAsia="zh-CN" w:bidi="ar-SA"/>
        </w:rPr>
        <w:t>5</w:t>
      </w:r>
      <w:r>
        <w:rPr>
          <w:rFonts w:hint="default" w:ascii="Times New Roman" w:hAnsi="Times New Roman" w:eastAsia="仿宋" w:cs="Times New Roman"/>
          <w:kern w:val="2"/>
          <w:sz w:val="30"/>
          <w:szCs w:val="30"/>
          <w:highlight w:val="none"/>
          <w:lang w:val="en-US" w:eastAsia="zh-CN" w:bidi="ar-SA"/>
        </w:rPr>
        <w:t>分，评价得分</w:t>
      </w:r>
      <w:r>
        <w:rPr>
          <w:rFonts w:hint="eastAsia" w:ascii="Times New Roman" w:cs="Times New Roman"/>
          <w:kern w:val="2"/>
          <w:sz w:val="30"/>
          <w:szCs w:val="30"/>
          <w:highlight w:val="none"/>
          <w:lang w:val="en-US" w:eastAsia="zh-CN" w:bidi="ar-SA"/>
        </w:rPr>
        <w:t>5</w:t>
      </w:r>
      <w:r>
        <w:rPr>
          <w:rFonts w:hint="default" w:ascii="Times New Roman" w:hAnsi="Times New Roman" w:eastAsia="仿宋" w:cs="Times New Roman"/>
          <w:kern w:val="2"/>
          <w:sz w:val="30"/>
          <w:szCs w:val="30"/>
          <w:highlight w:val="none"/>
          <w:lang w:val="en-US" w:eastAsia="zh-CN" w:bidi="ar-SA"/>
        </w:rPr>
        <w:t>分。</w:t>
      </w:r>
    </w:p>
    <w:p w14:paraId="2AFB3695">
      <w:pPr>
        <w:pStyle w:val="31"/>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rPr>
          <w:rFonts w:hint="default" w:ascii="Times New Roman" w:hAnsi="Times New Roman" w:cs="Times New Roman"/>
          <w:lang w:val="en-US" w:eastAsia="zh-CN"/>
        </w:rPr>
      </w:pPr>
      <w:r>
        <w:rPr>
          <w:rFonts w:hint="eastAsia" w:ascii="Times New Roman" w:cs="Times New Roman"/>
          <w:lang w:val="en-US" w:eastAsia="zh-CN"/>
        </w:rPr>
        <w:t xml:space="preserve"> </w:t>
      </w:r>
      <w:r>
        <w:rPr>
          <w:rFonts w:hint="eastAsia" w:ascii="Times New Roman" w:cs="Times New Roman"/>
          <w:lang w:val="en-US" w:eastAsia="zh-CN"/>
        </w:rPr>
        <w:tab/>
      </w:r>
      <w:bookmarkStart w:id="72" w:name="_Toc26787"/>
      <w:bookmarkStart w:id="73" w:name="_Toc6904"/>
      <w:r>
        <w:rPr>
          <w:rFonts w:hint="default" w:ascii="Times New Roman" w:hAnsi="Times New Roman" w:cs="Times New Roman"/>
          <w:lang w:val="en-US" w:eastAsia="zh-CN"/>
        </w:rPr>
        <w:t>五、</w:t>
      </w:r>
      <w:bookmarkEnd w:id="72"/>
      <w:bookmarkStart w:id="74" w:name="_Toc5321"/>
      <w:r>
        <w:rPr>
          <w:rFonts w:hint="default" w:ascii="Times New Roman" w:hAnsi="Times New Roman" w:cs="Times New Roman"/>
          <w:lang w:val="en-US" w:eastAsia="zh-CN"/>
        </w:rPr>
        <w:t>存在问题及原因分析</w:t>
      </w:r>
      <w:bookmarkEnd w:id="73"/>
      <w:bookmarkEnd w:id="74"/>
    </w:p>
    <w:p w14:paraId="12EB6188">
      <w:pPr>
        <w:pStyle w:val="32"/>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75" w:name="_Toc17755"/>
      <w:bookmarkStart w:id="76" w:name="_Toc10173"/>
      <w:bookmarkStart w:id="77" w:name="_Toc20204"/>
      <w:r>
        <w:rPr>
          <w:rFonts w:hint="default" w:ascii="Times New Roman" w:hAnsi="Times New Roman" w:cs="Times New Roman"/>
          <w:lang w:val="en-US" w:eastAsia="zh-CN"/>
        </w:rPr>
        <w:t>（一）绩效</w:t>
      </w:r>
      <w:bookmarkEnd w:id="75"/>
      <w:r>
        <w:rPr>
          <w:rFonts w:hint="eastAsia" w:cs="Times New Roman"/>
          <w:lang w:val="en-US" w:eastAsia="zh-CN"/>
        </w:rPr>
        <w:t>目标编制不准确，绩效管理有待加强</w:t>
      </w:r>
      <w:bookmarkEnd w:id="76"/>
      <w:bookmarkEnd w:id="77"/>
    </w:p>
    <w:p w14:paraId="0324C5B8">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eastAsia" w:ascii="Times New Roman" w:cs="Times New Roman"/>
          <w:kern w:val="2"/>
          <w:sz w:val="30"/>
          <w:szCs w:val="30"/>
          <w:highlight w:val="none"/>
          <w:lang w:val="en-US" w:eastAsia="zh-CN" w:bidi="ar-SA"/>
        </w:rPr>
      </w:pPr>
      <w:r>
        <w:rPr>
          <w:rFonts w:hint="eastAsia" w:ascii="Times New Roman" w:cs="Times New Roman"/>
          <w:kern w:val="2"/>
          <w:sz w:val="30"/>
          <w:szCs w:val="30"/>
          <w:highlight w:val="none"/>
          <w:lang w:val="en-US" w:eastAsia="zh-CN" w:bidi="ar-SA"/>
        </w:rPr>
        <w:t>个别指标编制不够准确，如数量指标中的“开展“绿城市、治污染、除四害、食安心、勤锻炼、管慢病、家健康”行动，推动全生命周期健康管理理念贯穿城市规划、建设、管理全过程各环节，将健康融入所有政策”、“聚焦营造健康环境、构建健康社会、优化健康服务、培育健康人群、弘扬健康文化，培育和践行社会主义核心价值观，传承中华优秀传统文化，开展“绿城市、治污染、除四害、食安心、勤锻炼、管慢病、家健康”行动制作宣传品及宣传报道”等指标名称冗长，指向不明确；服务对象满意度指标中的“推动全生命周期健康管理理念贯穿城市规划、建设、管理全过程各环节，影响居民健康的主要因素得到有效控制，社会健康综合治理能力全面提高，培育先进典型，发挥示范引领作用。充分发挥基层组织作用，广泛动员社会力量和人民群众，营造全民知晓、全民支持、全民参与、共建共享的社会氛围。”也存在此类问题。</w:t>
      </w:r>
    </w:p>
    <w:p w14:paraId="3409D35B">
      <w:pPr>
        <w:pStyle w:val="32"/>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78" w:name="_Toc19873"/>
      <w:r>
        <w:rPr>
          <w:rFonts w:hint="default" w:ascii="Times New Roman" w:hAnsi="Times New Roman" w:cs="Times New Roman"/>
          <w:lang w:val="en-US" w:eastAsia="zh-CN"/>
        </w:rPr>
        <w:t>（</w:t>
      </w:r>
      <w:r>
        <w:rPr>
          <w:rFonts w:hint="eastAsia" w:ascii="Times New Roman" w:hAnsi="Times New Roman" w:cs="Times New Roman"/>
          <w:lang w:val="en-US" w:eastAsia="zh-CN"/>
        </w:rPr>
        <w:t>二</w:t>
      </w:r>
      <w:r>
        <w:rPr>
          <w:rFonts w:hint="default" w:ascii="Times New Roman" w:hAnsi="Times New Roman" w:cs="Times New Roman"/>
          <w:lang w:val="en-US" w:eastAsia="zh-CN"/>
        </w:rPr>
        <w:t>）</w:t>
      </w:r>
      <w:r>
        <w:rPr>
          <w:rFonts w:hint="eastAsia" w:ascii="Times New Roman" w:hAnsi="Times New Roman" w:cs="Times New Roman"/>
          <w:lang w:val="en-US" w:eastAsia="zh-CN"/>
        </w:rPr>
        <w:t>合同签订不规范</w:t>
      </w:r>
      <w:r>
        <w:rPr>
          <w:rFonts w:hint="eastAsia" w:cs="Times New Roman"/>
          <w:lang w:val="en-US" w:eastAsia="zh-CN"/>
        </w:rPr>
        <w:t>，合同管理有待加强</w:t>
      </w:r>
      <w:bookmarkEnd w:id="78"/>
    </w:p>
    <w:p w14:paraId="3FBBAE84">
      <w:pPr>
        <w:pStyle w:val="51"/>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b w:val="0"/>
          <w:bCs w:val="0"/>
          <w:color w:val="auto"/>
          <w:kern w:val="2"/>
          <w:sz w:val="30"/>
          <w:szCs w:val="30"/>
          <w:highlight w:val="none"/>
          <w:lang w:val="en-US" w:eastAsia="zh-CN" w:bidi="ar-SA"/>
        </w:rPr>
      </w:pPr>
      <w:r>
        <w:rPr>
          <w:rFonts w:hint="default" w:ascii="Times New Roman" w:hAnsi="Times New Roman" w:eastAsia="仿宋" w:cs="Times New Roman"/>
          <w:b w:val="0"/>
          <w:bCs w:val="0"/>
          <w:color w:val="auto"/>
          <w:kern w:val="2"/>
          <w:sz w:val="30"/>
          <w:szCs w:val="30"/>
          <w:highlight w:val="none"/>
          <w:lang w:val="en-US" w:eastAsia="zh-CN" w:bidi="ar-SA"/>
        </w:rPr>
        <w:t>项目组查阅了区卫健局的材料，发现个别工作执行不够规范，如昆明伏特电子技术有限公司签订的合同中，并未明确具体履行日期及验收日期；与昆明日报社签订的合作协议中，合作时限有误。</w:t>
      </w:r>
    </w:p>
    <w:p w14:paraId="3ED02412">
      <w:pPr>
        <w:pStyle w:val="31"/>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rPr>
          <w:rFonts w:hint="default" w:ascii="Times New Roman" w:hAnsi="Times New Roman" w:cs="Times New Roman"/>
          <w:lang w:val="en-US" w:eastAsia="zh-CN"/>
        </w:rPr>
      </w:pPr>
      <w:bookmarkStart w:id="79" w:name="_Toc8850"/>
      <w:bookmarkStart w:id="80" w:name="_Toc32355"/>
      <w:r>
        <w:rPr>
          <w:rFonts w:hint="eastAsia" w:ascii="Times New Roman" w:hAnsi="Times New Roman" w:cs="Times New Roman"/>
          <w:lang w:val="en-US" w:eastAsia="zh-CN"/>
        </w:rPr>
        <w:t>六</w:t>
      </w:r>
      <w:r>
        <w:rPr>
          <w:rFonts w:hint="default" w:ascii="Times New Roman" w:hAnsi="Times New Roman" w:cs="Times New Roman"/>
          <w:lang w:val="en-US" w:eastAsia="zh-CN"/>
        </w:rPr>
        <w:t>、建议</w:t>
      </w:r>
      <w:bookmarkEnd w:id="79"/>
      <w:bookmarkEnd w:id="80"/>
      <w:bookmarkStart w:id="81" w:name="_Toc4297"/>
    </w:p>
    <w:p w14:paraId="5D3A494B">
      <w:pPr>
        <w:pStyle w:val="32"/>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82" w:name="_Toc11370"/>
      <w:bookmarkStart w:id="83" w:name="_Toc3672"/>
      <w:r>
        <w:rPr>
          <w:rFonts w:hint="default" w:ascii="Times New Roman" w:hAnsi="Times New Roman" w:cs="Times New Roman"/>
          <w:lang w:val="en-US" w:eastAsia="zh-CN"/>
        </w:rPr>
        <w:t>（</w:t>
      </w:r>
      <w:r>
        <w:rPr>
          <w:rFonts w:hint="eastAsia" w:ascii="Times New Roman" w:hAnsi="Times New Roman" w:cs="Times New Roman"/>
          <w:lang w:val="en-US" w:eastAsia="zh-CN"/>
        </w:rPr>
        <w:t>一</w:t>
      </w:r>
      <w:r>
        <w:rPr>
          <w:rFonts w:hint="default" w:ascii="Times New Roman" w:hAnsi="Times New Roman" w:cs="Times New Roman"/>
          <w:lang w:val="en-US" w:eastAsia="zh-CN"/>
        </w:rPr>
        <w:t>）</w:t>
      </w:r>
      <w:r>
        <w:rPr>
          <w:rFonts w:hint="eastAsia" w:ascii="Times New Roman" w:hAnsi="Times New Roman" w:cs="Times New Roman"/>
          <w:lang w:val="en-US" w:eastAsia="zh-CN"/>
        </w:rPr>
        <w:t>加强绩效管理工作</w:t>
      </w:r>
      <w:r>
        <w:rPr>
          <w:rFonts w:hint="default" w:ascii="Times New Roman" w:hAnsi="Times New Roman" w:cs="Times New Roman"/>
          <w:lang w:val="en-US" w:eastAsia="zh-CN"/>
        </w:rPr>
        <w:t>，提升单位绩效意识</w:t>
      </w:r>
      <w:bookmarkEnd w:id="81"/>
      <w:bookmarkEnd w:id="82"/>
      <w:bookmarkEnd w:id="83"/>
    </w:p>
    <w:p w14:paraId="714CE10D">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cs="Times New Roman"/>
          <w:szCs w:val="30"/>
          <w:lang w:val="en-US" w:eastAsia="zh-CN"/>
        </w:rPr>
      </w:pPr>
      <w:r>
        <w:rPr>
          <w:rFonts w:hint="default" w:ascii="Times New Roman" w:hAnsi="Times New Roman" w:cs="Times New Roman"/>
          <w:szCs w:val="30"/>
          <w:lang w:val="en-US" w:eastAsia="zh-CN"/>
        </w:rPr>
        <w:t>建议</w:t>
      </w:r>
      <w:r>
        <w:rPr>
          <w:rFonts w:hint="eastAsia" w:ascii="Times New Roman" w:cs="Times New Roman"/>
          <w:szCs w:val="30"/>
          <w:lang w:val="en-US" w:eastAsia="zh-CN"/>
        </w:rPr>
        <w:t>区卫健局按照</w:t>
      </w:r>
      <w:r>
        <w:rPr>
          <w:rFonts w:hint="default" w:ascii="Times New Roman" w:hAnsi="Times New Roman" w:eastAsia="仿宋" w:cs="Times New Roman"/>
          <w:kern w:val="2"/>
          <w:sz w:val="30"/>
          <w:szCs w:val="30"/>
          <w:lang w:val="en-US" w:eastAsia="zh-CN" w:bidi="ar-SA"/>
        </w:rPr>
        <w:t>国家、省</w:t>
      </w:r>
      <w:r>
        <w:rPr>
          <w:rFonts w:hint="eastAsia" w:ascii="Times New Roman" w:cs="Times New Roman"/>
          <w:kern w:val="2"/>
          <w:sz w:val="30"/>
          <w:szCs w:val="30"/>
          <w:lang w:val="en-US" w:eastAsia="zh-CN" w:bidi="ar-SA"/>
        </w:rPr>
        <w:t>、市、区</w:t>
      </w:r>
      <w:r>
        <w:rPr>
          <w:rFonts w:hint="eastAsia" w:ascii="Times New Roman" w:cs="Times New Roman"/>
          <w:szCs w:val="30"/>
          <w:lang w:val="en-US" w:eastAsia="zh-CN"/>
        </w:rPr>
        <w:t>绩效相关工作要求，严格编制绩效目标表</w:t>
      </w:r>
      <w:r>
        <w:rPr>
          <w:rFonts w:hint="default" w:ascii="Times New Roman" w:hAnsi="Times New Roman" w:cs="Times New Roman"/>
          <w:szCs w:val="30"/>
          <w:lang w:val="en-US" w:eastAsia="zh-CN"/>
        </w:rPr>
        <w:t>，确保后续指标评价的完整性及整体目标设置的合理性。</w:t>
      </w:r>
      <w:r>
        <w:rPr>
          <w:rFonts w:hint="eastAsia" w:ascii="Times New Roman" w:cs="Times New Roman"/>
          <w:szCs w:val="30"/>
          <w:lang w:val="en-US" w:eastAsia="zh-CN"/>
        </w:rPr>
        <w:t>对于本次项目，数量指标建议针对重点工作进行设置，如“培训工作完成率”、“宣传品制作完成数量”；</w:t>
      </w:r>
      <w:r>
        <w:rPr>
          <w:rFonts w:hint="eastAsia" w:ascii="Times New Roman" w:cs="Times New Roman"/>
          <w:kern w:val="2"/>
          <w:sz w:val="30"/>
          <w:szCs w:val="30"/>
          <w:highlight w:val="none"/>
          <w:lang w:val="en-US" w:eastAsia="zh-CN" w:bidi="ar-SA"/>
        </w:rPr>
        <w:t>服务对象满意度建议调整为“受益对象满意度”用于考核受益对象（周边居民）对项目实施的满意程度。</w:t>
      </w:r>
    </w:p>
    <w:p w14:paraId="21258C91">
      <w:pPr>
        <w:pStyle w:val="32"/>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84" w:name="_Toc4073"/>
      <w:r>
        <w:rPr>
          <w:rFonts w:hint="default" w:ascii="Times New Roman" w:hAnsi="Times New Roman" w:cs="Times New Roman"/>
          <w:lang w:val="en-US" w:eastAsia="zh-CN"/>
        </w:rPr>
        <w:t>（</w:t>
      </w:r>
      <w:r>
        <w:rPr>
          <w:rFonts w:hint="eastAsia" w:ascii="Times New Roman" w:hAnsi="Times New Roman" w:cs="Times New Roman"/>
          <w:lang w:val="en-US" w:eastAsia="zh-CN"/>
        </w:rPr>
        <w:t>二</w:t>
      </w:r>
      <w:r>
        <w:rPr>
          <w:rFonts w:hint="default" w:ascii="Times New Roman" w:hAnsi="Times New Roman" w:cs="Times New Roman"/>
          <w:lang w:val="en-US" w:eastAsia="zh-CN"/>
        </w:rPr>
        <w:t>）</w:t>
      </w:r>
      <w:r>
        <w:rPr>
          <w:rFonts w:hint="eastAsia" w:ascii="Times New Roman" w:hAnsi="Times New Roman" w:cs="Times New Roman"/>
          <w:lang w:val="en-US" w:eastAsia="zh-CN"/>
        </w:rPr>
        <w:t>加强合同审核流程</w:t>
      </w:r>
      <w:r>
        <w:rPr>
          <w:rFonts w:hint="default" w:ascii="Times New Roman" w:hAnsi="Times New Roman" w:cs="Times New Roman"/>
          <w:lang w:val="en-US" w:eastAsia="zh-CN"/>
        </w:rPr>
        <w:t>，</w:t>
      </w:r>
      <w:r>
        <w:rPr>
          <w:rFonts w:hint="eastAsia" w:ascii="Times New Roman" w:hAnsi="Times New Roman" w:cs="Times New Roman"/>
          <w:lang w:val="en-US" w:eastAsia="zh-CN"/>
        </w:rPr>
        <w:t>进一步提升合同约束力</w:t>
      </w:r>
      <w:bookmarkEnd w:id="84"/>
    </w:p>
    <w:p w14:paraId="616A7647">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黑体" w:cs="Times New Roman"/>
          <w:szCs w:val="30"/>
        </w:rPr>
      </w:pPr>
      <w:r>
        <w:rPr>
          <w:rFonts w:hint="eastAsia" w:ascii="Times New Roman" w:cs="Times New Roman"/>
          <w:szCs w:val="30"/>
          <w:lang w:val="en-US" w:eastAsia="zh-CN"/>
        </w:rPr>
        <w:t>建议区卫健局加强合同审核/审批流程，在签订流程中明确相应的约束条件，如时间/周期等，加强合同对第三方的约束力，进一步保障工作的总体质量。同时，应建立完善的合同管理制度，确保所有合同在签署前经过多层次审核，涵盖法律、财务和业务等各方面的专业意见。此外，建议定期对相关人员进行培训，以提高他们的合同管理能力和法律意识，从而减少因不规范操作导致的风险。</w:t>
      </w:r>
    </w:p>
    <w:p w14:paraId="69B5CE89">
      <w:pPr>
        <w:rPr>
          <w:rFonts w:hint="default" w:ascii="Times New Roman" w:hAnsi="Times New Roman" w:cs="Times New Roman"/>
          <w:b/>
          <w:bCs/>
          <w:szCs w:val="30"/>
        </w:rPr>
      </w:pPr>
      <w:bookmarkStart w:id="85" w:name="_Hlk525314575"/>
      <w:r>
        <w:rPr>
          <w:rFonts w:hint="default" w:ascii="Times New Roman" w:hAnsi="Times New Roman" w:cs="Times New Roman"/>
          <w:b/>
          <w:bCs/>
          <w:szCs w:val="30"/>
        </w:rPr>
        <w:br w:type="page"/>
      </w:r>
    </w:p>
    <w:p w14:paraId="5F324A44">
      <w:pPr>
        <w:spacing w:line="579" w:lineRule="exact"/>
        <w:ind w:firstLine="630" w:firstLineChars="200"/>
        <w:rPr>
          <w:rFonts w:hint="default" w:ascii="Times New Roman" w:hAnsi="Times New Roman" w:cs="Times New Roman"/>
          <w:b/>
          <w:bCs/>
          <w:szCs w:val="30"/>
        </w:rPr>
      </w:pPr>
      <w:r>
        <w:rPr>
          <w:rFonts w:hint="default" w:ascii="Times New Roman" w:hAnsi="Times New Roman" w:cs="Times New Roman"/>
          <w:b/>
          <w:bCs/>
          <w:szCs w:val="30"/>
        </w:rPr>
        <w:t>附件：</w:t>
      </w:r>
    </w:p>
    <w:p w14:paraId="3A257D34">
      <w:pPr>
        <w:spacing w:line="579" w:lineRule="exact"/>
        <w:ind w:firstLine="630" w:firstLineChars="200"/>
        <w:rPr>
          <w:rFonts w:hint="default" w:ascii="Times New Roman" w:hAnsi="Times New Roman" w:cs="Times New Roman"/>
          <w:szCs w:val="30"/>
        </w:rPr>
      </w:pPr>
      <w:r>
        <w:rPr>
          <w:rFonts w:hint="default" w:ascii="Times New Roman" w:hAnsi="Times New Roman" w:cs="Times New Roman"/>
          <w:szCs w:val="30"/>
          <w:lang w:val="en-US" w:eastAsia="zh-CN"/>
        </w:rPr>
        <w:t>附件</w:t>
      </w:r>
      <w:r>
        <w:rPr>
          <w:rFonts w:hint="default" w:ascii="Times New Roman" w:hAnsi="Times New Roman" w:cs="Times New Roman"/>
          <w:szCs w:val="30"/>
        </w:rPr>
        <w:t>1</w:t>
      </w:r>
      <w:r>
        <w:rPr>
          <w:rFonts w:hint="default" w:ascii="Times New Roman" w:hAnsi="Times New Roman" w:cs="Times New Roman"/>
          <w:szCs w:val="30"/>
          <w:lang w:eastAsia="zh-CN"/>
        </w:rPr>
        <w:t>：</w:t>
      </w:r>
      <w:r>
        <w:rPr>
          <w:rFonts w:hint="eastAsia"/>
          <w:lang w:val="en-US" w:eastAsia="zh-CN"/>
        </w:rPr>
        <w:t xml:space="preserve"> 推进爱国卫生7个专项行动工作补助经费项目</w:t>
      </w:r>
      <w:r>
        <w:rPr>
          <w:rFonts w:hint="default" w:ascii="Times New Roman" w:hAnsi="Times New Roman" w:cs="Times New Roman"/>
          <w:szCs w:val="30"/>
        </w:rPr>
        <w:t>绩效目标表</w:t>
      </w:r>
    </w:p>
    <w:p w14:paraId="70D72DB9">
      <w:pPr>
        <w:spacing w:line="579" w:lineRule="exact"/>
        <w:ind w:firstLine="630" w:firstLineChars="200"/>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附件2</w:t>
      </w:r>
      <w:bookmarkStart w:id="86" w:name="_Hlk527019547"/>
      <w:r>
        <w:rPr>
          <w:rFonts w:hint="default" w:ascii="Times New Roman" w:hAnsi="Times New Roman" w:cs="Times New Roman"/>
          <w:szCs w:val="30"/>
          <w:lang w:val="en-US" w:eastAsia="zh-CN"/>
        </w:rPr>
        <w:t>：</w:t>
      </w:r>
      <w:r>
        <w:rPr>
          <w:rFonts w:hint="eastAsia"/>
          <w:lang w:val="en-US" w:eastAsia="zh-CN"/>
        </w:rPr>
        <w:t xml:space="preserve"> 推进爱国卫生7个专项行动工作补助经费项目</w:t>
      </w:r>
      <w:r>
        <w:rPr>
          <w:rFonts w:hint="default" w:ascii="Times New Roman" w:hAnsi="Times New Roman" w:cs="Times New Roman"/>
          <w:szCs w:val="30"/>
          <w:lang w:val="en-US" w:eastAsia="zh-CN"/>
        </w:rPr>
        <w:t>绩效评价指标体系</w:t>
      </w:r>
      <w:bookmarkEnd w:id="86"/>
      <w:r>
        <w:rPr>
          <w:rFonts w:hint="eastAsia" w:ascii="Times New Roman" w:cs="Times New Roman"/>
          <w:szCs w:val="30"/>
          <w:lang w:val="en-US" w:eastAsia="zh-CN"/>
        </w:rPr>
        <w:t>表</w:t>
      </w:r>
    </w:p>
    <w:p w14:paraId="61DD8281">
      <w:pPr>
        <w:spacing w:line="579" w:lineRule="exact"/>
        <w:ind w:firstLine="630" w:firstLineChars="200"/>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附件</w:t>
      </w:r>
      <w:r>
        <w:rPr>
          <w:rFonts w:hint="eastAsia" w:ascii="Times New Roman" w:cs="Times New Roman"/>
          <w:szCs w:val="30"/>
          <w:lang w:val="en-US" w:eastAsia="zh-CN"/>
        </w:rPr>
        <w:t>3</w:t>
      </w:r>
      <w:r>
        <w:rPr>
          <w:rFonts w:hint="default" w:ascii="Times New Roman" w:hAnsi="Times New Roman" w:cs="Times New Roman"/>
          <w:szCs w:val="30"/>
          <w:lang w:val="en-US" w:eastAsia="zh-CN"/>
        </w:rPr>
        <w:t>：</w:t>
      </w:r>
      <w:r>
        <w:rPr>
          <w:rFonts w:hint="eastAsia"/>
          <w:lang w:val="en-US" w:eastAsia="zh-CN"/>
        </w:rPr>
        <w:t xml:space="preserve"> 推进爱国卫生7个专项行动工作补助经费项目</w:t>
      </w:r>
      <w:r>
        <w:rPr>
          <w:rFonts w:hint="default" w:ascii="Times New Roman" w:hAnsi="Times New Roman" w:cs="Times New Roman"/>
          <w:szCs w:val="30"/>
          <w:lang w:val="en-US" w:eastAsia="zh-CN"/>
        </w:rPr>
        <w:t>调查问卷</w:t>
      </w:r>
    </w:p>
    <w:bookmarkEnd w:id="85"/>
    <w:p w14:paraId="40771698">
      <w:pPr>
        <w:spacing w:line="579" w:lineRule="exact"/>
        <w:ind w:firstLine="630" w:firstLineChars="200"/>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附件</w:t>
      </w:r>
      <w:r>
        <w:rPr>
          <w:rFonts w:hint="eastAsia" w:ascii="Times New Roman" w:cs="Times New Roman"/>
          <w:szCs w:val="30"/>
          <w:lang w:val="en-US" w:eastAsia="zh-CN"/>
        </w:rPr>
        <w:t>4</w:t>
      </w:r>
      <w:r>
        <w:rPr>
          <w:rFonts w:hint="default" w:ascii="Times New Roman" w:hAnsi="Times New Roman" w:cs="Times New Roman"/>
          <w:szCs w:val="30"/>
          <w:lang w:val="en-US" w:eastAsia="zh-CN"/>
        </w:rPr>
        <w:t>：</w:t>
      </w:r>
      <w:r>
        <w:rPr>
          <w:rFonts w:hint="eastAsia"/>
          <w:lang w:val="en-US" w:eastAsia="zh-CN"/>
        </w:rPr>
        <w:t xml:space="preserve"> 绩效评价报告意见反馈表（单位）</w:t>
      </w:r>
    </w:p>
    <w:p w14:paraId="695B2FA2">
      <w:pPr>
        <w:spacing w:line="579" w:lineRule="exact"/>
        <w:ind w:firstLine="630" w:firstLineChars="200"/>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附件</w:t>
      </w:r>
      <w:r>
        <w:rPr>
          <w:rFonts w:hint="eastAsia" w:ascii="Times New Roman" w:cs="Times New Roman"/>
          <w:szCs w:val="30"/>
          <w:lang w:val="en-US" w:eastAsia="zh-CN"/>
        </w:rPr>
        <w:t>5</w:t>
      </w:r>
      <w:r>
        <w:rPr>
          <w:rFonts w:hint="default" w:ascii="Times New Roman" w:hAnsi="Times New Roman" w:cs="Times New Roman"/>
          <w:szCs w:val="30"/>
          <w:lang w:val="en-US" w:eastAsia="zh-CN"/>
        </w:rPr>
        <w:t>：</w:t>
      </w:r>
      <w:r>
        <w:rPr>
          <w:rFonts w:hint="eastAsia"/>
          <w:lang w:val="en-US" w:eastAsia="zh-CN"/>
        </w:rPr>
        <w:t xml:space="preserve"> 绩效评价报告意见反馈表（科室）</w:t>
      </w:r>
    </w:p>
    <w:p w14:paraId="71A4227C">
      <w:pPr>
        <w:pStyle w:val="21"/>
        <w:ind w:left="0" w:leftChars="0" w:firstLine="0" w:firstLineChars="0"/>
        <w:rPr>
          <w:rFonts w:hint="default" w:ascii="Times New Roman" w:hAnsi="Times New Roman" w:cs="Times New Roman"/>
          <w:szCs w:val="30"/>
          <w:lang w:val="en-US" w:eastAsia="zh-CN"/>
        </w:rPr>
      </w:pPr>
    </w:p>
    <w:p w14:paraId="591BDD25">
      <w:pPr>
        <w:bidi w:val="0"/>
        <w:jc w:val="right"/>
        <w:rPr>
          <w:rFonts w:hint="default" w:ascii="Times New Roman" w:hAnsi="Times New Roman" w:eastAsia="宋体" w:cs="Times New Roman"/>
          <w:kern w:val="30"/>
          <w:sz w:val="21"/>
          <w:szCs w:val="21"/>
          <w:lang w:val="en-US" w:eastAsia="zh-CN" w:bidi="ar-SA"/>
        </w:rPr>
      </w:pPr>
      <w:r>
        <w:rPr>
          <w:rFonts w:hint="default" w:ascii="Times New Roman" w:hAnsi="Times New Roman" w:cs="Times New Roman"/>
          <w:lang w:val="en-US" w:eastAsia="zh-CN"/>
        </w:rPr>
        <w:t>昆明池砾项目咨询有限责任公司</w:t>
      </w:r>
    </w:p>
    <w:p w14:paraId="3E16AA66">
      <w:pPr>
        <w:pStyle w:val="21"/>
        <w:jc w:val="center"/>
        <w:rPr>
          <w:rFonts w:hint="default" w:ascii="Times New Roman" w:hAnsi="Times New Roman" w:cs="Times New Roman"/>
          <w:szCs w:val="30"/>
        </w:rPr>
      </w:pPr>
      <w:r>
        <w:rPr>
          <w:rFonts w:hint="default" w:ascii="Times New Roman" w:hAnsi="Times New Roman" w:eastAsia="宋体" w:cs="Times New Roman"/>
          <w:kern w:val="30"/>
          <w:sz w:val="21"/>
          <w:szCs w:val="21"/>
          <w:lang w:val="en-US" w:eastAsia="zh-CN" w:bidi="ar-SA"/>
        </w:rPr>
        <w:t xml:space="preserve">                                          </w:t>
      </w:r>
      <w:r>
        <w:rPr>
          <w:rFonts w:hint="default" w:ascii="Times New Roman" w:hAnsi="Times New Roman" w:cs="Times New Roman"/>
          <w:szCs w:val="30"/>
          <w:lang w:val="en-US" w:eastAsia="zh-CN"/>
        </w:rPr>
        <w:t>202</w:t>
      </w:r>
      <w:r>
        <w:rPr>
          <w:rFonts w:hint="eastAsia" w:ascii="Times New Roman" w:hAnsi="Times New Roman" w:cs="Times New Roman"/>
          <w:szCs w:val="30"/>
          <w:lang w:val="en-US" w:eastAsia="zh-CN"/>
        </w:rPr>
        <w:t>4</w:t>
      </w:r>
      <w:r>
        <w:rPr>
          <w:rFonts w:hint="default" w:ascii="Times New Roman" w:hAnsi="Times New Roman" w:cs="Times New Roman"/>
          <w:szCs w:val="30"/>
          <w:lang w:val="en-US" w:eastAsia="zh-CN"/>
        </w:rPr>
        <w:t>年</w:t>
      </w:r>
      <w:r>
        <w:rPr>
          <w:rFonts w:hint="eastAsia" w:ascii="Times New Roman" w:hAnsi="Times New Roman" w:cs="Times New Roman"/>
          <w:szCs w:val="30"/>
          <w:lang w:val="en-US" w:eastAsia="zh-CN"/>
        </w:rPr>
        <w:t>9</w:t>
      </w:r>
      <w:r>
        <w:rPr>
          <w:rFonts w:hint="default" w:ascii="Times New Roman" w:hAnsi="Times New Roman" w:cs="Times New Roman"/>
          <w:szCs w:val="30"/>
          <w:lang w:val="en-US" w:eastAsia="zh-CN"/>
        </w:rPr>
        <w:t>月</w:t>
      </w:r>
    </w:p>
    <w:sectPr>
      <w:footerReference r:id="rId8" w:type="default"/>
      <w:footerReference r:id="rId9" w:type="even"/>
      <w:pgSz w:w="11906" w:h="16838"/>
      <w:pgMar w:top="2098" w:right="1474" w:bottom="1985" w:left="1588" w:header="851" w:footer="1474" w:gutter="0"/>
      <w:pgNumType w:fmt="decimal" w:start="1"/>
      <w:cols w:space="425" w:num="1"/>
      <w:docGrid w:type="linesAndChars" w:linePitch="579" w:charSpace="32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7956375-2B2F-442F-BAC7-155437E12D5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79F9ACB2-BAFF-4181-AC05-0EE7AF10849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3" w:fontKey="{A503A89C-FB37-4A09-BC5B-0B60DAED5ED2}"/>
  </w:font>
  <w:font w:name="楷体">
    <w:panose1 w:val="02010609060101010101"/>
    <w:charset w:val="86"/>
    <w:family w:val="modern"/>
    <w:pitch w:val="default"/>
    <w:sig w:usb0="800002BF" w:usb1="38CF7CFA" w:usb2="00000016" w:usb3="00000000" w:csb0="00040001" w:csb1="00000000"/>
    <w:embedRegular r:id="rId4" w:fontKey="{A147F393-31DB-4D9A-ADE3-2C5305716C8B}"/>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5B978">
    <w:pPr>
      <w:pStyle w:val="13"/>
      <w:jc w:val="center"/>
      <w:rPr>
        <w:rFonts w:ascii="仿宋" w:hAnsi="仿宋" w:eastAsia="仿宋"/>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45C1A">
    <w:pPr>
      <w:pStyle w:val="13"/>
      <w:keepNext w:val="0"/>
      <w:keepLines w:val="0"/>
      <w:pageBreakBefore w:val="0"/>
      <w:widowControl w:val="0"/>
      <w:kinsoku/>
      <w:wordWrap/>
      <w:overflowPunct/>
      <w:topLinePunct w:val="0"/>
      <w:bidi w:val="0"/>
      <w:adjustRightInd/>
      <w:snapToGrid w:val="0"/>
      <w:jc w:val="center"/>
      <w:textAlignment w:val="auto"/>
      <w:rPr>
        <w:rFonts w:ascii="仿宋" w:hAnsi="仿宋" w:eastAsia="仿宋"/>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15240</wp:posOffset>
              </wp:positionV>
              <wp:extent cx="269875" cy="307975"/>
              <wp:effectExtent l="0" t="0" r="0" b="0"/>
              <wp:wrapNone/>
              <wp:docPr id="6" name="文本框 1031"/>
              <wp:cNvGraphicFramePr/>
              <a:graphic xmlns:a="http://schemas.openxmlformats.org/drawingml/2006/main">
                <a:graphicData uri="http://schemas.microsoft.com/office/word/2010/wordprocessingShape">
                  <wps:wsp>
                    <wps:cNvSpPr txBox="1"/>
                    <wps:spPr>
                      <a:xfrm>
                        <a:off x="0" y="0"/>
                        <a:ext cx="269875" cy="307975"/>
                      </a:xfrm>
                      <a:prstGeom prst="rect">
                        <a:avLst/>
                      </a:prstGeom>
                      <a:noFill/>
                      <a:ln>
                        <a:noFill/>
                      </a:ln>
                    </wps:spPr>
                    <wps:txbx>
                      <w:txbxContent>
                        <w:p w14:paraId="4B222F1F">
                          <w:pPr>
                            <w:pStyle w:val="13"/>
                            <w:keepNext w:val="0"/>
                            <w:keepLines w:val="0"/>
                            <w:pageBreakBefore w:val="0"/>
                            <w:widowControl w:val="0"/>
                            <w:kinsoku/>
                            <w:wordWrap/>
                            <w:overflowPunct/>
                            <w:topLinePunct w:val="0"/>
                            <w:bidi w:val="0"/>
                            <w:adjustRightInd/>
                            <w:snapToGrid w:val="0"/>
                            <w:jc w:val="center"/>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i</w:t>
                          </w:r>
                          <w:r>
                            <w:rPr>
                              <w:rFonts w:hint="eastAsia" w:ascii="仿宋" w:hAnsi="仿宋" w:eastAsia="仿宋" w:cs="仿宋"/>
                              <w:sz w:val="28"/>
                              <w:szCs w:val="28"/>
                            </w:rPr>
                            <w:fldChar w:fldCharType="end"/>
                          </w:r>
                        </w:p>
                      </w:txbxContent>
                    </wps:txbx>
                    <wps:bodyPr vert="horz" lIns="0" tIns="0" rIns="0" bIns="0" anchor="t" anchorCtr="0" upright="0"/>
                  </wps:wsp>
                </a:graphicData>
              </a:graphic>
            </wp:anchor>
          </w:drawing>
        </mc:Choice>
        <mc:Fallback>
          <w:pict>
            <v:shape id="文本框 1031" o:spid="_x0000_s1026" o:spt="202" type="#_x0000_t202" style="position:absolute;left:0pt;margin-top:1.2pt;height:24.25pt;width:21.25pt;mso-position-horizontal:center;mso-position-horizontal-relative:margin;z-index:251661312;mso-width-relative:page;mso-height-relative:page;" filled="f" stroked="f" coordsize="21600,21600" o:gfxdata="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wzzYq9QAAAAEAQAADwAAAAAAAAABACAAAAAiAAAA&#10;ZHJzL2Rvd25yZXYueG1sUEsBAhQAFAAAAAgAh07iQHjI/ezSAQAAmQMAAA4AAAAAAAAAAQAgAAAA&#10;IwEAAGRycy9lMm9Eb2MueG1sUEsFBgAAAAAGAAYAWQEAAGcFAAAAAA==&#10;">
              <v:fill on="f" focussize="0,0"/>
              <v:stroke on="f"/>
              <v:imagedata o:title=""/>
              <o:lock v:ext="edit" aspectratio="f"/>
              <v:textbox inset="0mm,0mm,0mm,0mm">
                <w:txbxContent>
                  <w:p w14:paraId="4B222F1F">
                    <w:pPr>
                      <w:pStyle w:val="13"/>
                      <w:keepNext w:val="0"/>
                      <w:keepLines w:val="0"/>
                      <w:pageBreakBefore w:val="0"/>
                      <w:widowControl w:val="0"/>
                      <w:kinsoku/>
                      <w:wordWrap/>
                      <w:overflowPunct/>
                      <w:topLinePunct w:val="0"/>
                      <w:bidi w:val="0"/>
                      <w:adjustRightInd/>
                      <w:snapToGrid w:val="0"/>
                      <w:jc w:val="center"/>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i</w:t>
                    </w:r>
                    <w:r>
                      <w:rPr>
                        <w:rFonts w:hint="eastAsia" w:ascii="仿宋" w:hAnsi="仿宋" w:eastAsia="仿宋" w:cs="仿宋"/>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BEAE2">
    <w:pPr>
      <w:pStyle w:val="13"/>
      <w:keepNext w:val="0"/>
      <w:keepLines w:val="0"/>
      <w:pageBreakBefore w:val="0"/>
      <w:widowControl w:val="0"/>
      <w:kinsoku/>
      <w:wordWrap/>
      <w:overflowPunct/>
      <w:topLinePunct w:val="0"/>
      <w:bidi w:val="0"/>
      <w:adjustRightInd/>
      <w:snapToGrid w:val="0"/>
      <w:jc w:val="center"/>
      <w:textAlignment w:val="auto"/>
      <w:rPr>
        <w:rFonts w:ascii="仿宋" w:hAnsi="仿宋" w:eastAsia="仿宋"/>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15240</wp:posOffset>
              </wp:positionV>
              <wp:extent cx="1828800" cy="1828800"/>
              <wp:effectExtent l="0" t="0" r="0" b="0"/>
              <wp:wrapNone/>
              <wp:docPr id="7"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0DD35F">
                          <w:pPr>
                            <w:pStyle w:val="13"/>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Times New Roman"/>
                              <w:sz w:val="21"/>
                              <w:szCs w:val="21"/>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ii</w:t>
                          </w:r>
                          <w:r>
                            <w:rPr>
                              <w:rFonts w:hint="eastAsia" w:ascii="仿宋" w:hAnsi="仿宋" w:eastAsia="仿宋" w:cs="仿宋"/>
                              <w:sz w:val="28"/>
                              <w:szCs w:val="28"/>
                            </w:rPr>
                            <w:fldChar w:fldCharType="end"/>
                          </w:r>
                        </w:p>
                      </w:txbxContent>
                    </wps:txbx>
                    <wps:bodyPr vert="horz" wrap="none" lIns="0" tIns="0" rIns="0" bIns="0" anchor="t" anchorCtr="0" upright="0">
                      <a:spAutoFit/>
                    </wps:bodyPr>
                  </wps:wsp>
                </a:graphicData>
              </a:graphic>
            </wp:anchor>
          </w:drawing>
        </mc:Choice>
        <mc:Fallback>
          <w:pict>
            <v:shape id="文本框 1032" o:spid="_x0000_s1026" o:spt="202" type="#_x0000_t202" style="position:absolute;left:0pt;margin-top:1.2pt;height:144pt;width:144pt;mso-position-horizontal:center;mso-position-horizontal-relative:margin;mso-wrap-style:none;z-index:251662336;mso-width-relative:page;mso-height-relative:page;" filled="f" stroked="f" coordsize="21600,21600" o:gfxdata="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8Ddl/0wAAAAYBAAAPAAAA&#10;AAAAAAEAIAAAACIAAABkcnMvZG93bnJldi54bWxQSwECFAAUAAAACACHTuJAb8eTNOEBAADBAwAA&#10;DgAAAAAAAAABACAAAAAiAQAAZHJzL2Uyb0RvYy54bWxQSwUGAAAAAAYABgBZAQAAdQUAAAAA&#10;">
              <v:fill on="f" focussize="0,0"/>
              <v:stroke on="f"/>
              <v:imagedata o:title=""/>
              <o:lock v:ext="edit" aspectratio="f"/>
              <v:textbox inset="0mm,0mm,0mm,0mm" style="mso-fit-shape-to-text:t;">
                <w:txbxContent>
                  <w:p w14:paraId="510DD35F">
                    <w:pPr>
                      <w:pStyle w:val="13"/>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Times New Roman"/>
                        <w:sz w:val="21"/>
                        <w:szCs w:val="21"/>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ii</w:t>
                    </w:r>
                    <w:r>
                      <w:rPr>
                        <w:rFonts w:hint="eastAsia" w:ascii="仿宋" w:hAnsi="仿宋" w:eastAsia="仿宋" w:cs="仿宋"/>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80B58">
    <w:pPr>
      <w:pStyle w:val="13"/>
      <w:keepNext w:val="0"/>
      <w:keepLines w:val="0"/>
      <w:pageBreakBefore w:val="0"/>
      <w:widowControl w:val="0"/>
      <w:kinsoku/>
      <w:wordWrap/>
      <w:overflowPunct/>
      <w:topLinePunct w:val="0"/>
      <w:bidi w:val="0"/>
      <w:adjustRightInd/>
      <w:snapToGrid w:val="0"/>
      <w:jc w:val="center"/>
      <w:textAlignment w:val="auto"/>
      <w:rPr>
        <w:rFonts w:ascii="仿宋" w:hAnsi="仿宋" w:eastAsia="仿宋"/>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15240</wp:posOffset>
              </wp:positionV>
              <wp:extent cx="1828800" cy="1828800"/>
              <wp:effectExtent l="0" t="0" r="0" b="0"/>
              <wp:wrapNone/>
              <wp:docPr id="4"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4E9770">
                          <w:pPr>
                            <w:pStyle w:val="13"/>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vert="horz" wrap="none" lIns="0" tIns="0" rIns="0" bIns="0" anchor="t" anchorCtr="0" upright="0">
                      <a:spAutoFit/>
                    </wps:bodyPr>
                  </wps:wsp>
                </a:graphicData>
              </a:graphic>
            </wp:anchor>
          </w:drawing>
        </mc:Choice>
        <mc:Fallback>
          <w:pict>
            <v:shape id="文本框 1029" o:spid="_x0000_s1026" o:spt="202" type="#_x0000_t202" style="position:absolute;left:0pt;margin-top:1.2pt;height:144pt;width:144pt;mso-position-horizontal:outside;mso-position-horizontal-relative:margin;mso-wrap-style:none;z-index:251659264;mso-width-relative:page;mso-height-relative:page;" filled="f" stroked="f" coordsize="21600,21600" o:gfxdata="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8Ddl/0wAAAAYBAAAPAAAA&#10;AAAAAAEAIAAAACIAAABkcnMvZG93bnJldi54bWxQSwECFAAUAAAACACHTuJAg5iJueEBAADBAwAA&#10;DgAAAAAAAAABACAAAAAiAQAAZHJzL2Uyb0RvYy54bWxQSwUGAAAAAAYABgBZAQAAdQUAAAAA&#10;">
              <v:fill on="f" focussize="0,0"/>
              <v:stroke on="f"/>
              <v:imagedata o:title=""/>
              <o:lock v:ext="edit" aspectratio="f"/>
              <v:textbox inset="0mm,0mm,0mm,0mm" style="mso-fit-shape-to-text:t;">
                <w:txbxContent>
                  <w:p w14:paraId="124E9770">
                    <w:pPr>
                      <w:pStyle w:val="13"/>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1F754">
    <w:pPr>
      <w:pStyle w:val="13"/>
      <w:rPr>
        <w:rFonts w:ascii="仿宋" w:hAnsi="仿宋" w:eastAsia="仿宋"/>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15240</wp:posOffset>
              </wp:positionV>
              <wp:extent cx="1828800" cy="1828800"/>
              <wp:effectExtent l="0" t="0" r="0" b="0"/>
              <wp:wrapNone/>
              <wp:docPr id="5"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076A5C">
                          <w:pPr>
                            <w:pStyle w:val="1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030" o:spid="_x0000_s1026" o:spt="202" type="#_x0000_t202" style="position:absolute;left:0pt;margin-top:1.2pt;height:144pt;width:144pt;mso-position-horizontal:outside;mso-position-horizontal-relative:margin;mso-wrap-style:none;z-index:251660288;mso-width-relative:page;mso-height-relative:page;" filled="f" stroked="f" coordsize="21600,21600" o:gfxdata="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PA3Zf9MAAAAGAQAADwAAAAAA&#10;AAABACAAAAAiAAAAZHJzL2Rvd25yZXYueG1sUEsBAhQAFAAAAAgAh07iQANlitTfAQAAwQMAAA4A&#10;AAAAAAAAAQAgAAAAIgEAAGRycy9lMm9Eb2MueG1sUEsFBgAAAAAGAAYAWQEAAHMFAAAAAA==&#10;">
              <v:fill on="f" focussize="0,0"/>
              <v:stroke on="f"/>
              <v:imagedata o:title=""/>
              <o:lock v:ext="edit" aspectratio="f"/>
              <v:textbox inset="0mm,0mm,0mm,0mm" style="mso-fit-shape-to-text:t;">
                <w:txbxContent>
                  <w:p w14:paraId="30076A5C">
                    <w:pPr>
                      <w:pStyle w:val="1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A867E">
    <w:pPr>
      <w:pStyle w:val="14"/>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right"/>
      <w:textAlignment w:val="auto"/>
      <w:rPr>
        <w:rFonts w:hint="eastAsia"/>
        <w:lang w:val="en-US" w:eastAsia="zh-CN"/>
      </w:rPr>
    </w:pPr>
    <w:r>
      <w:rPr>
        <w:rFonts w:hint="eastAsia"/>
        <w:lang w:val="en-US" w:eastAsia="zh-CN"/>
      </w:rPr>
      <w:br w:type="textWrapping"/>
    </w:r>
  </w:p>
  <w:p w14:paraId="3E6007F3">
    <w:pPr>
      <w:pStyle w:val="14"/>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right"/>
      <w:textAlignment w:val="auto"/>
      <w:rPr>
        <w:sz w:val="21"/>
        <w:szCs w:val="21"/>
      </w:rPr>
    </w:pPr>
    <w:r>
      <w:rPr>
        <w:rFonts w:hint="eastAsia"/>
        <w:lang w:val="en-US" w:eastAsia="zh-CN"/>
      </w:rPr>
      <w:t xml:space="preserve">       推进爱国卫生7个专项行动工作补助经费项目支出绩效评价报告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9A191">
    <w:pPr>
      <w:pStyle w:val="14"/>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right"/>
      <w:textAlignment w:val="auto"/>
      <w:rPr>
        <w:rFonts w:hint="eastAsia"/>
        <w:lang w:val="en-US" w:eastAsia="zh-CN"/>
      </w:rPr>
    </w:pPr>
  </w:p>
  <w:p w14:paraId="4AC10112">
    <w:pPr>
      <w:pStyle w:val="14"/>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right"/>
      <w:textAlignment w:val="auto"/>
      <w:rPr>
        <w:rFonts w:hint="eastAsia"/>
        <w:lang w:val="en-US" w:eastAsia="zh-CN"/>
      </w:rPr>
    </w:pPr>
  </w:p>
  <w:p w14:paraId="0DBEA175">
    <w:pPr>
      <w:pStyle w:val="14"/>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right"/>
      <w:textAlignment w:val="auto"/>
    </w:pPr>
    <w:r>
      <w:rPr>
        <w:rFonts w:hint="eastAsia"/>
        <w:lang w:val="en-US" w:eastAsia="zh-CN"/>
      </w:rPr>
      <w:t xml:space="preserve">      推进爱国卫生7个专项行动工作补助经费项目支出绩效评价报告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162830"/>
    <w:multiLevelType w:val="singleLevel"/>
    <w:tmpl w:val="E6162830"/>
    <w:lvl w:ilvl="0" w:tentative="0">
      <w:start w:val="2"/>
      <w:numFmt w:val="decimal"/>
      <w:suff w:val="nothing"/>
      <w:lvlText w:val="（%1）"/>
      <w:lvlJc w:val="left"/>
    </w:lvl>
  </w:abstractNum>
  <w:abstractNum w:abstractNumId="1">
    <w:nsid w:val="675EA67C"/>
    <w:multiLevelType w:val="singleLevel"/>
    <w:tmpl w:val="675EA67C"/>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embedTrueTypeFonts/>
  <w:saveSubsetFonts/>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kMDc0NmUxNDJjNjlkYTQ2ZDI5OGNhZmMxZDllMTgifQ=="/>
  </w:docVars>
  <w:rsids>
    <w:rsidRoot w:val="00763D8D"/>
    <w:rsid w:val="000027B8"/>
    <w:rsid w:val="00003457"/>
    <w:rsid w:val="000053D4"/>
    <w:rsid w:val="000101DC"/>
    <w:rsid w:val="000109E6"/>
    <w:rsid w:val="00011162"/>
    <w:rsid w:val="000163D2"/>
    <w:rsid w:val="00021B6D"/>
    <w:rsid w:val="00022FFA"/>
    <w:rsid w:val="00023FF0"/>
    <w:rsid w:val="000302F4"/>
    <w:rsid w:val="00030BA6"/>
    <w:rsid w:val="00032A27"/>
    <w:rsid w:val="00032BAE"/>
    <w:rsid w:val="000377E6"/>
    <w:rsid w:val="00037F46"/>
    <w:rsid w:val="0004014B"/>
    <w:rsid w:val="00044EEC"/>
    <w:rsid w:val="00046291"/>
    <w:rsid w:val="00046463"/>
    <w:rsid w:val="00050813"/>
    <w:rsid w:val="00073C73"/>
    <w:rsid w:val="00075831"/>
    <w:rsid w:val="000761D2"/>
    <w:rsid w:val="00077515"/>
    <w:rsid w:val="0008006D"/>
    <w:rsid w:val="0008270C"/>
    <w:rsid w:val="00082DC6"/>
    <w:rsid w:val="000910C9"/>
    <w:rsid w:val="000913F5"/>
    <w:rsid w:val="000926D7"/>
    <w:rsid w:val="00093656"/>
    <w:rsid w:val="00095539"/>
    <w:rsid w:val="000A3ED9"/>
    <w:rsid w:val="000A4562"/>
    <w:rsid w:val="000A60AC"/>
    <w:rsid w:val="000C04DE"/>
    <w:rsid w:val="000C0984"/>
    <w:rsid w:val="000C1909"/>
    <w:rsid w:val="000C3CE0"/>
    <w:rsid w:val="000C5033"/>
    <w:rsid w:val="000D71DD"/>
    <w:rsid w:val="000E21D8"/>
    <w:rsid w:val="000E6F75"/>
    <w:rsid w:val="000F1534"/>
    <w:rsid w:val="000F3E60"/>
    <w:rsid w:val="000F46ED"/>
    <w:rsid w:val="000F6595"/>
    <w:rsid w:val="00106A8B"/>
    <w:rsid w:val="001075E2"/>
    <w:rsid w:val="001114F0"/>
    <w:rsid w:val="00114580"/>
    <w:rsid w:val="001146BA"/>
    <w:rsid w:val="00116445"/>
    <w:rsid w:val="00122361"/>
    <w:rsid w:val="00124FFE"/>
    <w:rsid w:val="00125D9C"/>
    <w:rsid w:val="001308E4"/>
    <w:rsid w:val="00142242"/>
    <w:rsid w:val="001439E1"/>
    <w:rsid w:val="00147856"/>
    <w:rsid w:val="00147F84"/>
    <w:rsid w:val="00150F3E"/>
    <w:rsid w:val="001513E5"/>
    <w:rsid w:val="00152B2B"/>
    <w:rsid w:val="001537D8"/>
    <w:rsid w:val="00153BC6"/>
    <w:rsid w:val="00155A7C"/>
    <w:rsid w:val="00157E96"/>
    <w:rsid w:val="0016290B"/>
    <w:rsid w:val="00162B90"/>
    <w:rsid w:val="00167E57"/>
    <w:rsid w:val="001722F7"/>
    <w:rsid w:val="00175976"/>
    <w:rsid w:val="00182613"/>
    <w:rsid w:val="001836BB"/>
    <w:rsid w:val="00183D89"/>
    <w:rsid w:val="001844AE"/>
    <w:rsid w:val="00184577"/>
    <w:rsid w:val="0018788E"/>
    <w:rsid w:val="001905A5"/>
    <w:rsid w:val="001A2410"/>
    <w:rsid w:val="001A2D6F"/>
    <w:rsid w:val="001A644B"/>
    <w:rsid w:val="001A77EE"/>
    <w:rsid w:val="001A7B0F"/>
    <w:rsid w:val="001B4784"/>
    <w:rsid w:val="001D4E03"/>
    <w:rsid w:val="001D58D7"/>
    <w:rsid w:val="001E07CC"/>
    <w:rsid w:val="001E410D"/>
    <w:rsid w:val="001E6E29"/>
    <w:rsid w:val="001E713D"/>
    <w:rsid w:val="001F1285"/>
    <w:rsid w:val="001F1844"/>
    <w:rsid w:val="001F1E4B"/>
    <w:rsid w:val="001F3638"/>
    <w:rsid w:val="001F46E7"/>
    <w:rsid w:val="001F566D"/>
    <w:rsid w:val="00200263"/>
    <w:rsid w:val="00201C2D"/>
    <w:rsid w:val="002115B2"/>
    <w:rsid w:val="00212FA7"/>
    <w:rsid w:val="00217869"/>
    <w:rsid w:val="0021797F"/>
    <w:rsid w:val="00217AA8"/>
    <w:rsid w:val="002229E2"/>
    <w:rsid w:val="0022365E"/>
    <w:rsid w:val="002260C9"/>
    <w:rsid w:val="00226E95"/>
    <w:rsid w:val="00227678"/>
    <w:rsid w:val="00227EAF"/>
    <w:rsid w:val="00230719"/>
    <w:rsid w:val="00230C67"/>
    <w:rsid w:val="00235C5D"/>
    <w:rsid w:val="002422DC"/>
    <w:rsid w:val="00243F53"/>
    <w:rsid w:val="00246276"/>
    <w:rsid w:val="00251346"/>
    <w:rsid w:val="00252898"/>
    <w:rsid w:val="002532A4"/>
    <w:rsid w:val="00254804"/>
    <w:rsid w:val="00254B91"/>
    <w:rsid w:val="002554E5"/>
    <w:rsid w:val="002567E0"/>
    <w:rsid w:val="00256D4E"/>
    <w:rsid w:val="002606F4"/>
    <w:rsid w:val="00274648"/>
    <w:rsid w:val="00277ACC"/>
    <w:rsid w:val="00282CC8"/>
    <w:rsid w:val="00283F38"/>
    <w:rsid w:val="00285265"/>
    <w:rsid w:val="00290595"/>
    <w:rsid w:val="002917E5"/>
    <w:rsid w:val="0029356B"/>
    <w:rsid w:val="002A020A"/>
    <w:rsid w:val="002A1DF7"/>
    <w:rsid w:val="002A5AD2"/>
    <w:rsid w:val="002A6EAA"/>
    <w:rsid w:val="002B3F00"/>
    <w:rsid w:val="002B7B5E"/>
    <w:rsid w:val="002C46F4"/>
    <w:rsid w:val="002C555C"/>
    <w:rsid w:val="002D1D67"/>
    <w:rsid w:val="002D3C45"/>
    <w:rsid w:val="002D498A"/>
    <w:rsid w:val="002D55A2"/>
    <w:rsid w:val="002E06C9"/>
    <w:rsid w:val="002E1041"/>
    <w:rsid w:val="002E280F"/>
    <w:rsid w:val="002E5BDD"/>
    <w:rsid w:val="002E60CA"/>
    <w:rsid w:val="002F4221"/>
    <w:rsid w:val="002F516E"/>
    <w:rsid w:val="002F59F0"/>
    <w:rsid w:val="002F7BE7"/>
    <w:rsid w:val="00301F5D"/>
    <w:rsid w:val="003020B9"/>
    <w:rsid w:val="00307963"/>
    <w:rsid w:val="00307B63"/>
    <w:rsid w:val="003116BB"/>
    <w:rsid w:val="00313C52"/>
    <w:rsid w:val="00321FF5"/>
    <w:rsid w:val="003270CD"/>
    <w:rsid w:val="003305B8"/>
    <w:rsid w:val="0033130B"/>
    <w:rsid w:val="0033489A"/>
    <w:rsid w:val="00337586"/>
    <w:rsid w:val="0033762E"/>
    <w:rsid w:val="0034304B"/>
    <w:rsid w:val="00347579"/>
    <w:rsid w:val="00347950"/>
    <w:rsid w:val="00353796"/>
    <w:rsid w:val="003568A8"/>
    <w:rsid w:val="00357576"/>
    <w:rsid w:val="0036565B"/>
    <w:rsid w:val="00365B28"/>
    <w:rsid w:val="00371BB6"/>
    <w:rsid w:val="00371CAA"/>
    <w:rsid w:val="00375AF4"/>
    <w:rsid w:val="003761AE"/>
    <w:rsid w:val="00376534"/>
    <w:rsid w:val="00376A60"/>
    <w:rsid w:val="00380118"/>
    <w:rsid w:val="003807BD"/>
    <w:rsid w:val="00381F0D"/>
    <w:rsid w:val="0038336A"/>
    <w:rsid w:val="00384495"/>
    <w:rsid w:val="00392745"/>
    <w:rsid w:val="00393295"/>
    <w:rsid w:val="003A3987"/>
    <w:rsid w:val="003A5711"/>
    <w:rsid w:val="003A6AB4"/>
    <w:rsid w:val="003B2603"/>
    <w:rsid w:val="003B355C"/>
    <w:rsid w:val="003B5FE1"/>
    <w:rsid w:val="003B74B5"/>
    <w:rsid w:val="003D112A"/>
    <w:rsid w:val="003D12B5"/>
    <w:rsid w:val="003D2104"/>
    <w:rsid w:val="003D35C0"/>
    <w:rsid w:val="003D6830"/>
    <w:rsid w:val="003E0E49"/>
    <w:rsid w:val="003E28AB"/>
    <w:rsid w:val="003E37CD"/>
    <w:rsid w:val="003F1515"/>
    <w:rsid w:val="003F16E7"/>
    <w:rsid w:val="003F402E"/>
    <w:rsid w:val="003F6354"/>
    <w:rsid w:val="00400D06"/>
    <w:rsid w:val="0040239B"/>
    <w:rsid w:val="00402CE7"/>
    <w:rsid w:val="00405226"/>
    <w:rsid w:val="00405C75"/>
    <w:rsid w:val="00406D6A"/>
    <w:rsid w:val="00420BEC"/>
    <w:rsid w:val="0042251D"/>
    <w:rsid w:val="00426FE5"/>
    <w:rsid w:val="004272A6"/>
    <w:rsid w:val="0043119F"/>
    <w:rsid w:val="00433CAA"/>
    <w:rsid w:val="00436B3B"/>
    <w:rsid w:val="00437980"/>
    <w:rsid w:val="004401ED"/>
    <w:rsid w:val="00440843"/>
    <w:rsid w:val="0044349C"/>
    <w:rsid w:val="00452585"/>
    <w:rsid w:val="00452895"/>
    <w:rsid w:val="00453319"/>
    <w:rsid w:val="004542C8"/>
    <w:rsid w:val="004549D1"/>
    <w:rsid w:val="00457099"/>
    <w:rsid w:val="00460E4C"/>
    <w:rsid w:val="00462343"/>
    <w:rsid w:val="00464A91"/>
    <w:rsid w:val="00465B8C"/>
    <w:rsid w:val="004671F2"/>
    <w:rsid w:val="00472258"/>
    <w:rsid w:val="00474787"/>
    <w:rsid w:val="0048081D"/>
    <w:rsid w:val="0048089A"/>
    <w:rsid w:val="004811D4"/>
    <w:rsid w:val="004839EA"/>
    <w:rsid w:val="00484612"/>
    <w:rsid w:val="004860CD"/>
    <w:rsid w:val="004866EA"/>
    <w:rsid w:val="004949AC"/>
    <w:rsid w:val="004A0A75"/>
    <w:rsid w:val="004A3DDB"/>
    <w:rsid w:val="004A4700"/>
    <w:rsid w:val="004A711A"/>
    <w:rsid w:val="004B34FB"/>
    <w:rsid w:val="004B448D"/>
    <w:rsid w:val="004C51F5"/>
    <w:rsid w:val="004C5D7B"/>
    <w:rsid w:val="004C6BF0"/>
    <w:rsid w:val="004D0D4D"/>
    <w:rsid w:val="004D2649"/>
    <w:rsid w:val="004D31B0"/>
    <w:rsid w:val="004D34AD"/>
    <w:rsid w:val="004D5F2D"/>
    <w:rsid w:val="004D678B"/>
    <w:rsid w:val="004E013B"/>
    <w:rsid w:val="004E0906"/>
    <w:rsid w:val="004E5E85"/>
    <w:rsid w:val="004F0288"/>
    <w:rsid w:val="004F0B47"/>
    <w:rsid w:val="004F43AA"/>
    <w:rsid w:val="004F47FC"/>
    <w:rsid w:val="004F5DE3"/>
    <w:rsid w:val="004F6CCC"/>
    <w:rsid w:val="005102A2"/>
    <w:rsid w:val="00510BAB"/>
    <w:rsid w:val="00514671"/>
    <w:rsid w:val="00515734"/>
    <w:rsid w:val="00522A6C"/>
    <w:rsid w:val="00526431"/>
    <w:rsid w:val="00536F5B"/>
    <w:rsid w:val="00542670"/>
    <w:rsid w:val="00545001"/>
    <w:rsid w:val="00550937"/>
    <w:rsid w:val="0055330D"/>
    <w:rsid w:val="005578D6"/>
    <w:rsid w:val="00561795"/>
    <w:rsid w:val="00562BA8"/>
    <w:rsid w:val="0056376A"/>
    <w:rsid w:val="00564552"/>
    <w:rsid w:val="00566921"/>
    <w:rsid w:val="005750C4"/>
    <w:rsid w:val="00576CB6"/>
    <w:rsid w:val="00576FBF"/>
    <w:rsid w:val="00577FAD"/>
    <w:rsid w:val="00585784"/>
    <w:rsid w:val="00587462"/>
    <w:rsid w:val="00587C8D"/>
    <w:rsid w:val="00591EF2"/>
    <w:rsid w:val="00592198"/>
    <w:rsid w:val="0059320E"/>
    <w:rsid w:val="005953FB"/>
    <w:rsid w:val="00597B52"/>
    <w:rsid w:val="005A2E6F"/>
    <w:rsid w:val="005A3998"/>
    <w:rsid w:val="005A50E5"/>
    <w:rsid w:val="005B0482"/>
    <w:rsid w:val="005B6066"/>
    <w:rsid w:val="005B70F0"/>
    <w:rsid w:val="005C40D3"/>
    <w:rsid w:val="005D06E4"/>
    <w:rsid w:val="005E0F3C"/>
    <w:rsid w:val="005E4ABD"/>
    <w:rsid w:val="005E6172"/>
    <w:rsid w:val="005F1102"/>
    <w:rsid w:val="00613763"/>
    <w:rsid w:val="00620526"/>
    <w:rsid w:val="00621602"/>
    <w:rsid w:val="00623AF9"/>
    <w:rsid w:val="006251E6"/>
    <w:rsid w:val="00626208"/>
    <w:rsid w:val="00627439"/>
    <w:rsid w:val="006323C6"/>
    <w:rsid w:val="00634466"/>
    <w:rsid w:val="00636016"/>
    <w:rsid w:val="00643CC5"/>
    <w:rsid w:val="0064402F"/>
    <w:rsid w:val="0065445B"/>
    <w:rsid w:val="00655674"/>
    <w:rsid w:val="00656020"/>
    <w:rsid w:val="00656A9A"/>
    <w:rsid w:val="00656F7D"/>
    <w:rsid w:val="006571CA"/>
    <w:rsid w:val="00657FEB"/>
    <w:rsid w:val="006633E2"/>
    <w:rsid w:val="00663BBB"/>
    <w:rsid w:val="00671269"/>
    <w:rsid w:val="00674DB5"/>
    <w:rsid w:val="00682BA0"/>
    <w:rsid w:val="0068495B"/>
    <w:rsid w:val="00687D46"/>
    <w:rsid w:val="00693295"/>
    <w:rsid w:val="00694B78"/>
    <w:rsid w:val="00694EAF"/>
    <w:rsid w:val="006960BB"/>
    <w:rsid w:val="006A28E5"/>
    <w:rsid w:val="006A2942"/>
    <w:rsid w:val="006A2A32"/>
    <w:rsid w:val="006A5995"/>
    <w:rsid w:val="006A5FFB"/>
    <w:rsid w:val="006A6752"/>
    <w:rsid w:val="006B5BCF"/>
    <w:rsid w:val="006B610A"/>
    <w:rsid w:val="006B70DE"/>
    <w:rsid w:val="006C0244"/>
    <w:rsid w:val="006C0E35"/>
    <w:rsid w:val="006D012E"/>
    <w:rsid w:val="006D2836"/>
    <w:rsid w:val="006E342B"/>
    <w:rsid w:val="006E36CF"/>
    <w:rsid w:val="006E3A23"/>
    <w:rsid w:val="006E76CA"/>
    <w:rsid w:val="006E79B8"/>
    <w:rsid w:val="006F09DA"/>
    <w:rsid w:val="00701599"/>
    <w:rsid w:val="00703419"/>
    <w:rsid w:val="00704906"/>
    <w:rsid w:val="00704B20"/>
    <w:rsid w:val="0070532D"/>
    <w:rsid w:val="007061AB"/>
    <w:rsid w:val="00706C0E"/>
    <w:rsid w:val="00707272"/>
    <w:rsid w:val="00711BD6"/>
    <w:rsid w:val="0071646D"/>
    <w:rsid w:val="00723885"/>
    <w:rsid w:val="007258CC"/>
    <w:rsid w:val="0072647A"/>
    <w:rsid w:val="00727017"/>
    <w:rsid w:val="007319A2"/>
    <w:rsid w:val="00733D12"/>
    <w:rsid w:val="00733E02"/>
    <w:rsid w:val="0073677A"/>
    <w:rsid w:val="007431B7"/>
    <w:rsid w:val="00746DEF"/>
    <w:rsid w:val="007474F3"/>
    <w:rsid w:val="0075085D"/>
    <w:rsid w:val="00751985"/>
    <w:rsid w:val="00752CA1"/>
    <w:rsid w:val="00753514"/>
    <w:rsid w:val="00754346"/>
    <w:rsid w:val="007622C7"/>
    <w:rsid w:val="00763D8D"/>
    <w:rsid w:val="00763F0B"/>
    <w:rsid w:val="00771DBA"/>
    <w:rsid w:val="00774689"/>
    <w:rsid w:val="00775421"/>
    <w:rsid w:val="00780354"/>
    <w:rsid w:val="00780EAF"/>
    <w:rsid w:val="00780F68"/>
    <w:rsid w:val="00783983"/>
    <w:rsid w:val="007854FB"/>
    <w:rsid w:val="00786B54"/>
    <w:rsid w:val="00795893"/>
    <w:rsid w:val="00796558"/>
    <w:rsid w:val="007A0D31"/>
    <w:rsid w:val="007A1C7C"/>
    <w:rsid w:val="007A2BCD"/>
    <w:rsid w:val="007A58C0"/>
    <w:rsid w:val="007A6474"/>
    <w:rsid w:val="007A7277"/>
    <w:rsid w:val="007B064B"/>
    <w:rsid w:val="007B2D33"/>
    <w:rsid w:val="007B72C4"/>
    <w:rsid w:val="007C023F"/>
    <w:rsid w:val="007C1423"/>
    <w:rsid w:val="007C2CA2"/>
    <w:rsid w:val="007C38FA"/>
    <w:rsid w:val="007C3BD4"/>
    <w:rsid w:val="007C3CB2"/>
    <w:rsid w:val="007C7E73"/>
    <w:rsid w:val="007D051F"/>
    <w:rsid w:val="007D0BBA"/>
    <w:rsid w:val="007D2550"/>
    <w:rsid w:val="007D3332"/>
    <w:rsid w:val="007D333C"/>
    <w:rsid w:val="007D6583"/>
    <w:rsid w:val="007D778F"/>
    <w:rsid w:val="007E0FFD"/>
    <w:rsid w:val="007E18FC"/>
    <w:rsid w:val="007E494F"/>
    <w:rsid w:val="007E5BBF"/>
    <w:rsid w:val="007E68BF"/>
    <w:rsid w:val="007F0B94"/>
    <w:rsid w:val="007F26DD"/>
    <w:rsid w:val="007F2884"/>
    <w:rsid w:val="007F2CFD"/>
    <w:rsid w:val="007F3CED"/>
    <w:rsid w:val="00801696"/>
    <w:rsid w:val="00803FFB"/>
    <w:rsid w:val="00805C6A"/>
    <w:rsid w:val="00807246"/>
    <w:rsid w:val="00812AFF"/>
    <w:rsid w:val="00814803"/>
    <w:rsid w:val="00814C48"/>
    <w:rsid w:val="00822129"/>
    <w:rsid w:val="00832C5F"/>
    <w:rsid w:val="00833991"/>
    <w:rsid w:val="00834B6A"/>
    <w:rsid w:val="008369B8"/>
    <w:rsid w:val="00837E6A"/>
    <w:rsid w:val="0084288D"/>
    <w:rsid w:val="008429AF"/>
    <w:rsid w:val="008444BD"/>
    <w:rsid w:val="00846B79"/>
    <w:rsid w:val="00851B24"/>
    <w:rsid w:val="00851F54"/>
    <w:rsid w:val="00866AB0"/>
    <w:rsid w:val="00867F1E"/>
    <w:rsid w:val="00870D8D"/>
    <w:rsid w:val="008735D5"/>
    <w:rsid w:val="00873D83"/>
    <w:rsid w:val="00877854"/>
    <w:rsid w:val="00882E11"/>
    <w:rsid w:val="00884635"/>
    <w:rsid w:val="00885EF1"/>
    <w:rsid w:val="00890F31"/>
    <w:rsid w:val="00893649"/>
    <w:rsid w:val="00894CB7"/>
    <w:rsid w:val="00896267"/>
    <w:rsid w:val="00896DBE"/>
    <w:rsid w:val="008A096F"/>
    <w:rsid w:val="008A3471"/>
    <w:rsid w:val="008A5EF0"/>
    <w:rsid w:val="008B035B"/>
    <w:rsid w:val="008B4790"/>
    <w:rsid w:val="008C134F"/>
    <w:rsid w:val="008C1413"/>
    <w:rsid w:val="008C33C4"/>
    <w:rsid w:val="008C3699"/>
    <w:rsid w:val="008D007F"/>
    <w:rsid w:val="008D5ECA"/>
    <w:rsid w:val="008D6C00"/>
    <w:rsid w:val="008D7D2E"/>
    <w:rsid w:val="008E077D"/>
    <w:rsid w:val="008E0FBB"/>
    <w:rsid w:val="008E70EF"/>
    <w:rsid w:val="008F0F5E"/>
    <w:rsid w:val="008F2F92"/>
    <w:rsid w:val="008F689B"/>
    <w:rsid w:val="00901D0E"/>
    <w:rsid w:val="009034E6"/>
    <w:rsid w:val="00903C2E"/>
    <w:rsid w:val="0090678C"/>
    <w:rsid w:val="00910CE3"/>
    <w:rsid w:val="00915956"/>
    <w:rsid w:val="00920E07"/>
    <w:rsid w:val="0092374D"/>
    <w:rsid w:val="00923BAA"/>
    <w:rsid w:val="00924970"/>
    <w:rsid w:val="009267F6"/>
    <w:rsid w:val="009317C0"/>
    <w:rsid w:val="009326BF"/>
    <w:rsid w:val="0093787B"/>
    <w:rsid w:val="00937BC1"/>
    <w:rsid w:val="00942C8E"/>
    <w:rsid w:val="0095111A"/>
    <w:rsid w:val="00954F31"/>
    <w:rsid w:val="009607A3"/>
    <w:rsid w:val="00961330"/>
    <w:rsid w:val="00961BEE"/>
    <w:rsid w:val="00963095"/>
    <w:rsid w:val="00964F1C"/>
    <w:rsid w:val="00965869"/>
    <w:rsid w:val="009672A4"/>
    <w:rsid w:val="00973859"/>
    <w:rsid w:val="00974A70"/>
    <w:rsid w:val="00983C33"/>
    <w:rsid w:val="00983EB5"/>
    <w:rsid w:val="009900E6"/>
    <w:rsid w:val="00990F17"/>
    <w:rsid w:val="009912B5"/>
    <w:rsid w:val="00991437"/>
    <w:rsid w:val="009914DC"/>
    <w:rsid w:val="00993E30"/>
    <w:rsid w:val="009A3DA3"/>
    <w:rsid w:val="009A3DE0"/>
    <w:rsid w:val="009B2564"/>
    <w:rsid w:val="009B4C1C"/>
    <w:rsid w:val="009C07AA"/>
    <w:rsid w:val="009C3ECB"/>
    <w:rsid w:val="009C5FAB"/>
    <w:rsid w:val="009C6BDC"/>
    <w:rsid w:val="009C6D8D"/>
    <w:rsid w:val="009D25F6"/>
    <w:rsid w:val="009D3B4B"/>
    <w:rsid w:val="009D4D5E"/>
    <w:rsid w:val="009E56D5"/>
    <w:rsid w:val="009E662A"/>
    <w:rsid w:val="009E7A09"/>
    <w:rsid w:val="009F0910"/>
    <w:rsid w:val="009F17BE"/>
    <w:rsid w:val="009F2679"/>
    <w:rsid w:val="009F41F3"/>
    <w:rsid w:val="00A000D9"/>
    <w:rsid w:val="00A00612"/>
    <w:rsid w:val="00A02D03"/>
    <w:rsid w:val="00A02E94"/>
    <w:rsid w:val="00A057DC"/>
    <w:rsid w:val="00A0725B"/>
    <w:rsid w:val="00A10153"/>
    <w:rsid w:val="00A11EC9"/>
    <w:rsid w:val="00A121FB"/>
    <w:rsid w:val="00A12F69"/>
    <w:rsid w:val="00A17A74"/>
    <w:rsid w:val="00A22A04"/>
    <w:rsid w:val="00A23FCD"/>
    <w:rsid w:val="00A24E49"/>
    <w:rsid w:val="00A25F38"/>
    <w:rsid w:val="00A27411"/>
    <w:rsid w:val="00A27C51"/>
    <w:rsid w:val="00A31048"/>
    <w:rsid w:val="00A33005"/>
    <w:rsid w:val="00A34C99"/>
    <w:rsid w:val="00A36910"/>
    <w:rsid w:val="00A370A6"/>
    <w:rsid w:val="00A375F1"/>
    <w:rsid w:val="00A41B24"/>
    <w:rsid w:val="00A43DC7"/>
    <w:rsid w:val="00A444BF"/>
    <w:rsid w:val="00A5152D"/>
    <w:rsid w:val="00A57205"/>
    <w:rsid w:val="00A57436"/>
    <w:rsid w:val="00A605F9"/>
    <w:rsid w:val="00A60E45"/>
    <w:rsid w:val="00A63BA5"/>
    <w:rsid w:val="00A66EE9"/>
    <w:rsid w:val="00A6714F"/>
    <w:rsid w:val="00A7047C"/>
    <w:rsid w:val="00A7287F"/>
    <w:rsid w:val="00A73844"/>
    <w:rsid w:val="00A76165"/>
    <w:rsid w:val="00A77E6F"/>
    <w:rsid w:val="00A80D20"/>
    <w:rsid w:val="00A83F2E"/>
    <w:rsid w:val="00A8504E"/>
    <w:rsid w:val="00A86EA4"/>
    <w:rsid w:val="00A91A3E"/>
    <w:rsid w:val="00A92139"/>
    <w:rsid w:val="00A95E98"/>
    <w:rsid w:val="00AA01D4"/>
    <w:rsid w:val="00AA2D96"/>
    <w:rsid w:val="00AB0EEC"/>
    <w:rsid w:val="00AB312A"/>
    <w:rsid w:val="00AB5B2F"/>
    <w:rsid w:val="00AB738C"/>
    <w:rsid w:val="00AC240E"/>
    <w:rsid w:val="00AC318C"/>
    <w:rsid w:val="00AC3F10"/>
    <w:rsid w:val="00AC42D0"/>
    <w:rsid w:val="00AC5A44"/>
    <w:rsid w:val="00AC66C5"/>
    <w:rsid w:val="00AD619D"/>
    <w:rsid w:val="00AD6AB3"/>
    <w:rsid w:val="00AD6DA0"/>
    <w:rsid w:val="00AD712B"/>
    <w:rsid w:val="00AE0A63"/>
    <w:rsid w:val="00AE1D02"/>
    <w:rsid w:val="00AE1EF8"/>
    <w:rsid w:val="00AE4EBF"/>
    <w:rsid w:val="00AF0B62"/>
    <w:rsid w:val="00B020FB"/>
    <w:rsid w:val="00B0556F"/>
    <w:rsid w:val="00B06A9C"/>
    <w:rsid w:val="00B07B88"/>
    <w:rsid w:val="00B10C1D"/>
    <w:rsid w:val="00B2516C"/>
    <w:rsid w:val="00B2587E"/>
    <w:rsid w:val="00B300AD"/>
    <w:rsid w:val="00B327D2"/>
    <w:rsid w:val="00B35B22"/>
    <w:rsid w:val="00B36265"/>
    <w:rsid w:val="00B45B74"/>
    <w:rsid w:val="00B53412"/>
    <w:rsid w:val="00B54DC6"/>
    <w:rsid w:val="00B55B57"/>
    <w:rsid w:val="00B567D7"/>
    <w:rsid w:val="00B57693"/>
    <w:rsid w:val="00B61B4E"/>
    <w:rsid w:val="00B70DE9"/>
    <w:rsid w:val="00B74E74"/>
    <w:rsid w:val="00B873B5"/>
    <w:rsid w:val="00B93260"/>
    <w:rsid w:val="00B93F28"/>
    <w:rsid w:val="00B972CB"/>
    <w:rsid w:val="00BA0FD9"/>
    <w:rsid w:val="00BA40D9"/>
    <w:rsid w:val="00BB0BA8"/>
    <w:rsid w:val="00BB37A8"/>
    <w:rsid w:val="00BB6206"/>
    <w:rsid w:val="00BC66F9"/>
    <w:rsid w:val="00BC6820"/>
    <w:rsid w:val="00BC6C03"/>
    <w:rsid w:val="00BC6F02"/>
    <w:rsid w:val="00BC6F77"/>
    <w:rsid w:val="00BD1031"/>
    <w:rsid w:val="00BD455D"/>
    <w:rsid w:val="00BE2CD8"/>
    <w:rsid w:val="00BE2E79"/>
    <w:rsid w:val="00BE36D4"/>
    <w:rsid w:val="00BF212F"/>
    <w:rsid w:val="00BF373E"/>
    <w:rsid w:val="00BF43FA"/>
    <w:rsid w:val="00BF652B"/>
    <w:rsid w:val="00C045BB"/>
    <w:rsid w:val="00C06CB9"/>
    <w:rsid w:val="00C12472"/>
    <w:rsid w:val="00C127E3"/>
    <w:rsid w:val="00C12993"/>
    <w:rsid w:val="00C14194"/>
    <w:rsid w:val="00C1562E"/>
    <w:rsid w:val="00C15C47"/>
    <w:rsid w:val="00C20FD7"/>
    <w:rsid w:val="00C21C6A"/>
    <w:rsid w:val="00C226BA"/>
    <w:rsid w:val="00C25D38"/>
    <w:rsid w:val="00C3203F"/>
    <w:rsid w:val="00C322A8"/>
    <w:rsid w:val="00C342E1"/>
    <w:rsid w:val="00C377A0"/>
    <w:rsid w:val="00C40B0E"/>
    <w:rsid w:val="00C40CCE"/>
    <w:rsid w:val="00C41346"/>
    <w:rsid w:val="00C4210A"/>
    <w:rsid w:val="00C43BD6"/>
    <w:rsid w:val="00C45B16"/>
    <w:rsid w:val="00C45EBD"/>
    <w:rsid w:val="00C466DC"/>
    <w:rsid w:val="00C468DC"/>
    <w:rsid w:val="00C47B12"/>
    <w:rsid w:val="00C534CE"/>
    <w:rsid w:val="00C5415C"/>
    <w:rsid w:val="00C541D9"/>
    <w:rsid w:val="00C62615"/>
    <w:rsid w:val="00C6335B"/>
    <w:rsid w:val="00C63F3D"/>
    <w:rsid w:val="00C645D0"/>
    <w:rsid w:val="00C65119"/>
    <w:rsid w:val="00C67B4F"/>
    <w:rsid w:val="00C71AC0"/>
    <w:rsid w:val="00C72787"/>
    <w:rsid w:val="00C80468"/>
    <w:rsid w:val="00C82510"/>
    <w:rsid w:val="00C83288"/>
    <w:rsid w:val="00C83A49"/>
    <w:rsid w:val="00C846E1"/>
    <w:rsid w:val="00C90211"/>
    <w:rsid w:val="00C90783"/>
    <w:rsid w:val="00C95C0B"/>
    <w:rsid w:val="00CA0927"/>
    <w:rsid w:val="00CA0E05"/>
    <w:rsid w:val="00CA4623"/>
    <w:rsid w:val="00CA4B6A"/>
    <w:rsid w:val="00CA4C0D"/>
    <w:rsid w:val="00CA7A9C"/>
    <w:rsid w:val="00CB007D"/>
    <w:rsid w:val="00CB0544"/>
    <w:rsid w:val="00CB140F"/>
    <w:rsid w:val="00CC1977"/>
    <w:rsid w:val="00CC1F56"/>
    <w:rsid w:val="00CC2185"/>
    <w:rsid w:val="00CC28DD"/>
    <w:rsid w:val="00CC4601"/>
    <w:rsid w:val="00CC75A2"/>
    <w:rsid w:val="00CD2162"/>
    <w:rsid w:val="00CD49EF"/>
    <w:rsid w:val="00CE0348"/>
    <w:rsid w:val="00CE423E"/>
    <w:rsid w:val="00CE67AF"/>
    <w:rsid w:val="00D02747"/>
    <w:rsid w:val="00D029A4"/>
    <w:rsid w:val="00D03FFF"/>
    <w:rsid w:val="00D107B7"/>
    <w:rsid w:val="00D1120B"/>
    <w:rsid w:val="00D11B8A"/>
    <w:rsid w:val="00D14664"/>
    <w:rsid w:val="00D175D4"/>
    <w:rsid w:val="00D226A0"/>
    <w:rsid w:val="00D27175"/>
    <w:rsid w:val="00D304CE"/>
    <w:rsid w:val="00D3157C"/>
    <w:rsid w:val="00D32626"/>
    <w:rsid w:val="00D33D96"/>
    <w:rsid w:val="00D35671"/>
    <w:rsid w:val="00D364E5"/>
    <w:rsid w:val="00D37658"/>
    <w:rsid w:val="00D41184"/>
    <w:rsid w:val="00D42666"/>
    <w:rsid w:val="00D428E9"/>
    <w:rsid w:val="00D434B3"/>
    <w:rsid w:val="00D47CF4"/>
    <w:rsid w:val="00D5212F"/>
    <w:rsid w:val="00D52D57"/>
    <w:rsid w:val="00D52EB8"/>
    <w:rsid w:val="00D53012"/>
    <w:rsid w:val="00D543E3"/>
    <w:rsid w:val="00D557FA"/>
    <w:rsid w:val="00D56D8A"/>
    <w:rsid w:val="00D6208B"/>
    <w:rsid w:val="00D6323D"/>
    <w:rsid w:val="00D65736"/>
    <w:rsid w:val="00D67916"/>
    <w:rsid w:val="00D70277"/>
    <w:rsid w:val="00D7082A"/>
    <w:rsid w:val="00D76498"/>
    <w:rsid w:val="00D86780"/>
    <w:rsid w:val="00D86E4E"/>
    <w:rsid w:val="00D878B0"/>
    <w:rsid w:val="00D94156"/>
    <w:rsid w:val="00D94439"/>
    <w:rsid w:val="00DA15E3"/>
    <w:rsid w:val="00DB4813"/>
    <w:rsid w:val="00DB6228"/>
    <w:rsid w:val="00DC5F49"/>
    <w:rsid w:val="00DC77D8"/>
    <w:rsid w:val="00DC7BEC"/>
    <w:rsid w:val="00DE073C"/>
    <w:rsid w:val="00DE16E9"/>
    <w:rsid w:val="00DE4365"/>
    <w:rsid w:val="00DE4C6F"/>
    <w:rsid w:val="00E01B46"/>
    <w:rsid w:val="00E05F95"/>
    <w:rsid w:val="00E06324"/>
    <w:rsid w:val="00E109B2"/>
    <w:rsid w:val="00E11C47"/>
    <w:rsid w:val="00E1400B"/>
    <w:rsid w:val="00E17B51"/>
    <w:rsid w:val="00E2249A"/>
    <w:rsid w:val="00E2474A"/>
    <w:rsid w:val="00E271BE"/>
    <w:rsid w:val="00E30C20"/>
    <w:rsid w:val="00E30E91"/>
    <w:rsid w:val="00E30EBB"/>
    <w:rsid w:val="00E32B5E"/>
    <w:rsid w:val="00E33420"/>
    <w:rsid w:val="00E33D2F"/>
    <w:rsid w:val="00E35D4E"/>
    <w:rsid w:val="00E363D3"/>
    <w:rsid w:val="00E41E7A"/>
    <w:rsid w:val="00E4272F"/>
    <w:rsid w:val="00E42FD5"/>
    <w:rsid w:val="00E503CA"/>
    <w:rsid w:val="00E57717"/>
    <w:rsid w:val="00E6040B"/>
    <w:rsid w:val="00E610C7"/>
    <w:rsid w:val="00E66C39"/>
    <w:rsid w:val="00E67AC7"/>
    <w:rsid w:val="00E70CC7"/>
    <w:rsid w:val="00E727B4"/>
    <w:rsid w:val="00E758B8"/>
    <w:rsid w:val="00E773A0"/>
    <w:rsid w:val="00E77F0E"/>
    <w:rsid w:val="00E82285"/>
    <w:rsid w:val="00E85022"/>
    <w:rsid w:val="00E85235"/>
    <w:rsid w:val="00E91702"/>
    <w:rsid w:val="00E9493D"/>
    <w:rsid w:val="00EA48FC"/>
    <w:rsid w:val="00EA69C3"/>
    <w:rsid w:val="00EB0D59"/>
    <w:rsid w:val="00EB2203"/>
    <w:rsid w:val="00EB3CD1"/>
    <w:rsid w:val="00EB3FD4"/>
    <w:rsid w:val="00EB5501"/>
    <w:rsid w:val="00EB75FE"/>
    <w:rsid w:val="00EC031D"/>
    <w:rsid w:val="00EC2985"/>
    <w:rsid w:val="00EC33B7"/>
    <w:rsid w:val="00EC366B"/>
    <w:rsid w:val="00EC5738"/>
    <w:rsid w:val="00EC5BA4"/>
    <w:rsid w:val="00ED063F"/>
    <w:rsid w:val="00ED7CDD"/>
    <w:rsid w:val="00ED7FF2"/>
    <w:rsid w:val="00EE7F07"/>
    <w:rsid w:val="00EF18F6"/>
    <w:rsid w:val="00EF6E58"/>
    <w:rsid w:val="00F00DC9"/>
    <w:rsid w:val="00F03A6F"/>
    <w:rsid w:val="00F078B5"/>
    <w:rsid w:val="00F12E05"/>
    <w:rsid w:val="00F15CE1"/>
    <w:rsid w:val="00F15F42"/>
    <w:rsid w:val="00F1642E"/>
    <w:rsid w:val="00F1677C"/>
    <w:rsid w:val="00F22E84"/>
    <w:rsid w:val="00F24F9C"/>
    <w:rsid w:val="00F30AB9"/>
    <w:rsid w:val="00F361CB"/>
    <w:rsid w:val="00F3751F"/>
    <w:rsid w:val="00F448F4"/>
    <w:rsid w:val="00F50FEA"/>
    <w:rsid w:val="00F51A53"/>
    <w:rsid w:val="00F52C04"/>
    <w:rsid w:val="00F53597"/>
    <w:rsid w:val="00F56C74"/>
    <w:rsid w:val="00F57207"/>
    <w:rsid w:val="00F5747F"/>
    <w:rsid w:val="00F606DB"/>
    <w:rsid w:val="00F63A66"/>
    <w:rsid w:val="00F644D9"/>
    <w:rsid w:val="00F656A9"/>
    <w:rsid w:val="00F66DF8"/>
    <w:rsid w:val="00F67ECF"/>
    <w:rsid w:val="00F70120"/>
    <w:rsid w:val="00F72138"/>
    <w:rsid w:val="00F72CA9"/>
    <w:rsid w:val="00F73E58"/>
    <w:rsid w:val="00F74539"/>
    <w:rsid w:val="00F842CC"/>
    <w:rsid w:val="00F8543D"/>
    <w:rsid w:val="00F86C2F"/>
    <w:rsid w:val="00F9086D"/>
    <w:rsid w:val="00F908C4"/>
    <w:rsid w:val="00F9496E"/>
    <w:rsid w:val="00F96741"/>
    <w:rsid w:val="00FA211A"/>
    <w:rsid w:val="00FA215F"/>
    <w:rsid w:val="00FA390E"/>
    <w:rsid w:val="00FA3A5D"/>
    <w:rsid w:val="00FA5054"/>
    <w:rsid w:val="00FA6FA2"/>
    <w:rsid w:val="00FB1764"/>
    <w:rsid w:val="00FB5172"/>
    <w:rsid w:val="00FB698D"/>
    <w:rsid w:val="00FC0283"/>
    <w:rsid w:val="00FC076E"/>
    <w:rsid w:val="00FC11EF"/>
    <w:rsid w:val="00FC24B4"/>
    <w:rsid w:val="00FC2B68"/>
    <w:rsid w:val="00FC49E1"/>
    <w:rsid w:val="00FD1537"/>
    <w:rsid w:val="00FD7AFE"/>
    <w:rsid w:val="00FE0ABD"/>
    <w:rsid w:val="00FE12EB"/>
    <w:rsid w:val="00FE1A58"/>
    <w:rsid w:val="00FE2D4E"/>
    <w:rsid w:val="00FE3AFA"/>
    <w:rsid w:val="00FE6D8D"/>
    <w:rsid w:val="00FF362B"/>
    <w:rsid w:val="01487061"/>
    <w:rsid w:val="017D4F5C"/>
    <w:rsid w:val="019E4ED3"/>
    <w:rsid w:val="01B31EA0"/>
    <w:rsid w:val="01C71945"/>
    <w:rsid w:val="022278B2"/>
    <w:rsid w:val="0227311A"/>
    <w:rsid w:val="02497534"/>
    <w:rsid w:val="026558D4"/>
    <w:rsid w:val="0295277A"/>
    <w:rsid w:val="02AD361F"/>
    <w:rsid w:val="02F079B0"/>
    <w:rsid w:val="0314369E"/>
    <w:rsid w:val="03230731"/>
    <w:rsid w:val="0332621A"/>
    <w:rsid w:val="03547F3F"/>
    <w:rsid w:val="037C1244"/>
    <w:rsid w:val="03CF5817"/>
    <w:rsid w:val="03FF60FC"/>
    <w:rsid w:val="040631D7"/>
    <w:rsid w:val="041D2A27"/>
    <w:rsid w:val="042C4A18"/>
    <w:rsid w:val="056918C9"/>
    <w:rsid w:val="05746809"/>
    <w:rsid w:val="05A21435"/>
    <w:rsid w:val="05B922DB"/>
    <w:rsid w:val="065344DE"/>
    <w:rsid w:val="066A7A79"/>
    <w:rsid w:val="06734B80"/>
    <w:rsid w:val="06A50AB1"/>
    <w:rsid w:val="06ED4932"/>
    <w:rsid w:val="074A1D85"/>
    <w:rsid w:val="084E1401"/>
    <w:rsid w:val="086C4384"/>
    <w:rsid w:val="0955056D"/>
    <w:rsid w:val="098B3F8E"/>
    <w:rsid w:val="09D73678"/>
    <w:rsid w:val="09EA33AB"/>
    <w:rsid w:val="0A4505E1"/>
    <w:rsid w:val="0AB93C3A"/>
    <w:rsid w:val="0B397F4D"/>
    <w:rsid w:val="0B5C5BE2"/>
    <w:rsid w:val="0B7C44D7"/>
    <w:rsid w:val="0B8B64C8"/>
    <w:rsid w:val="0BB80875"/>
    <w:rsid w:val="0C061FF2"/>
    <w:rsid w:val="0C3D1EB8"/>
    <w:rsid w:val="0C5E1E2E"/>
    <w:rsid w:val="0C8952EC"/>
    <w:rsid w:val="0CC55A09"/>
    <w:rsid w:val="0D074274"/>
    <w:rsid w:val="0D110C4F"/>
    <w:rsid w:val="0D673E7E"/>
    <w:rsid w:val="0D7F205C"/>
    <w:rsid w:val="0D837D9E"/>
    <w:rsid w:val="0DBD4932"/>
    <w:rsid w:val="0DC70C8E"/>
    <w:rsid w:val="0DF13BA7"/>
    <w:rsid w:val="0E034A3B"/>
    <w:rsid w:val="0E26697C"/>
    <w:rsid w:val="0E43308A"/>
    <w:rsid w:val="0E52151F"/>
    <w:rsid w:val="0E701D89"/>
    <w:rsid w:val="0E8F62CF"/>
    <w:rsid w:val="0E9B1118"/>
    <w:rsid w:val="0EAC6E81"/>
    <w:rsid w:val="0EED1247"/>
    <w:rsid w:val="0F056591"/>
    <w:rsid w:val="0F20786F"/>
    <w:rsid w:val="0F661726"/>
    <w:rsid w:val="0F751969"/>
    <w:rsid w:val="0FCB3337"/>
    <w:rsid w:val="101A42BE"/>
    <w:rsid w:val="104B4477"/>
    <w:rsid w:val="10CD30DE"/>
    <w:rsid w:val="10D2137D"/>
    <w:rsid w:val="113E3FDC"/>
    <w:rsid w:val="114E06C3"/>
    <w:rsid w:val="11733C86"/>
    <w:rsid w:val="11965BC6"/>
    <w:rsid w:val="11BF336F"/>
    <w:rsid w:val="11C269BB"/>
    <w:rsid w:val="11DB182B"/>
    <w:rsid w:val="123E24E6"/>
    <w:rsid w:val="128679E9"/>
    <w:rsid w:val="13174AE5"/>
    <w:rsid w:val="131B45D5"/>
    <w:rsid w:val="14180B15"/>
    <w:rsid w:val="145558C5"/>
    <w:rsid w:val="148B7538"/>
    <w:rsid w:val="14A423A8"/>
    <w:rsid w:val="15670DB0"/>
    <w:rsid w:val="157E0E4B"/>
    <w:rsid w:val="15892E91"/>
    <w:rsid w:val="15D373E9"/>
    <w:rsid w:val="15EC2259"/>
    <w:rsid w:val="16481B85"/>
    <w:rsid w:val="16A30ACD"/>
    <w:rsid w:val="16B03286"/>
    <w:rsid w:val="16BC7E7D"/>
    <w:rsid w:val="172872C1"/>
    <w:rsid w:val="177E5132"/>
    <w:rsid w:val="18D07C10"/>
    <w:rsid w:val="192817FA"/>
    <w:rsid w:val="1929525A"/>
    <w:rsid w:val="193B777F"/>
    <w:rsid w:val="196D36B1"/>
    <w:rsid w:val="19D618FD"/>
    <w:rsid w:val="19F94F44"/>
    <w:rsid w:val="1A8A3DEE"/>
    <w:rsid w:val="1AD5150D"/>
    <w:rsid w:val="1ADF238C"/>
    <w:rsid w:val="1AE71241"/>
    <w:rsid w:val="1B040045"/>
    <w:rsid w:val="1B8F49C6"/>
    <w:rsid w:val="1C19367C"/>
    <w:rsid w:val="1C314E69"/>
    <w:rsid w:val="1CC23D13"/>
    <w:rsid w:val="1D3C5874"/>
    <w:rsid w:val="1D5F77B4"/>
    <w:rsid w:val="1D686669"/>
    <w:rsid w:val="1D976F4E"/>
    <w:rsid w:val="1E7D6144"/>
    <w:rsid w:val="1ED0096A"/>
    <w:rsid w:val="1EEC32CA"/>
    <w:rsid w:val="1F0E4FEE"/>
    <w:rsid w:val="1F6D440A"/>
    <w:rsid w:val="1F707A57"/>
    <w:rsid w:val="1FD224BF"/>
    <w:rsid w:val="1FE67D19"/>
    <w:rsid w:val="20086079"/>
    <w:rsid w:val="203E7B55"/>
    <w:rsid w:val="20586E69"/>
    <w:rsid w:val="20A53730"/>
    <w:rsid w:val="21336F8E"/>
    <w:rsid w:val="217E5254"/>
    <w:rsid w:val="21C83B7A"/>
    <w:rsid w:val="21EA1D42"/>
    <w:rsid w:val="220646A2"/>
    <w:rsid w:val="22121299"/>
    <w:rsid w:val="22821F7B"/>
    <w:rsid w:val="22A75EA3"/>
    <w:rsid w:val="22DF268F"/>
    <w:rsid w:val="230F7587"/>
    <w:rsid w:val="237F67AF"/>
    <w:rsid w:val="241237D2"/>
    <w:rsid w:val="2423153B"/>
    <w:rsid w:val="2443398C"/>
    <w:rsid w:val="246B4024"/>
    <w:rsid w:val="24B2466D"/>
    <w:rsid w:val="24C17028"/>
    <w:rsid w:val="25B82157"/>
    <w:rsid w:val="2629095F"/>
    <w:rsid w:val="262D48F3"/>
    <w:rsid w:val="26396DF4"/>
    <w:rsid w:val="26881B2A"/>
    <w:rsid w:val="26D11723"/>
    <w:rsid w:val="26D66D39"/>
    <w:rsid w:val="26FE3B9A"/>
    <w:rsid w:val="273870AC"/>
    <w:rsid w:val="276205CD"/>
    <w:rsid w:val="27893DAB"/>
    <w:rsid w:val="27D45508"/>
    <w:rsid w:val="28017DE6"/>
    <w:rsid w:val="28137B19"/>
    <w:rsid w:val="282B09BF"/>
    <w:rsid w:val="283C2BCC"/>
    <w:rsid w:val="28802805"/>
    <w:rsid w:val="28D472A8"/>
    <w:rsid w:val="28ED3EC6"/>
    <w:rsid w:val="29194CBB"/>
    <w:rsid w:val="295E3016"/>
    <w:rsid w:val="298365D8"/>
    <w:rsid w:val="29A0609E"/>
    <w:rsid w:val="29F00112"/>
    <w:rsid w:val="2A383867"/>
    <w:rsid w:val="2A63351A"/>
    <w:rsid w:val="2AA66A22"/>
    <w:rsid w:val="2ACB46DB"/>
    <w:rsid w:val="2AD24D22"/>
    <w:rsid w:val="2AE8528D"/>
    <w:rsid w:val="2B7E50A1"/>
    <w:rsid w:val="2BFD6B16"/>
    <w:rsid w:val="2C536736"/>
    <w:rsid w:val="2C8114F5"/>
    <w:rsid w:val="2C923702"/>
    <w:rsid w:val="2C940DCC"/>
    <w:rsid w:val="2D6055AE"/>
    <w:rsid w:val="2D7921CC"/>
    <w:rsid w:val="2DAA6F41"/>
    <w:rsid w:val="2DAE631A"/>
    <w:rsid w:val="2DC72F38"/>
    <w:rsid w:val="2DF16206"/>
    <w:rsid w:val="2E031CF0"/>
    <w:rsid w:val="2E075A2A"/>
    <w:rsid w:val="2E165C6D"/>
    <w:rsid w:val="2E5C2F31"/>
    <w:rsid w:val="2EB11931"/>
    <w:rsid w:val="2EBD433B"/>
    <w:rsid w:val="2ED022C0"/>
    <w:rsid w:val="2EFA76D2"/>
    <w:rsid w:val="2F0D52C2"/>
    <w:rsid w:val="2F2E6FE6"/>
    <w:rsid w:val="2F6D5D61"/>
    <w:rsid w:val="2F9432ED"/>
    <w:rsid w:val="300E30A0"/>
    <w:rsid w:val="302E3742"/>
    <w:rsid w:val="30443FDF"/>
    <w:rsid w:val="30BE73BE"/>
    <w:rsid w:val="30DD2A72"/>
    <w:rsid w:val="30EB33E1"/>
    <w:rsid w:val="30F304E8"/>
    <w:rsid w:val="31E57E30"/>
    <w:rsid w:val="320C1861"/>
    <w:rsid w:val="32284BF5"/>
    <w:rsid w:val="32496611"/>
    <w:rsid w:val="324B5E23"/>
    <w:rsid w:val="32700042"/>
    <w:rsid w:val="32841131"/>
    <w:rsid w:val="32AA2E28"/>
    <w:rsid w:val="32D22AAA"/>
    <w:rsid w:val="3369683F"/>
    <w:rsid w:val="343230D5"/>
    <w:rsid w:val="343E1A7A"/>
    <w:rsid w:val="345474EF"/>
    <w:rsid w:val="34A51AF9"/>
    <w:rsid w:val="34A90093"/>
    <w:rsid w:val="35A95619"/>
    <w:rsid w:val="366652B8"/>
    <w:rsid w:val="367D2D2D"/>
    <w:rsid w:val="368A369C"/>
    <w:rsid w:val="372E4027"/>
    <w:rsid w:val="378E4AC6"/>
    <w:rsid w:val="37CD1A92"/>
    <w:rsid w:val="385C2E16"/>
    <w:rsid w:val="38710670"/>
    <w:rsid w:val="38A071A7"/>
    <w:rsid w:val="38DF7CCF"/>
    <w:rsid w:val="390E4110"/>
    <w:rsid w:val="39227BBC"/>
    <w:rsid w:val="3A86417A"/>
    <w:rsid w:val="3ABB02C8"/>
    <w:rsid w:val="3B1F4F9D"/>
    <w:rsid w:val="3B765F9D"/>
    <w:rsid w:val="3BD827B4"/>
    <w:rsid w:val="3BF375EE"/>
    <w:rsid w:val="3C1F6635"/>
    <w:rsid w:val="3C5C33E5"/>
    <w:rsid w:val="3C720E5A"/>
    <w:rsid w:val="3CF07013"/>
    <w:rsid w:val="3D0C34BC"/>
    <w:rsid w:val="3D622C7D"/>
    <w:rsid w:val="3DA23079"/>
    <w:rsid w:val="3E3E7246"/>
    <w:rsid w:val="3E7E7642"/>
    <w:rsid w:val="3ECE4ADB"/>
    <w:rsid w:val="3EE85404"/>
    <w:rsid w:val="3F0264C5"/>
    <w:rsid w:val="3F520ACF"/>
    <w:rsid w:val="3FB20368"/>
    <w:rsid w:val="3FEE6A4A"/>
    <w:rsid w:val="40760500"/>
    <w:rsid w:val="408B6047"/>
    <w:rsid w:val="41253E3C"/>
    <w:rsid w:val="4162324B"/>
    <w:rsid w:val="41A47EAA"/>
    <w:rsid w:val="41B94E35"/>
    <w:rsid w:val="41C757A4"/>
    <w:rsid w:val="423D1B0D"/>
    <w:rsid w:val="42530DE6"/>
    <w:rsid w:val="42D31F27"/>
    <w:rsid w:val="42F223AD"/>
    <w:rsid w:val="42F500EF"/>
    <w:rsid w:val="43087E22"/>
    <w:rsid w:val="43596C77"/>
    <w:rsid w:val="438104E1"/>
    <w:rsid w:val="43893EEA"/>
    <w:rsid w:val="43A13550"/>
    <w:rsid w:val="43E066A9"/>
    <w:rsid w:val="43E1166D"/>
    <w:rsid w:val="43F108B7"/>
    <w:rsid w:val="44255497"/>
    <w:rsid w:val="44316F05"/>
    <w:rsid w:val="44421112"/>
    <w:rsid w:val="450E5498"/>
    <w:rsid w:val="45194C57"/>
    <w:rsid w:val="459B4F7E"/>
    <w:rsid w:val="45F56F48"/>
    <w:rsid w:val="463B22BD"/>
    <w:rsid w:val="46AE2A8F"/>
    <w:rsid w:val="46C027C2"/>
    <w:rsid w:val="471548BC"/>
    <w:rsid w:val="471843AC"/>
    <w:rsid w:val="47887784"/>
    <w:rsid w:val="4792415F"/>
    <w:rsid w:val="47BC11DC"/>
    <w:rsid w:val="47D429C9"/>
    <w:rsid w:val="48B545A9"/>
    <w:rsid w:val="48CE7418"/>
    <w:rsid w:val="48F75BD9"/>
    <w:rsid w:val="49172B6D"/>
    <w:rsid w:val="499917D4"/>
    <w:rsid w:val="49EC3FFA"/>
    <w:rsid w:val="4A1E7F2C"/>
    <w:rsid w:val="4A275032"/>
    <w:rsid w:val="4A5646C6"/>
    <w:rsid w:val="4A9D70A2"/>
    <w:rsid w:val="4AB34B18"/>
    <w:rsid w:val="4AF8077D"/>
    <w:rsid w:val="4B0C5FD6"/>
    <w:rsid w:val="4B447E66"/>
    <w:rsid w:val="4B614574"/>
    <w:rsid w:val="4B78366B"/>
    <w:rsid w:val="4BD905AE"/>
    <w:rsid w:val="4BF058F8"/>
    <w:rsid w:val="4C3954F1"/>
    <w:rsid w:val="4C5D7084"/>
    <w:rsid w:val="4C987480"/>
    <w:rsid w:val="4CC21042"/>
    <w:rsid w:val="4D243AAB"/>
    <w:rsid w:val="4D4B2839"/>
    <w:rsid w:val="4DBA61BD"/>
    <w:rsid w:val="4E086F29"/>
    <w:rsid w:val="4E8F764A"/>
    <w:rsid w:val="4F1D07B2"/>
    <w:rsid w:val="4F251D5C"/>
    <w:rsid w:val="4F532425"/>
    <w:rsid w:val="4F552641"/>
    <w:rsid w:val="4F870321"/>
    <w:rsid w:val="4FA669F9"/>
    <w:rsid w:val="4FB70C06"/>
    <w:rsid w:val="4FF97471"/>
    <w:rsid w:val="50297C96"/>
    <w:rsid w:val="50302767"/>
    <w:rsid w:val="504D156B"/>
    <w:rsid w:val="50854D82"/>
    <w:rsid w:val="50A218B6"/>
    <w:rsid w:val="50CA2BBB"/>
    <w:rsid w:val="50CA4969"/>
    <w:rsid w:val="51A21442"/>
    <w:rsid w:val="51B64EEE"/>
    <w:rsid w:val="51D830B6"/>
    <w:rsid w:val="523C1897"/>
    <w:rsid w:val="52426781"/>
    <w:rsid w:val="52CF6267"/>
    <w:rsid w:val="53CC1B9A"/>
    <w:rsid w:val="53DB0C3B"/>
    <w:rsid w:val="542B1BC3"/>
    <w:rsid w:val="545350F0"/>
    <w:rsid w:val="54662BFB"/>
    <w:rsid w:val="54A84109"/>
    <w:rsid w:val="54A93F3B"/>
    <w:rsid w:val="54F75F49"/>
    <w:rsid w:val="55142657"/>
    <w:rsid w:val="555111B5"/>
    <w:rsid w:val="55564A1D"/>
    <w:rsid w:val="55603AEE"/>
    <w:rsid w:val="5575291E"/>
    <w:rsid w:val="56020701"/>
    <w:rsid w:val="56466840"/>
    <w:rsid w:val="565076BF"/>
    <w:rsid w:val="566273F2"/>
    <w:rsid w:val="56FD4225"/>
    <w:rsid w:val="573E1C0D"/>
    <w:rsid w:val="576F0018"/>
    <w:rsid w:val="5778511F"/>
    <w:rsid w:val="57914433"/>
    <w:rsid w:val="57D90083"/>
    <w:rsid w:val="58711B6E"/>
    <w:rsid w:val="58B33A31"/>
    <w:rsid w:val="58ED5699"/>
    <w:rsid w:val="597D4C6F"/>
    <w:rsid w:val="597F06B7"/>
    <w:rsid w:val="598B6C60"/>
    <w:rsid w:val="59AC5554"/>
    <w:rsid w:val="59D638F6"/>
    <w:rsid w:val="5A643739"/>
    <w:rsid w:val="5A706581"/>
    <w:rsid w:val="5AA247F9"/>
    <w:rsid w:val="5AC63640"/>
    <w:rsid w:val="5B10566E"/>
    <w:rsid w:val="5B5A4B3C"/>
    <w:rsid w:val="5B926952"/>
    <w:rsid w:val="5B9462A0"/>
    <w:rsid w:val="5BDB5C7C"/>
    <w:rsid w:val="5BFD0E7B"/>
    <w:rsid w:val="5C361105"/>
    <w:rsid w:val="5C381321"/>
    <w:rsid w:val="5C3D6937"/>
    <w:rsid w:val="5CB0535B"/>
    <w:rsid w:val="5CC46711"/>
    <w:rsid w:val="5CE96177"/>
    <w:rsid w:val="5D170F36"/>
    <w:rsid w:val="5D6879E4"/>
    <w:rsid w:val="5D880074"/>
    <w:rsid w:val="5D9C768D"/>
    <w:rsid w:val="5E145476"/>
    <w:rsid w:val="5E6F3446"/>
    <w:rsid w:val="5E8819C0"/>
    <w:rsid w:val="5E9A1E1F"/>
    <w:rsid w:val="5EA44A4C"/>
    <w:rsid w:val="5EA467FA"/>
    <w:rsid w:val="5EB032A3"/>
    <w:rsid w:val="5F011E9E"/>
    <w:rsid w:val="5F8B0797"/>
    <w:rsid w:val="5FD473D2"/>
    <w:rsid w:val="5FE1582B"/>
    <w:rsid w:val="6052563D"/>
    <w:rsid w:val="60F03F78"/>
    <w:rsid w:val="611D0AE5"/>
    <w:rsid w:val="61493688"/>
    <w:rsid w:val="617947F2"/>
    <w:rsid w:val="61A9664A"/>
    <w:rsid w:val="61AD3C17"/>
    <w:rsid w:val="61E67129"/>
    <w:rsid w:val="61F60246"/>
    <w:rsid w:val="62165C60"/>
    <w:rsid w:val="62404A8B"/>
    <w:rsid w:val="62514C75"/>
    <w:rsid w:val="62F85366"/>
    <w:rsid w:val="63260125"/>
    <w:rsid w:val="632C5010"/>
    <w:rsid w:val="634412E8"/>
    <w:rsid w:val="639257BA"/>
    <w:rsid w:val="63D01E3F"/>
    <w:rsid w:val="63D57455"/>
    <w:rsid w:val="63E36016"/>
    <w:rsid w:val="63FB1729"/>
    <w:rsid w:val="64340B77"/>
    <w:rsid w:val="64632CB3"/>
    <w:rsid w:val="647C1FC7"/>
    <w:rsid w:val="64BE613B"/>
    <w:rsid w:val="64DB6CED"/>
    <w:rsid w:val="6545060B"/>
    <w:rsid w:val="654B3E73"/>
    <w:rsid w:val="6580532C"/>
    <w:rsid w:val="662E7568"/>
    <w:rsid w:val="670858C3"/>
    <w:rsid w:val="67360434"/>
    <w:rsid w:val="674D37A6"/>
    <w:rsid w:val="67E05761"/>
    <w:rsid w:val="67EB193A"/>
    <w:rsid w:val="681E6D9B"/>
    <w:rsid w:val="688558EE"/>
    <w:rsid w:val="68E05E96"/>
    <w:rsid w:val="6931512E"/>
    <w:rsid w:val="69AB1384"/>
    <w:rsid w:val="69B018C1"/>
    <w:rsid w:val="69E74C9F"/>
    <w:rsid w:val="6A026ACA"/>
    <w:rsid w:val="6A38073E"/>
    <w:rsid w:val="6AA81420"/>
    <w:rsid w:val="6ACF6ACB"/>
    <w:rsid w:val="6AEA7C8A"/>
    <w:rsid w:val="6B2A7872"/>
    <w:rsid w:val="6BD46244"/>
    <w:rsid w:val="6BEC5C84"/>
    <w:rsid w:val="6C076B5D"/>
    <w:rsid w:val="6C1D48F5"/>
    <w:rsid w:val="6C240F7A"/>
    <w:rsid w:val="6C8F526F"/>
    <w:rsid w:val="6C9500C9"/>
    <w:rsid w:val="6C983716"/>
    <w:rsid w:val="6C9B27B9"/>
    <w:rsid w:val="6CAE4CE7"/>
    <w:rsid w:val="6CF7043C"/>
    <w:rsid w:val="6CFA7F2C"/>
    <w:rsid w:val="6D487076"/>
    <w:rsid w:val="6D667370"/>
    <w:rsid w:val="6DC5053A"/>
    <w:rsid w:val="6DE07122"/>
    <w:rsid w:val="6E142972"/>
    <w:rsid w:val="6E2656F3"/>
    <w:rsid w:val="6E2C2368"/>
    <w:rsid w:val="6E445903"/>
    <w:rsid w:val="6E7D0E15"/>
    <w:rsid w:val="6E867CCA"/>
    <w:rsid w:val="6EAD16FA"/>
    <w:rsid w:val="6ED21161"/>
    <w:rsid w:val="6F285225"/>
    <w:rsid w:val="6F347726"/>
    <w:rsid w:val="6F5002D8"/>
    <w:rsid w:val="6F59718C"/>
    <w:rsid w:val="6F773AB6"/>
    <w:rsid w:val="6F8D5088"/>
    <w:rsid w:val="6FF46EB5"/>
    <w:rsid w:val="70090BB2"/>
    <w:rsid w:val="70716758"/>
    <w:rsid w:val="70903082"/>
    <w:rsid w:val="70DD5B9B"/>
    <w:rsid w:val="70E4517B"/>
    <w:rsid w:val="716167CC"/>
    <w:rsid w:val="717402AD"/>
    <w:rsid w:val="71744751"/>
    <w:rsid w:val="718F158B"/>
    <w:rsid w:val="71BD72E2"/>
    <w:rsid w:val="71EF3DD8"/>
    <w:rsid w:val="72536115"/>
    <w:rsid w:val="72C05E22"/>
    <w:rsid w:val="72F42ADE"/>
    <w:rsid w:val="72F9501D"/>
    <w:rsid w:val="733D0B73"/>
    <w:rsid w:val="7349576A"/>
    <w:rsid w:val="735A34D3"/>
    <w:rsid w:val="73CD0149"/>
    <w:rsid w:val="74F55BA9"/>
    <w:rsid w:val="757B6B58"/>
    <w:rsid w:val="75894543"/>
    <w:rsid w:val="758D7B90"/>
    <w:rsid w:val="759C6025"/>
    <w:rsid w:val="75DB4D9F"/>
    <w:rsid w:val="75F23E97"/>
    <w:rsid w:val="76481691"/>
    <w:rsid w:val="765E777E"/>
    <w:rsid w:val="76A2766B"/>
    <w:rsid w:val="76B33626"/>
    <w:rsid w:val="76CA0970"/>
    <w:rsid w:val="770C0F88"/>
    <w:rsid w:val="776A072F"/>
    <w:rsid w:val="77846D70"/>
    <w:rsid w:val="779372B6"/>
    <w:rsid w:val="77FB188A"/>
    <w:rsid w:val="782F3180"/>
    <w:rsid w:val="792F71B0"/>
    <w:rsid w:val="7A146AD1"/>
    <w:rsid w:val="7A560E98"/>
    <w:rsid w:val="7A652E89"/>
    <w:rsid w:val="7A990D85"/>
    <w:rsid w:val="7AD3663F"/>
    <w:rsid w:val="7AE67CE9"/>
    <w:rsid w:val="7B430CF1"/>
    <w:rsid w:val="7BA23C69"/>
    <w:rsid w:val="7C091F3A"/>
    <w:rsid w:val="7C392FCB"/>
    <w:rsid w:val="7C49196C"/>
    <w:rsid w:val="7C701FB9"/>
    <w:rsid w:val="7C865339"/>
    <w:rsid w:val="7D0C7F34"/>
    <w:rsid w:val="7DD32800"/>
    <w:rsid w:val="7E1E7F1F"/>
    <w:rsid w:val="7E265025"/>
    <w:rsid w:val="7E971A7F"/>
    <w:rsid w:val="7F2E23E3"/>
    <w:rsid w:val="7F65392B"/>
    <w:rsid w:val="7F6F6558"/>
    <w:rsid w:val="7FCF60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Times New Roman" w:eastAsia="仿宋" w:cs="Times New Roman"/>
      <w:kern w:val="30"/>
      <w:sz w:val="30"/>
      <w:szCs w:val="21"/>
      <w:lang w:val="en-US" w:eastAsia="zh-CN" w:bidi="ar-SA"/>
    </w:rPr>
  </w:style>
  <w:style w:type="paragraph" w:styleId="3">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5"/>
    <w:autoRedefine/>
    <w:qFormat/>
    <w:uiPriority w:val="99"/>
    <w:pPr>
      <w:keepNext/>
      <w:keepLines/>
      <w:spacing w:before="260" w:after="260" w:line="416" w:lineRule="auto"/>
      <w:outlineLvl w:val="1"/>
    </w:pPr>
    <w:rPr>
      <w:rFonts w:ascii="Cambria" w:hAnsi="Cambria"/>
      <w:b/>
      <w:bCs/>
      <w:kern w:val="0"/>
      <w:sz w:val="32"/>
      <w:szCs w:val="32"/>
    </w:rPr>
  </w:style>
  <w:style w:type="paragraph" w:styleId="5">
    <w:name w:val="heading 3"/>
    <w:basedOn w:val="1"/>
    <w:next w:val="1"/>
    <w:link w:val="36"/>
    <w:autoRedefine/>
    <w:qFormat/>
    <w:uiPriority w:val="99"/>
    <w:pPr>
      <w:keepNext/>
      <w:keepLines/>
      <w:spacing w:before="260" w:after="260" w:line="416" w:lineRule="auto"/>
      <w:outlineLvl w:val="2"/>
    </w:pPr>
    <w:rPr>
      <w:b/>
      <w:bCs/>
      <w:kern w:val="0"/>
      <w:sz w:val="32"/>
      <w:szCs w:val="32"/>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customStyle="1" w:styleId="2">
    <w:name w:val="脚注文本1"/>
    <w:autoRedefine/>
    <w:qFormat/>
    <w:uiPriority w:val="0"/>
    <w:pPr>
      <w:widowControl w:val="0"/>
      <w:snapToGrid w:val="0"/>
      <w:jc w:val="left"/>
    </w:pPr>
    <w:rPr>
      <w:rFonts w:ascii="Calibri" w:hAnsi="Calibri" w:eastAsia="宋体" w:cs="Times New Roman"/>
      <w:kern w:val="2"/>
      <w:sz w:val="18"/>
      <w:szCs w:val="24"/>
      <w:lang w:val="en-US" w:eastAsia="zh-CN" w:bidi="ar-SA"/>
    </w:rPr>
  </w:style>
  <w:style w:type="paragraph" w:styleId="6">
    <w:name w:val="Normal Indent"/>
    <w:basedOn w:val="1"/>
    <w:autoRedefine/>
    <w:qFormat/>
    <w:uiPriority w:val="0"/>
    <w:pPr>
      <w:ind w:firstLine="420"/>
    </w:pPr>
    <w:rPr>
      <w:szCs w:val="20"/>
    </w:rPr>
  </w:style>
  <w:style w:type="paragraph" w:styleId="7">
    <w:name w:val="Document Map"/>
    <w:basedOn w:val="1"/>
    <w:link w:val="42"/>
    <w:autoRedefine/>
    <w:semiHidden/>
    <w:unhideWhenUsed/>
    <w:qFormat/>
    <w:uiPriority w:val="99"/>
    <w:rPr>
      <w:rFonts w:ascii="宋体"/>
      <w:sz w:val="18"/>
      <w:szCs w:val="18"/>
    </w:rPr>
  </w:style>
  <w:style w:type="paragraph" w:styleId="8">
    <w:name w:val="annotation text"/>
    <w:basedOn w:val="1"/>
    <w:link w:val="40"/>
    <w:autoRedefine/>
    <w:unhideWhenUsed/>
    <w:qFormat/>
    <w:uiPriority w:val="99"/>
    <w:pPr>
      <w:jc w:val="left"/>
    </w:pPr>
  </w:style>
  <w:style w:type="paragraph" w:styleId="9">
    <w:name w:val="Body Text"/>
    <w:basedOn w:val="1"/>
    <w:next w:val="10"/>
    <w:link w:val="47"/>
    <w:autoRedefine/>
    <w:qFormat/>
    <w:uiPriority w:val="1"/>
    <w:pPr>
      <w:ind w:left="119"/>
      <w:jc w:val="left"/>
    </w:pPr>
    <w:rPr>
      <w:rFonts w:ascii="仿宋_GB2312" w:hAnsi="仿宋_GB2312" w:eastAsia="仿宋_GB2312" w:cstheme="minorBidi"/>
      <w:kern w:val="0"/>
      <w:szCs w:val="30"/>
      <w:lang w:eastAsia="en-US"/>
    </w:rPr>
  </w:style>
  <w:style w:type="paragraph" w:styleId="10">
    <w:name w:val="Subtitle"/>
    <w:basedOn w:val="1"/>
    <w:next w:val="1"/>
    <w:autoRedefine/>
    <w:qFormat/>
    <w:uiPriority w:val="11"/>
    <w:pPr>
      <w:spacing w:before="240" w:after="60" w:line="312" w:lineRule="auto"/>
      <w:jc w:val="center"/>
      <w:outlineLvl w:val="1"/>
    </w:pPr>
    <w:rPr>
      <w:rFonts w:ascii="Cambria" w:hAnsi="Cambria"/>
      <w:b/>
      <w:bCs/>
      <w:kern w:val="28"/>
      <w:sz w:val="32"/>
      <w:szCs w:val="32"/>
    </w:rPr>
  </w:style>
  <w:style w:type="paragraph" w:styleId="11">
    <w:name w:val="toc 3"/>
    <w:basedOn w:val="1"/>
    <w:next w:val="1"/>
    <w:autoRedefine/>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2">
    <w:name w:val="Balloon Text"/>
    <w:basedOn w:val="1"/>
    <w:link w:val="39"/>
    <w:autoRedefine/>
    <w:semiHidden/>
    <w:unhideWhenUsed/>
    <w:qFormat/>
    <w:uiPriority w:val="99"/>
    <w:rPr>
      <w:sz w:val="18"/>
      <w:szCs w:val="18"/>
    </w:rPr>
  </w:style>
  <w:style w:type="paragraph" w:styleId="13">
    <w:name w:val="footer"/>
    <w:basedOn w:val="1"/>
    <w:link w:val="38"/>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4">
    <w:name w:val="header"/>
    <w:basedOn w:val="1"/>
    <w:link w:val="37"/>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5">
    <w:name w:val="toc 1"/>
    <w:basedOn w:val="1"/>
    <w:next w:val="1"/>
    <w:autoRedefine/>
    <w:unhideWhenUsed/>
    <w:qFormat/>
    <w:uiPriority w:val="39"/>
    <w:pPr>
      <w:widowControl/>
      <w:tabs>
        <w:tab w:val="right" w:leader="dot" w:pos="8931"/>
      </w:tabs>
      <w:spacing w:line="420" w:lineRule="exact"/>
      <w:ind w:right="25" w:rightChars="12"/>
      <w:jc w:val="left"/>
    </w:pPr>
    <w:rPr>
      <w:rFonts w:asciiTheme="minorHAnsi" w:hAnsiTheme="minorHAnsi" w:eastAsiaTheme="minorEastAsia"/>
      <w:kern w:val="0"/>
      <w:sz w:val="22"/>
      <w:szCs w:val="22"/>
    </w:rPr>
  </w:style>
  <w:style w:type="paragraph" w:styleId="16">
    <w:name w:val="table of figures"/>
    <w:basedOn w:val="1"/>
    <w:next w:val="1"/>
    <w:autoRedefine/>
    <w:unhideWhenUsed/>
    <w:qFormat/>
    <w:uiPriority w:val="0"/>
    <w:pPr>
      <w:spacing w:line="360" w:lineRule="auto"/>
      <w:ind w:left="200" w:leftChars="200" w:hanging="200" w:hangingChars="200"/>
      <w:jc w:val="left"/>
    </w:pPr>
    <w:rPr>
      <w:sz w:val="24"/>
    </w:rPr>
  </w:style>
  <w:style w:type="paragraph" w:styleId="17">
    <w:name w:val="toc 2"/>
    <w:basedOn w:val="1"/>
    <w:next w:val="1"/>
    <w:autoRedefine/>
    <w:unhideWhenUsed/>
    <w:qFormat/>
    <w:uiPriority w:val="39"/>
    <w:pPr>
      <w:widowControl/>
      <w:tabs>
        <w:tab w:val="right" w:leader="dot" w:pos="8789"/>
      </w:tabs>
      <w:spacing w:line="400" w:lineRule="exact"/>
      <w:jc w:val="left"/>
    </w:pPr>
    <w:rPr>
      <w:rFonts w:ascii="仿宋_GB2312" w:eastAsia="仿宋_GB2312" w:hAnsiTheme="minorHAnsi"/>
      <w:b/>
      <w:bCs/>
      <w:kern w:val="0"/>
      <w:sz w:val="24"/>
      <w:szCs w:val="24"/>
      <w:lang w:val="zh-CN"/>
    </w:rPr>
  </w:style>
  <w:style w:type="paragraph" w:styleId="1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0">
    <w:name w:val="annotation subject"/>
    <w:basedOn w:val="8"/>
    <w:next w:val="8"/>
    <w:link w:val="41"/>
    <w:autoRedefine/>
    <w:semiHidden/>
    <w:unhideWhenUsed/>
    <w:qFormat/>
    <w:uiPriority w:val="99"/>
    <w:rPr>
      <w:b/>
      <w:bCs/>
    </w:rPr>
  </w:style>
  <w:style w:type="paragraph" w:styleId="21">
    <w:name w:val="Body Text First Indent"/>
    <w:basedOn w:val="9"/>
    <w:autoRedefine/>
    <w:semiHidden/>
    <w:unhideWhenUsed/>
    <w:qFormat/>
    <w:uiPriority w:val="99"/>
    <w:pPr>
      <w:ind w:firstLine="420" w:firstLineChars="100"/>
    </w:pPr>
  </w:style>
  <w:style w:type="table" w:styleId="23">
    <w:name w:val="Table Grid"/>
    <w:basedOn w:val="22"/>
    <w:autoRedefine/>
    <w:qFormat/>
    <w:uiPriority w:val="3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5">
    <w:name w:val="Strong"/>
    <w:basedOn w:val="24"/>
    <w:qFormat/>
    <w:uiPriority w:val="22"/>
    <w:rPr>
      <w:b/>
    </w:rPr>
  </w:style>
  <w:style w:type="character" w:styleId="26">
    <w:name w:val="page number"/>
    <w:basedOn w:val="24"/>
    <w:autoRedefine/>
    <w:qFormat/>
    <w:uiPriority w:val="0"/>
  </w:style>
  <w:style w:type="character" w:styleId="27">
    <w:name w:val="Hyperlink"/>
    <w:basedOn w:val="24"/>
    <w:autoRedefine/>
    <w:unhideWhenUsed/>
    <w:qFormat/>
    <w:uiPriority w:val="99"/>
    <w:rPr>
      <w:color w:val="0000FF" w:themeColor="hyperlink"/>
      <w:u w:val="single"/>
      <w14:textFill>
        <w14:solidFill>
          <w14:schemeClr w14:val="hlink"/>
        </w14:solidFill>
      </w14:textFill>
    </w:rPr>
  </w:style>
  <w:style w:type="character" w:styleId="28">
    <w:name w:val="annotation reference"/>
    <w:basedOn w:val="24"/>
    <w:autoRedefine/>
    <w:semiHidden/>
    <w:unhideWhenUsed/>
    <w:qFormat/>
    <w:uiPriority w:val="99"/>
    <w:rPr>
      <w:sz w:val="21"/>
      <w:szCs w:val="21"/>
    </w:rPr>
  </w:style>
  <w:style w:type="paragraph" w:customStyle="1" w:styleId="29">
    <w:name w:val="Default"/>
    <w:next w:val="1"/>
    <w:autoRedefine/>
    <w:qFormat/>
    <w:uiPriority w:val="0"/>
    <w:pPr>
      <w:widowControl w:val="0"/>
      <w:autoSpaceDE w:val="0"/>
      <w:autoSpaceDN w:val="0"/>
      <w:adjustRightInd w:val="0"/>
      <w:spacing w:after="160" w:line="259" w:lineRule="auto"/>
    </w:pPr>
    <w:rPr>
      <w:rFonts w:ascii="宋体" w:hAnsi="Times New Roman" w:eastAsia="宋体" w:cs="宋体"/>
      <w:color w:val="000000"/>
      <w:kern w:val="0"/>
      <w:sz w:val="24"/>
      <w:szCs w:val="24"/>
      <w:lang w:val="en-US" w:eastAsia="zh-CN" w:bidi="ar-SA"/>
    </w:rPr>
  </w:style>
  <w:style w:type="paragraph" w:customStyle="1" w:styleId="30">
    <w:name w:val="一、报告标题"/>
    <w:basedOn w:val="1"/>
    <w:autoRedefine/>
    <w:qFormat/>
    <w:uiPriority w:val="0"/>
    <w:pPr>
      <w:spacing w:line="600" w:lineRule="exact"/>
      <w:ind w:firstLine="643" w:firstLineChars="200"/>
      <w:outlineLvl w:val="0"/>
    </w:pPr>
    <w:rPr>
      <w:rFonts w:hint="eastAsia" w:ascii="楷体_GB2312" w:hAnsi="楷体_GB2312" w:eastAsia="楷体_GB2312" w:cs="楷体_GB2312"/>
      <w:b/>
      <w:bCs/>
      <w:sz w:val="32"/>
      <w:szCs w:val="32"/>
    </w:rPr>
  </w:style>
  <w:style w:type="paragraph" w:customStyle="1" w:styleId="31">
    <w:name w:val="绩效一级"/>
    <w:basedOn w:val="30"/>
    <w:autoRedefine/>
    <w:qFormat/>
    <w:uiPriority w:val="0"/>
    <w:rPr>
      <w:rFonts w:hint="default" w:eastAsia="黑体" w:asciiTheme="minorAscii" w:hAnsiTheme="minorAscii"/>
      <w:kern w:val="30"/>
      <w:sz w:val="30"/>
    </w:rPr>
  </w:style>
  <w:style w:type="paragraph" w:customStyle="1" w:styleId="32">
    <w:name w:val="绩效二级"/>
    <w:basedOn w:val="1"/>
    <w:autoRedefine/>
    <w:qFormat/>
    <w:uiPriority w:val="0"/>
    <w:pPr>
      <w:adjustRightInd w:val="0"/>
      <w:snapToGrid w:val="0"/>
      <w:spacing w:line="579" w:lineRule="exact"/>
      <w:ind w:firstLine="630" w:firstLineChars="200"/>
      <w:outlineLvl w:val="9"/>
    </w:pPr>
    <w:rPr>
      <w:rFonts w:hint="eastAsia" w:ascii="Times New Roman" w:hAnsi="Times New Roman" w:eastAsia="楷体" w:cs="Times New Roman"/>
      <w:kern w:val="30"/>
      <w:sz w:val="30"/>
      <w:szCs w:val="30"/>
    </w:rPr>
  </w:style>
  <w:style w:type="paragraph" w:customStyle="1" w:styleId="33">
    <w:name w:val="绩效正文"/>
    <w:basedOn w:val="1"/>
    <w:autoRedefine/>
    <w:qFormat/>
    <w:uiPriority w:val="0"/>
    <w:pPr>
      <w:adjustRightInd/>
      <w:snapToGrid/>
      <w:spacing w:line="579" w:lineRule="exact"/>
      <w:ind w:firstLine="630" w:firstLineChars="200"/>
    </w:pPr>
    <w:rPr>
      <w:rFonts w:hint="eastAsia" w:ascii="仿宋" w:hAnsi="仿宋" w:eastAsia="仿宋" w:cs="Times New Roman"/>
      <w:kern w:val="30"/>
      <w:sz w:val="30"/>
      <w:szCs w:val="30"/>
    </w:rPr>
  </w:style>
  <w:style w:type="character" w:customStyle="1" w:styleId="34">
    <w:name w:val="标题 1 字符"/>
    <w:basedOn w:val="24"/>
    <w:link w:val="3"/>
    <w:autoRedefine/>
    <w:qFormat/>
    <w:uiPriority w:val="9"/>
    <w:rPr>
      <w:rFonts w:ascii="Times New Roman" w:hAnsi="Times New Roman" w:eastAsia="宋体" w:cs="Times New Roman"/>
      <w:b/>
      <w:bCs/>
      <w:kern w:val="44"/>
      <w:sz w:val="44"/>
      <w:szCs w:val="44"/>
    </w:rPr>
  </w:style>
  <w:style w:type="character" w:customStyle="1" w:styleId="35">
    <w:name w:val="标题 2 字符"/>
    <w:basedOn w:val="24"/>
    <w:link w:val="4"/>
    <w:autoRedefine/>
    <w:qFormat/>
    <w:uiPriority w:val="99"/>
    <w:rPr>
      <w:rFonts w:ascii="Cambria" w:hAnsi="Cambria" w:eastAsia="宋体" w:cs="Times New Roman"/>
      <w:b/>
      <w:bCs/>
      <w:kern w:val="0"/>
      <w:sz w:val="32"/>
      <w:szCs w:val="32"/>
    </w:rPr>
  </w:style>
  <w:style w:type="character" w:customStyle="1" w:styleId="36">
    <w:name w:val="标题 3 字符"/>
    <w:basedOn w:val="24"/>
    <w:link w:val="5"/>
    <w:autoRedefine/>
    <w:qFormat/>
    <w:uiPriority w:val="99"/>
    <w:rPr>
      <w:rFonts w:ascii="Times New Roman" w:hAnsi="Times New Roman" w:eastAsia="宋体" w:cs="Times New Roman"/>
      <w:b/>
      <w:bCs/>
      <w:kern w:val="0"/>
      <w:sz w:val="32"/>
      <w:szCs w:val="32"/>
    </w:rPr>
  </w:style>
  <w:style w:type="character" w:customStyle="1" w:styleId="37">
    <w:name w:val="页眉 字符"/>
    <w:basedOn w:val="24"/>
    <w:link w:val="14"/>
    <w:autoRedefine/>
    <w:qFormat/>
    <w:uiPriority w:val="99"/>
    <w:rPr>
      <w:sz w:val="18"/>
      <w:szCs w:val="18"/>
    </w:rPr>
  </w:style>
  <w:style w:type="character" w:customStyle="1" w:styleId="38">
    <w:name w:val="页脚 字符"/>
    <w:basedOn w:val="24"/>
    <w:link w:val="13"/>
    <w:autoRedefine/>
    <w:qFormat/>
    <w:uiPriority w:val="0"/>
    <w:rPr>
      <w:sz w:val="18"/>
      <w:szCs w:val="18"/>
    </w:rPr>
  </w:style>
  <w:style w:type="character" w:customStyle="1" w:styleId="39">
    <w:name w:val="批注框文本 字符"/>
    <w:basedOn w:val="24"/>
    <w:link w:val="12"/>
    <w:autoRedefine/>
    <w:semiHidden/>
    <w:qFormat/>
    <w:uiPriority w:val="99"/>
    <w:rPr>
      <w:rFonts w:ascii="Times New Roman" w:hAnsi="Times New Roman" w:eastAsia="宋体" w:cs="Times New Roman"/>
      <w:sz w:val="18"/>
      <w:szCs w:val="18"/>
    </w:rPr>
  </w:style>
  <w:style w:type="character" w:customStyle="1" w:styleId="40">
    <w:name w:val="批注文字 字符"/>
    <w:basedOn w:val="24"/>
    <w:link w:val="8"/>
    <w:autoRedefine/>
    <w:qFormat/>
    <w:uiPriority w:val="99"/>
    <w:rPr>
      <w:rFonts w:ascii="Times New Roman" w:hAnsi="Times New Roman" w:eastAsia="宋体" w:cs="Times New Roman"/>
      <w:szCs w:val="21"/>
    </w:rPr>
  </w:style>
  <w:style w:type="character" w:customStyle="1" w:styleId="41">
    <w:name w:val="批注主题 字符"/>
    <w:basedOn w:val="40"/>
    <w:link w:val="20"/>
    <w:autoRedefine/>
    <w:semiHidden/>
    <w:qFormat/>
    <w:uiPriority w:val="99"/>
    <w:rPr>
      <w:rFonts w:ascii="Times New Roman" w:hAnsi="Times New Roman" w:eastAsia="宋体" w:cs="Times New Roman"/>
      <w:b/>
      <w:bCs/>
      <w:szCs w:val="21"/>
    </w:rPr>
  </w:style>
  <w:style w:type="character" w:customStyle="1" w:styleId="42">
    <w:name w:val="文档结构图 字符"/>
    <w:basedOn w:val="24"/>
    <w:link w:val="7"/>
    <w:autoRedefine/>
    <w:semiHidden/>
    <w:qFormat/>
    <w:uiPriority w:val="99"/>
    <w:rPr>
      <w:rFonts w:ascii="宋体" w:hAnsi="Times New Roman" w:eastAsia="宋体" w:cs="Times New Roman"/>
      <w:sz w:val="18"/>
      <w:szCs w:val="18"/>
    </w:rPr>
  </w:style>
  <w:style w:type="paragraph" w:customStyle="1" w:styleId="43">
    <w:name w:val="TOC Heading"/>
    <w:basedOn w:val="3"/>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44">
    <w:name w:val="Revision"/>
    <w:autoRedefine/>
    <w:hidden/>
    <w:semiHidden/>
    <w:qFormat/>
    <w:uiPriority w:val="99"/>
    <w:rPr>
      <w:rFonts w:ascii="Times New Roman" w:hAnsi="Times New Roman" w:eastAsia="宋体" w:cs="Times New Roman"/>
      <w:kern w:val="2"/>
      <w:sz w:val="21"/>
      <w:szCs w:val="21"/>
      <w:lang w:val="en-US" w:eastAsia="zh-CN" w:bidi="ar-SA"/>
    </w:rPr>
  </w:style>
  <w:style w:type="character" w:customStyle="1" w:styleId="45">
    <w:name w:val="页码 New New"/>
    <w:basedOn w:val="24"/>
    <w:autoRedefine/>
    <w:qFormat/>
    <w:uiPriority w:val="0"/>
  </w:style>
  <w:style w:type="paragraph" w:styleId="46">
    <w:name w:val="List Paragraph"/>
    <w:basedOn w:val="1"/>
    <w:autoRedefine/>
    <w:qFormat/>
    <w:uiPriority w:val="34"/>
    <w:pPr>
      <w:ind w:firstLine="420" w:firstLineChars="200"/>
    </w:pPr>
  </w:style>
  <w:style w:type="character" w:customStyle="1" w:styleId="47">
    <w:name w:val="正文文本 字符"/>
    <w:basedOn w:val="24"/>
    <w:link w:val="9"/>
    <w:autoRedefine/>
    <w:qFormat/>
    <w:uiPriority w:val="1"/>
    <w:rPr>
      <w:rFonts w:ascii="仿宋_GB2312" w:hAnsi="仿宋_GB2312" w:eastAsia="仿宋_GB2312"/>
      <w:kern w:val="0"/>
      <w:sz w:val="30"/>
      <w:szCs w:val="30"/>
      <w:lang w:eastAsia="en-US"/>
    </w:rPr>
  </w:style>
  <w:style w:type="character" w:customStyle="1" w:styleId="48">
    <w:name w:val="Unresolved Mention"/>
    <w:basedOn w:val="24"/>
    <w:autoRedefine/>
    <w:semiHidden/>
    <w:unhideWhenUsed/>
    <w:qFormat/>
    <w:uiPriority w:val="99"/>
    <w:rPr>
      <w:color w:val="605E5C"/>
      <w:shd w:val="clear" w:color="auto" w:fill="E1DFDD"/>
    </w:rPr>
  </w:style>
  <w:style w:type="paragraph" w:customStyle="1" w:styleId="49">
    <w:name w:val="p0"/>
    <w:basedOn w:val="1"/>
    <w:qFormat/>
    <w:uiPriority w:val="0"/>
    <w:pPr>
      <w:widowControl/>
    </w:pPr>
    <w:rPr>
      <w:kern w:val="0"/>
      <w:szCs w:val="21"/>
    </w:rPr>
  </w:style>
  <w:style w:type="character" w:customStyle="1" w:styleId="50">
    <w:name w:val="公文文号"/>
    <w:basedOn w:val="24"/>
    <w:qFormat/>
    <w:uiPriority w:val="0"/>
    <w:rPr>
      <w:rFonts w:eastAsia="仿宋_GB2312" w:cs="Times New Roman"/>
      <w:sz w:val="32"/>
      <w:szCs w:val="32"/>
    </w:rPr>
  </w:style>
  <w:style w:type="paragraph" w:customStyle="1" w:styleId="51">
    <w:name w:val="无间隔1"/>
    <w:qFormat/>
    <w:uiPriority w:val="0"/>
    <w:pPr>
      <w:widowControl w:val="0"/>
      <w:suppressAutoHyphens/>
      <w:bidi w:val="0"/>
      <w:spacing w:line="360" w:lineRule="auto"/>
      <w:jc w:val="left"/>
    </w:pPr>
    <w:rPr>
      <w:rFonts w:ascii="Calibri" w:hAnsi="Calibri" w:eastAsia="宋体" w:cs="宋体"/>
      <w:b/>
      <w:bCs/>
      <w:color w:val="auto"/>
      <w:kern w:val="2"/>
      <w:sz w:val="30"/>
      <w:szCs w:val="3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979FAE-EF8C-4413-8BA6-6BA5B5841ADB}">
  <ds:schemaRefs/>
</ds:datastoreItem>
</file>

<file path=docProps/app.xml><?xml version="1.0" encoding="utf-8"?>
<Properties xmlns="http://schemas.openxmlformats.org/officeDocument/2006/extended-properties" xmlns:vt="http://schemas.openxmlformats.org/officeDocument/2006/docPropsVTypes">
  <Template>Normal</Template>
  <Pages>32</Pages>
  <Words>14005</Words>
  <Characters>14817</Characters>
  <Lines>30</Lines>
  <Paragraphs>8</Paragraphs>
  <TotalTime>25</TotalTime>
  <ScaleCrop>false</ScaleCrop>
  <LinksUpToDate>false</LinksUpToDate>
  <CharactersWithSpaces>14913</CharactersWithSpaces>
  <Application>WPS Office_12.1.0.18345_F1E327BC-269C-435d-A152-05C5408002CA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2017-10-30T07:15:00Z</dcterms:created>
  <dcterms:modified xsi:type="dcterms:W3CDTF">2024-11-14T09:09:11Z</dcterms:modified>
  <dc:title>目  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406D519D8D9548B08E0461D8F282B387_13</vt:lpwstr>
  </property>
</Properties>
</file>