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F8900">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hint="default" w:ascii="Times New Roman" w:hAnsi="Times New Roman" w:eastAsia="黑体" w:cs="Times New Roman"/>
          <w:b/>
          <w:sz w:val="44"/>
          <w:szCs w:val="44"/>
          <w:highlight w:val="none"/>
          <w:lang w:val="zh-CN"/>
        </w:rPr>
      </w:pPr>
      <w:r>
        <w:rPr>
          <w:rFonts w:hint="default" w:ascii="Times New Roman" w:hAnsi="Times New Roman" w:eastAsia="黑体" w:cs="Times New Roman"/>
          <w:b/>
          <w:sz w:val="44"/>
          <w:szCs w:val="44"/>
          <w:highlight w:val="none"/>
          <w:lang w:val="zh-CN"/>
        </w:rPr>
        <w:t>目  录</w:t>
      </w:r>
    </w:p>
    <w:p w14:paraId="464D2A57">
      <w:pPr>
        <w:widowControl/>
        <w:tabs>
          <w:tab w:val="left" w:pos="2151"/>
        </w:tabs>
        <w:spacing w:line="400" w:lineRule="exact"/>
        <w:jc w:val="left"/>
        <w:rPr>
          <w:rFonts w:hint="default" w:ascii="Times New Roman" w:hAnsi="Times New Roman" w:cs="Times New Roman" w:eastAsiaTheme="minorEastAsia"/>
          <w:b/>
          <w:sz w:val="36"/>
          <w:szCs w:val="36"/>
          <w:highlight w:val="none"/>
          <w:lang w:eastAsia="zh-CN"/>
        </w:rPr>
      </w:pPr>
      <w:r>
        <w:rPr>
          <w:rFonts w:hint="default" w:ascii="Times New Roman" w:hAnsi="Times New Roman" w:cs="Times New Roman" w:eastAsiaTheme="minorEastAsia"/>
          <w:b/>
          <w:sz w:val="36"/>
          <w:szCs w:val="36"/>
          <w:highlight w:val="none"/>
          <w:lang w:eastAsia="zh-CN"/>
        </w:rPr>
        <w:tab/>
      </w:r>
    </w:p>
    <w:p w14:paraId="575EEB0E">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TOC \o "1-3" \h \z \u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_Toc2692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摘  要</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_Toc2692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I</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15D4F4CE">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_Toc22058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一、基本情况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_Toc22058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135ED149">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_Toc27039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（一）项目概况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_Toc27039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22D83397">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_Toc18865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（二）项目资金安排情况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_Toc18865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30AA5DFD">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_Toc5341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（三）项目实施内容</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_Toc5341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1450354B">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_Toc289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（四）项目绩效目标设立情况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_Toc289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8</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2CDBB8F0">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_Toc25393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（五）组织管理情况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_Toc25393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9</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52CC4163">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_Toc22490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二、绩效评价工作开展情况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_Toc22490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10</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5B89910D">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_Toc15107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（一）绩效评价目的、对象和范围</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_Toc15107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10</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32628305">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_Toc22791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（二）绩效评价原则、评价指标体系和等级、评价方法、评价抽样</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_Toc22791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11</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D0266E7">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_Toc18354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（三）绩效评价工作过程</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_Toc18354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D9C8535">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_Toc1023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三、绩效评价结论</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_Toc1023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7EF6CF0">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_Toc20188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（一）绩效评价综合结论</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_Toc20188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4530DA0">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_Toc25831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（二）绩效目标实现情况</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_Toc25831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6A66AE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_Toc7440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四、绩效评价情况分析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_Toc7440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16</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55ED6474">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_Toc11047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（一）决策情况分析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_Toc11047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16</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619149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_Toc11488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（二）过程情况分析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_Toc11488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18</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299F65ED">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_Toc29864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（三）产出情况分析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_Toc29864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20</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7CB0E95B">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_Toc940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（四）效果情况分析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_Toc940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23</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3B49F2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_Toc31741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五、存在问题及原因分析</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_Toc31741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011942D9">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_Toc22942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（一）绩效目标编制不准确，绩效管理有待加强</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_Toc22942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58FEE12">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_Toc15828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w:t>
      </w:r>
      <w:r>
        <w:rPr>
          <w:rFonts w:hint="eastAsia" w:ascii="Times New Roman" w:hAnsi="Times New Roman" w:eastAsia="仿宋" w:cs="Times New Roman"/>
          <w:b w:val="0"/>
          <w:bCs w:val="0"/>
          <w:sz w:val="30"/>
          <w:szCs w:val="30"/>
          <w:highlight w:val="none"/>
          <w:lang w:val="en-US" w:eastAsia="zh-CN"/>
        </w:rPr>
        <w:t>二</w:t>
      </w:r>
      <w:r>
        <w:rPr>
          <w:rFonts w:hint="default" w:ascii="Times New Roman" w:hAnsi="Times New Roman" w:eastAsia="仿宋" w:cs="Times New Roman"/>
          <w:b w:val="0"/>
          <w:bCs w:val="0"/>
          <w:sz w:val="30"/>
          <w:szCs w:val="30"/>
          <w:highlight w:val="none"/>
          <w:lang w:val="en-US" w:eastAsia="zh-CN"/>
        </w:rPr>
        <w:t>）评估单位专业性有待加强，个别结论充分性不足</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_Toc15828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24</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FB06154">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_Toc15537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六、建议</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_Toc15537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62C2B4BA">
      <w:pPr>
        <w:pStyle w:val="14"/>
        <w:tabs>
          <w:tab w:val="right" w:leader="dot" w:pos="8844"/>
          <w:tab w:val="clear" w:pos="8931"/>
        </w:tabs>
        <w:spacing w:line="240" w:lineRule="auto"/>
        <w:rPr>
          <w:rFonts w:hint="default" w:ascii="Times New Roman" w:hAnsi="Times New Roman" w:eastAsia="仿宋" w:cs="Times New Roman"/>
          <w:b w:val="0"/>
          <w:bCs w:val="0"/>
          <w:sz w:val="30"/>
          <w:szCs w:val="30"/>
          <w:highlight w:val="none"/>
          <w:lang w:val="en-US" w:eastAsia="zh-CN"/>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_Toc29232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（一）加强绩效管理工作，提升单位绩效意识</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_Toc29232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267E0B7">
      <w:pPr>
        <w:pStyle w:val="14"/>
        <w:tabs>
          <w:tab w:val="right" w:leader="dot" w:pos="8844"/>
          <w:tab w:val="clear" w:pos="8931"/>
        </w:tabs>
        <w:spacing w:line="240" w:lineRule="auto"/>
        <w:rPr>
          <w:highlight w:val="none"/>
        </w:rPr>
      </w:pP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HYPERLINK \l _Toc2280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w:t>
      </w:r>
      <w:r>
        <w:rPr>
          <w:rFonts w:hint="eastAsia" w:ascii="Times New Roman" w:hAnsi="Times New Roman" w:eastAsia="仿宋" w:cs="Times New Roman"/>
          <w:b w:val="0"/>
          <w:bCs w:val="0"/>
          <w:sz w:val="30"/>
          <w:szCs w:val="30"/>
          <w:highlight w:val="none"/>
          <w:lang w:val="en-US" w:eastAsia="zh-CN"/>
        </w:rPr>
        <w:t>二</w:t>
      </w:r>
      <w:r>
        <w:rPr>
          <w:rFonts w:hint="default" w:ascii="Times New Roman" w:hAnsi="Times New Roman" w:eastAsia="仿宋" w:cs="Times New Roman"/>
          <w:b w:val="0"/>
          <w:bCs w:val="0"/>
          <w:sz w:val="30"/>
          <w:szCs w:val="30"/>
          <w:highlight w:val="none"/>
          <w:lang w:val="en-US" w:eastAsia="zh-CN"/>
        </w:rPr>
        <w:t>）加强第三方管理要求，提升结论的专业性</w:t>
      </w:r>
      <w:r>
        <w:rPr>
          <w:rFonts w:hint="default" w:ascii="Times New Roman" w:hAnsi="Times New Roman" w:eastAsia="仿宋" w:cs="Times New Roman"/>
          <w:b w:val="0"/>
          <w:bCs w:val="0"/>
          <w:sz w:val="30"/>
          <w:szCs w:val="30"/>
          <w:highlight w:val="none"/>
          <w:lang w:val="en-US" w:eastAsia="zh-CN"/>
        </w:rPr>
        <w:tab/>
      </w:r>
      <w:r>
        <w:rPr>
          <w:rFonts w:hint="default" w:ascii="Times New Roman" w:hAnsi="Times New Roman" w:eastAsia="仿宋" w:cs="Times New Roman"/>
          <w:b w:val="0"/>
          <w:bCs w:val="0"/>
          <w:sz w:val="30"/>
          <w:szCs w:val="30"/>
          <w:highlight w:val="none"/>
          <w:lang w:val="en-US" w:eastAsia="zh-CN"/>
        </w:rPr>
        <w:fldChar w:fldCharType="begin"/>
      </w:r>
      <w:r>
        <w:rPr>
          <w:rFonts w:hint="default" w:ascii="Times New Roman" w:hAnsi="Times New Roman" w:eastAsia="仿宋" w:cs="Times New Roman"/>
          <w:b w:val="0"/>
          <w:bCs w:val="0"/>
          <w:sz w:val="30"/>
          <w:szCs w:val="30"/>
          <w:highlight w:val="none"/>
          <w:lang w:val="en-US" w:eastAsia="zh-CN"/>
        </w:rPr>
        <w:instrText xml:space="preserve"> PAGEREF _Toc2280 \h </w:instrText>
      </w:r>
      <w:r>
        <w:rPr>
          <w:rFonts w:hint="default" w:ascii="Times New Roman" w:hAnsi="Times New Roman" w:eastAsia="仿宋" w:cs="Times New Roman"/>
          <w:b w:val="0"/>
          <w:bCs w:val="0"/>
          <w:sz w:val="30"/>
          <w:szCs w:val="30"/>
          <w:highlight w:val="none"/>
          <w:lang w:val="en-US" w:eastAsia="zh-CN"/>
        </w:rPr>
        <w:fldChar w:fldCharType="separate"/>
      </w:r>
      <w:r>
        <w:rPr>
          <w:rFonts w:hint="default" w:ascii="Times New Roman" w:hAnsi="Times New Roman" w:eastAsia="仿宋" w:cs="Times New Roman"/>
          <w:b w:val="0"/>
          <w:bCs w:val="0"/>
          <w:sz w:val="30"/>
          <w:szCs w:val="30"/>
          <w:highlight w:val="none"/>
          <w:lang w:val="en-US" w:eastAsia="zh-CN"/>
        </w:rPr>
        <w:t>25</w:t>
      </w:r>
      <w:r>
        <w:rPr>
          <w:rFonts w:hint="default" w:ascii="Times New Roman" w:hAnsi="Times New Roman" w:eastAsia="仿宋" w:cs="Times New Roman"/>
          <w:b w:val="0"/>
          <w:bCs w:val="0"/>
          <w:sz w:val="30"/>
          <w:szCs w:val="30"/>
          <w:highlight w:val="none"/>
          <w:lang w:val="en-US" w:eastAsia="zh-CN"/>
        </w:rPr>
        <w:fldChar w:fldCharType="end"/>
      </w:r>
      <w:r>
        <w:rPr>
          <w:rFonts w:hint="default" w:ascii="Times New Roman" w:hAnsi="Times New Roman" w:eastAsia="仿宋" w:cs="Times New Roman"/>
          <w:b w:val="0"/>
          <w:bCs w:val="0"/>
          <w:sz w:val="30"/>
          <w:szCs w:val="30"/>
          <w:highlight w:val="none"/>
          <w:lang w:val="en-US" w:eastAsia="zh-CN"/>
        </w:rPr>
        <w:fldChar w:fldCharType="end"/>
      </w:r>
    </w:p>
    <w:p w14:paraId="4E84EB8C">
      <w:pPr>
        <w:pStyle w:val="14"/>
        <w:keepNext w:val="0"/>
        <w:keepLines w:val="0"/>
        <w:pageBreakBefore w:val="0"/>
        <w:widowControl/>
        <w:tabs>
          <w:tab w:val="right" w:leader="dot" w:pos="8844"/>
          <w:tab w:val="clear" w:pos="8931"/>
        </w:tabs>
        <w:kinsoku/>
        <w:wordWrap/>
        <w:overflowPunct/>
        <w:topLinePunct w:val="0"/>
        <w:autoSpaceDE/>
        <w:autoSpaceDN/>
        <w:bidi w:val="0"/>
        <w:adjustRightInd w:val="0"/>
        <w:snapToGrid w:val="0"/>
        <w:spacing w:line="240" w:lineRule="auto"/>
        <w:ind w:right="0" w:rightChars="0"/>
        <w:textAlignment w:val="auto"/>
        <w:rPr>
          <w:rFonts w:hint="default" w:ascii="Times New Roman" w:hAnsi="Times New Roman" w:eastAsia="仿宋" w:cs="Times New Roman"/>
          <w:b w:val="0"/>
          <w:bCs w:val="0"/>
          <w:kern w:val="0"/>
          <w:sz w:val="30"/>
          <w:szCs w:val="30"/>
          <w:highlight w:val="none"/>
          <w:lang w:val="en-US" w:eastAsia="zh-CN" w:bidi="ar-SA"/>
        </w:rPr>
      </w:pPr>
      <w:r>
        <w:rPr>
          <w:rFonts w:hint="default" w:ascii="Times New Roman" w:hAnsi="Times New Roman" w:eastAsia="仿宋" w:cs="Times New Roman"/>
          <w:bCs w:val="0"/>
          <w:szCs w:val="30"/>
          <w:highlight w:val="none"/>
          <w:lang w:val="en-US" w:eastAsia="zh-CN"/>
        </w:rPr>
        <w:fldChar w:fldCharType="end"/>
      </w:r>
    </w:p>
    <w:p w14:paraId="54ECAC94">
      <w:pPr>
        <w:pStyle w:val="14"/>
        <w:keepNext w:val="0"/>
        <w:keepLines w:val="0"/>
        <w:pageBreakBefore w:val="0"/>
        <w:widowControl/>
        <w:tabs>
          <w:tab w:val="right" w:leader="dot" w:pos="8789"/>
          <w:tab w:val="clear" w:pos="8931"/>
        </w:tabs>
        <w:kinsoku/>
        <w:wordWrap/>
        <w:overflowPunct/>
        <w:topLinePunct w:val="0"/>
        <w:autoSpaceDE/>
        <w:autoSpaceDN/>
        <w:bidi w:val="0"/>
        <w:adjustRightInd w:val="0"/>
        <w:snapToGrid w:val="0"/>
        <w:spacing w:line="240" w:lineRule="auto"/>
        <w:ind w:right="0" w:rightChars="0"/>
        <w:jc w:val="distribute"/>
        <w:textAlignment w:val="auto"/>
        <w:rPr>
          <w:rFonts w:hint="default" w:ascii="Times New Roman" w:hAnsi="Times New Roman" w:eastAsia="仿宋" w:cs="Times New Roman"/>
          <w:b w:val="0"/>
          <w:bCs w:val="0"/>
          <w:kern w:val="0"/>
          <w:sz w:val="30"/>
          <w:szCs w:val="30"/>
          <w:highlight w:val="none"/>
          <w:lang w:val="en-US" w:eastAsia="zh-CN" w:bidi="ar-SA"/>
        </w:rPr>
        <w:sectPr>
          <w:headerReference r:id="rId3" w:type="default"/>
          <w:footerReference r:id="rId5" w:type="default"/>
          <w:headerReference r:id="rId4" w:type="even"/>
          <w:type w:val="oddPage"/>
          <w:pgSz w:w="11906" w:h="16838"/>
          <w:pgMar w:top="2098" w:right="1474" w:bottom="1985" w:left="1588" w:header="851" w:footer="1474" w:gutter="0"/>
          <w:pgNumType w:fmt="decimal" w:start="1"/>
          <w:cols w:space="425" w:num="1"/>
          <w:docGrid w:type="linesAndChars" w:linePitch="579" w:charSpace="3247"/>
        </w:sectPr>
      </w:pPr>
    </w:p>
    <w:p w14:paraId="024C6A9B">
      <w:pPr>
        <w:overflowPunct w:val="0"/>
        <w:spacing w:line="579" w:lineRule="exact"/>
        <w:jc w:val="center"/>
        <w:outlineLvl w:val="0"/>
        <w:rPr>
          <w:rFonts w:hint="default" w:ascii="Times New Roman" w:hAnsi="Times New Roman" w:eastAsia="微软雅黑" w:cs="Times New Roman"/>
          <w:sz w:val="44"/>
          <w:szCs w:val="44"/>
          <w:highlight w:val="none"/>
        </w:rPr>
      </w:pPr>
      <w:bookmarkStart w:id="0" w:name="_Toc2692"/>
      <w:bookmarkStart w:id="1" w:name="_Hlk525313924"/>
      <w:r>
        <w:rPr>
          <w:rFonts w:hint="default" w:ascii="Times New Roman" w:hAnsi="Times New Roman" w:eastAsia="微软雅黑" w:cs="Times New Roman"/>
          <w:sz w:val="44"/>
          <w:szCs w:val="44"/>
          <w:highlight w:val="none"/>
        </w:rPr>
        <w:t>摘  要</w:t>
      </w:r>
      <w:bookmarkEnd w:id="0"/>
    </w:p>
    <w:p w14:paraId="0DB3960C">
      <w:pPr>
        <w:overflowPunct w:val="0"/>
        <w:spacing w:line="579" w:lineRule="exact"/>
        <w:ind w:firstLine="632"/>
        <w:rPr>
          <w:rFonts w:hint="default" w:ascii="Times New Roman" w:hAnsi="Times New Roman" w:cs="Times New Roman"/>
          <w:szCs w:val="30"/>
          <w:highlight w:val="none"/>
        </w:rPr>
      </w:pPr>
    </w:p>
    <w:p w14:paraId="68E1771D">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2" w:name="_Toc12842"/>
      <w:bookmarkStart w:id="3" w:name="_Toc6821"/>
      <w:bookmarkStart w:id="4" w:name="_Toc24668"/>
      <w:r>
        <w:rPr>
          <w:rFonts w:hint="default" w:ascii="Times New Roman" w:hAnsi="Times New Roman" w:cs="Times New Roman"/>
          <w:highlight w:val="none"/>
          <w:lang w:val="en-US" w:eastAsia="zh-CN"/>
        </w:rPr>
        <w:t>一、基本情况</w:t>
      </w:r>
      <w:bookmarkEnd w:id="2"/>
      <w:bookmarkEnd w:id="3"/>
      <w:bookmarkEnd w:id="4"/>
    </w:p>
    <w:p w14:paraId="0B2855A5">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highlight w:val="none"/>
        </w:rPr>
      </w:pPr>
      <w:r>
        <w:rPr>
          <w:rFonts w:hint="default" w:ascii="Times New Roman" w:hAnsi="Times New Roman" w:cs="Times New Roman"/>
          <w:highlight w:val="none"/>
        </w:rPr>
        <w:t>（一）项目概况</w:t>
      </w:r>
    </w:p>
    <w:p w14:paraId="42FB206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lang w:val="en-US" w:eastAsia="zh-CN"/>
        </w:rPr>
        <w:t>本项目名称为社区居家养老服务中心运营补助项目，主要是按照</w:t>
      </w:r>
      <w:r>
        <w:rPr>
          <w:rFonts w:hint="default" w:ascii="Times New Roman" w:hAnsi="Times New Roman" w:eastAsia="仿宋" w:cs="Times New Roman"/>
          <w:b w:val="0"/>
          <w:bCs w:val="0"/>
          <w:kern w:val="30"/>
          <w:sz w:val="30"/>
          <w:szCs w:val="30"/>
          <w:highlight w:val="none"/>
          <w:lang w:val="en-US" w:eastAsia="zh-CN" w:bidi="ar-SA"/>
        </w:rPr>
        <w:t>《昆明市城乡社区居家养老服务设施建设及运营管理实施意见》（昆老办〔2016〕29号），</w:t>
      </w:r>
      <w:r>
        <w:rPr>
          <w:rFonts w:hint="default" w:ascii="Times New Roman" w:hAnsi="Times New Roman" w:cs="Times New Roman"/>
          <w:b w:val="0"/>
          <w:bCs w:val="0"/>
          <w:kern w:val="30"/>
          <w:sz w:val="30"/>
          <w:szCs w:val="30"/>
          <w:highlight w:val="none"/>
          <w:lang w:val="en-US" w:eastAsia="zh-CN" w:bidi="ar-SA"/>
        </w:rPr>
        <w:t>关于“</w:t>
      </w:r>
      <w:r>
        <w:rPr>
          <w:rFonts w:hint="default" w:ascii="Times New Roman" w:hAnsi="Times New Roman" w:eastAsia="仿宋" w:cs="Times New Roman"/>
          <w:b w:val="0"/>
          <w:bCs w:val="0"/>
          <w:kern w:val="30"/>
          <w:sz w:val="30"/>
          <w:szCs w:val="30"/>
          <w:highlight w:val="none"/>
          <w:lang w:val="en-US" w:eastAsia="zh-CN" w:bidi="ar-SA"/>
        </w:rPr>
        <w:t>明确</w:t>
      </w:r>
      <w:r>
        <w:rPr>
          <w:rFonts w:hint="default" w:ascii="Times New Roman" w:hAnsi="Times New Roman" w:cs="Times New Roman"/>
          <w:b w:val="0"/>
          <w:bCs w:val="0"/>
          <w:szCs w:val="30"/>
          <w:highlight w:val="none"/>
          <w:lang w:val="en-US" w:eastAsia="zh-CN"/>
        </w:rPr>
        <w:t>居家养老服务设施可实行社区、乡镇自主运营管理，社会力量承包、租赁运营管理，也可由基层老年协会管理，运营管理经费可通过政府补贴、政府购买服务、社会组织及个人捐助、低偿或有偿服务等方式筹集。”以及《昆明市民政局关于申报民办养老服务机构及居家养老服务中心补助的通知》（昆民通〔2020〕41号），关于“公办、民办居家养老服务中心（站）建成投入使用后，在中央、省资金支持下，每年由市、县级财政纳入年度预算补助。”等文件要求</w:t>
      </w:r>
      <w:r>
        <w:rPr>
          <w:rFonts w:hint="default" w:ascii="Times New Roman" w:hAnsi="Times New Roman" w:cs="Times New Roman"/>
          <w:b w:val="0"/>
          <w:bCs w:val="0"/>
          <w:kern w:val="30"/>
          <w:sz w:val="30"/>
          <w:szCs w:val="30"/>
          <w:highlight w:val="none"/>
          <w:lang w:val="en-US" w:eastAsia="zh-CN" w:bidi="ar-SA"/>
        </w:rPr>
        <w:t>，</w:t>
      </w:r>
      <w:r>
        <w:rPr>
          <w:rFonts w:hint="default" w:ascii="Times New Roman" w:hAnsi="Times New Roman" w:cs="Times New Roman"/>
          <w:kern w:val="30"/>
          <w:sz w:val="30"/>
          <w:szCs w:val="30"/>
          <w:highlight w:val="none"/>
          <w:lang w:val="en-US" w:eastAsia="zh-CN" w:bidi="ar-SA"/>
        </w:rPr>
        <w:t>对辖区内的居家养老服务中心发放运营补助资金</w:t>
      </w:r>
      <w:r>
        <w:rPr>
          <w:rFonts w:hint="default" w:ascii="Times New Roman" w:hAnsi="Times New Roman" w:cs="Times New Roman"/>
          <w:szCs w:val="30"/>
          <w:highlight w:val="none"/>
          <w:lang w:val="en-US" w:eastAsia="zh-CN"/>
        </w:rPr>
        <w:t>，进一步维持区域居家养老服务工作开展，推动区域服务水平提升</w:t>
      </w:r>
      <w:r>
        <w:rPr>
          <w:rFonts w:hint="default" w:ascii="Times New Roman" w:hAnsi="Times New Roman" w:cs="Times New Roman"/>
          <w:kern w:val="30"/>
          <w:sz w:val="30"/>
          <w:szCs w:val="30"/>
          <w:highlight w:val="none"/>
          <w:lang w:val="en-US" w:eastAsia="zh-CN" w:bidi="ar-SA"/>
        </w:rPr>
        <w:t>。</w:t>
      </w:r>
    </w:p>
    <w:p w14:paraId="444B4AFC">
      <w:pPr>
        <w:pStyle w:val="31"/>
        <w:keepNext w:val="0"/>
        <w:keepLines w:val="0"/>
        <w:pageBreakBefore w:val="0"/>
        <w:kinsoku/>
        <w:wordWrap/>
        <w:topLinePunct w:val="0"/>
        <w:autoSpaceDE/>
        <w:autoSpaceDN/>
        <w:bidi w:val="0"/>
        <w:adjustRightInd/>
        <w:spacing w:line="579" w:lineRule="exact"/>
        <w:textAlignment w:val="auto"/>
        <w:outlineLvl w:val="9"/>
        <w:rPr>
          <w:rFonts w:hint="default" w:ascii="Times New Roman" w:hAnsi="Times New Roman" w:cs="Times New Roman"/>
          <w:highlight w:val="none"/>
        </w:rPr>
      </w:pPr>
      <w:r>
        <w:rPr>
          <w:rFonts w:hint="default" w:ascii="Times New Roman" w:hAnsi="Times New Roman" w:cs="Times New Roman"/>
          <w:highlight w:val="none"/>
        </w:rPr>
        <w:t>（二）项目资金安排情</w:t>
      </w:r>
      <w:r>
        <w:rPr>
          <w:rFonts w:hint="default" w:ascii="Times New Roman" w:hAnsi="Times New Roman" w:cs="Times New Roman"/>
          <w:highlight w:val="none"/>
          <w:shd w:val="clear" w:fill="auto"/>
        </w:rPr>
        <w:t>况</w:t>
      </w:r>
    </w:p>
    <w:p w14:paraId="2719C859">
      <w:pPr>
        <w:spacing w:line="600" w:lineRule="exact"/>
        <w:ind w:firstLine="630" w:firstLineChars="200"/>
        <w:rPr>
          <w:rFonts w:hint="default" w:ascii="Times New Roman" w:hAnsi="Times New Roman" w:eastAsia="仿宋" w:cs="Times New Roman"/>
          <w:b/>
          <w:bCs/>
          <w:kern w:val="2"/>
          <w:sz w:val="30"/>
          <w:szCs w:val="30"/>
          <w:highlight w:val="none"/>
          <w:lang w:val="en-US" w:eastAsia="zh-CN" w:bidi="ar-SA"/>
        </w:rPr>
      </w:pPr>
      <w:r>
        <w:rPr>
          <w:rFonts w:hint="default" w:ascii="Times New Roman" w:hAnsi="Times New Roman" w:cs="Times New Roman"/>
          <w:b w:val="0"/>
          <w:bCs w:val="0"/>
          <w:kern w:val="2"/>
          <w:sz w:val="30"/>
          <w:szCs w:val="30"/>
          <w:highlight w:val="none"/>
          <w:lang w:val="en-US" w:eastAsia="zh-CN" w:bidi="ar-SA"/>
        </w:rPr>
        <w:t>1.资金来源及到位情况</w:t>
      </w:r>
    </w:p>
    <w:p w14:paraId="274B1FA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2023年本项目预算资金24.6</w:t>
      </w:r>
      <w:r>
        <w:rPr>
          <w:rFonts w:hint="eastAsia" w:ascii="Times New Roman" w:cs="Times New Roman"/>
          <w:kern w:val="30"/>
          <w:sz w:val="30"/>
          <w:szCs w:val="30"/>
          <w:highlight w:val="none"/>
          <w:lang w:val="en-US" w:eastAsia="zh-CN" w:bidi="ar-SA"/>
        </w:rPr>
        <w:t>1</w:t>
      </w:r>
      <w:r>
        <w:rPr>
          <w:rFonts w:hint="default" w:ascii="Times New Roman" w:hAnsi="Times New Roman" w:eastAsia="仿宋" w:cs="Times New Roman"/>
          <w:kern w:val="30"/>
          <w:sz w:val="30"/>
          <w:szCs w:val="30"/>
          <w:highlight w:val="none"/>
          <w:lang w:val="en-US" w:eastAsia="zh-CN" w:bidi="ar-SA"/>
        </w:rPr>
        <w:t>万元，根据《昆明市财政局 昆明市民政局 关于下达2023年第一批省级民政事业专项资金的通知》（昆财社〔2023〕85号），截至2023年12月31日，本项目实际到位资金24.6</w:t>
      </w:r>
      <w:r>
        <w:rPr>
          <w:rFonts w:hint="eastAsia" w:ascii="Times New Roman" w:cs="Times New Roman"/>
          <w:kern w:val="30"/>
          <w:sz w:val="30"/>
          <w:szCs w:val="30"/>
          <w:highlight w:val="none"/>
          <w:lang w:val="en-US" w:eastAsia="zh-CN" w:bidi="ar-SA"/>
        </w:rPr>
        <w:t>1</w:t>
      </w:r>
      <w:r>
        <w:rPr>
          <w:rFonts w:hint="default" w:ascii="Times New Roman" w:hAnsi="Times New Roman" w:eastAsia="仿宋" w:cs="Times New Roman"/>
          <w:kern w:val="30"/>
          <w:sz w:val="30"/>
          <w:szCs w:val="30"/>
          <w:highlight w:val="none"/>
          <w:lang w:val="en-US" w:eastAsia="zh-CN" w:bidi="ar-SA"/>
        </w:rPr>
        <w:t>万元，资金到位率100%</w:t>
      </w:r>
      <w:r>
        <w:rPr>
          <w:rFonts w:hint="default" w:ascii="Times New Roman" w:hAnsi="Times New Roman" w:cs="Times New Roman"/>
          <w:kern w:val="30"/>
          <w:sz w:val="30"/>
          <w:szCs w:val="30"/>
          <w:highlight w:val="none"/>
          <w:lang w:val="en-US" w:eastAsia="zh-CN" w:bidi="ar-SA"/>
        </w:rPr>
        <w:t>。</w:t>
      </w:r>
    </w:p>
    <w:p w14:paraId="45A079E2">
      <w:pPr>
        <w:spacing w:line="600" w:lineRule="exact"/>
        <w:ind w:firstLine="630" w:firstLineChars="200"/>
        <w:rPr>
          <w:rFonts w:hint="default" w:ascii="Times New Roman" w:hAnsi="Times New Roman" w:eastAsia="仿宋" w:cs="Times New Roman"/>
          <w:b/>
          <w:bCs/>
          <w:kern w:val="2"/>
          <w:sz w:val="30"/>
          <w:szCs w:val="30"/>
          <w:highlight w:val="none"/>
          <w:lang w:val="en-US" w:eastAsia="zh-CN" w:bidi="ar-SA"/>
        </w:rPr>
      </w:pPr>
      <w:r>
        <w:rPr>
          <w:rFonts w:hint="default" w:ascii="Times New Roman" w:hAnsi="Times New Roman" w:cs="Times New Roman"/>
          <w:b w:val="0"/>
          <w:bCs w:val="0"/>
          <w:kern w:val="2"/>
          <w:sz w:val="30"/>
          <w:szCs w:val="30"/>
          <w:highlight w:val="none"/>
          <w:lang w:val="en-US" w:eastAsia="zh-CN" w:bidi="ar-SA"/>
        </w:rPr>
        <w:t>2.资金使用情况</w:t>
      </w:r>
    </w:p>
    <w:p w14:paraId="30798E0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截至2023年12月31日，区民政局共对24家单位进行补助，共补助金额55.4万元，资金构成包含2023年预算24.6</w:t>
      </w:r>
      <w:r>
        <w:rPr>
          <w:rFonts w:hint="eastAsia" w:ascii="Times New Roman" w:cs="Times New Roman"/>
          <w:kern w:val="30"/>
          <w:sz w:val="30"/>
          <w:szCs w:val="30"/>
          <w:highlight w:val="none"/>
          <w:lang w:val="en-US" w:eastAsia="zh-CN" w:bidi="ar-SA"/>
        </w:rPr>
        <w:t>1</w:t>
      </w:r>
      <w:r>
        <w:rPr>
          <w:rFonts w:hint="default" w:ascii="Times New Roman" w:hAnsi="Times New Roman" w:eastAsia="仿宋" w:cs="Times New Roman"/>
          <w:kern w:val="30"/>
          <w:sz w:val="30"/>
          <w:szCs w:val="30"/>
          <w:highlight w:val="none"/>
          <w:lang w:val="en-US" w:eastAsia="zh-CN" w:bidi="ar-SA"/>
        </w:rPr>
        <w:t>万元以及2022年该项目的结余资金30.79万元</w:t>
      </w:r>
      <w:r>
        <w:rPr>
          <w:rFonts w:hint="eastAsia" w:ascii="Times New Roman" w:cs="Times New Roman"/>
          <w:kern w:val="30"/>
          <w:sz w:val="30"/>
          <w:szCs w:val="30"/>
          <w:highlight w:val="none"/>
          <w:lang w:val="en-US" w:eastAsia="zh-CN" w:bidi="ar-SA"/>
        </w:rPr>
        <w:t>，预算执行率100%</w:t>
      </w:r>
      <w:r>
        <w:rPr>
          <w:rFonts w:hint="default" w:ascii="Times New Roman" w:hAnsi="Times New Roman" w:eastAsia="仿宋" w:cs="Times New Roman"/>
          <w:kern w:val="30"/>
          <w:sz w:val="30"/>
          <w:szCs w:val="30"/>
          <w:highlight w:val="none"/>
          <w:lang w:val="en-US" w:eastAsia="zh-CN" w:bidi="ar-SA"/>
        </w:rPr>
        <w:t>。</w:t>
      </w:r>
    </w:p>
    <w:p w14:paraId="2FDE6132">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5" w:name="_Toc6479"/>
      <w:bookmarkStart w:id="6" w:name="_Toc16692"/>
      <w:bookmarkStart w:id="7" w:name="_Toc22688"/>
      <w:r>
        <w:rPr>
          <w:rFonts w:hint="default" w:ascii="Times New Roman" w:hAnsi="Times New Roman" w:cs="Times New Roman"/>
          <w:highlight w:val="none"/>
          <w:lang w:val="en-US" w:eastAsia="zh-CN"/>
        </w:rPr>
        <w:t>二、绩效评价结论</w:t>
      </w:r>
      <w:bookmarkEnd w:id="5"/>
      <w:bookmarkEnd w:id="6"/>
      <w:bookmarkEnd w:id="7"/>
    </w:p>
    <w:p w14:paraId="68ABA979">
      <w:pP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rPr>
        <w:t>社区居家养老服务中心运营补助</w:t>
      </w:r>
      <w:r>
        <w:rPr>
          <w:rFonts w:hint="default" w:ascii="Times New Roman" w:hAnsi="Times New Roman" w:cs="Times New Roman"/>
          <w:szCs w:val="30"/>
          <w:highlight w:val="none"/>
          <w:lang w:val="en-US" w:eastAsia="zh-CN"/>
        </w:rPr>
        <w:t>项目</w:t>
      </w:r>
      <w:r>
        <w:rPr>
          <w:rFonts w:hint="default" w:ascii="Times New Roman" w:hAnsi="Times New Roman" w:eastAsia="仿宋" w:cs="Times New Roman"/>
          <w:kern w:val="30"/>
          <w:sz w:val="30"/>
          <w:szCs w:val="30"/>
          <w:highlight w:val="none"/>
          <w:lang w:val="en-US" w:eastAsia="zh-CN" w:bidi="ar-SA"/>
        </w:rPr>
        <w:t>绩效评价得分</w:t>
      </w:r>
      <w:r>
        <w:rPr>
          <w:rFonts w:hint="default" w:ascii="Times New Roman" w:hAnsi="Times New Roman" w:eastAsia="仿宋" w:cs="Times New Roman"/>
          <w:kern w:val="30"/>
          <w:sz w:val="30"/>
          <w:szCs w:val="30"/>
          <w:highlight w:val="none"/>
          <w:shd w:val="clear"/>
          <w:lang w:val="en-US" w:eastAsia="zh-CN" w:bidi="ar-SA"/>
        </w:rPr>
        <w:t>9</w:t>
      </w:r>
      <w:r>
        <w:rPr>
          <w:rFonts w:hint="eastAsia" w:ascii="Times New Roman" w:cs="Times New Roman"/>
          <w:kern w:val="30"/>
          <w:sz w:val="30"/>
          <w:szCs w:val="30"/>
          <w:highlight w:val="none"/>
          <w:shd w:val="clear"/>
          <w:lang w:val="en-US" w:eastAsia="zh-CN" w:bidi="ar-SA"/>
        </w:rPr>
        <w:t>4</w:t>
      </w:r>
      <w:r>
        <w:rPr>
          <w:rFonts w:hint="default" w:ascii="Times New Roman" w:hAnsi="Times New Roman" w:cs="Times New Roman"/>
          <w:kern w:val="30"/>
          <w:sz w:val="30"/>
          <w:szCs w:val="30"/>
          <w:highlight w:val="none"/>
          <w:shd w:val="clear"/>
          <w:lang w:val="en-US" w:eastAsia="zh-CN" w:bidi="ar-SA"/>
        </w:rPr>
        <w:t>.53</w:t>
      </w:r>
      <w:r>
        <w:rPr>
          <w:rFonts w:hint="default" w:ascii="Times New Roman" w:hAnsi="Times New Roman" w:eastAsia="仿宋" w:cs="Times New Roman"/>
          <w:kern w:val="30"/>
          <w:sz w:val="30"/>
          <w:szCs w:val="30"/>
          <w:highlight w:val="none"/>
          <w:shd w:val="clear"/>
          <w:lang w:val="en-US" w:eastAsia="zh-CN" w:bidi="ar-SA"/>
        </w:rPr>
        <w:t>分，</w:t>
      </w:r>
      <w:r>
        <w:rPr>
          <w:rFonts w:hint="default" w:ascii="Times New Roman" w:hAnsi="Times New Roman" w:eastAsia="仿宋" w:cs="Times New Roman"/>
          <w:kern w:val="30"/>
          <w:sz w:val="30"/>
          <w:szCs w:val="30"/>
          <w:highlight w:val="none"/>
          <w:lang w:val="en-US" w:eastAsia="zh-CN" w:bidi="ar-SA"/>
        </w:rPr>
        <w:t>评价等级为</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优</w:t>
      </w:r>
      <w:r>
        <w:rPr>
          <w:rFonts w:hint="default" w:ascii="Times New Roman" w:hAnsi="Times New Roman" w:cs="Times New Roman"/>
          <w:kern w:val="30"/>
          <w:sz w:val="30"/>
          <w:szCs w:val="30"/>
          <w:highlight w:val="none"/>
          <w:lang w:val="en-US" w:eastAsia="zh-CN" w:bidi="ar-SA"/>
        </w:rPr>
        <w:t>”</w:t>
      </w:r>
      <w:r>
        <w:rPr>
          <w:rFonts w:hint="default" w:ascii="Times New Roman" w:hAnsi="Times New Roman" w:eastAsia="仿宋" w:cs="Times New Roman"/>
          <w:kern w:val="30"/>
          <w:sz w:val="30"/>
          <w:szCs w:val="30"/>
          <w:highlight w:val="none"/>
          <w:lang w:val="en-US" w:eastAsia="zh-CN" w:bidi="ar-SA"/>
        </w:rPr>
        <w:t>。一级指标具体得分情况详见下表：</w:t>
      </w:r>
    </w:p>
    <w:p w14:paraId="45DBE7DF">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eastAsia" w:ascii="Times New Roman" w:hAnsi="Times New Roman" w:eastAsia="黑体" w:cs="Times New Roman"/>
          <w:b w:val="0"/>
          <w:bCs/>
          <w:sz w:val="24"/>
          <w:szCs w:val="24"/>
          <w:highlight w:val="none"/>
          <w:lang w:val="en-US" w:eastAsia="zh-CN"/>
        </w:rPr>
        <w:t xml:space="preserve">表摘1 </w:t>
      </w:r>
      <w:r>
        <w:rPr>
          <w:rFonts w:hint="default" w:ascii="Times New Roman" w:hAnsi="Times New Roman" w:eastAsia="黑体" w:cs="Times New Roman"/>
          <w:b w:val="0"/>
          <w:bCs/>
          <w:sz w:val="24"/>
          <w:szCs w:val="24"/>
          <w:highlight w:val="none"/>
          <w:lang w:eastAsia="zh-CN"/>
        </w:rPr>
        <w:t>绩效评价</w:t>
      </w:r>
      <w:r>
        <w:rPr>
          <w:rFonts w:hint="default" w:ascii="Times New Roman" w:hAnsi="Times New Roman" w:eastAsia="黑体" w:cs="Times New Roman"/>
          <w:b w:val="0"/>
          <w:bCs/>
          <w:sz w:val="24"/>
          <w:szCs w:val="24"/>
          <w:highlight w:val="none"/>
        </w:rPr>
        <w:t>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6268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A2123B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一级指标</w:t>
            </w:r>
          </w:p>
        </w:tc>
        <w:tc>
          <w:tcPr>
            <w:tcW w:w="2211" w:type="dxa"/>
            <w:tcBorders>
              <w:top w:val="single" w:color="auto" w:sz="4" w:space="0"/>
            </w:tcBorders>
            <w:vAlign w:val="center"/>
          </w:tcPr>
          <w:p w14:paraId="214EACD2">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指标分值</w:t>
            </w:r>
          </w:p>
        </w:tc>
        <w:tc>
          <w:tcPr>
            <w:tcW w:w="2211" w:type="dxa"/>
            <w:tcBorders>
              <w:top w:val="single" w:color="auto" w:sz="4" w:space="0"/>
            </w:tcBorders>
            <w:vAlign w:val="center"/>
          </w:tcPr>
          <w:p w14:paraId="7253954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评价得分</w:t>
            </w:r>
          </w:p>
        </w:tc>
        <w:tc>
          <w:tcPr>
            <w:tcW w:w="2211" w:type="dxa"/>
            <w:tcBorders>
              <w:top w:val="single" w:color="auto" w:sz="4" w:space="0"/>
            </w:tcBorders>
            <w:vAlign w:val="center"/>
          </w:tcPr>
          <w:p w14:paraId="47D22C37">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得分率</w:t>
            </w:r>
          </w:p>
        </w:tc>
      </w:tr>
      <w:tr w14:paraId="3445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09187F7">
            <w:pPr>
              <w:snapToGrid w:val="0"/>
              <w:jc w:val="center"/>
              <w:rPr>
                <w:rFonts w:hint="default" w:ascii="Times New Roman" w:hAnsi="Times New Roman" w:eastAsia="仿宋" w:cs="Times New Roman"/>
                <w:bCs/>
                <w:spacing w:val="6"/>
                <w:sz w:val="21"/>
                <w:highlight w:val="none"/>
                <w:lang w:eastAsia="zh-CN"/>
              </w:rPr>
            </w:pPr>
            <w:r>
              <w:rPr>
                <w:rFonts w:hint="default" w:ascii="Times New Roman" w:hAnsi="Times New Roman" w:cs="Times New Roman"/>
                <w:bCs/>
                <w:spacing w:val="6"/>
                <w:sz w:val="21"/>
                <w:highlight w:val="none"/>
                <w:lang w:val="en-US" w:eastAsia="zh-CN"/>
              </w:rPr>
              <w:t>决策</w:t>
            </w:r>
          </w:p>
        </w:tc>
        <w:tc>
          <w:tcPr>
            <w:tcW w:w="2211" w:type="dxa"/>
            <w:vAlign w:val="center"/>
          </w:tcPr>
          <w:p w14:paraId="5EECCB3F">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15</w:t>
            </w:r>
            <w:r>
              <w:rPr>
                <w:rFonts w:hint="eastAsia" w:ascii="Times New Roman" w:hAnsi="Times New Roman" w:cs="Times New Roman"/>
                <w:bCs/>
                <w:spacing w:val="6"/>
                <w:sz w:val="21"/>
                <w:highlight w:val="none"/>
                <w:lang w:val="en-US" w:eastAsia="zh-CN"/>
              </w:rPr>
              <w:t>.00</w:t>
            </w:r>
          </w:p>
        </w:tc>
        <w:tc>
          <w:tcPr>
            <w:tcW w:w="2211" w:type="dxa"/>
            <w:vAlign w:val="center"/>
          </w:tcPr>
          <w:p w14:paraId="1760E0AA">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14</w:t>
            </w:r>
            <w:r>
              <w:rPr>
                <w:rFonts w:hint="eastAsia" w:ascii="Times New Roman" w:hAnsi="Times New Roman" w:cs="Times New Roman"/>
                <w:bCs/>
                <w:spacing w:val="6"/>
                <w:sz w:val="21"/>
                <w:highlight w:val="none"/>
                <w:lang w:val="en-US" w:eastAsia="zh-CN"/>
              </w:rPr>
              <w:t>.00</w:t>
            </w:r>
          </w:p>
        </w:tc>
        <w:tc>
          <w:tcPr>
            <w:tcW w:w="2211" w:type="dxa"/>
            <w:vAlign w:val="center"/>
          </w:tcPr>
          <w:p w14:paraId="588B48B8">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93.33%</w:t>
            </w:r>
          </w:p>
        </w:tc>
      </w:tr>
      <w:tr w14:paraId="4818C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4D7962C3">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过程</w:t>
            </w:r>
          </w:p>
        </w:tc>
        <w:tc>
          <w:tcPr>
            <w:tcW w:w="2211" w:type="dxa"/>
            <w:vAlign w:val="center"/>
          </w:tcPr>
          <w:p w14:paraId="10BA0839">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20</w:t>
            </w:r>
            <w:r>
              <w:rPr>
                <w:rFonts w:hint="eastAsia" w:ascii="Times New Roman" w:hAnsi="Times New Roman" w:cs="Times New Roman"/>
                <w:bCs/>
                <w:spacing w:val="6"/>
                <w:sz w:val="21"/>
                <w:highlight w:val="none"/>
                <w:lang w:val="en-US" w:eastAsia="zh-CN"/>
              </w:rPr>
              <w:t>.00</w:t>
            </w:r>
          </w:p>
        </w:tc>
        <w:tc>
          <w:tcPr>
            <w:tcW w:w="2211" w:type="dxa"/>
            <w:vAlign w:val="center"/>
          </w:tcPr>
          <w:p w14:paraId="4989024C">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20</w:t>
            </w:r>
            <w:r>
              <w:rPr>
                <w:rFonts w:hint="eastAsia" w:ascii="Times New Roman" w:hAnsi="Times New Roman" w:cs="Times New Roman"/>
                <w:bCs/>
                <w:spacing w:val="6"/>
                <w:sz w:val="21"/>
                <w:highlight w:val="none"/>
                <w:lang w:val="en-US" w:eastAsia="zh-CN"/>
              </w:rPr>
              <w:t>.00</w:t>
            </w:r>
          </w:p>
        </w:tc>
        <w:tc>
          <w:tcPr>
            <w:tcW w:w="2211" w:type="dxa"/>
            <w:vAlign w:val="center"/>
          </w:tcPr>
          <w:p w14:paraId="552EA6D6">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100</w:t>
            </w:r>
            <w:r>
              <w:rPr>
                <w:rFonts w:hint="eastAsia" w:ascii="Times New Roman" w:hAnsi="Times New Roman" w:cs="Times New Roman"/>
                <w:bCs/>
                <w:spacing w:val="6"/>
                <w:sz w:val="21"/>
                <w:highlight w:val="none"/>
                <w:lang w:val="en-US" w:eastAsia="zh-CN"/>
              </w:rPr>
              <w:t>.00</w:t>
            </w:r>
            <w:r>
              <w:rPr>
                <w:rFonts w:hint="default" w:ascii="Times New Roman" w:hAnsi="Times New Roman" w:cs="Times New Roman"/>
                <w:bCs/>
                <w:spacing w:val="6"/>
                <w:sz w:val="21"/>
                <w:highlight w:val="none"/>
                <w:lang w:val="en-US" w:eastAsia="zh-CN"/>
              </w:rPr>
              <w:t>%</w:t>
            </w:r>
          </w:p>
        </w:tc>
      </w:tr>
      <w:tr w14:paraId="2329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58E03C3E">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产出</w:t>
            </w:r>
          </w:p>
        </w:tc>
        <w:tc>
          <w:tcPr>
            <w:tcW w:w="2211" w:type="dxa"/>
            <w:vAlign w:val="center"/>
          </w:tcPr>
          <w:p w14:paraId="3AB3ADFD">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35</w:t>
            </w:r>
            <w:r>
              <w:rPr>
                <w:rFonts w:hint="eastAsia" w:ascii="Times New Roman" w:hAnsi="Times New Roman" w:cs="Times New Roman"/>
                <w:bCs/>
                <w:spacing w:val="6"/>
                <w:sz w:val="21"/>
                <w:highlight w:val="none"/>
                <w:lang w:val="en-US" w:eastAsia="zh-CN"/>
              </w:rPr>
              <w:t>.00</w:t>
            </w:r>
          </w:p>
        </w:tc>
        <w:tc>
          <w:tcPr>
            <w:tcW w:w="2211" w:type="dxa"/>
            <w:vAlign w:val="center"/>
          </w:tcPr>
          <w:p w14:paraId="410A1F74">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31</w:t>
            </w:r>
            <w:r>
              <w:rPr>
                <w:rFonts w:hint="eastAsia" w:ascii="Times New Roman" w:hAnsi="Times New Roman" w:cs="Times New Roman"/>
                <w:bCs/>
                <w:spacing w:val="6"/>
                <w:sz w:val="21"/>
                <w:highlight w:val="none"/>
                <w:lang w:val="en-US" w:eastAsia="zh-CN"/>
              </w:rPr>
              <w:t>.00</w:t>
            </w:r>
          </w:p>
        </w:tc>
        <w:tc>
          <w:tcPr>
            <w:tcW w:w="2211" w:type="dxa"/>
            <w:vAlign w:val="center"/>
          </w:tcPr>
          <w:p w14:paraId="28C59490">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88.57%</w:t>
            </w:r>
          </w:p>
        </w:tc>
      </w:tr>
      <w:tr w14:paraId="257E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19E42792">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效果</w:t>
            </w:r>
          </w:p>
        </w:tc>
        <w:tc>
          <w:tcPr>
            <w:tcW w:w="2211" w:type="dxa"/>
            <w:vAlign w:val="center"/>
          </w:tcPr>
          <w:p w14:paraId="0138C10E">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30</w:t>
            </w:r>
            <w:r>
              <w:rPr>
                <w:rFonts w:hint="eastAsia" w:ascii="Times New Roman" w:hAnsi="Times New Roman" w:cs="Times New Roman"/>
                <w:bCs/>
                <w:spacing w:val="6"/>
                <w:sz w:val="21"/>
                <w:highlight w:val="none"/>
                <w:lang w:val="en-US" w:eastAsia="zh-CN"/>
              </w:rPr>
              <w:t>.00</w:t>
            </w:r>
          </w:p>
        </w:tc>
        <w:tc>
          <w:tcPr>
            <w:tcW w:w="2211" w:type="dxa"/>
            <w:vAlign w:val="center"/>
          </w:tcPr>
          <w:p w14:paraId="1C62B86F">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29.53</w:t>
            </w:r>
          </w:p>
        </w:tc>
        <w:tc>
          <w:tcPr>
            <w:tcW w:w="2211" w:type="dxa"/>
            <w:vAlign w:val="center"/>
          </w:tcPr>
          <w:p w14:paraId="384317FB">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98.43%</w:t>
            </w:r>
          </w:p>
        </w:tc>
      </w:tr>
      <w:tr w14:paraId="0BD80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49454E6">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合 计</w:t>
            </w:r>
          </w:p>
        </w:tc>
        <w:tc>
          <w:tcPr>
            <w:tcW w:w="2211" w:type="dxa"/>
            <w:vAlign w:val="center"/>
          </w:tcPr>
          <w:p w14:paraId="06AF0BF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100</w:t>
            </w:r>
            <w:r>
              <w:rPr>
                <w:rFonts w:hint="eastAsia" w:ascii="Times New Roman" w:hAnsi="Times New Roman" w:cs="Times New Roman"/>
                <w:b/>
                <w:bCs w:val="0"/>
                <w:spacing w:val="6"/>
                <w:sz w:val="21"/>
                <w:highlight w:val="none"/>
                <w:lang w:val="en-US" w:eastAsia="zh-CN"/>
              </w:rPr>
              <w:t>.00</w:t>
            </w:r>
          </w:p>
        </w:tc>
        <w:tc>
          <w:tcPr>
            <w:tcW w:w="2211" w:type="dxa"/>
            <w:vAlign w:val="center"/>
          </w:tcPr>
          <w:p w14:paraId="6534AC07">
            <w:pPr>
              <w:snapToGrid w:val="0"/>
              <w:jc w:val="center"/>
              <w:rPr>
                <w:rFonts w:hint="default" w:ascii="Times New Roman" w:hAnsi="Times New Roman" w:eastAsia="仿宋" w:cs="Times New Roman"/>
                <w:b w:val="0"/>
                <w:bCs w:val="0"/>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4</w:t>
            </w:r>
            <w:r>
              <w:rPr>
                <w:rFonts w:hint="default" w:ascii="Times New Roman" w:hAnsi="Times New Roman" w:cs="Times New Roman"/>
                <w:b/>
                <w:bCs/>
                <w:spacing w:val="6"/>
                <w:sz w:val="21"/>
                <w:highlight w:val="none"/>
                <w:lang w:val="en-US" w:eastAsia="zh-CN"/>
              </w:rPr>
              <w:t>.53</w:t>
            </w:r>
          </w:p>
        </w:tc>
        <w:tc>
          <w:tcPr>
            <w:tcW w:w="2211" w:type="dxa"/>
            <w:vAlign w:val="center"/>
          </w:tcPr>
          <w:p w14:paraId="4CFF7400">
            <w:pPr>
              <w:snapToGrid w:val="0"/>
              <w:jc w:val="center"/>
              <w:rPr>
                <w:rFonts w:hint="default" w:ascii="Times New Roman" w:hAnsi="Times New Roman" w:eastAsia="仿宋" w:cs="Times New Roman"/>
                <w:b w:val="0"/>
                <w:bCs w:val="0"/>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4</w:t>
            </w:r>
            <w:r>
              <w:rPr>
                <w:rFonts w:hint="default" w:ascii="Times New Roman" w:hAnsi="Times New Roman" w:cs="Times New Roman"/>
                <w:b/>
                <w:bCs/>
                <w:spacing w:val="6"/>
                <w:sz w:val="21"/>
                <w:highlight w:val="none"/>
                <w:lang w:val="en-US" w:eastAsia="zh-CN"/>
              </w:rPr>
              <w:t>.53%</w:t>
            </w:r>
          </w:p>
        </w:tc>
      </w:tr>
    </w:tbl>
    <w:p w14:paraId="15FAD34C">
      <w:pPr>
        <w:spacing w:line="579" w:lineRule="exact"/>
        <w:ind w:firstLine="630" w:firstLineChars="200"/>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综合结论：</w:t>
      </w:r>
      <w:r>
        <w:rPr>
          <w:rFonts w:hint="default" w:ascii="Times New Roman" w:hAnsi="Times New Roman" w:cs="Times New Roman"/>
          <w:highlight w:val="none"/>
          <w:lang w:val="en-US" w:eastAsia="zh-CN"/>
        </w:rPr>
        <w:t>社区居家养老服务中心运营补助项目</w:t>
      </w:r>
      <w:r>
        <w:rPr>
          <w:rFonts w:hint="default" w:ascii="Times New Roman" w:hAnsi="Times New Roman" w:cs="Times New Roman"/>
          <w:szCs w:val="30"/>
          <w:highlight w:val="none"/>
        </w:rPr>
        <w:t>立项依据充分、立项程序规范，内容完善</w:t>
      </w:r>
      <w:r>
        <w:rPr>
          <w:rFonts w:hint="default" w:ascii="Times New Roman" w:hAnsi="Times New Roman" w:cs="Times New Roman"/>
          <w:szCs w:val="30"/>
          <w:highlight w:val="none"/>
          <w:lang w:val="en-US" w:eastAsia="zh-CN"/>
        </w:rPr>
        <w:t>，项目实施效果良好，但</w:t>
      </w:r>
      <w:r>
        <w:rPr>
          <w:rFonts w:hint="default" w:ascii="Times New Roman" w:hAnsi="Times New Roman" w:cs="Times New Roman"/>
          <w:szCs w:val="30"/>
          <w:highlight w:val="none"/>
        </w:rPr>
        <w:t>绩效目标设定</w:t>
      </w:r>
      <w:r>
        <w:rPr>
          <w:rFonts w:hint="default" w:ascii="Times New Roman" w:hAnsi="Times New Roman" w:cs="Times New Roman"/>
          <w:szCs w:val="30"/>
          <w:highlight w:val="none"/>
          <w:lang w:val="en-US" w:eastAsia="zh-CN"/>
        </w:rPr>
        <w:t>还有待加强，个别管理制度条款待完善，评估单位的专业性还有待提高。</w:t>
      </w:r>
    </w:p>
    <w:p w14:paraId="3573A854">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bookmarkStart w:id="8" w:name="_Toc22605"/>
      <w:bookmarkStart w:id="9" w:name="_Toc13527"/>
      <w:bookmarkStart w:id="10" w:name="_Toc6160"/>
      <w:r>
        <w:rPr>
          <w:rFonts w:hint="default" w:ascii="Times New Roman" w:hAnsi="Times New Roman" w:cs="Times New Roman"/>
          <w:highlight w:val="none"/>
          <w:lang w:val="en-US" w:eastAsia="zh-CN"/>
        </w:rPr>
        <w:t>三、</w:t>
      </w:r>
      <w:bookmarkEnd w:id="8"/>
      <w:bookmarkEnd w:id="9"/>
      <w:bookmarkEnd w:id="10"/>
      <w:bookmarkStart w:id="11" w:name="_Toc6891"/>
      <w:bookmarkStart w:id="12" w:name="_Toc6130"/>
      <w:bookmarkStart w:id="13" w:name="_Toc18700"/>
      <w:r>
        <w:rPr>
          <w:rFonts w:hint="default" w:ascii="Times New Roman" w:hAnsi="Times New Roman" w:cs="Times New Roman"/>
          <w:highlight w:val="none"/>
          <w:lang w:val="en-US" w:eastAsia="zh-CN"/>
        </w:rPr>
        <w:t>存在的主要问题</w:t>
      </w:r>
      <w:bookmarkEnd w:id="11"/>
      <w:bookmarkEnd w:id="12"/>
      <w:bookmarkEnd w:id="13"/>
    </w:p>
    <w:p w14:paraId="777C95B7">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4" w:name="_Toc10655"/>
      <w:bookmarkStart w:id="15" w:name="_Toc233"/>
      <w:bookmarkStart w:id="16" w:name="_Toc27628"/>
      <w:bookmarkStart w:id="17" w:name="_Toc6606"/>
      <w:r>
        <w:rPr>
          <w:rFonts w:hint="default" w:ascii="Times New Roman" w:hAnsi="Times New Roman" w:cs="Times New Roman"/>
          <w:highlight w:val="none"/>
          <w:lang w:val="en-US" w:eastAsia="zh-CN"/>
        </w:rPr>
        <w:t>（一）绩效目标编制不准确，绩效管理有待加强</w:t>
      </w:r>
      <w:bookmarkEnd w:id="14"/>
    </w:p>
    <w:p w14:paraId="3B2EE5E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kern w:val="2"/>
          <w:sz w:val="30"/>
          <w:szCs w:val="30"/>
          <w:highlight w:val="none"/>
          <w:lang w:val="en-US" w:eastAsia="zh-CN" w:bidi="ar-SA"/>
        </w:rPr>
        <w:t>个别指标编制不够准确，如质量指标的“2023年发放城乡居家养老服务中心运营补助资金完成率”以及时效指标的“完成率”，该指标实际应为数量指标。</w:t>
      </w:r>
    </w:p>
    <w:p w14:paraId="781E0C0D">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18" w:name="_Toc14860"/>
      <w:r>
        <w:rPr>
          <w:rFonts w:hint="default" w:ascii="Times New Roman" w:hAnsi="Times New Roman" w:cs="Times New Roman"/>
          <w:highlight w:val="none"/>
          <w:lang w:val="en-US" w:eastAsia="zh-CN"/>
        </w:rPr>
        <w:t>（二）</w:t>
      </w:r>
      <w:bookmarkEnd w:id="18"/>
      <w:bookmarkStart w:id="19" w:name="_Toc25933"/>
      <w:r>
        <w:rPr>
          <w:rFonts w:hint="default" w:ascii="Times New Roman" w:hAnsi="Times New Roman" w:cs="Times New Roman"/>
          <w:highlight w:val="none"/>
          <w:lang w:val="en-US" w:eastAsia="zh-CN"/>
        </w:rPr>
        <w:t>评估单位专业性有待加强，个别结论充分性不足</w:t>
      </w:r>
      <w:bookmarkEnd w:id="19"/>
    </w:p>
    <w:p w14:paraId="3D8013C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kern w:val="2"/>
          <w:sz w:val="30"/>
          <w:szCs w:val="30"/>
          <w:highlight w:val="none"/>
          <w:lang w:val="en-US" w:eastAsia="zh-CN" w:bidi="ar-SA"/>
        </w:rPr>
        <w:t>根据评估单位提供的《2022年西山区居家养老服务中心运营补助评估报告》，2023年需对西山区26个居家养老服务中心补贴60.2万元，但实际补助单位为24家，补助总金额55.4万元，与评估单位提供的26家缺少两家。根据情况说明，猫猫箐社区马鞍山小组居家养老服务中心在考核时已经暂停运营。海口街道白鱼社区居家养老服务中心于2023年5月份才正式投入运营，均不属于2022年补贴的范围内。因此项目组认为评估单位的专业性有待加强。</w:t>
      </w:r>
    </w:p>
    <w:p w14:paraId="6D13284E">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五、建议</w:t>
      </w:r>
      <w:bookmarkEnd w:id="15"/>
      <w:bookmarkEnd w:id="16"/>
      <w:bookmarkEnd w:id="17"/>
    </w:p>
    <w:bookmarkEnd w:id="1"/>
    <w:p w14:paraId="64452417">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20" w:name="_Toc32110"/>
      <w:r>
        <w:rPr>
          <w:rFonts w:hint="default" w:ascii="Times New Roman" w:hAnsi="Times New Roman" w:cs="Times New Roman"/>
          <w:highlight w:val="none"/>
          <w:lang w:val="en-US" w:eastAsia="zh-CN"/>
        </w:rPr>
        <w:t>（一）加强绩效管理工作，提升单位绩效意识</w:t>
      </w:r>
      <w:bookmarkEnd w:id="20"/>
    </w:p>
    <w:p w14:paraId="70D2747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highlight w:val="none"/>
          <w:lang w:val="en-US" w:eastAsia="zh-CN"/>
        </w:rPr>
      </w:pPr>
      <w:r>
        <w:rPr>
          <w:rFonts w:hint="default" w:ascii="Times New Roman" w:hAnsi="Times New Roman" w:cs="Times New Roman"/>
          <w:szCs w:val="30"/>
          <w:highlight w:val="none"/>
          <w:lang w:val="en-US" w:eastAsia="zh-CN"/>
        </w:rPr>
        <w:t>建议区民政局按照</w:t>
      </w:r>
      <w:r>
        <w:rPr>
          <w:rFonts w:hint="default" w:ascii="Times New Roman" w:hAnsi="Times New Roman" w:eastAsia="仿宋" w:cs="Times New Roman"/>
          <w:kern w:val="2"/>
          <w:sz w:val="30"/>
          <w:szCs w:val="30"/>
          <w:highlight w:val="none"/>
          <w:lang w:val="en-US" w:eastAsia="zh-CN" w:bidi="ar-SA"/>
        </w:rPr>
        <w:t>国家、</w:t>
      </w:r>
      <w:r>
        <w:rPr>
          <w:rFonts w:hint="eastAsia" w:ascii="Times New Roman" w:cs="Times New Roman"/>
          <w:kern w:val="2"/>
          <w:sz w:val="30"/>
          <w:szCs w:val="30"/>
          <w:highlight w:val="none"/>
          <w:lang w:val="en-US" w:eastAsia="zh-CN" w:bidi="ar-SA"/>
        </w:rPr>
        <w:t>云南</w:t>
      </w:r>
      <w:r>
        <w:rPr>
          <w:rFonts w:hint="default" w:ascii="Times New Roman" w:hAnsi="Times New Roman" w:eastAsia="仿宋" w:cs="Times New Roman"/>
          <w:kern w:val="2"/>
          <w:sz w:val="30"/>
          <w:szCs w:val="30"/>
          <w:highlight w:val="none"/>
          <w:lang w:val="en-US" w:eastAsia="zh-CN" w:bidi="ar-SA"/>
        </w:rPr>
        <w:t>省</w:t>
      </w:r>
      <w:r>
        <w:rPr>
          <w:rFonts w:hint="eastAsia" w:ascii="Times New Roman" w:cs="Times New Roman"/>
          <w:kern w:val="2"/>
          <w:sz w:val="30"/>
          <w:szCs w:val="30"/>
          <w:highlight w:val="none"/>
          <w:lang w:val="en-US" w:eastAsia="zh-CN" w:bidi="ar-SA"/>
        </w:rPr>
        <w:t>、昆明市、西山区</w:t>
      </w:r>
      <w:r>
        <w:rPr>
          <w:rFonts w:hint="default" w:ascii="Times New Roman" w:hAnsi="Times New Roman" w:cs="Times New Roman"/>
          <w:szCs w:val="30"/>
          <w:highlight w:val="none"/>
          <w:lang w:val="en-US" w:eastAsia="zh-CN"/>
        </w:rPr>
        <w:t>绩效相关工作要求，严格编制绩效目标表，确保后续指标评价的完整性及整体目标设置的合理性。对于本次项目，质量指标建议调整为</w:t>
      </w:r>
      <w:r>
        <w:rPr>
          <w:rFonts w:hint="default" w:ascii="Times New Roman" w:hAnsi="Times New Roman" w:cs="Times New Roman"/>
          <w:kern w:val="2"/>
          <w:sz w:val="30"/>
          <w:szCs w:val="30"/>
          <w:highlight w:val="none"/>
          <w:lang w:val="en-US" w:eastAsia="zh-CN" w:bidi="ar-SA"/>
        </w:rPr>
        <w:t>“补助资金发放准确性”，用于考核实际发出补贴是否与应补贴名单一致。时效指标建议更改为“工作完成及时性”，用于考核项目是否在年度内完成。</w:t>
      </w:r>
    </w:p>
    <w:p w14:paraId="28C68066">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21" w:name="_Toc21595"/>
      <w:r>
        <w:rPr>
          <w:rFonts w:hint="default" w:ascii="Times New Roman" w:hAnsi="Times New Roman" w:cs="Times New Roman"/>
          <w:highlight w:val="none"/>
          <w:lang w:val="en-US" w:eastAsia="zh-CN"/>
        </w:rPr>
        <w:t>（二）</w:t>
      </w:r>
      <w:bookmarkEnd w:id="21"/>
      <w:bookmarkStart w:id="22" w:name="_Toc1361"/>
      <w:r>
        <w:rPr>
          <w:rFonts w:hint="default" w:ascii="Times New Roman" w:hAnsi="Times New Roman" w:cs="Times New Roman"/>
          <w:highlight w:val="none"/>
          <w:lang w:val="en-US" w:eastAsia="zh-CN"/>
        </w:rPr>
        <w:t>加强第三方管理要求，提升结论的专业性</w:t>
      </w:r>
      <w:bookmarkEnd w:id="22"/>
    </w:p>
    <w:p w14:paraId="68DE8FCD">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一是建议区民政局加强采购管理流程，减少“低价中标”的要求，优先考虑符合评估单位要求的投标方，包含过去实施的项目、对评估的理解等。二是建议区民政局加强第三方结论的复核，在报告初稿阶段，应征求各街道或社区的意见，确保符合补贴范围内的居家养老服务中心都能享受到政策的补助和支持，对于不符合补助范围的居家养老中心予以调整。</w:t>
      </w:r>
    </w:p>
    <w:p w14:paraId="33F7B1D8">
      <w:pPr>
        <w:keepNext w:val="0"/>
        <w:keepLines w:val="0"/>
        <w:pageBreakBefore w:val="0"/>
        <w:widowControl w:val="0"/>
        <w:kinsoku/>
        <w:wordWrap/>
        <w:topLinePunct w:val="0"/>
        <w:autoSpaceDE/>
        <w:autoSpaceDN/>
        <w:bidi w:val="0"/>
        <w:adjustRightInd w:val="0"/>
        <w:snapToGrid w:val="0"/>
        <w:spacing w:line="579" w:lineRule="exact"/>
        <w:ind w:firstLine="910" w:firstLineChars="200"/>
        <w:textAlignment w:val="auto"/>
        <w:outlineLvl w:val="9"/>
        <w:rPr>
          <w:rFonts w:hint="default" w:ascii="Times New Roman" w:hAnsi="Times New Roman" w:eastAsia="微软雅黑" w:cs="Times New Roman"/>
          <w:sz w:val="44"/>
          <w:szCs w:val="44"/>
          <w:highlight w:val="none"/>
        </w:rPr>
      </w:pPr>
    </w:p>
    <w:p w14:paraId="661195B7">
      <w:pPr>
        <w:pStyle w:val="27"/>
        <w:rPr>
          <w:rFonts w:hint="default" w:ascii="Times New Roman" w:hAnsi="Times New Roman" w:cs="Times New Roman"/>
          <w:highlight w:val="none"/>
        </w:rPr>
        <w:sectPr>
          <w:footerReference r:id="rId6" w:type="default"/>
          <w:footerReference r:id="rId7" w:type="even"/>
          <w:pgSz w:w="11906" w:h="16838"/>
          <w:pgMar w:top="2098" w:right="1474" w:bottom="1985" w:left="1588" w:header="851" w:footer="1474" w:gutter="0"/>
          <w:pgNumType w:fmt="upperRoman" w:start="1"/>
          <w:cols w:space="425" w:num="1"/>
          <w:docGrid w:type="linesAndChars" w:linePitch="579" w:charSpace="3247"/>
        </w:sectPr>
      </w:pPr>
    </w:p>
    <w:p w14:paraId="5C4E5CE9">
      <w:pPr>
        <w:keepNext w:val="0"/>
        <w:keepLines w:val="0"/>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微软雅黑" w:cs="Times New Roman"/>
          <w:color w:val="auto"/>
          <w:kern w:val="36"/>
          <w:sz w:val="44"/>
          <w:szCs w:val="44"/>
          <w:highlight w:val="none"/>
          <w:lang w:val="en-US" w:eastAsia="zh-CN"/>
        </w:rPr>
      </w:pPr>
      <w:r>
        <w:rPr>
          <w:rFonts w:hint="default" w:ascii="Times New Roman" w:hAnsi="Times New Roman" w:eastAsia="微软雅黑" w:cs="Times New Roman"/>
          <w:color w:val="auto"/>
          <w:kern w:val="36"/>
          <w:sz w:val="44"/>
          <w:szCs w:val="44"/>
          <w:highlight w:val="none"/>
          <w:lang w:val="en-US" w:eastAsia="zh-CN"/>
        </w:rPr>
        <w:t>昆明市西山区民政局2023年社区居家养老服务中心运营补助项目</w:t>
      </w:r>
      <w:r>
        <w:rPr>
          <w:rFonts w:hint="eastAsia" w:ascii="Times New Roman" w:eastAsia="微软雅黑" w:cs="Times New Roman"/>
          <w:color w:val="auto"/>
          <w:kern w:val="36"/>
          <w:sz w:val="44"/>
          <w:szCs w:val="44"/>
          <w:highlight w:val="none"/>
          <w:lang w:val="en-US" w:eastAsia="zh-CN"/>
        </w:rPr>
        <w:t>支出</w:t>
      </w:r>
      <w:r>
        <w:rPr>
          <w:rFonts w:hint="default" w:ascii="Times New Roman" w:hAnsi="Times New Roman" w:eastAsia="微软雅黑" w:cs="Times New Roman"/>
          <w:color w:val="auto"/>
          <w:kern w:val="36"/>
          <w:sz w:val="44"/>
          <w:szCs w:val="44"/>
          <w:highlight w:val="none"/>
          <w:lang w:val="en-US" w:eastAsia="zh-CN"/>
        </w:rPr>
        <w:t>绩效评价报告</w:t>
      </w:r>
    </w:p>
    <w:p w14:paraId="3EB45EEF">
      <w:pPr>
        <w:spacing w:line="579" w:lineRule="exact"/>
        <w:rPr>
          <w:rFonts w:hint="default" w:ascii="Times New Roman" w:hAnsi="Times New Roman" w:cs="Times New Roman"/>
          <w:sz w:val="36"/>
          <w:szCs w:val="36"/>
          <w:highlight w:val="none"/>
        </w:rPr>
      </w:pPr>
    </w:p>
    <w:p w14:paraId="463C43B5">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根据</w:t>
      </w:r>
      <w:r>
        <w:rPr>
          <w:rFonts w:hint="default" w:ascii="Times New Roman" w:hAnsi="Times New Roman" w:cs="Times New Roman"/>
          <w:szCs w:val="30"/>
          <w:highlight w:val="none"/>
          <w:lang w:val="en-US" w:eastAsia="zh-CN"/>
        </w:rPr>
        <w:t>《中华人民共和国预算法》《中共中央</w:t>
      </w:r>
      <w:r>
        <w:rPr>
          <w:rFonts w:hint="eastAsia" w:ascii="Times New Roman" w:cs="Times New Roman"/>
          <w:szCs w:val="30"/>
          <w:highlight w:val="none"/>
          <w:lang w:val="en-US" w:eastAsia="zh-CN"/>
        </w:rPr>
        <w:t xml:space="preserve"> </w:t>
      </w:r>
      <w:bookmarkStart w:id="77" w:name="_GoBack"/>
      <w:bookmarkEnd w:id="77"/>
      <w:r>
        <w:rPr>
          <w:rFonts w:hint="default" w:ascii="Times New Roman" w:hAnsi="Times New Roman" w:cs="Times New Roman"/>
          <w:szCs w:val="30"/>
          <w:highlight w:val="none"/>
          <w:lang w:val="en-US" w:eastAsia="zh-CN"/>
        </w:rPr>
        <w:t>国务院关于全面实施预算绩效管理的意见》（中发〔2018〕34号）、《中共云南省委云南省人民政府关于全面实施预算绩效管理的实施意见》（云发〔2019〕11号）《云南省财政厅关于印发云南省财政厅绩效评价质量控制机制（试行）的通知》（云财办〔2022〕14号）</w:t>
      </w:r>
      <w:r>
        <w:rPr>
          <w:rFonts w:hint="default" w:ascii="Times New Roman" w:hAnsi="Times New Roman" w:eastAsia="仿宋" w:cs="Times New Roman"/>
          <w:kern w:val="30"/>
          <w:sz w:val="30"/>
          <w:szCs w:val="30"/>
          <w:highlight w:val="none"/>
          <w:lang w:val="en-US" w:eastAsia="zh-CN" w:bidi="ar-SA"/>
        </w:rPr>
        <w:t>的要求，</w:t>
      </w:r>
      <w:r>
        <w:rPr>
          <w:rFonts w:hint="default" w:ascii="Times New Roman" w:hAnsi="Times New Roman" w:cs="Times New Roman"/>
          <w:szCs w:val="30"/>
          <w:highlight w:val="none"/>
          <w:lang w:val="en-US" w:eastAsia="zh-CN"/>
        </w:rPr>
        <w:t>昆明市西山区财政局（以下简称“区财政局”）委托昆明池砾项目咨询有限责任公司（以下简称“池砾公司”）对昆明市西山区民政局2023年社区居家养老服务中心运营补助项目（以下简称“本项目”）开展绩效评价</w:t>
      </w:r>
      <w:r>
        <w:rPr>
          <w:rFonts w:hint="default" w:ascii="Times New Roman" w:hAnsi="Times New Roman" w:eastAsia="仿宋" w:cs="Times New Roman"/>
          <w:kern w:val="30"/>
          <w:sz w:val="30"/>
          <w:szCs w:val="30"/>
          <w:highlight w:val="none"/>
          <w:lang w:val="en-US" w:eastAsia="zh-CN" w:bidi="ar-SA"/>
        </w:rPr>
        <w:t>。现将评价情况报告如下：</w:t>
      </w:r>
    </w:p>
    <w:p w14:paraId="09AA8248">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23" w:name="_Toc22058"/>
      <w:r>
        <w:rPr>
          <w:rFonts w:hint="default" w:ascii="Times New Roman" w:hAnsi="Times New Roman" w:cs="Times New Roman"/>
          <w:highlight w:val="none"/>
          <w:lang w:val="en-US" w:eastAsia="zh-CN"/>
        </w:rPr>
        <w:t>一、基本情况</w:t>
      </w:r>
      <w:bookmarkEnd w:id="23"/>
    </w:p>
    <w:p w14:paraId="6A0DBA4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highlight w:val="none"/>
        </w:rPr>
      </w:pPr>
      <w:bookmarkStart w:id="24" w:name="_Toc27039"/>
      <w:r>
        <w:rPr>
          <w:rFonts w:hint="default" w:ascii="Times New Roman" w:hAnsi="Times New Roman" w:cs="Times New Roman"/>
          <w:b w:val="0"/>
          <w:bCs w:val="0"/>
          <w:highlight w:val="none"/>
        </w:rPr>
        <w:t>（一）项目概况</w:t>
      </w:r>
      <w:bookmarkEnd w:id="24"/>
    </w:p>
    <w:p w14:paraId="67A4DB3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highlight w:val="none"/>
          <w:lang w:val="en-US" w:eastAsia="zh-CN"/>
        </w:rPr>
      </w:pPr>
      <w:bookmarkStart w:id="25" w:name="_Toc13322"/>
      <w:r>
        <w:rPr>
          <w:rFonts w:hint="default" w:ascii="Times New Roman" w:hAnsi="Times New Roman" w:eastAsia="仿宋" w:cs="Times New Roman"/>
          <w:b w:val="0"/>
          <w:bCs w:val="0"/>
          <w:highlight w:val="none"/>
          <w:lang w:val="en-US" w:eastAsia="zh-CN"/>
        </w:rPr>
        <w:t>1.项目设立背景</w:t>
      </w:r>
      <w:bookmarkEnd w:id="25"/>
    </w:p>
    <w:p w14:paraId="1879972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eastAsia="仿宋" w:cs="Times New Roman"/>
          <w:b w:val="0"/>
          <w:bCs w:val="0"/>
          <w:kern w:val="30"/>
          <w:sz w:val="30"/>
          <w:szCs w:val="30"/>
          <w:highlight w:val="none"/>
          <w:lang w:val="en-US" w:eastAsia="zh-CN" w:bidi="ar-SA"/>
        </w:rPr>
        <w:t>为加快社区居家养老服务的推进并更好地满足老年人日益增长的养老需求，昆明市</w:t>
      </w:r>
      <w:r>
        <w:rPr>
          <w:rFonts w:hint="default" w:ascii="Times New Roman" w:hAnsi="Times New Roman" w:cs="Times New Roman"/>
          <w:b w:val="0"/>
          <w:bCs w:val="0"/>
          <w:kern w:val="30"/>
          <w:sz w:val="30"/>
          <w:szCs w:val="30"/>
          <w:highlight w:val="none"/>
          <w:lang w:val="en-US" w:eastAsia="zh-CN" w:bidi="ar-SA"/>
        </w:rPr>
        <w:t>以</w:t>
      </w:r>
      <w:r>
        <w:rPr>
          <w:rFonts w:hint="default" w:ascii="Times New Roman" w:hAnsi="Times New Roman" w:eastAsia="仿宋" w:cs="Times New Roman"/>
          <w:b w:val="0"/>
          <w:bCs w:val="0"/>
          <w:kern w:val="30"/>
          <w:sz w:val="30"/>
          <w:szCs w:val="30"/>
          <w:highlight w:val="none"/>
          <w:lang w:val="en-US" w:eastAsia="zh-CN" w:bidi="ar-SA"/>
        </w:rPr>
        <w:t>“五个老有”为标准，致力于提升</w:t>
      </w:r>
      <w:r>
        <w:rPr>
          <w:rFonts w:hint="default" w:ascii="Times New Roman" w:hAnsi="Times New Roman" w:cs="Times New Roman"/>
          <w:b w:val="0"/>
          <w:bCs w:val="0"/>
          <w:kern w:val="30"/>
          <w:sz w:val="30"/>
          <w:szCs w:val="30"/>
          <w:highlight w:val="none"/>
          <w:lang w:val="en-US" w:eastAsia="zh-CN" w:bidi="ar-SA"/>
        </w:rPr>
        <w:t>和打造社区</w:t>
      </w:r>
      <w:r>
        <w:rPr>
          <w:rFonts w:hint="default" w:ascii="Times New Roman" w:hAnsi="Times New Roman" w:eastAsia="仿宋" w:cs="Times New Roman"/>
          <w:b w:val="0"/>
          <w:bCs w:val="0"/>
          <w:kern w:val="30"/>
          <w:sz w:val="30"/>
          <w:szCs w:val="30"/>
          <w:highlight w:val="none"/>
          <w:lang w:val="en-US" w:eastAsia="zh-CN" w:bidi="ar-SA"/>
        </w:rPr>
        <w:t>居家养老服务的便利性和质量。2016年昆明市老龄工作委员会办公室、昆明市民政局、昆明市财政局及昆明市人力资源和社会保障局</w:t>
      </w:r>
      <w:r>
        <w:rPr>
          <w:rFonts w:hint="default" w:ascii="Times New Roman" w:hAnsi="Times New Roman" w:cs="Times New Roman"/>
          <w:b w:val="0"/>
          <w:bCs w:val="0"/>
          <w:kern w:val="30"/>
          <w:sz w:val="30"/>
          <w:szCs w:val="30"/>
          <w:highlight w:val="none"/>
          <w:lang w:val="en-US" w:eastAsia="zh-CN" w:bidi="ar-SA"/>
        </w:rPr>
        <w:t>根据</w:t>
      </w:r>
      <w:r>
        <w:rPr>
          <w:rFonts w:hint="default" w:ascii="Times New Roman" w:hAnsi="Times New Roman" w:eastAsia="仿宋" w:cs="Times New Roman"/>
          <w:b w:val="0"/>
          <w:bCs w:val="0"/>
          <w:kern w:val="30"/>
          <w:sz w:val="30"/>
          <w:szCs w:val="30"/>
          <w:highlight w:val="none"/>
          <w:lang w:val="en-US" w:eastAsia="zh-CN" w:bidi="ar-SA"/>
        </w:rPr>
        <w:t>联合发布了《昆明市城乡社区居家养老服务设施建设及运营管理实施意见》（昆老办〔2016〕29号），明确</w:t>
      </w:r>
      <w:r>
        <w:rPr>
          <w:rFonts w:hint="default" w:ascii="Times New Roman" w:hAnsi="Times New Roman" w:cs="Times New Roman"/>
          <w:b w:val="0"/>
          <w:bCs w:val="0"/>
          <w:szCs w:val="30"/>
          <w:highlight w:val="none"/>
          <w:lang w:val="en-US" w:eastAsia="zh-CN"/>
        </w:rPr>
        <w:t>居家养老服务设施可实行社区、乡镇自主运营管理，社会力量承包、租赁运营管理，也可由基层老年协会管理，运营管理经费可通过政府补贴、政府购买服务、社会组织及个人捐助、低偿或有偿服务等方式筹集。</w:t>
      </w:r>
    </w:p>
    <w:p w14:paraId="18083A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b w:val="0"/>
          <w:bCs w:val="0"/>
          <w:szCs w:val="30"/>
          <w:highlight w:val="none"/>
          <w:lang w:val="en-US" w:eastAsia="zh-CN"/>
        </w:rPr>
        <w:t>2020年，为进一步促进昆明市养老服务实业快速健康发展，昆明市民政局（以下简称“市民政局”）发布了《昆明市民政局关于申报民办养老服务机构及居家养老服务中心补助的通知》（昆民通〔2020〕41号），细化了民办养老服务机构及居家养老服务中心补助的申请条件，并对补助标准进一步明确，其中，公办、民办居家养老服务中心（站）建成投入使用后，在中央、省</w:t>
      </w:r>
      <w:r>
        <w:rPr>
          <w:rFonts w:hint="eastAsia" w:ascii="Times New Roman" w:cs="Times New Roman"/>
          <w:b w:val="0"/>
          <w:bCs w:val="0"/>
          <w:szCs w:val="30"/>
          <w:highlight w:val="none"/>
          <w:lang w:val="en-US" w:eastAsia="zh-CN"/>
        </w:rPr>
        <w:t>级</w:t>
      </w:r>
      <w:r>
        <w:rPr>
          <w:rFonts w:hint="default" w:ascii="Times New Roman" w:hAnsi="Times New Roman" w:cs="Times New Roman"/>
          <w:b w:val="0"/>
          <w:bCs w:val="0"/>
          <w:szCs w:val="30"/>
          <w:highlight w:val="none"/>
          <w:lang w:val="en-US" w:eastAsia="zh-CN"/>
        </w:rPr>
        <w:t>资金支持下，每年由市、县级财政纳入年度预算补助，每个居家养老中心（站）不低于2.4万元的运营经费，按照市、县级分板块比例承担，一板块 3:7比例承担，二板块5:5 比例承</w:t>
      </w:r>
      <w:r>
        <w:rPr>
          <w:rFonts w:hint="default" w:ascii="Times New Roman" w:hAnsi="Times New Roman" w:cs="Times New Roman"/>
          <w:szCs w:val="30"/>
          <w:highlight w:val="none"/>
          <w:lang w:val="en-US" w:eastAsia="zh-CN"/>
        </w:rPr>
        <w:t>担，三板块 8:2 比例承担。</w:t>
      </w:r>
    </w:p>
    <w:p w14:paraId="47B56066">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lang w:val="en-US" w:eastAsia="zh-CN"/>
        </w:rPr>
        <w:t>本次评价项目的预算单位为西山区民政局，项目名称为社区居家养老服务中心运营补助项目，主要是对经评估后的居家养老服务中心按照文件要求进行补贴资金的发放，进一步推动区域居家养老服务中心的服务水平提升，并促进居家养老服务的可持续发展</w:t>
      </w:r>
      <w:r>
        <w:rPr>
          <w:rFonts w:hint="default" w:ascii="Times New Roman" w:hAnsi="Times New Roman" w:eastAsia="仿宋" w:cs="Times New Roman"/>
          <w:kern w:val="30"/>
          <w:sz w:val="30"/>
          <w:szCs w:val="30"/>
          <w:highlight w:val="none"/>
          <w:lang w:val="en-US" w:eastAsia="zh-CN" w:bidi="ar-SA"/>
        </w:rPr>
        <w:t>。</w:t>
      </w:r>
    </w:p>
    <w:p w14:paraId="66AFD3E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bookmarkStart w:id="26" w:name="_Toc23086"/>
      <w:r>
        <w:rPr>
          <w:rFonts w:hint="default" w:ascii="Times New Roman" w:hAnsi="Times New Roman" w:eastAsia="仿宋" w:cs="Times New Roman"/>
          <w:highlight w:val="none"/>
          <w:lang w:val="en-US" w:eastAsia="zh-CN"/>
        </w:rPr>
        <w:t>2.项目设立目的</w:t>
      </w:r>
      <w:bookmarkEnd w:id="26"/>
    </w:p>
    <w:p w14:paraId="6ADF391F">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根据</w:t>
      </w:r>
      <w:r>
        <w:rPr>
          <w:rFonts w:hint="default" w:ascii="Times New Roman" w:hAnsi="Times New Roman" w:eastAsia="仿宋" w:cs="Times New Roman"/>
          <w:b w:val="0"/>
          <w:bCs w:val="0"/>
          <w:kern w:val="30"/>
          <w:sz w:val="30"/>
          <w:szCs w:val="30"/>
          <w:highlight w:val="none"/>
          <w:lang w:val="en-US" w:eastAsia="zh-CN" w:bidi="ar-SA"/>
        </w:rPr>
        <w:t>《昆明市城乡社区居家养老服务设施建设及运营管理实施意见》（昆老办〔2016〕29号）</w:t>
      </w:r>
      <w:r>
        <w:rPr>
          <w:rFonts w:hint="default" w:ascii="Times New Roman" w:hAnsi="Times New Roman" w:cs="Times New Roman"/>
          <w:b w:val="0"/>
          <w:bCs w:val="0"/>
          <w:kern w:val="30"/>
          <w:sz w:val="30"/>
          <w:szCs w:val="30"/>
          <w:highlight w:val="none"/>
          <w:lang w:val="en-US" w:eastAsia="zh-CN" w:bidi="ar-SA"/>
        </w:rPr>
        <w:t>、</w:t>
      </w:r>
      <w:r>
        <w:rPr>
          <w:rFonts w:hint="default" w:ascii="Times New Roman" w:hAnsi="Times New Roman" w:cs="Times New Roman"/>
          <w:szCs w:val="30"/>
          <w:highlight w:val="none"/>
          <w:lang w:val="en-US" w:eastAsia="zh-CN"/>
        </w:rPr>
        <w:t>《昆明市民政局关于申报民办养老服务机构及居家养老服务中心补助的通知》（昆民通〔2020〕41号）</w:t>
      </w:r>
      <w:r>
        <w:rPr>
          <w:rFonts w:hint="default" w:ascii="Times New Roman" w:hAnsi="Times New Roman" w:eastAsia="仿宋" w:cs="Times New Roman"/>
          <w:kern w:val="30"/>
          <w:sz w:val="30"/>
          <w:szCs w:val="30"/>
          <w:highlight w:val="none"/>
          <w:lang w:val="en-US" w:eastAsia="zh-CN" w:bidi="ar-SA"/>
        </w:rPr>
        <w:t>等</w:t>
      </w:r>
      <w:r>
        <w:rPr>
          <w:rFonts w:hint="default" w:ascii="Times New Roman" w:hAnsi="Times New Roman" w:cs="Times New Roman"/>
          <w:kern w:val="30"/>
          <w:sz w:val="30"/>
          <w:szCs w:val="30"/>
          <w:highlight w:val="none"/>
          <w:lang w:val="en-US" w:eastAsia="zh-CN" w:bidi="ar-SA"/>
        </w:rPr>
        <w:t>文件要求</w:t>
      </w:r>
      <w:r>
        <w:rPr>
          <w:rFonts w:hint="default" w:ascii="Times New Roman" w:hAnsi="Times New Roman" w:eastAsia="仿宋" w:cs="Times New Roman"/>
          <w:kern w:val="30"/>
          <w:sz w:val="30"/>
          <w:szCs w:val="30"/>
          <w:highlight w:val="none"/>
          <w:lang w:val="en-US" w:eastAsia="zh-CN" w:bidi="ar-SA"/>
        </w:rPr>
        <w:t>，</w:t>
      </w:r>
      <w:r>
        <w:rPr>
          <w:rFonts w:hint="default" w:ascii="Times New Roman" w:hAnsi="Times New Roman" w:cs="Times New Roman"/>
          <w:kern w:val="30"/>
          <w:sz w:val="30"/>
          <w:szCs w:val="30"/>
          <w:highlight w:val="none"/>
          <w:lang w:val="en-US" w:eastAsia="zh-CN" w:bidi="ar-SA"/>
        </w:rPr>
        <w:t>对辖区内的居家养老服务中心发放运营补助资金</w:t>
      </w:r>
      <w:r>
        <w:rPr>
          <w:rFonts w:hint="default" w:ascii="Times New Roman" w:hAnsi="Times New Roman" w:cs="Times New Roman"/>
          <w:szCs w:val="30"/>
          <w:highlight w:val="none"/>
          <w:lang w:val="en-US" w:eastAsia="zh-CN"/>
        </w:rPr>
        <w:t>，进一步维持区域居家养老服务工作开展，推动区域服务水平提升</w:t>
      </w:r>
      <w:r>
        <w:rPr>
          <w:rFonts w:hint="default" w:ascii="Times New Roman" w:hAnsi="Times New Roman" w:cs="Times New Roman"/>
          <w:kern w:val="30"/>
          <w:sz w:val="30"/>
          <w:szCs w:val="30"/>
          <w:highlight w:val="none"/>
          <w:lang w:val="en-US" w:eastAsia="zh-CN" w:bidi="ar-SA"/>
        </w:rPr>
        <w:t>。</w:t>
      </w:r>
    </w:p>
    <w:p w14:paraId="082C0ECB">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27" w:name="_Toc18865"/>
      <w:r>
        <w:rPr>
          <w:rFonts w:hint="default" w:ascii="Times New Roman" w:hAnsi="Times New Roman" w:cs="Times New Roman"/>
          <w:highlight w:val="none"/>
        </w:rPr>
        <w:t>（二）项目资金安排情况</w:t>
      </w:r>
      <w:bookmarkEnd w:id="27"/>
    </w:p>
    <w:p w14:paraId="2C4E9A0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1.资金来源及到位情况</w:t>
      </w:r>
    </w:p>
    <w:p w14:paraId="11F3871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cs="Times New Roman"/>
          <w:b w:val="0"/>
          <w:bCs w:val="0"/>
          <w:szCs w:val="30"/>
          <w:highlight w:val="none"/>
          <w:lang w:val="en-US" w:eastAsia="zh-CN"/>
        </w:rPr>
        <w:t>2023年本项目预算资金24.6</w:t>
      </w:r>
      <w:r>
        <w:rPr>
          <w:rFonts w:hint="eastAsia" w:ascii="Times New Roman" w:cs="Times New Roman"/>
          <w:b w:val="0"/>
          <w:bCs w:val="0"/>
          <w:szCs w:val="30"/>
          <w:highlight w:val="none"/>
          <w:lang w:val="en-US" w:eastAsia="zh-CN"/>
        </w:rPr>
        <w:t>1</w:t>
      </w:r>
      <w:r>
        <w:rPr>
          <w:rFonts w:hint="default" w:ascii="Times New Roman" w:hAnsi="Times New Roman" w:cs="Times New Roman"/>
          <w:b w:val="0"/>
          <w:bCs w:val="0"/>
          <w:szCs w:val="30"/>
          <w:highlight w:val="none"/>
          <w:lang w:val="en-US" w:eastAsia="zh-CN"/>
        </w:rPr>
        <w:t>万元，根据《昆明市财政局 昆明市民政局 关于下达2023年第一批省级民政事业专项资金的通知》（昆财社〔2023〕85号），截至2023年12月31日，本项目实际到位资金24.6</w:t>
      </w:r>
      <w:r>
        <w:rPr>
          <w:rFonts w:hint="eastAsia" w:ascii="Times New Roman" w:cs="Times New Roman"/>
          <w:b w:val="0"/>
          <w:bCs w:val="0"/>
          <w:szCs w:val="30"/>
          <w:highlight w:val="none"/>
          <w:lang w:val="en-US" w:eastAsia="zh-CN"/>
        </w:rPr>
        <w:t>1</w:t>
      </w:r>
      <w:r>
        <w:rPr>
          <w:rFonts w:hint="default" w:ascii="Times New Roman" w:hAnsi="Times New Roman" w:cs="Times New Roman"/>
          <w:b w:val="0"/>
          <w:bCs w:val="0"/>
          <w:szCs w:val="30"/>
          <w:highlight w:val="none"/>
          <w:lang w:val="en-US" w:eastAsia="zh-CN"/>
        </w:rPr>
        <w:t>万元，资金到位率100%。本项目资金的发放方式是由市、区两级共同承担，通常为市级资金到达后，区级对未达到需求的预算进行补充。</w:t>
      </w:r>
    </w:p>
    <w:p w14:paraId="50021BD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b w:val="0"/>
          <w:bCs w:val="0"/>
          <w:highlight w:val="none"/>
          <w:lang w:val="en-US" w:eastAsia="zh-CN"/>
        </w:rPr>
      </w:pPr>
      <w:r>
        <w:rPr>
          <w:rFonts w:hint="default" w:ascii="Times New Roman" w:hAnsi="Times New Roman" w:eastAsia="仿宋" w:cs="Times New Roman"/>
          <w:b w:val="0"/>
          <w:bCs w:val="0"/>
          <w:highlight w:val="none"/>
          <w:lang w:val="en-US" w:eastAsia="zh-CN"/>
        </w:rPr>
        <w:t>2.资金使用情况</w:t>
      </w:r>
    </w:p>
    <w:p w14:paraId="7084103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截至2023年12月31日，区民政局共对24家单位进行补助，共补助金额55.4万元，资金构成包含2023年预算24.6</w:t>
      </w:r>
      <w:r>
        <w:rPr>
          <w:rFonts w:hint="eastAsia" w:ascii="Times New Roman" w:cs="Times New Roman"/>
          <w:b w:val="0"/>
          <w:bCs w:val="0"/>
          <w:szCs w:val="30"/>
          <w:highlight w:val="none"/>
          <w:lang w:val="en-US" w:eastAsia="zh-CN"/>
        </w:rPr>
        <w:t>1</w:t>
      </w:r>
      <w:r>
        <w:rPr>
          <w:rFonts w:hint="default" w:ascii="Times New Roman" w:hAnsi="Times New Roman" w:cs="Times New Roman"/>
          <w:b w:val="0"/>
          <w:bCs w:val="0"/>
          <w:szCs w:val="30"/>
          <w:highlight w:val="none"/>
          <w:lang w:val="en-US" w:eastAsia="zh-CN"/>
        </w:rPr>
        <w:t>万元以及2022年该项目的结余资金30.79万元</w:t>
      </w:r>
      <w:r>
        <w:rPr>
          <w:rFonts w:hint="eastAsia" w:ascii="Times New Roman" w:cs="Times New Roman"/>
          <w:b w:val="0"/>
          <w:bCs w:val="0"/>
          <w:szCs w:val="30"/>
          <w:highlight w:val="none"/>
          <w:lang w:val="en-US" w:eastAsia="zh-CN"/>
        </w:rPr>
        <w:t>，预算执行率100%</w:t>
      </w:r>
      <w:r>
        <w:rPr>
          <w:rFonts w:hint="default" w:ascii="Times New Roman" w:hAnsi="Times New Roman" w:cs="Times New Roman"/>
          <w:b w:val="0"/>
          <w:bCs w:val="0"/>
          <w:szCs w:val="30"/>
          <w:highlight w:val="none"/>
          <w:lang w:val="en-US" w:eastAsia="zh-CN"/>
        </w:rPr>
        <w:t>。</w:t>
      </w:r>
    </w:p>
    <w:p w14:paraId="7113814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2022年项目出现结余资金的原因是，2022年市里的资金未到位，导致补贴的发放是依靠区级资金支持。年底市里资金到位后，原本市级预算资金30.79万元变成结余资金。</w:t>
      </w:r>
      <w:r>
        <w:rPr>
          <w:rFonts w:hint="eastAsia" w:ascii="Times New Roman" w:cs="Times New Roman"/>
          <w:szCs w:val="30"/>
          <w:highlight w:val="none"/>
          <w:lang w:val="en-US" w:eastAsia="zh-CN"/>
        </w:rPr>
        <w:t>具体支出情况见下表。</w:t>
      </w:r>
    </w:p>
    <w:p w14:paraId="38D8FC12">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default" w:ascii="Times New Roman" w:hAnsi="Times New Roman" w:eastAsia="黑体" w:cs="Times New Roman"/>
          <w:sz w:val="24"/>
          <w:szCs w:val="24"/>
          <w:highlight w:val="none"/>
          <w:lang w:val="en-US" w:eastAsia="zh-CN"/>
        </w:rPr>
      </w:pPr>
      <w:r>
        <w:rPr>
          <w:rFonts w:hint="eastAsia" w:ascii="Times New Roman" w:hAnsi="Times New Roman" w:eastAsia="黑体" w:cs="Times New Roman"/>
          <w:sz w:val="24"/>
          <w:szCs w:val="24"/>
          <w:highlight w:val="none"/>
          <w:lang w:val="en-US" w:eastAsia="zh-CN"/>
        </w:rPr>
        <w:t xml:space="preserve">表1 </w:t>
      </w:r>
      <w:r>
        <w:rPr>
          <w:rFonts w:hint="default" w:ascii="Times New Roman" w:hAnsi="Times New Roman" w:eastAsia="黑体" w:cs="Times New Roman"/>
          <w:sz w:val="24"/>
          <w:szCs w:val="24"/>
          <w:highlight w:val="none"/>
          <w:lang w:val="en-US" w:eastAsia="zh-CN"/>
        </w:rPr>
        <w:t>项目资金支出情况表</w:t>
      </w:r>
    </w:p>
    <w:p w14:paraId="2CAAB85D">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right"/>
        <w:textAlignment w:val="auto"/>
        <w:rPr>
          <w:rFonts w:hint="default" w:ascii="Times New Roman" w:hAnsi="Times New Roman" w:cs="Times New Roman"/>
          <w:highlight w:val="none"/>
          <w:lang w:val="en-US" w:eastAsia="zh-CN"/>
        </w:rPr>
      </w:pPr>
      <w:r>
        <w:rPr>
          <w:rFonts w:hint="default" w:ascii="Times New Roman" w:hAnsi="Times New Roman" w:eastAsia="黑体" w:cs="Times New Roman"/>
          <w:sz w:val="24"/>
          <w:szCs w:val="24"/>
          <w:highlight w:val="none"/>
          <w:lang w:val="en-US" w:eastAsia="zh-CN"/>
        </w:rPr>
        <w:t>单位：万元</w:t>
      </w:r>
    </w:p>
    <w:tbl>
      <w:tblPr>
        <w:tblStyle w:val="2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6"/>
        <w:gridCol w:w="1514"/>
        <w:gridCol w:w="5291"/>
        <w:gridCol w:w="1460"/>
      </w:tblGrid>
      <w:tr w14:paraId="27A34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blHeader/>
          <w:jc w:val="center"/>
        </w:trPr>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26A43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lang w:val="en-US" w:eastAsia="zh-CN"/>
              </w:rPr>
            </w:pPr>
            <w:r>
              <w:rPr>
                <w:rFonts w:hint="default" w:ascii="Times New Roman" w:hAnsi="Times New Roman" w:eastAsia="仿宋" w:cs="Times New Roman"/>
                <w:b/>
                <w:bCs/>
                <w:i w:val="0"/>
                <w:iCs w:val="0"/>
                <w:color w:val="000000"/>
                <w:sz w:val="21"/>
                <w:szCs w:val="21"/>
                <w:highlight w:val="none"/>
                <w:u w:val="none"/>
                <w:lang w:val="en-US" w:eastAsia="zh-CN"/>
              </w:rPr>
              <w:t>序号</w:t>
            </w:r>
          </w:p>
        </w:tc>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07AD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lang w:val="en-US"/>
              </w:rPr>
            </w:pPr>
            <w:r>
              <w:rPr>
                <w:rFonts w:hint="default" w:ascii="Times New Roman" w:hAnsi="Times New Roman" w:eastAsia="仿宋" w:cs="Times New Roman"/>
                <w:b/>
                <w:bCs/>
                <w:i w:val="0"/>
                <w:iCs w:val="0"/>
                <w:color w:val="000000"/>
                <w:kern w:val="0"/>
                <w:sz w:val="21"/>
                <w:szCs w:val="21"/>
                <w:highlight w:val="none"/>
                <w:u w:val="none"/>
                <w:lang w:val="en-US" w:eastAsia="zh-CN" w:bidi="ar"/>
              </w:rPr>
              <w:t>补助街道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A2628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补助单位</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308F6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lang w:val="en-US"/>
              </w:rPr>
            </w:pPr>
            <w:r>
              <w:rPr>
                <w:rFonts w:hint="default" w:ascii="Times New Roman" w:hAnsi="Times New Roman" w:eastAsia="仿宋" w:cs="Times New Roman"/>
                <w:b/>
                <w:bCs/>
                <w:i w:val="0"/>
                <w:iCs w:val="0"/>
                <w:color w:val="000000"/>
                <w:kern w:val="0"/>
                <w:sz w:val="21"/>
                <w:szCs w:val="21"/>
                <w:highlight w:val="none"/>
                <w:u w:val="none"/>
                <w:lang w:val="en-US" w:eastAsia="zh-CN" w:bidi="ar"/>
              </w:rPr>
              <w:t>补助金额</w:t>
            </w:r>
          </w:p>
        </w:tc>
      </w:tr>
      <w:tr w14:paraId="6E71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8F7E05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eastAsia="仿宋" w:cs="Times New Roman"/>
                <w:i w:val="0"/>
                <w:iCs w:val="0"/>
                <w:color w:val="000000"/>
                <w:sz w:val="21"/>
                <w:szCs w:val="21"/>
                <w:highlight w:val="none"/>
                <w:u w:val="none"/>
                <w:lang w:val="en-US" w:eastAsia="zh-CN"/>
              </w:rPr>
              <w:t>1</w:t>
            </w:r>
          </w:p>
        </w:tc>
        <w:tc>
          <w:tcPr>
            <w:tcW w:w="1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0DE8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福海街道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53F68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卫城社区居家养老服务中心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8548A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54D83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70AB16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CCB97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DB94A3">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福海（长青老年公寓）居家养老服务中心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B35B3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7F4A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6E734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eastAsia="仿宋" w:cs="Times New Roman"/>
                <w:i w:val="0"/>
                <w:iCs w:val="0"/>
                <w:color w:val="000000"/>
                <w:sz w:val="21"/>
                <w:szCs w:val="21"/>
                <w:highlight w:val="none"/>
                <w:u w:val="none"/>
                <w:lang w:val="en-US" w:eastAsia="zh-CN"/>
              </w:rPr>
              <w:t>2</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4165AB24">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马街街道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681E4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西丽园社区（怡芳苑小区）居家养老服务中心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4A160">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3778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3752B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eastAsia="仿宋" w:cs="Times New Roman"/>
                <w:i w:val="0"/>
                <w:iCs w:val="0"/>
                <w:color w:val="000000"/>
                <w:sz w:val="21"/>
                <w:szCs w:val="21"/>
                <w:highlight w:val="none"/>
                <w:u w:val="none"/>
                <w:lang w:val="en-US" w:eastAsia="zh-CN"/>
              </w:rPr>
              <w:t>3</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21B2943D">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前卫街道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33DFE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广福小区社区居家养老服务中心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ACCDE0">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54AD5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4F12D8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lang w:val="en-US" w:eastAsia="zh-CN"/>
              </w:rPr>
            </w:pPr>
            <w:r>
              <w:rPr>
                <w:rFonts w:hint="default" w:ascii="Times New Roman" w:hAnsi="Times New Roman" w:eastAsia="仿宋" w:cs="Times New Roman"/>
                <w:i w:val="0"/>
                <w:iCs w:val="0"/>
                <w:color w:val="000000"/>
                <w:sz w:val="21"/>
                <w:szCs w:val="21"/>
                <w:highlight w:val="none"/>
                <w:u w:val="none"/>
                <w:lang w:val="en-US" w:eastAsia="zh-CN"/>
              </w:rPr>
              <w:t>4</w:t>
            </w:r>
          </w:p>
        </w:tc>
        <w:tc>
          <w:tcPr>
            <w:tcW w:w="1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B413E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海口街道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6C403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里仁社区居家养老服务中心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D25BB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66634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252F26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A8399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E59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中平社区居家养老服务中心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65DA29">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09C65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16979A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4A34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334CA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中新社区居家养老服务中心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EC50EF">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64882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A9E68B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E45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C03712">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海门社区居家养老服务中心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DB0A0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7966A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179D6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D080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92D234">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山冲社区居家养老服务中心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5439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70062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EA3B29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5</w:t>
            </w:r>
          </w:p>
        </w:tc>
        <w:tc>
          <w:tcPr>
            <w:tcW w:w="1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A5CA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永昌街道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6A3292">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永兴路社区日间照料中心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32E6AA">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7737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3EE3E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830E0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0553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盛高大城社区居家养老服务中心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5E1239">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1.6</w:t>
            </w:r>
          </w:p>
        </w:tc>
      </w:tr>
      <w:tr w14:paraId="1B18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F8F54E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C3A0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E7BB2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永宁里社区居家养老服务中心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33916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00FC6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90CFCF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6</w:t>
            </w:r>
          </w:p>
        </w:tc>
        <w:tc>
          <w:tcPr>
            <w:tcW w:w="1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83D6A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sz w:val="21"/>
                <w:szCs w:val="21"/>
                <w:highlight w:val="none"/>
                <w:u w:val="none"/>
              </w:rPr>
              <w:t>碧鸡街道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39F2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富善社区居家养老服务中心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BDE89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1118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CF7C5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B752C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0C2EB">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龙门社区居家养老服务中心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0F1F30">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4AF33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B3FFC4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7</w:t>
            </w:r>
          </w:p>
        </w:tc>
        <w:tc>
          <w:tcPr>
            <w:tcW w:w="1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7D9B5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sz w:val="21"/>
                <w:szCs w:val="21"/>
                <w:highlight w:val="none"/>
              </w:rPr>
              <w:t>团结街道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D4A9F">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雨花社区居家养老服务中心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6A656B">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2331F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253BD8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79C9B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5610E">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龙潭社区居家养老服务中心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B76C3">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6B88F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87341D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A547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162B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永靖社区（喜福乐老年公寓）居家养老服务中心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F9992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05835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B724BE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68D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CE532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谷律社区居家养老服务中心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CCBBF3">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522D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89CB27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42866D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64C1E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白眉社区居家养老服务中心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0D756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69031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435A7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8</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334771B4">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棕树营街道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3EFCF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白马西区居家养老服务中心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BA2C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0070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E10E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9</w:t>
            </w:r>
          </w:p>
        </w:tc>
        <w:tc>
          <w:tcPr>
            <w:tcW w:w="151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41C105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西苑街道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642B1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凯苑社区居家养老服务中心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5B5A23">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4CD17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7EEACA4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589032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C8FC15">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秀苑社区居家养老服务中心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472D92">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4DED9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2CEA81D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p>
        </w:tc>
        <w:tc>
          <w:tcPr>
            <w:tcW w:w="151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E108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237E7">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秋苑社区居家养老服务中心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23A3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1</w:t>
            </w:r>
          </w:p>
        </w:tc>
      </w:tr>
      <w:tr w14:paraId="73AA0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8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CCBA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10</w:t>
            </w:r>
          </w:p>
        </w:tc>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172FB01C">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金碧街道</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0DDBB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巡津新村社区（金碧老年公寓）居家养老服务中心</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2C5F26">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2.4</w:t>
            </w:r>
          </w:p>
        </w:tc>
      </w:tr>
      <w:tr w14:paraId="509AE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32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BA748B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合计</w:t>
            </w:r>
          </w:p>
        </w:tc>
        <w:tc>
          <w:tcPr>
            <w:tcW w:w="52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94096">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仿宋" w:cs="Times New Roman"/>
                <w:b/>
                <w:bCs/>
                <w:i w:val="0"/>
                <w:iCs w:val="0"/>
                <w:color w:val="000000"/>
                <w:sz w:val="21"/>
                <w:szCs w:val="21"/>
                <w:highlight w:val="none"/>
                <w:u w:val="none"/>
                <w:lang w:val="en-US" w:eastAsia="zh-CN"/>
              </w:rPr>
            </w:pPr>
            <w:r>
              <w:rPr>
                <w:rFonts w:hint="default" w:ascii="Times New Roman" w:hAnsi="Times New Roman" w:eastAsia="仿宋" w:cs="Times New Roman"/>
                <w:b/>
                <w:bCs/>
                <w:i w:val="0"/>
                <w:iCs w:val="0"/>
                <w:color w:val="000000"/>
                <w:sz w:val="21"/>
                <w:szCs w:val="21"/>
                <w:highlight w:val="none"/>
                <w:u w:val="none"/>
                <w:lang w:val="en-US" w:eastAsia="zh-CN"/>
              </w:rPr>
              <w:t>/</w:t>
            </w:r>
          </w:p>
        </w:tc>
        <w:tc>
          <w:tcPr>
            <w:tcW w:w="14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A68C6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lang w:val="en-US"/>
              </w:rPr>
            </w:pPr>
            <w:r>
              <w:rPr>
                <w:rFonts w:hint="default" w:ascii="Times New Roman" w:hAnsi="Times New Roman" w:eastAsia="仿宋" w:cs="Times New Roman"/>
                <w:b/>
                <w:bCs/>
                <w:i w:val="0"/>
                <w:iCs w:val="0"/>
                <w:color w:val="000000"/>
                <w:kern w:val="0"/>
                <w:sz w:val="21"/>
                <w:szCs w:val="21"/>
                <w:highlight w:val="none"/>
                <w:u w:val="none"/>
                <w:lang w:val="en-US" w:eastAsia="zh-CN" w:bidi="ar"/>
              </w:rPr>
              <w:t>55.4</w:t>
            </w:r>
          </w:p>
        </w:tc>
      </w:tr>
    </w:tbl>
    <w:p w14:paraId="0291212B">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b w:val="0"/>
          <w:bCs w:val="0"/>
          <w:highlight w:val="none"/>
        </w:rPr>
      </w:pPr>
      <w:bookmarkStart w:id="28" w:name="_Toc5341"/>
      <w:r>
        <w:rPr>
          <w:rFonts w:hint="default" w:ascii="Times New Roman" w:hAnsi="Times New Roman" w:cs="Times New Roman"/>
          <w:b w:val="0"/>
          <w:bCs w:val="0"/>
          <w:highlight w:val="none"/>
        </w:rPr>
        <w:t>（三）项目实施内容</w:t>
      </w:r>
      <w:bookmarkEnd w:id="28"/>
      <w:r>
        <w:rPr>
          <w:rFonts w:hint="default" w:ascii="Times New Roman" w:hAnsi="Times New Roman" w:cs="Times New Roman"/>
          <w:b w:val="0"/>
          <w:bCs w:val="0"/>
          <w:highlight w:val="none"/>
          <w:lang w:val="en-US" w:eastAsia="zh-CN"/>
        </w:rPr>
        <w:t xml:space="preserve"> </w:t>
      </w:r>
    </w:p>
    <w:p w14:paraId="29716FF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本项目主要是对经评估后的居家养老服务中心按照文件要求进行补贴资金的发放。评估单位由区民政局另设项目及预算通过询价采购的方式委托云南益海养老服务有限公司（以下简称“评估单位”）开展。</w:t>
      </w:r>
    </w:p>
    <w:p w14:paraId="1742B5D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2023年10月，评估单位根据区民政局制定的《西山区社区居家养老服务中心运营管理考核办法（试行）》对昆明市西山区36家居家养老服务中心运营补助实地开展评估工作。根据结论，西山区36家居家养老服务中心中共有26家符合补助标准，评估单位建议补助总计金额为60.2万元，具体评估结论如下：</w:t>
      </w:r>
    </w:p>
    <w:p w14:paraId="271C8085">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default" w:ascii="Times New Roman" w:hAnsi="Times New Roman" w:eastAsia="黑体" w:cs="Times New Roman"/>
          <w:sz w:val="24"/>
          <w:szCs w:val="24"/>
          <w:highlight w:val="none"/>
          <w:lang w:val="en-US" w:eastAsia="zh-CN"/>
        </w:rPr>
      </w:pPr>
      <w:r>
        <w:rPr>
          <w:rFonts w:hint="eastAsia" w:ascii="Times New Roman" w:hAnsi="Times New Roman" w:eastAsia="黑体" w:cs="Times New Roman"/>
          <w:sz w:val="24"/>
          <w:szCs w:val="24"/>
          <w:highlight w:val="none"/>
          <w:lang w:val="en-US" w:eastAsia="zh-CN"/>
        </w:rPr>
        <w:t xml:space="preserve">表2 </w:t>
      </w:r>
      <w:r>
        <w:rPr>
          <w:rFonts w:hint="default" w:ascii="Times New Roman" w:hAnsi="Times New Roman" w:eastAsia="黑体" w:cs="Times New Roman"/>
          <w:sz w:val="24"/>
          <w:szCs w:val="24"/>
          <w:highlight w:val="none"/>
          <w:lang w:val="en-US" w:eastAsia="zh-CN"/>
        </w:rPr>
        <w:t>评估单位结论表</w:t>
      </w:r>
    </w:p>
    <w:p w14:paraId="231BF712">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right"/>
        <w:textAlignment w:val="auto"/>
        <w:rPr>
          <w:rFonts w:hint="default" w:ascii="Times New Roman" w:hAnsi="Times New Roman" w:cs="Times New Roman"/>
          <w:szCs w:val="30"/>
          <w:highlight w:val="none"/>
          <w:lang w:val="en-US" w:eastAsia="zh-CN"/>
        </w:rPr>
      </w:pPr>
      <w:r>
        <w:rPr>
          <w:rFonts w:hint="default" w:ascii="Times New Roman" w:hAnsi="Times New Roman" w:eastAsia="黑体" w:cs="Times New Roman"/>
          <w:sz w:val="24"/>
          <w:szCs w:val="24"/>
          <w:highlight w:val="none"/>
          <w:lang w:val="en-US" w:eastAsia="zh-CN"/>
        </w:rPr>
        <w:t>单位：万元</w:t>
      </w:r>
    </w:p>
    <w:tbl>
      <w:tblPr>
        <w:tblStyle w:val="21"/>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1352"/>
        <w:gridCol w:w="4425"/>
        <w:gridCol w:w="1091"/>
        <w:gridCol w:w="1294"/>
      </w:tblGrid>
      <w:tr w14:paraId="2630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9" w:type="dxa"/>
            <w:vAlign w:val="center"/>
          </w:tcPr>
          <w:p w14:paraId="467E4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序号</w:t>
            </w:r>
          </w:p>
        </w:tc>
        <w:tc>
          <w:tcPr>
            <w:tcW w:w="1352" w:type="dxa"/>
            <w:vAlign w:val="center"/>
          </w:tcPr>
          <w:p w14:paraId="3C90B4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街道</w:t>
            </w:r>
          </w:p>
        </w:tc>
        <w:tc>
          <w:tcPr>
            <w:tcW w:w="4425" w:type="dxa"/>
            <w:vAlign w:val="center"/>
          </w:tcPr>
          <w:p w14:paraId="2CC1A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居家服务中心名称</w:t>
            </w:r>
          </w:p>
        </w:tc>
        <w:tc>
          <w:tcPr>
            <w:tcW w:w="1091" w:type="dxa"/>
            <w:vAlign w:val="center"/>
          </w:tcPr>
          <w:p w14:paraId="6A3B9C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评价</w:t>
            </w:r>
          </w:p>
        </w:tc>
        <w:tc>
          <w:tcPr>
            <w:tcW w:w="1294" w:type="dxa"/>
            <w:vAlign w:val="center"/>
          </w:tcPr>
          <w:p w14:paraId="04D900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建议金额</w:t>
            </w:r>
          </w:p>
        </w:tc>
      </w:tr>
      <w:tr w14:paraId="3CD9B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53C34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c>
          <w:tcPr>
            <w:tcW w:w="1352" w:type="dxa"/>
            <w:vMerge w:val="restart"/>
            <w:vAlign w:val="center"/>
          </w:tcPr>
          <w:p w14:paraId="4454987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团结街道</w:t>
            </w:r>
          </w:p>
        </w:tc>
        <w:tc>
          <w:tcPr>
            <w:tcW w:w="4425" w:type="dxa"/>
            <w:vAlign w:val="center"/>
          </w:tcPr>
          <w:p w14:paraId="425EB7FB">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白眉社区居委会居家养老服务站</w:t>
            </w:r>
          </w:p>
        </w:tc>
        <w:tc>
          <w:tcPr>
            <w:tcW w:w="1091" w:type="dxa"/>
            <w:vAlign w:val="center"/>
          </w:tcPr>
          <w:p w14:paraId="66B3D0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437F23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7669F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49F7D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w:t>
            </w:r>
          </w:p>
        </w:tc>
        <w:tc>
          <w:tcPr>
            <w:tcW w:w="1352" w:type="dxa"/>
            <w:vMerge w:val="continue"/>
            <w:vAlign w:val="center"/>
          </w:tcPr>
          <w:p w14:paraId="096B6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09FD3D65">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雨花社区居家养老服务中心</w:t>
            </w:r>
          </w:p>
        </w:tc>
        <w:tc>
          <w:tcPr>
            <w:tcW w:w="1091" w:type="dxa"/>
            <w:vAlign w:val="center"/>
          </w:tcPr>
          <w:p w14:paraId="3188DD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5B1C8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2082E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0AB9A1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w:t>
            </w:r>
          </w:p>
        </w:tc>
        <w:tc>
          <w:tcPr>
            <w:tcW w:w="1352" w:type="dxa"/>
            <w:vMerge w:val="continue"/>
            <w:vAlign w:val="center"/>
          </w:tcPr>
          <w:p w14:paraId="53D7DA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1273CFB0">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和平社区居家养老服务中心</w:t>
            </w:r>
          </w:p>
        </w:tc>
        <w:tc>
          <w:tcPr>
            <w:tcW w:w="1091" w:type="dxa"/>
            <w:vAlign w:val="center"/>
          </w:tcPr>
          <w:p w14:paraId="5C9E09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411D1E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2E96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925FE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4</w:t>
            </w:r>
          </w:p>
        </w:tc>
        <w:tc>
          <w:tcPr>
            <w:tcW w:w="1352" w:type="dxa"/>
            <w:vMerge w:val="continue"/>
            <w:vAlign w:val="center"/>
          </w:tcPr>
          <w:p w14:paraId="54755A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7FA03D6A">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永靖社区居委会居家养老服务站</w:t>
            </w:r>
          </w:p>
        </w:tc>
        <w:tc>
          <w:tcPr>
            <w:tcW w:w="1091" w:type="dxa"/>
            <w:vAlign w:val="center"/>
          </w:tcPr>
          <w:p w14:paraId="4BF53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BBCE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66F24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B8FAE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5</w:t>
            </w:r>
          </w:p>
        </w:tc>
        <w:tc>
          <w:tcPr>
            <w:tcW w:w="1352" w:type="dxa"/>
            <w:vMerge w:val="continue"/>
            <w:vAlign w:val="center"/>
          </w:tcPr>
          <w:p w14:paraId="17E933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33D3E7EA">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谷律社区居家养老服务中心</w:t>
            </w:r>
          </w:p>
        </w:tc>
        <w:tc>
          <w:tcPr>
            <w:tcW w:w="1091" w:type="dxa"/>
            <w:vAlign w:val="center"/>
          </w:tcPr>
          <w:p w14:paraId="2BBEC91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45D261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5825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2221C0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6</w:t>
            </w:r>
          </w:p>
        </w:tc>
        <w:tc>
          <w:tcPr>
            <w:tcW w:w="1352" w:type="dxa"/>
            <w:vMerge w:val="continue"/>
            <w:vAlign w:val="center"/>
          </w:tcPr>
          <w:p w14:paraId="030676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6B6D6E6B">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龙潭社区居委会居家养老服务站</w:t>
            </w:r>
          </w:p>
        </w:tc>
        <w:tc>
          <w:tcPr>
            <w:tcW w:w="1091" w:type="dxa"/>
            <w:vAlign w:val="center"/>
          </w:tcPr>
          <w:p w14:paraId="47D6DF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5AF3AD1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3BB6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68110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7</w:t>
            </w:r>
          </w:p>
        </w:tc>
        <w:tc>
          <w:tcPr>
            <w:tcW w:w="1352" w:type="dxa"/>
            <w:vMerge w:val="continue"/>
            <w:vAlign w:val="center"/>
          </w:tcPr>
          <w:p w14:paraId="2BDD26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318D4830">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大兴社区居家养老服务中心</w:t>
            </w:r>
          </w:p>
        </w:tc>
        <w:tc>
          <w:tcPr>
            <w:tcW w:w="1091" w:type="dxa"/>
            <w:vAlign w:val="center"/>
          </w:tcPr>
          <w:p w14:paraId="78EA76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715D3F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403DF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0DA68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8</w:t>
            </w:r>
          </w:p>
        </w:tc>
        <w:tc>
          <w:tcPr>
            <w:tcW w:w="1352" w:type="dxa"/>
            <w:vMerge w:val="restart"/>
            <w:vAlign w:val="center"/>
          </w:tcPr>
          <w:p w14:paraId="5CDA01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海口街道</w:t>
            </w:r>
          </w:p>
        </w:tc>
        <w:tc>
          <w:tcPr>
            <w:tcW w:w="4425" w:type="dxa"/>
            <w:vAlign w:val="center"/>
          </w:tcPr>
          <w:p w14:paraId="7EF8DE68">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白鱼社区居家养老服务中心</w:t>
            </w:r>
          </w:p>
        </w:tc>
        <w:tc>
          <w:tcPr>
            <w:tcW w:w="1091" w:type="dxa"/>
            <w:vAlign w:val="center"/>
          </w:tcPr>
          <w:p w14:paraId="367CC6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457441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1B81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5651F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9</w:t>
            </w:r>
          </w:p>
        </w:tc>
        <w:tc>
          <w:tcPr>
            <w:tcW w:w="1352" w:type="dxa"/>
            <w:vMerge w:val="continue"/>
            <w:vAlign w:val="center"/>
          </w:tcPr>
          <w:p w14:paraId="229B14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66CE915C">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海门社区居家养老服务中心</w:t>
            </w:r>
          </w:p>
        </w:tc>
        <w:tc>
          <w:tcPr>
            <w:tcW w:w="1091" w:type="dxa"/>
            <w:vAlign w:val="center"/>
          </w:tcPr>
          <w:p w14:paraId="54CD43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1B4C50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1A47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78095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10</w:t>
            </w:r>
          </w:p>
        </w:tc>
        <w:tc>
          <w:tcPr>
            <w:tcW w:w="1352" w:type="dxa"/>
            <w:vMerge w:val="continue"/>
            <w:vAlign w:val="center"/>
          </w:tcPr>
          <w:p w14:paraId="3BB2F6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50047937">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里仁社区居家养老服务中心</w:t>
            </w:r>
          </w:p>
        </w:tc>
        <w:tc>
          <w:tcPr>
            <w:tcW w:w="1091" w:type="dxa"/>
            <w:vAlign w:val="center"/>
          </w:tcPr>
          <w:p w14:paraId="072F61E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2EADBB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62C1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2D6BBD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11</w:t>
            </w:r>
          </w:p>
        </w:tc>
        <w:tc>
          <w:tcPr>
            <w:tcW w:w="1352" w:type="dxa"/>
            <w:vMerge w:val="continue"/>
            <w:vAlign w:val="center"/>
          </w:tcPr>
          <w:p w14:paraId="47709E6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5BDFAF51">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山冲社区居家养老服务中心</w:t>
            </w:r>
          </w:p>
        </w:tc>
        <w:tc>
          <w:tcPr>
            <w:tcW w:w="1091" w:type="dxa"/>
            <w:vAlign w:val="center"/>
          </w:tcPr>
          <w:p w14:paraId="5739D8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649DDB0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09C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987F8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12</w:t>
            </w:r>
          </w:p>
        </w:tc>
        <w:tc>
          <w:tcPr>
            <w:tcW w:w="1352" w:type="dxa"/>
            <w:vMerge w:val="continue"/>
            <w:vAlign w:val="center"/>
          </w:tcPr>
          <w:p w14:paraId="0F5D11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07FE5E62">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中平社区居家养老服务中心</w:t>
            </w:r>
          </w:p>
        </w:tc>
        <w:tc>
          <w:tcPr>
            <w:tcW w:w="1091" w:type="dxa"/>
            <w:vAlign w:val="center"/>
          </w:tcPr>
          <w:p w14:paraId="235935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642D50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56B07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7FAAD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13</w:t>
            </w:r>
          </w:p>
        </w:tc>
        <w:tc>
          <w:tcPr>
            <w:tcW w:w="1352" w:type="dxa"/>
            <w:vMerge w:val="continue"/>
            <w:vAlign w:val="center"/>
          </w:tcPr>
          <w:p w14:paraId="0D4C8F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01025464">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中新社区居家养老服务中心</w:t>
            </w:r>
          </w:p>
        </w:tc>
        <w:tc>
          <w:tcPr>
            <w:tcW w:w="1091" w:type="dxa"/>
            <w:vAlign w:val="center"/>
          </w:tcPr>
          <w:p w14:paraId="0AFA6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4F09D7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64CF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39F8F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14</w:t>
            </w:r>
          </w:p>
        </w:tc>
        <w:tc>
          <w:tcPr>
            <w:tcW w:w="1352" w:type="dxa"/>
            <w:vMerge w:val="restart"/>
            <w:vAlign w:val="center"/>
          </w:tcPr>
          <w:p w14:paraId="264582D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金碧街道</w:t>
            </w:r>
          </w:p>
        </w:tc>
        <w:tc>
          <w:tcPr>
            <w:tcW w:w="4425" w:type="dxa"/>
            <w:vAlign w:val="center"/>
          </w:tcPr>
          <w:p w14:paraId="556F3CEB">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巡津新村社区（金碧老年公寓）居家养老服务中心</w:t>
            </w:r>
          </w:p>
        </w:tc>
        <w:tc>
          <w:tcPr>
            <w:tcW w:w="1091" w:type="dxa"/>
            <w:vAlign w:val="center"/>
          </w:tcPr>
          <w:p w14:paraId="3C605E9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6B4F26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1A089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14D1DF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15</w:t>
            </w:r>
          </w:p>
        </w:tc>
        <w:tc>
          <w:tcPr>
            <w:tcW w:w="1352" w:type="dxa"/>
            <w:vMerge w:val="continue"/>
            <w:vAlign w:val="center"/>
          </w:tcPr>
          <w:p w14:paraId="49EDB1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20277E9A">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西岳庙社区居家养老服务中心</w:t>
            </w:r>
          </w:p>
        </w:tc>
        <w:tc>
          <w:tcPr>
            <w:tcW w:w="1091" w:type="dxa"/>
            <w:vAlign w:val="center"/>
          </w:tcPr>
          <w:p w14:paraId="617A3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7E41C1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47D2B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55B5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16</w:t>
            </w:r>
          </w:p>
        </w:tc>
        <w:tc>
          <w:tcPr>
            <w:tcW w:w="1352" w:type="dxa"/>
            <w:vMerge w:val="continue"/>
            <w:vAlign w:val="center"/>
          </w:tcPr>
          <w:p w14:paraId="7AD5D45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1AF25CD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西坝北社区居家养老服务中心</w:t>
            </w:r>
          </w:p>
        </w:tc>
        <w:tc>
          <w:tcPr>
            <w:tcW w:w="1091" w:type="dxa"/>
            <w:vAlign w:val="center"/>
          </w:tcPr>
          <w:p w14:paraId="1BFBF4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7243C5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60110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16CF8F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17</w:t>
            </w:r>
          </w:p>
        </w:tc>
        <w:tc>
          <w:tcPr>
            <w:tcW w:w="1352" w:type="dxa"/>
            <w:vMerge w:val="continue"/>
            <w:vAlign w:val="center"/>
          </w:tcPr>
          <w:p w14:paraId="2BCD08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59DA086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弥勒寺社区居家养老服务中心</w:t>
            </w:r>
          </w:p>
        </w:tc>
        <w:tc>
          <w:tcPr>
            <w:tcW w:w="1091" w:type="dxa"/>
            <w:vAlign w:val="center"/>
          </w:tcPr>
          <w:p w14:paraId="718A36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42DC0DD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4F60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04C1E8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18</w:t>
            </w:r>
          </w:p>
        </w:tc>
        <w:tc>
          <w:tcPr>
            <w:tcW w:w="1352" w:type="dxa"/>
            <w:vMerge w:val="restart"/>
            <w:vAlign w:val="center"/>
          </w:tcPr>
          <w:p w14:paraId="71DE7B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福海街道</w:t>
            </w:r>
          </w:p>
        </w:tc>
        <w:tc>
          <w:tcPr>
            <w:tcW w:w="4425" w:type="dxa"/>
            <w:vAlign w:val="center"/>
          </w:tcPr>
          <w:p w14:paraId="078AA070">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怡景社区居家养老服务中心</w:t>
            </w:r>
          </w:p>
        </w:tc>
        <w:tc>
          <w:tcPr>
            <w:tcW w:w="1091" w:type="dxa"/>
            <w:vAlign w:val="center"/>
          </w:tcPr>
          <w:p w14:paraId="38F25F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6899ED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46A99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97C26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19</w:t>
            </w:r>
          </w:p>
        </w:tc>
        <w:tc>
          <w:tcPr>
            <w:tcW w:w="1352" w:type="dxa"/>
            <w:vMerge w:val="continue"/>
            <w:vAlign w:val="center"/>
          </w:tcPr>
          <w:p w14:paraId="5A7C71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089587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福海（长青）居家养老服务中心</w:t>
            </w:r>
          </w:p>
        </w:tc>
        <w:tc>
          <w:tcPr>
            <w:tcW w:w="1091" w:type="dxa"/>
            <w:vAlign w:val="center"/>
          </w:tcPr>
          <w:p w14:paraId="054592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62DC6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744D5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BA33C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20</w:t>
            </w:r>
          </w:p>
        </w:tc>
        <w:tc>
          <w:tcPr>
            <w:tcW w:w="1352" w:type="dxa"/>
            <w:vMerge w:val="continue"/>
            <w:vAlign w:val="center"/>
          </w:tcPr>
          <w:p w14:paraId="44DAC4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00AEB5ED">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周家社区居家养老日间照料中心</w:t>
            </w:r>
          </w:p>
        </w:tc>
        <w:tc>
          <w:tcPr>
            <w:tcW w:w="1091" w:type="dxa"/>
            <w:vAlign w:val="center"/>
          </w:tcPr>
          <w:p w14:paraId="637280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60B26B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1A4F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645B0C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21</w:t>
            </w:r>
          </w:p>
        </w:tc>
        <w:tc>
          <w:tcPr>
            <w:tcW w:w="1352" w:type="dxa"/>
            <w:vMerge w:val="continue"/>
            <w:vAlign w:val="center"/>
          </w:tcPr>
          <w:p w14:paraId="519F85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08F00E69">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卫城社区居家养老服务中心</w:t>
            </w:r>
          </w:p>
        </w:tc>
        <w:tc>
          <w:tcPr>
            <w:tcW w:w="1091" w:type="dxa"/>
            <w:vAlign w:val="center"/>
          </w:tcPr>
          <w:p w14:paraId="3F5F1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9F5AA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15EB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061A70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22</w:t>
            </w:r>
          </w:p>
        </w:tc>
        <w:tc>
          <w:tcPr>
            <w:tcW w:w="1352" w:type="dxa"/>
            <w:vMerge w:val="restart"/>
            <w:vAlign w:val="center"/>
          </w:tcPr>
          <w:p w14:paraId="296327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碧鸡街道</w:t>
            </w:r>
          </w:p>
        </w:tc>
        <w:tc>
          <w:tcPr>
            <w:tcW w:w="4425" w:type="dxa"/>
            <w:vAlign w:val="center"/>
          </w:tcPr>
          <w:p w14:paraId="2CAB8EA0">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富善社区居家养老服务中心</w:t>
            </w:r>
          </w:p>
        </w:tc>
        <w:tc>
          <w:tcPr>
            <w:tcW w:w="1091" w:type="dxa"/>
            <w:vAlign w:val="center"/>
          </w:tcPr>
          <w:p w14:paraId="3AAE16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772F0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54110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4B9291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23</w:t>
            </w:r>
          </w:p>
        </w:tc>
        <w:tc>
          <w:tcPr>
            <w:tcW w:w="1352" w:type="dxa"/>
            <w:vMerge w:val="continue"/>
            <w:vAlign w:val="center"/>
          </w:tcPr>
          <w:p w14:paraId="5654E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43C2ED0D">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西华社区（云杨鹤敬老院）居家养老服务站</w:t>
            </w:r>
          </w:p>
        </w:tc>
        <w:tc>
          <w:tcPr>
            <w:tcW w:w="1091" w:type="dxa"/>
            <w:vAlign w:val="center"/>
          </w:tcPr>
          <w:p w14:paraId="4BCF9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070F14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2A17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266EB1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c>
          <w:tcPr>
            <w:tcW w:w="1352" w:type="dxa"/>
            <w:vMerge w:val="continue"/>
            <w:vAlign w:val="center"/>
          </w:tcPr>
          <w:p w14:paraId="571EEB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1F77DC82">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龙门社区老年人日间照料中心</w:t>
            </w:r>
          </w:p>
        </w:tc>
        <w:tc>
          <w:tcPr>
            <w:tcW w:w="1091" w:type="dxa"/>
            <w:vAlign w:val="center"/>
          </w:tcPr>
          <w:p w14:paraId="235BE5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CF763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1A7EA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10092A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25</w:t>
            </w:r>
          </w:p>
        </w:tc>
        <w:tc>
          <w:tcPr>
            <w:tcW w:w="1352" w:type="dxa"/>
            <w:vMerge w:val="restart"/>
            <w:vAlign w:val="center"/>
          </w:tcPr>
          <w:p w14:paraId="442CA2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西苑街道</w:t>
            </w:r>
          </w:p>
        </w:tc>
        <w:tc>
          <w:tcPr>
            <w:tcW w:w="4425" w:type="dxa"/>
            <w:vAlign w:val="center"/>
          </w:tcPr>
          <w:p w14:paraId="19FC3708">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凯苑社区居家养老服务中心</w:t>
            </w:r>
          </w:p>
        </w:tc>
        <w:tc>
          <w:tcPr>
            <w:tcW w:w="1091" w:type="dxa"/>
            <w:vAlign w:val="center"/>
          </w:tcPr>
          <w:p w14:paraId="05BB97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220C9EF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0121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9ACB0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26</w:t>
            </w:r>
          </w:p>
        </w:tc>
        <w:tc>
          <w:tcPr>
            <w:tcW w:w="1352" w:type="dxa"/>
            <w:vMerge w:val="continue"/>
            <w:vAlign w:val="center"/>
          </w:tcPr>
          <w:p w14:paraId="491A70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25B67533">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秀苑社区居家养老服务中心</w:t>
            </w:r>
          </w:p>
        </w:tc>
        <w:tc>
          <w:tcPr>
            <w:tcW w:w="1091" w:type="dxa"/>
            <w:vAlign w:val="center"/>
          </w:tcPr>
          <w:p w14:paraId="7E6DD3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02DB5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45E1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2ECF21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27</w:t>
            </w:r>
          </w:p>
        </w:tc>
        <w:tc>
          <w:tcPr>
            <w:tcW w:w="1352" w:type="dxa"/>
            <w:vMerge w:val="continue"/>
            <w:vAlign w:val="center"/>
          </w:tcPr>
          <w:p w14:paraId="2ED5CF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71CED742">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秋苑社区居家养老服务中心</w:t>
            </w:r>
          </w:p>
        </w:tc>
        <w:tc>
          <w:tcPr>
            <w:tcW w:w="1091" w:type="dxa"/>
            <w:vAlign w:val="center"/>
          </w:tcPr>
          <w:p w14:paraId="7880D4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25DC86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w:t>
            </w:r>
          </w:p>
        </w:tc>
      </w:tr>
      <w:tr w14:paraId="1C361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4164F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28</w:t>
            </w:r>
          </w:p>
        </w:tc>
        <w:tc>
          <w:tcPr>
            <w:tcW w:w="1352" w:type="dxa"/>
            <w:vMerge w:val="restart"/>
            <w:vAlign w:val="center"/>
          </w:tcPr>
          <w:p w14:paraId="422912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永昌街道</w:t>
            </w:r>
          </w:p>
        </w:tc>
        <w:tc>
          <w:tcPr>
            <w:tcW w:w="4425" w:type="dxa"/>
            <w:vAlign w:val="center"/>
          </w:tcPr>
          <w:p w14:paraId="42F9F7D1">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永兴路社区居家养老服务中心</w:t>
            </w:r>
          </w:p>
        </w:tc>
        <w:tc>
          <w:tcPr>
            <w:tcW w:w="1091" w:type="dxa"/>
            <w:vAlign w:val="center"/>
          </w:tcPr>
          <w:p w14:paraId="5A3E83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002B5C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0B9C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302CBC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29</w:t>
            </w:r>
          </w:p>
        </w:tc>
        <w:tc>
          <w:tcPr>
            <w:tcW w:w="1352" w:type="dxa"/>
            <w:vMerge w:val="continue"/>
            <w:vAlign w:val="center"/>
          </w:tcPr>
          <w:p w14:paraId="3A3F29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4A894BB9">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永宁里社区居家养老服务中心</w:t>
            </w:r>
          </w:p>
        </w:tc>
        <w:tc>
          <w:tcPr>
            <w:tcW w:w="1091" w:type="dxa"/>
            <w:vAlign w:val="center"/>
          </w:tcPr>
          <w:p w14:paraId="74E2B8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4C4D3B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102FF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2B1E96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30</w:t>
            </w:r>
          </w:p>
        </w:tc>
        <w:tc>
          <w:tcPr>
            <w:tcW w:w="1352" w:type="dxa"/>
            <w:vMerge w:val="continue"/>
            <w:vAlign w:val="center"/>
          </w:tcPr>
          <w:p w14:paraId="5C0C0F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2730AAE6">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盛高大城社区居家养老服务中心</w:t>
            </w:r>
          </w:p>
        </w:tc>
        <w:tc>
          <w:tcPr>
            <w:tcW w:w="1091" w:type="dxa"/>
            <w:vAlign w:val="center"/>
          </w:tcPr>
          <w:p w14:paraId="311109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7E6954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1.6</w:t>
            </w:r>
          </w:p>
        </w:tc>
      </w:tr>
      <w:tr w14:paraId="28CC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502A5F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31</w:t>
            </w:r>
          </w:p>
        </w:tc>
        <w:tc>
          <w:tcPr>
            <w:tcW w:w="1352" w:type="dxa"/>
            <w:vMerge w:val="restart"/>
            <w:vAlign w:val="center"/>
          </w:tcPr>
          <w:p w14:paraId="7AC9D353">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马街街道</w:t>
            </w:r>
          </w:p>
        </w:tc>
        <w:tc>
          <w:tcPr>
            <w:tcW w:w="4425" w:type="dxa"/>
            <w:vAlign w:val="center"/>
          </w:tcPr>
          <w:p w14:paraId="03F8F0AD">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昆明市西山区居家养老服务中心</w:t>
            </w:r>
          </w:p>
        </w:tc>
        <w:tc>
          <w:tcPr>
            <w:tcW w:w="1091" w:type="dxa"/>
            <w:vAlign w:val="center"/>
          </w:tcPr>
          <w:p w14:paraId="0DCF8B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5E7D5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73A0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21751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32</w:t>
            </w:r>
          </w:p>
        </w:tc>
        <w:tc>
          <w:tcPr>
            <w:tcW w:w="1352" w:type="dxa"/>
            <w:vMerge w:val="continue"/>
            <w:vAlign w:val="center"/>
          </w:tcPr>
          <w:p w14:paraId="265C2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3445DF91">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西丽园社区怡芳苑小区居家养老服务中心</w:t>
            </w:r>
          </w:p>
        </w:tc>
        <w:tc>
          <w:tcPr>
            <w:tcW w:w="1091" w:type="dxa"/>
            <w:vAlign w:val="center"/>
          </w:tcPr>
          <w:p w14:paraId="74320C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3D5328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2ECF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3DA99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33</w:t>
            </w:r>
          </w:p>
        </w:tc>
        <w:tc>
          <w:tcPr>
            <w:tcW w:w="1352" w:type="dxa"/>
            <w:vMerge w:val="restart"/>
            <w:vAlign w:val="center"/>
          </w:tcPr>
          <w:p w14:paraId="65A50612">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前卫街道</w:t>
            </w:r>
          </w:p>
        </w:tc>
        <w:tc>
          <w:tcPr>
            <w:tcW w:w="4425" w:type="dxa"/>
            <w:vAlign w:val="center"/>
          </w:tcPr>
          <w:p w14:paraId="06C65D3C">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金家社区老年人日间照料中心</w:t>
            </w:r>
          </w:p>
        </w:tc>
        <w:tc>
          <w:tcPr>
            <w:tcW w:w="1091" w:type="dxa"/>
            <w:vAlign w:val="center"/>
          </w:tcPr>
          <w:p w14:paraId="1F9B0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不参评</w:t>
            </w:r>
          </w:p>
        </w:tc>
        <w:tc>
          <w:tcPr>
            <w:tcW w:w="1294" w:type="dxa"/>
            <w:vAlign w:val="center"/>
          </w:tcPr>
          <w:p w14:paraId="53F192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0</w:t>
            </w:r>
          </w:p>
        </w:tc>
      </w:tr>
      <w:tr w14:paraId="01C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6CED15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34</w:t>
            </w:r>
          </w:p>
        </w:tc>
        <w:tc>
          <w:tcPr>
            <w:tcW w:w="1352" w:type="dxa"/>
            <w:vMerge w:val="continue"/>
            <w:vAlign w:val="center"/>
          </w:tcPr>
          <w:p w14:paraId="4A6DCA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p>
        </w:tc>
        <w:tc>
          <w:tcPr>
            <w:tcW w:w="4425" w:type="dxa"/>
            <w:vAlign w:val="center"/>
          </w:tcPr>
          <w:p w14:paraId="50155725">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前卫街道广福小区社区居家养老服务中心</w:t>
            </w:r>
          </w:p>
        </w:tc>
        <w:tc>
          <w:tcPr>
            <w:tcW w:w="1091" w:type="dxa"/>
            <w:vAlign w:val="center"/>
          </w:tcPr>
          <w:p w14:paraId="6D2BC9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23C7624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329B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0154F4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35</w:t>
            </w:r>
          </w:p>
        </w:tc>
        <w:tc>
          <w:tcPr>
            <w:tcW w:w="1352" w:type="dxa"/>
            <w:vAlign w:val="center"/>
          </w:tcPr>
          <w:p w14:paraId="2A76D6FE">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棕树营街道</w:t>
            </w:r>
          </w:p>
        </w:tc>
        <w:tc>
          <w:tcPr>
            <w:tcW w:w="4425" w:type="dxa"/>
            <w:vAlign w:val="center"/>
          </w:tcPr>
          <w:p w14:paraId="3EE38DC6">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白马西区社区居家养老服务中心</w:t>
            </w:r>
          </w:p>
        </w:tc>
        <w:tc>
          <w:tcPr>
            <w:tcW w:w="1091" w:type="dxa"/>
            <w:vAlign w:val="center"/>
          </w:tcPr>
          <w:p w14:paraId="786099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21FD6F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r w14:paraId="3100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9" w:type="dxa"/>
            <w:vAlign w:val="center"/>
          </w:tcPr>
          <w:p w14:paraId="1C9F49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36</w:t>
            </w:r>
          </w:p>
        </w:tc>
        <w:tc>
          <w:tcPr>
            <w:tcW w:w="1352" w:type="dxa"/>
            <w:vAlign w:val="center"/>
          </w:tcPr>
          <w:p w14:paraId="078AA1AF">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西山风景区管理局</w:t>
            </w:r>
          </w:p>
        </w:tc>
        <w:tc>
          <w:tcPr>
            <w:tcW w:w="4425" w:type="dxa"/>
            <w:vAlign w:val="center"/>
          </w:tcPr>
          <w:p w14:paraId="63FB81CE">
            <w:pPr>
              <w:keepNext w:val="0"/>
              <w:keepLines w:val="0"/>
              <w:widowControl/>
              <w:suppressLineNumbers w:val="0"/>
              <w:spacing w:line="240" w:lineRule="auto"/>
              <w:jc w:val="center"/>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color w:val="000000"/>
                <w:kern w:val="0"/>
                <w:sz w:val="21"/>
                <w:szCs w:val="21"/>
                <w:highlight w:val="none"/>
                <w:lang w:val="en-US" w:eastAsia="zh-CN" w:bidi="ar"/>
              </w:rPr>
              <w:t>猫猫箐社区居家养老服务中心</w:t>
            </w:r>
          </w:p>
        </w:tc>
        <w:tc>
          <w:tcPr>
            <w:tcW w:w="1091" w:type="dxa"/>
            <w:vAlign w:val="center"/>
          </w:tcPr>
          <w:p w14:paraId="12276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合格</w:t>
            </w:r>
          </w:p>
        </w:tc>
        <w:tc>
          <w:tcPr>
            <w:tcW w:w="1294" w:type="dxa"/>
            <w:vAlign w:val="center"/>
          </w:tcPr>
          <w:p w14:paraId="678851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 w:cs="Times New Roman"/>
                <w:sz w:val="21"/>
                <w:szCs w:val="21"/>
                <w:highlight w:val="none"/>
                <w:vertAlign w:val="baseline"/>
                <w:lang w:val="en-US" w:eastAsia="zh-CN"/>
              </w:rPr>
            </w:pPr>
            <w:r>
              <w:rPr>
                <w:rFonts w:hint="default" w:ascii="Times New Roman" w:hAnsi="Times New Roman" w:eastAsia="仿宋" w:cs="Times New Roman"/>
                <w:sz w:val="21"/>
                <w:szCs w:val="21"/>
                <w:highlight w:val="none"/>
                <w:vertAlign w:val="baseline"/>
                <w:lang w:val="en-US" w:eastAsia="zh-CN"/>
              </w:rPr>
              <w:t>2.4</w:t>
            </w:r>
          </w:p>
        </w:tc>
      </w:tr>
    </w:tbl>
    <w:p w14:paraId="6C2DE32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szCs w:val="30"/>
          <w:highlight w:val="none"/>
          <w:lang w:val="en-US" w:eastAsia="zh-CN"/>
        </w:rPr>
        <w:t>根据表格，符合标准的居家养老服务中心均按照《昆明市民政局关于申报民办养老服务机构及居家养老服务中心补助的通知》（昆民通〔2020〕41号）中，</w:t>
      </w:r>
      <w:r>
        <w:rPr>
          <w:rFonts w:hint="default" w:ascii="Times New Roman" w:hAnsi="Times New Roman" w:cs="Times New Roman"/>
          <w:b w:val="0"/>
          <w:bCs w:val="0"/>
          <w:szCs w:val="30"/>
          <w:highlight w:val="none"/>
          <w:lang w:val="en-US" w:eastAsia="zh-CN"/>
        </w:rPr>
        <w:t>不低于2.4万元的运营经费进行补助，而盛高大城社区居家养老服务中心和秋苑社区居家养老服务中心未达到补贴标准是因为运营周期未达一年，按照实际运营月份进行补贴。</w:t>
      </w:r>
    </w:p>
    <w:p w14:paraId="6B4983E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此外，实际补助单位为24家（补助总金额55.4万元），与评估单位提供的26家</w:t>
      </w:r>
      <w:r>
        <w:rPr>
          <w:rFonts w:hint="eastAsia" w:ascii="Times New Roman" w:cs="Times New Roman"/>
          <w:b w:val="0"/>
          <w:bCs w:val="0"/>
          <w:szCs w:val="30"/>
          <w:highlight w:val="none"/>
          <w:lang w:val="en-US" w:eastAsia="zh-CN"/>
        </w:rPr>
        <w:t>相比</w:t>
      </w:r>
      <w:r>
        <w:rPr>
          <w:rFonts w:hint="default" w:ascii="Times New Roman" w:hAnsi="Times New Roman" w:cs="Times New Roman"/>
          <w:b w:val="0"/>
          <w:bCs w:val="0"/>
          <w:szCs w:val="30"/>
          <w:highlight w:val="none"/>
          <w:lang w:val="en-US" w:eastAsia="zh-CN"/>
        </w:rPr>
        <w:t>缺少两家，经核实，缺少的两家分别为猫猫箐社区马鞍山小组居家养老服务中心以及白鱼社区居家养老服务中心，具体未补助原因如下：</w:t>
      </w:r>
    </w:p>
    <w:p w14:paraId="77A78C7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猫猫箐社区马鞍山小组居家养老服务中心：一是由于新冠疫情长时间持续的影响；二是由于居家养老服务中心的运营成本较高，缺乏足够的资金支持；三是社区居家养老服务中心服务设施和服务水平已无法达到相关规定的标准要求。导致猫猫箐社区马鞍山小组居家养老服务中心已经暂停运营，故未领取2022年运营补贴2.4万元。</w:t>
      </w:r>
    </w:p>
    <w:p w14:paraId="290F320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eastAsia="楷体" w:cs="Times New Roman"/>
          <w:b w:val="0"/>
          <w:bCs w:val="0"/>
          <w:szCs w:val="30"/>
          <w:highlight w:val="none"/>
        </w:rPr>
      </w:pPr>
      <w:r>
        <w:rPr>
          <w:rFonts w:hint="default" w:ascii="Times New Roman" w:hAnsi="Times New Roman" w:cs="Times New Roman"/>
          <w:b w:val="0"/>
          <w:bCs w:val="0"/>
          <w:szCs w:val="30"/>
          <w:highlight w:val="none"/>
          <w:lang w:val="en-US" w:eastAsia="zh-CN"/>
        </w:rPr>
        <w:t>白鱼社区居家养老服务中心：由于海口街道白鱼社区居家养老服务中心于2023年5月份才正式投入运营，2022年未运营，不符合领取2022年运营补助条件，第三方上门评估的时候已经向第三方老师讲明情况。故未领取 2022年居家养老运营补助2.4万元。</w:t>
      </w:r>
    </w:p>
    <w:p w14:paraId="2F5B6F1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 w:cs="Times New Roman"/>
          <w:szCs w:val="30"/>
          <w:highlight w:val="none"/>
        </w:rPr>
      </w:pPr>
      <w:bookmarkStart w:id="29" w:name="_Toc289"/>
      <w:r>
        <w:rPr>
          <w:rFonts w:hint="default" w:ascii="Times New Roman" w:hAnsi="Times New Roman" w:eastAsia="楷体" w:cs="Times New Roman"/>
          <w:szCs w:val="30"/>
          <w:highlight w:val="none"/>
        </w:rPr>
        <w:t>（四）项目绩效目标设立情况</w:t>
      </w:r>
      <w:bookmarkEnd w:id="29"/>
    </w:p>
    <w:p w14:paraId="3AE7C0FA">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1.预算批复（申报）绩效目标和绩效指标情况</w:t>
      </w:r>
    </w:p>
    <w:p w14:paraId="7334828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30" w:firstLineChars="200"/>
        <w:jc w:val="both"/>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根据区民政局提供的项目绩效目标表，经项目组梳理，本项目的绩效目标如下：</w:t>
      </w:r>
    </w:p>
    <w:p w14:paraId="2644B619">
      <w:pPr>
        <w:keepNext w:val="0"/>
        <w:keepLines w:val="0"/>
        <w:pageBreakBefore w:val="0"/>
        <w:widowControl w:val="0"/>
        <w:kinsoku/>
        <w:wordWrap/>
        <w:overflowPunct/>
        <w:topLinePunct w:val="0"/>
        <w:autoSpaceDE/>
        <w:autoSpaceDN/>
        <w:bidi w:val="0"/>
        <w:adjustRightInd/>
        <w:snapToGrid/>
        <w:spacing w:line="579" w:lineRule="exact"/>
        <w:ind w:firstLine="510" w:firstLineChars="200"/>
        <w:jc w:val="center"/>
        <w:textAlignment w:val="auto"/>
        <w:rPr>
          <w:rFonts w:hint="default" w:ascii="Times New Roman" w:hAnsi="Times New Roman" w:eastAsia="黑体" w:cs="Times New Roman"/>
          <w:sz w:val="24"/>
          <w:szCs w:val="24"/>
          <w:highlight w:val="none"/>
          <w:lang w:val="en-US" w:eastAsia="zh-CN"/>
        </w:rPr>
      </w:pPr>
      <w:r>
        <w:rPr>
          <w:rFonts w:hint="eastAsia" w:ascii="Times New Roman" w:hAnsi="Times New Roman" w:eastAsia="黑体" w:cs="Times New Roman"/>
          <w:sz w:val="24"/>
          <w:szCs w:val="24"/>
          <w:highlight w:val="none"/>
          <w:lang w:val="en-US" w:eastAsia="zh-CN"/>
        </w:rPr>
        <w:t>表3 绩效目标申报表</w:t>
      </w:r>
    </w:p>
    <w:tbl>
      <w:tblPr>
        <w:tblStyle w:val="20"/>
        <w:tblW w:w="90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72"/>
        <w:gridCol w:w="1472"/>
        <w:gridCol w:w="4253"/>
        <w:gridCol w:w="1674"/>
      </w:tblGrid>
      <w:tr w14:paraId="0385B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2F96ADD">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一级指标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22163C5">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二级指标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19CD15A3">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三级指标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60F901B8">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指标值</w:t>
            </w:r>
          </w:p>
        </w:tc>
      </w:tr>
      <w:tr w14:paraId="5480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9A681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产出指标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665D4F99">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数量指标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715E1302">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居家养老服务中心运营补助个数</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80E8AF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24个</w:t>
            </w:r>
          </w:p>
        </w:tc>
      </w:tr>
      <w:tr w14:paraId="6AF8A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48E5407">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0A11A500">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质量指标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753360B4">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2023年发放城乡居家养老服务中心运营补助资金完成率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0C7A676B">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100%</w:t>
            </w:r>
          </w:p>
        </w:tc>
      </w:tr>
      <w:tr w14:paraId="7F448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A8A44DF">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75A8841E">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时效指标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1067C70C">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完成率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4BE0BB1D">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100%</w:t>
            </w:r>
          </w:p>
        </w:tc>
      </w:tr>
      <w:tr w14:paraId="3B3C2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6F9861">
            <w:pPr>
              <w:spacing w:line="240" w:lineRule="auto"/>
              <w:jc w:val="center"/>
              <w:rPr>
                <w:rFonts w:hint="default" w:ascii="Times New Roman" w:hAnsi="Times New Roman" w:eastAsia="仿宋" w:cs="Times New Roman"/>
                <w:b w:val="0"/>
                <w:bCs w:val="0"/>
                <w:i w:val="0"/>
                <w:iCs w:val="0"/>
                <w:color w:val="000000"/>
                <w:sz w:val="21"/>
                <w:szCs w:val="21"/>
                <w:highlight w:val="none"/>
                <w:u w:val="none"/>
              </w:rPr>
            </w:pP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6D16591A">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成本指标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31FE3FB0">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社区居家养老服务中心运营补贴总金额</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7121778">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29.41万元</w:t>
            </w:r>
          </w:p>
        </w:tc>
      </w:tr>
      <w:tr w14:paraId="2B514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073D6750">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效益指标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28453E7B">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社会效益</w:t>
            </w:r>
          </w:p>
          <w:p w14:paraId="0720460A">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kern w:val="0"/>
                <w:sz w:val="21"/>
                <w:szCs w:val="21"/>
                <w:highlight w:val="none"/>
                <w:u w:val="none"/>
                <w:lang w:val="en-US" w:eastAsia="zh-CN" w:bidi="ar"/>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指标</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44FE27CA">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kern w:val="0"/>
                <w:sz w:val="21"/>
                <w:szCs w:val="21"/>
                <w:highlight w:val="none"/>
                <w:u w:val="none"/>
                <w:lang w:val="en-US" w:eastAsia="zh-CN" w:bidi="ar"/>
              </w:rPr>
            </w:pPr>
            <w:r>
              <w:rPr>
                <w:rFonts w:hint="default" w:ascii="Times New Roman" w:hAnsi="Times New Roman" w:eastAsia="仿宋" w:cs="Times New Roman"/>
                <w:i w:val="0"/>
                <w:iCs w:val="0"/>
                <w:color w:val="000000"/>
                <w:kern w:val="0"/>
                <w:sz w:val="21"/>
                <w:szCs w:val="21"/>
                <w:highlight w:val="none"/>
                <w:u w:val="none"/>
                <w:lang w:val="en-US" w:eastAsia="zh-CN" w:bidi="ar"/>
              </w:rPr>
              <w:t>城乡居家养老服务中心运营管理得到提升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269ED8B3">
            <w:pPr>
              <w:keepNext w:val="0"/>
              <w:keepLines w:val="0"/>
              <w:widowControl/>
              <w:suppressLineNumbers w:val="0"/>
              <w:spacing w:line="240" w:lineRule="auto"/>
              <w:jc w:val="center"/>
              <w:textAlignment w:val="center"/>
              <w:rPr>
                <w:rFonts w:hint="default" w:ascii="Times New Roman" w:hAnsi="Times New Roman" w:eastAsia="仿宋" w:cs="Times New Roman"/>
                <w:b/>
                <w:bCs/>
                <w:i w:val="0"/>
                <w:iCs w:val="0"/>
                <w:color w:val="000000"/>
                <w:kern w:val="0"/>
                <w:sz w:val="21"/>
                <w:szCs w:val="21"/>
                <w:highlight w:val="none"/>
                <w:u w:val="none"/>
                <w:lang w:val="en-US" w:eastAsia="zh-CN" w:bidi="ar"/>
              </w:rPr>
            </w:pPr>
            <w:r>
              <w:rPr>
                <w:rFonts w:hint="default" w:ascii="Times New Roman" w:hAnsi="Times New Roman" w:eastAsia="仿宋" w:cs="Times New Roman"/>
                <w:b/>
                <w:bCs/>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100%</w:t>
            </w:r>
          </w:p>
        </w:tc>
      </w:tr>
      <w:tr w14:paraId="3B0E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0DAF35">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满意度指标</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464FAA37">
            <w:pPr>
              <w:keepNext w:val="0"/>
              <w:keepLines w:val="0"/>
              <w:widowControl/>
              <w:suppressLineNumbers w:val="0"/>
              <w:spacing w:line="240" w:lineRule="auto"/>
              <w:jc w:val="center"/>
              <w:textAlignment w:val="center"/>
              <w:rPr>
                <w:rFonts w:hint="default" w:ascii="Times New Roman" w:hAnsi="Times New Roman" w:eastAsia="仿宋" w:cs="Times New Roman"/>
                <w:b w:val="0"/>
                <w:bCs w:val="0"/>
                <w:i w:val="0"/>
                <w:iCs w:val="0"/>
                <w:color w:val="000000"/>
                <w:sz w:val="21"/>
                <w:szCs w:val="21"/>
                <w:highlight w:val="none"/>
                <w:u w:val="none"/>
              </w:rPr>
            </w:pPr>
            <w:r>
              <w:rPr>
                <w:rFonts w:hint="default" w:ascii="Times New Roman" w:hAnsi="Times New Roman" w:eastAsia="仿宋" w:cs="Times New Roman"/>
                <w:b w:val="0"/>
                <w:bCs w:val="0"/>
                <w:i w:val="0"/>
                <w:iCs w:val="0"/>
                <w:color w:val="000000"/>
                <w:kern w:val="0"/>
                <w:sz w:val="21"/>
                <w:szCs w:val="21"/>
                <w:highlight w:val="none"/>
                <w:u w:val="none"/>
                <w:lang w:val="en-US" w:eastAsia="zh-CN" w:bidi="ar"/>
              </w:rPr>
              <w:t>服务对象满意度指标等</w:t>
            </w:r>
          </w:p>
        </w:tc>
        <w:tc>
          <w:tcPr>
            <w:tcW w:w="4253" w:type="dxa"/>
            <w:tcBorders>
              <w:top w:val="single" w:color="auto" w:sz="4" w:space="0"/>
              <w:left w:val="single" w:color="auto" w:sz="4" w:space="0"/>
              <w:bottom w:val="single" w:color="auto" w:sz="4" w:space="0"/>
              <w:right w:val="single" w:color="auto" w:sz="4" w:space="0"/>
            </w:tcBorders>
            <w:shd w:val="clear" w:color="auto" w:fill="auto"/>
            <w:vAlign w:val="center"/>
          </w:tcPr>
          <w:p w14:paraId="22EE7BA2">
            <w:pPr>
              <w:keepNext w:val="0"/>
              <w:keepLines w:val="0"/>
              <w:widowControl/>
              <w:suppressLineNumbers w:val="0"/>
              <w:spacing w:line="240" w:lineRule="auto"/>
              <w:jc w:val="left"/>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i w:val="0"/>
                <w:iCs w:val="0"/>
                <w:color w:val="000000"/>
                <w:kern w:val="0"/>
                <w:sz w:val="21"/>
                <w:szCs w:val="21"/>
                <w:highlight w:val="none"/>
                <w:u w:val="none"/>
                <w:lang w:val="en-US" w:eastAsia="zh-CN" w:bidi="ar"/>
              </w:rPr>
              <w:t>服务对象满意率</w:t>
            </w:r>
          </w:p>
        </w:tc>
        <w:tc>
          <w:tcPr>
            <w:tcW w:w="1674" w:type="dxa"/>
            <w:tcBorders>
              <w:top w:val="single" w:color="auto" w:sz="4" w:space="0"/>
              <w:left w:val="single" w:color="auto" w:sz="4" w:space="0"/>
              <w:bottom w:val="single" w:color="auto" w:sz="4" w:space="0"/>
              <w:right w:val="single" w:color="auto" w:sz="4" w:space="0"/>
            </w:tcBorders>
            <w:shd w:val="clear" w:color="auto" w:fill="auto"/>
            <w:vAlign w:val="center"/>
          </w:tcPr>
          <w:p w14:paraId="70471C51">
            <w:pPr>
              <w:keepNext w:val="0"/>
              <w:keepLines w:val="0"/>
              <w:widowControl/>
              <w:suppressLineNumbers w:val="0"/>
              <w:spacing w:line="240" w:lineRule="auto"/>
              <w:jc w:val="center"/>
              <w:textAlignment w:val="center"/>
              <w:rPr>
                <w:rFonts w:hint="default" w:ascii="Times New Roman" w:hAnsi="Times New Roman" w:eastAsia="仿宋" w:cs="Times New Roman"/>
                <w:i w:val="0"/>
                <w:iCs w:val="0"/>
                <w:color w:val="000000"/>
                <w:sz w:val="21"/>
                <w:szCs w:val="21"/>
                <w:highlight w:val="none"/>
                <w:u w:val="none"/>
              </w:rPr>
            </w:pPr>
            <w:r>
              <w:rPr>
                <w:rFonts w:hint="default" w:ascii="Times New Roman" w:hAnsi="Times New Roman" w:eastAsia="仿宋" w:cs="Times New Roman"/>
                <w:b/>
                <w:bCs/>
                <w:i w:val="0"/>
                <w:iCs w:val="0"/>
                <w:color w:val="000000"/>
                <w:kern w:val="0"/>
                <w:sz w:val="21"/>
                <w:szCs w:val="21"/>
                <w:highlight w:val="none"/>
                <w:u w:val="none"/>
                <w:lang w:val="en-US" w:eastAsia="zh-CN" w:bidi="ar"/>
              </w:rPr>
              <w:t>≥</w:t>
            </w:r>
            <w:r>
              <w:rPr>
                <w:rFonts w:hint="default" w:ascii="Times New Roman" w:hAnsi="Times New Roman" w:eastAsia="仿宋" w:cs="Times New Roman"/>
                <w:i w:val="0"/>
                <w:iCs w:val="0"/>
                <w:color w:val="000000"/>
                <w:kern w:val="0"/>
                <w:sz w:val="21"/>
                <w:szCs w:val="21"/>
                <w:highlight w:val="none"/>
                <w:u w:val="none"/>
                <w:lang w:val="en-US" w:eastAsia="zh-CN" w:bidi="ar"/>
              </w:rPr>
              <w:t>100%</w:t>
            </w:r>
          </w:p>
        </w:tc>
      </w:tr>
    </w:tbl>
    <w:p w14:paraId="73C26E5F">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2.绩效评价调整后的绩效目标和绩效指标情况</w:t>
      </w:r>
    </w:p>
    <w:p w14:paraId="2B24CB10">
      <w:pPr>
        <w:keepNext w:val="0"/>
        <w:keepLines w:val="0"/>
        <w:pageBreakBefore w:val="0"/>
        <w:widowControl/>
        <w:suppressLineNumbers w:val="0"/>
        <w:kinsoku/>
        <w:wordWrap/>
        <w:overflowPunct/>
        <w:topLinePunct w:val="0"/>
        <w:autoSpaceDE/>
        <w:autoSpaceDN/>
        <w:bidi w:val="0"/>
        <w:adjustRightInd/>
        <w:snapToGrid/>
        <w:spacing w:line="579" w:lineRule="exact"/>
        <w:ind w:left="0" w:leftChars="0" w:right="0" w:rightChars="0" w:firstLine="630" w:firstLineChars="200"/>
        <w:jc w:val="left"/>
        <w:textAlignment w:val="auto"/>
        <w:outlineLvl w:val="9"/>
        <w:rPr>
          <w:rFonts w:hint="default" w:ascii="Times New Roman" w:hAnsi="Times New Roman" w:eastAsia="仿宋" w:cs="Times New Roman"/>
          <w:kern w:val="30"/>
          <w:sz w:val="30"/>
          <w:szCs w:val="30"/>
          <w:highlight w:val="none"/>
          <w:lang w:val="en-US" w:eastAsia="zh-CN" w:bidi="ar-SA"/>
        </w:rPr>
      </w:pPr>
      <w:bookmarkStart w:id="30" w:name="_Toc13974"/>
      <w:bookmarkStart w:id="31" w:name="_Toc76"/>
      <w:r>
        <w:rPr>
          <w:rFonts w:hint="default" w:ascii="Times New Roman" w:hAnsi="Times New Roman" w:eastAsia="仿宋" w:cs="Times New Roman"/>
          <w:kern w:val="30"/>
          <w:sz w:val="30"/>
          <w:szCs w:val="30"/>
          <w:highlight w:val="none"/>
          <w:lang w:val="en-US" w:eastAsia="zh-CN" w:bidi="ar-SA"/>
        </w:rPr>
        <w:t>通过对本项目的预算申报材料、绩效自评报告及部门职能职责进行分析，在与被评价单位充分沟通的基础上，确定本项目绩效目标，绩效评价调整后的绩效目标和绩效指标见附件</w:t>
      </w:r>
      <w:r>
        <w:rPr>
          <w:rFonts w:hint="eastAsia" w:ascii="Times New Roman" w:cs="Times New Roman"/>
          <w:kern w:val="30"/>
          <w:sz w:val="30"/>
          <w:szCs w:val="30"/>
          <w:highlight w:val="none"/>
          <w:lang w:val="en-US" w:eastAsia="zh-CN" w:bidi="ar-SA"/>
        </w:rPr>
        <w:t>1</w:t>
      </w:r>
      <w:r>
        <w:rPr>
          <w:rFonts w:hint="default" w:ascii="Times New Roman" w:hAnsi="Times New Roman" w:eastAsia="仿宋" w:cs="Times New Roman"/>
          <w:kern w:val="30"/>
          <w:sz w:val="30"/>
          <w:szCs w:val="30"/>
          <w:highlight w:val="none"/>
          <w:lang w:val="en-US" w:eastAsia="zh-CN" w:bidi="ar-SA"/>
        </w:rPr>
        <w:t>。</w:t>
      </w:r>
      <w:bookmarkEnd w:id="30"/>
      <w:bookmarkEnd w:id="31"/>
    </w:p>
    <w:p w14:paraId="7A9A3EF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1"/>
        <w:rPr>
          <w:rFonts w:hint="default" w:ascii="Times New Roman" w:hAnsi="Times New Roman" w:eastAsia="楷体_GB2312" w:cs="Times New Roman"/>
          <w:szCs w:val="30"/>
          <w:highlight w:val="none"/>
        </w:rPr>
      </w:pPr>
      <w:bookmarkStart w:id="32" w:name="_Toc25393"/>
      <w:r>
        <w:rPr>
          <w:rFonts w:hint="default" w:ascii="Times New Roman" w:hAnsi="Times New Roman" w:eastAsia="楷体" w:cs="Times New Roman"/>
          <w:szCs w:val="30"/>
          <w:highlight w:val="none"/>
        </w:rPr>
        <w:fldChar w:fldCharType="begin"/>
      </w:r>
      <w:r>
        <w:rPr>
          <w:rFonts w:hint="default" w:ascii="Times New Roman" w:hAnsi="Times New Roman" w:eastAsia="楷体" w:cs="Times New Roman"/>
          <w:szCs w:val="30"/>
          <w:highlight w:val="none"/>
        </w:rPr>
        <w:instrText xml:space="preserve"> HYPERLINK \l "_Toc434746189" </w:instrText>
      </w:r>
      <w:r>
        <w:rPr>
          <w:rFonts w:hint="default" w:ascii="Times New Roman" w:hAnsi="Times New Roman" w:eastAsia="楷体" w:cs="Times New Roman"/>
          <w:szCs w:val="30"/>
          <w:highlight w:val="none"/>
        </w:rPr>
        <w:fldChar w:fldCharType="separate"/>
      </w:r>
      <w:r>
        <w:rPr>
          <w:rFonts w:hint="default" w:ascii="Times New Roman" w:hAnsi="Times New Roman" w:eastAsia="楷体" w:cs="Times New Roman"/>
          <w:szCs w:val="30"/>
          <w:highlight w:val="none"/>
        </w:rPr>
        <w:t>（五）</w:t>
      </w:r>
      <w:r>
        <w:rPr>
          <w:rFonts w:hint="default" w:ascii="Times New Roman" w:hAnsi="Times New Roman" w:eastAsia="楷体" w:cs="Times New Roman"/>
          <w:szCs w:val="30"/>
          <w:highlight w:val="none"/>
        </w:rPr>
        <w:fldChar w:fldCharType="end"/>
      </w:r>
      <w:r>
        <w:rPr>
          <w:rFonts w:hint="default" w:ascii="Times New Roman" w:hAnsi="Times New Roman" w:eastAsia="楷体" w:cs="Times New Roman"/>
          <w:szCs w:val="30"/>
          <w:highlight w:val="none"/>
        </w:rPr>
        <w:t>组织管理情况</w:t>
      </w:r>
      <w:bookmarkEnd w:id="32"/>
    </w:p>
    <w:p w14:paraId="3D45909D">
      <w:pPr>
        <w:keepNext w:val="0"/>
        <w:keepLines w:val="0"/>
        <w:pageBreakBefore w:val="0"/>
        <w:numPr>
          <w:ilvl w:val="0"/>
          <w:numId w:val="1"/>
        </w:numP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bookmarkStart w:id="33" w:name="_Toc31860"/>
      <w:bookmarkStart w:id="34" w:name="_Toc31380"/>
      <w:bookmarkStart w:id="35" w:name="_Toc11168"/>
      <w:bookmarkStart w:id="36" w:name="_Toc15491"/>
      <w:bookmarkStart w:id="37" w:name="_Toc31869"/>
      <w:r>
        <w:rPr>
          <w:rFonts w:hint="default" w:ascii="Times New Roman" w:hAnsi="Times New Roman" w:cs="Times New Roman"/>
          <w:szCs w:val="30"/>
          <w:highlight w:val="none"/>
          <w:lang w:val="en-US" w:eastAsia="zh-CN"/>
        </w:rPr>
        <w:t>财务管理</w:t>
      </w:r>
    </w:p>
    <w:p w14:paraId="1E6D56BB">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为规范区民政局的行政财务行为，区民政局制定了《昆明市西山区民政局财务管理制度》，具体如下：</w:t>
      </w:r>
    </w:p>
    <w:p w14:paraId="2C559443">
      <w:pPr>
        <w:keepNext w:val="0"/>
        <w:keepLines w:val="0"/>
        <w:pageBreakBefore w:val="0"/>
        <w:numPr>
          <w:ilvl w:val="0"/>
          <w:numId w:val="2"/>
        </w:numP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支出管理</w:t>
      </w:r>
    </w:p>
    <w:p w14:paraId="51F49F27">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对日常开支必须坚持经手人，证明人签字，财务部门审核，报分管领导复核，最后上报局长审批，即五支笔原则，方可报销。对于大额资金的支出，必须附带批复等文件提交局办公会议研究决定。</w:t>
      </w:r>
    </w:p>
    <w:p w14:paraId="32F86563">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在年度预算计划内发生的经费开支，其金额在10000 元以下的，由局长审批；10000元以上的开支由局办公会议集体讨论决定，局长审批。</w:t>
      </w:r>
    </w:p>
    <w:p w14:paraId="30C304A8">
      <w:pPr>
        <w:keepNext w:val="0"/>
        <w:keepLines w:val="0"/>
        <w:pageBreakBefore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b w:val="0"/>
          <w:bCs w:val="0"/>
          <w:kern w:val="30"/>
          <w:sz w:val="30"/>
          <w:szCs w:val="30"/>
          <w:highlight w:val="none"/>
          <w:lang w:val="en-US" w:eastAsia="zh-CN" w:bidi="ar-SA"/>
        </w:rPr>
      </w:pPr>
      <w:r>
        <w:rPr>
          <w:rFonts w:hint="default" w:ascii="Times New Roman" w:hAnsi="Times New Roman" w:cs="Times New Roman"/>
          <w:b w:val="0"/>
          <w:bCs w:val="0"/>
          <w:szCs w:val="30"/>
          <w:highlight w:val="none"/>
          <w:lang w:val="en-US" w:eastAsia="zh-CN"/>
        </w:rPr>
        <w:t>经核实，11月24日，西山区民政局社会福利与养老服务科提交了《关于下拨西山区2022年度社区居家养老服务中心运营补贴的请示》，经局办公会议（党组会）研究，同意下拨区2022年度社区居家养老服务中心运营补贴。</w:t>
      </w:r>
    </w:p>
    <w:p w14:paraId="7A0B5D3E">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38" w:name="_Toc22490"/>
      <w:r>
        <w:rPr>
          <w:rFonts w:hint="default" w:ascii="Times New Roman" w:hAnsi="Times New Roman" w:cs="Times New Roman"/>
          <w:highlight w:val="none"/>
          <w:lang w:val="en-US" w:eastAsia="zh-CN"/>
        </w:rPr>
        <w:t>二、</w:t>
      </w:r>
      <w:bookmarkEnd w:id="33"/>
      <w:r>
        <w:rPr>
          <w:rFonts w:hint="default" w:ascii="Times New Roman" w:hAnsi="Times New Roman" w:cs="Times New Roman"/>
          <w:highlight w:val="none"/>
          <w:lang w:val="en-US" w:eastAsia="zh-CN"/>
        </w:rPr>
        <w:t>绩效评价工作开展情况</w:t>
      </w:r>
      <w:bookmarkEnd w:id="34"/>
      <w:bookmarkEnd w:id="35"/>
      <w:bookmarkEnd w:id="38"/>
    </w:p>
    <w:p w14:paraId="069ED48F">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39" w:name="_Toc15107"/>
      <w:bookmarkStart w:id="40" w:name="_Toc32250"/>
      <w:bookmarkStart w:id="41" w:name="_Toc13545"/>
      <w:r>
        <w:rPr>
          <w:rFonts w:hint="default" w:ascii="Times New Roman" w:hAnsi="Times New Roman" w:cs="Times New Roman"/>
          <w:highlight w:val="none"/>
          <w:lang w:val="en-US" w:eastAsia="zh-CN"/>
        </w:rPr>
        <w:t>（一）绩效评价目的、对象和范围</w:t>
      </w:r>
      <w:bookmarkEnd w:id="39"/>
      <w:bookmarkEnd w:id="40"/>
      <w:bookmarkEnd w:id="41"/>
    </w:p>
    <w:p w14:paraId="539567A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bookmarkStart w:id="42" w:name="_Toc23687"/>
      <w:r>
        <w:rPr>
          <w:rFonts w:hint="default" w:ascii="Times New Roman" w:hAnsi="Times New Roman" w:eastAsia="仿宋" w:cs="Times New Roman"/>
          <w:highlight w:val="none"/>
          <w:lang w:val="en-US" w:eastAsia="zh-CN"/>
        </w:rPr>
        <w:t>1.评价目的</w:t>
      </w:r>
    </w:p>
    <w:p w14:paraId="45F61434">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通过分析项目立项情况、资金使用情况、项目实施情况、项目绩效表现情况，了解资金使用是否达到预期目标、资金管理是否规范、资金使用是否有效，检验资金支出效率和效果，分析存在问题及原因，及时总结经验，改进管理措施，不断增强和落实绩效管理责任，完善工作机制，有效提高资金管理水平和使用效益。</w:t>
      </w:r>
    </w:p>
    <w:p w14:paraId="473CAB3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2.评价对象及范围</w:t>
      </w:r>
    </w:p>
    <w:p w14:paraId="3A62D208">
      <w:pPr>
        <w:keepNext w:val="0"/>
        <w:keepLines w:val="0"/>
        <w:pageBreakBefore w:val="0"/>
        <w:kinsoku/>
        <w:wordWrap/>
        <w:overflowPunct/>
        <w:topLinePunct w:val="0"/>
        <w:autoSpaceDE/>
        <w:autoSpaceDN/>
        <w:bidi w:val="0"/>
        <w:adjustRightInd/>
        <w:spacing w:line="579" w:lineRule="exact"/>
        <w:ind w:firstLine="640"/>
        <w:textAlignment w:val="auto"/>
        <w:outlineLvl w:val="9"/>
        <w:rPr>
          <w:rFonts w:hint="default" w:ascii="Times New Roman" w:hAnsi="Times New Roman" w:eastAsia="仿宋" w:cs="Times New Roman"/>
          <w:kern w:val="30"/>
          <w:sz w:val="30"/>
          <w:szCs w:val="30"/>
          <w:highlight w:val="none"/>
          <w:lang w:val="en-US" w:eastAsia="zh-CN" w:bidi="ar-SA"/>
        </w:rPr>
      </w:pPr>
      <w:bookmarkStart w:id="43" w:name="_Toc28767"/>
      <w:bookmarkStart w:id="44" w:name="_Toc11265"/>
      <w:r>
        <w:rPr>
          <w:rFonts w:hint="default" w:ascii="Times New Roman" w:hAnsi="Times New Roman" w:eastAsia="仿宋" w:cs="Times New Roman"/>
          <w:kern w:val="30"/>
          <w:sz w:val="30"/>
          <w:szCs w:val="30"/>
          <w:highlight w:val="none"/>
          <w:lang w:val="en-US" w:eastAsia="zh-CN" w:bidi="ar-SA"/>
        </w:rPr>
        <w:t>本次评价对象为社区居家养老服务中心运营补助项目，评价资金量24.6</w:t>
      </w:r>
      <w:r>
        <w:rPr>
          <w:rFonts w:hint="eastAsia" w:ascii="Times New Roman" w:cs="Times New Roman"/>
          <w:kern w:val="30"/>
          <w:sz w:val="30"/>
          <w:szCs w:val="30"/>
          <w:highlight w:val="none"/>
          <w:lang w:val="en-US" w:eastAsia="zh-CN" w:bidi="ar-SA"/>
        </w:rPr>
        <w:t>1</w:t>
      </w:r>
      <w:r>
        <w:rPr>
          <w:rFonts w:hint="default" w:ascii="Times New Roman" w:hAnsi="Times New Roman" w:eastAsia="仿宋" w:cs="Times New Roman"/>
          <w:kern w:val="30"/>
          <w:sz w:val="30"/>
          <w:szCs w:val="30"/>
          <w:highlight w:val="none"/>
          <w:lang w:val="en-US" w:eastAsia="zh-CN" w:bidi="ar-SA"/>
        </w:rPr>
        <w:t>万元。评价的时间范围为202</w:t>
      </w:r>
      <w:r>
        <w:rPr>
          <w:rFonts w:hint="default" w:ascii="Times New Roman" w:hAnsi="Times New Roman" w:cs="Times New Roman"/>
          <w:kern w:val="30"/>
          <w:sz w:val="30"/>
          <w:szCs w:val="30"/>
          <w:highlight w:val="none"/>
          <w:lang w:val="en-US" w:eastAsia="zh-CN" w:bidi="ar-SA"/>
        </w:rPr>
        <w:t>3</w:t>
      </w:r>
      <w:r>
        <w:rPr>
          <w:rFonts w:hint="default" w:ascii="Times New Roman" w:hAnsi="Times New Roman" w:eastAsia="仿宋" w:cs="Times New Roman"/>
          <w:kern w:val="30"/>
          <w:sz w:val="30"/>
          <w:szCs w:val="30"/>
          <w:highlight w:val="none"/>
          <w:lang w:val="en-US" w:eastAsia="zh-CN" w:bidi="ar-SA"/>
        </w:rPr>
        <w:t>年1月1日—202</w:t>
      </w:r>
      <w:r>
        <w:rPr>
          <w:rFonts w:hint="default" w:ascii="Times New Roman" w:hAnsi="Times New Roman" w:cs="Times New Roman"/>
          <w:kern w:val="30"/>
          <w:sz w:val="30"/>
          <w:szCs w:val="30"/>
          <w:highlight w:val="none"/>
          <w:lang w:val="en-US" w:eastAsia="zh-CN" w:bidi="ar-SA"/>
        </w:rPr>
        <w:t>3</w:t>
      </w:r>
      <w:r>
        <w:rPr>
          <w:rFonts w:hint="default" w:ascii="Times New Roman" w:hAnsi="Times New Roman" w:eastAsia="仿宋" w:cs="Times New Roman"/>
          <w:kern w:val="30"/>
          <w:sz w:val="30"/>
          <w:szCs w:val="30"/>
          <w:highlight w:val="none"/>
          <w:lang w:val="en-US" w:eastAsia="zh-CN" w:bidi="ar-SA"/>
        </w:rPr>
        <w:t>年12月31日。</w:t>
      </w:r>
    </w:p>
    <w:p w14:paraId="1F158A2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45" w:name="_Toc22791"/>
      <w:r>
        <w:rPr>
          <w:rFonts w:hint="default" w:ascii="Times New Roman" w:hAnsi="Times New Roman" w:cs="Times New Roman"/>
          <w:highlight w:val="none"/>
        </w:rPr>
        <w:t>（</w:t>
      </w:r>
      <w:r>
        <w:rPr>
          <w:rFonts w:hint="default" w:ascii="Times New Roman" w:hAnsi="Times New Roman" w:cs="Times New Roman"/>
          <w:highlight w:val="none"/>
          <w:lang w:val="en-US" w:eastAsia="zh-CN"/>
        </w:rPr>
        <w:t>二</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绩效评价原则、评价指标体系和等级、评价方法、评价抽样</w:t>
      </w:r>
      <w:bookmarkEnd w:id="42"/>
      <w:bookmarkEnd w:id="43"/>
      <w:bookmarkEnd w:id="44"/>
      <w:bookmarkEnd w:id="45"/>
    </w:p>
    <w:p w14:paraId="44DF83D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1.绩效评价原则</w:t>
      </w:r>
    </w:p>
    <w:p w14:paraId="085F0AF0">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本次绩效评价严格遵循公平、客观、可行、公开的基本原则：</w:t>
      </w:r>
    </w:p>
    <w:p w14:paraId="67B4736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cs="Times New Roman"/>
          <w:szCs w:val="30"/>
          <w:highlight w:val="none"/>
          <w:lang w:val="en-US" w:eastAsia="zh-CN"/>
        </w:rPr>
        <w:t>（1）公平性原则。坚持公平的原则客观真实地反映绩效评价结果，运用科学合理的方法，按照规范的程序，对项目绩效进行</w:t>
      </w:r>
      <w:r>
        <w:rPr>
          <w:rFonts w:hint="default" w:ascii="Times New Roman" w:hAnsi="Times New Roman" w:eastAsia="仿宋" w:cs="Times New Roman"/>
          <w:kern w:val="30"/>
          <w:sz w:val="30"/>
          <w:szCs w:val="30"/>
          <w:highlight w:val="none"/>
          <w:lang w:val="en-US" w:eastAsia="zh-CN" w:bidi="ar-SA"/>
        </w:rPr>
        <w:t>客观、公正地反映。</w:t>
      </w:r>
    </w:p>
    <w:p w14:paraId="7B740C8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（2）客观性原则。绩效评价过程中将考核标准与绩效目标进行紧密联系，采取公众评判法、成本分析法等方法，以事实为依据，以数据为基础，客观真实评价项目整体效益。</w:t>
      </w:r>
    </w:p>
    <w:p w14:paraId="332DE07D">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（3）可行性原则。绩效评价标准应客观反映被评价单位的履职情况，评价的数据来源应具备明确的收集渠道，绩效指标应具备可考核性，保证绩效评价工作的可操作性。</w:t>
      </w:r>
    </w:p>
    <w:p w14:paraId="503BFFE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（4）公开性原则。绩效评价过程中评价内容、评价标准、评价结果应对被评价单位公开，避免评价结论出现误判。</w:t>
      </w:r>
    </w:p>
    <w:p w14:paraId="592C3A5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2.绩效评价指标体系和等级</w:t>
      </w:r>
    </w:p>
    <w:p w14:paraId="623AF8C2">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bookmarkStart w:id="46" w:name="_Toc1625"/>
      <w:bookmarkStart w:id="47" w:name="_Toc48250777"/>
      <w:r>
        <w:rPr>
          <w:rFonts w:hint="default" w:ascii="Times New Roman" w:hAnsi="Times New Roman" w:eastAsia="仿宋" w:cs="Times New Roman"/>
          <w:highlight w:val="none"/>
          <w:lang w:val="en-US" w:eastAsia="zh-CN"/>
        </w:rPr>
        <w:t>根据《财政部关于印发〈预算绩效评价共性指标体系框架〉的通知》（财预〔2013〕53号）、《财政部关于印发〈项目支出绩效评价管理办法〉的通知》（财预〔2020〕10号）、《云南省财政厅关于印发〈云南省项目支出绩效评价管理办法〉的</w:t>
      </w:r>
      <w:r>
        <w:rPr>
          <w:rFonts w:hint="default" w:ascii="Times New Roman" w:hAnsi="Times New Roman" w:eastAsia="仿宋" w:cs="Times New Roman"/>
          <w:kern w:val="30"/>
          <w:sz w:val="30"/>
          <w:szCs w:val="30"/>
          <w:highlight w:val="none"/>
          <w:lang w:val="en-US" w:eastAsia="zh-CN" w:bidi="ar-SA"/>
        </w:rPr>
        <w:t>通知》（云财绩〔2020〕11号）等文件要求，按照绩效评价的基本原理、原则和项目特点，绩效评价工作组在绩效评价共性指标体系的基础上，结合项目实施内容，设置了针对本项目的指标体系及评价标准。</w:t>
      </w:r>
      <w:bookmarkEnd w:id="46"/>
      <w:bookmarkEnd w:id="47"/>
    </w:p>
    <w:p w14:paraId="206FA706">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评价指标体系包括决策、过程、产出和效益4个一级指标，下设1</w:t>
      </w:r>
      <w:r>
        <w:rPr>
          <w:rFonts w:hint="default" w:ascii="Times New Roman" w:hAnsi="Times New Roman" w:cs="Times New Roman"/>
          <w:kern w:val="30"/>
          <w:sz w:val="30"/>
          <w:szCs w:val="30"/>
          <w:highlight w:val="none"/>
          <w:lang w:val="en-US" w:eastAsia="zh-CN" w:bidi="ar-SA"/>
        </w:rPr>
        <w:t>0</w:t>
      </w:r>
      <w:r>
        <w:rPr>
          <w:rFonts w:hint="default" w:ascii="Times New Roman" w:hAnsi="Times New Roman" w:eastAsia="仿宋" w:cs="Times New Roman"/>
          <w:kern w:val="30"/>
          <w:sz w:val="30"/>
          <w:szCs w:val="30"/>
          <w:highlight w:val="none"/>
          <w:lang w:val="en-US" w:eastAsia="zh-CN" w:bidi="ar-SA"/>
        </w:rPr>
        <w:t>个二级指标和</w:t>
      </w:r>
      <w:r>
        <w:rPr>
          <w:rFonts w:hint="default" w:ascii="Times New Roman" w:hAnsi="Times New Roman" w:cs="Times New Roman"/>
          <w:kern w:val="30"/>
          <w:sz w:val="30"/>
          <w:szCs w:val="30"/>
          <w:highlight w:val="none"/>
          <w:lang w:val="en-US" w:eastAsia="zh-CN" w:bidi="ar-SA"/>
        </w:rPr>
        <w:t>20</w:t>
      </w:r>
      <w:r>
        <w:rPr>
          <w:rFonts w:hint="default" w:ascii="Times New Roman" w:hAnsi="Times New Roman" w:eastAsia="仿宋" w:cs="Times New Roman"/>
          <w:kern w:val="30"/>
          <w:sz w:val="30"/>
          <w:szCs w:val="30"/>
          <w:highlight w:val="none"/>
          <w:lang w:val="en-US" w:eastAsia="zh-CN" w:bidi="ar-SA"/>
        </w:rPr>
        <w:t>个三级指标。综合绩效评价总分值为100分，其中决策分值15分，过程分值20分，产出分值35分，效益分值30分。本次绩效评价结果共分为4个等级：综合得分在90-100分（含90分）为优；综合得分在80-89分（含80分）为良；综合得分在60-79分（含60分）为中；综合得分在60分以下为差。</w:t>
      </w:r>
    </w:p>
    <w:p w14:paraId="7603AD1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3.绩效评价方法</w:t>
      </w:r>
    </w:p>
    <w:p w14:paraId="52321B0C">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本次绩效评价严格按照《财政部关于印发〈项目支出绩效评价管理办法〉的通知》（财预〔2020〕10号）、《云南省财政厅关于印发〈云南省项目支出绩效评价管理办法〉的通知》（云财绩〔2020〕11号）等文件规定，采用定量与定性相结合、审阅自评相结合，对收集的相关基础资料，在归集、整理、分析的基础上，选择比较法、因素分析法、公众评判法、专家评议等评价方法。</w:t>
      </w:r>
    </w:p>
    <w:p w14:paraId="4C256E1F">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（1）比较法。通过对绩效目标和实施效果、历史和当期情况、不同部门和地区同类支出的比较，综合分析其绩效目标的实现程度。</w:t>
      </w:r>
    </w:p>
    <w:p w14:paraId="4E44ED1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（2）因素分析法。通过综合分析影响项目资金支出绩效目标实现、实施效果的内外因素，评价项目绩效。</w:t>
      </w:r>
    </w:p>
    <w:p w14:paraId="25C5FC2E">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（3）公众评判法。通过专家评估、公众问卷及抽样调查等对财政支出效果进行评判，评价绩效目标实现程度。</w:t>
      </w:r>
    </w:p>
    <w:p w14:paraId="5CD4B341">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4）查问询证法和实地考察法。通过对项目采取书面材料检查、实地勘察、访谈等方式，对有关情况包括自评材料反映信息的真实性、准确性、全面性等进行深入具体、独立客观地了解与核实，形成书面及现场分析评价意见。</w:t>
      </w:r>
    </w:p>
    <w:p w14:paraId="3B8AF83C">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48" w:name="_Toc14103"/>
      <w:bookmarkStart w:id="49" w:name="_Toc27181"/>
      <w:bookmarkStart w:id="50" w:name="_Toc18354"/>
      <w:bookmarkStart w:id="51" w:name="_Toc28874"/>
      <w:r>
        <w:rPr>
          <w:rFonts w:hint="default" w:ascii="Times New Roman" w:hAnsi="Times New Roman" w:cs="Times New Roman"/>
          <w:highlight w:val="none"/>
        </w:rPr>
        <w:t>（</w:t>
      </w:r>
      <w:r>
        <w:rPr>
          <w:rFonts w:hint="default" w:ascii="Times New Roman" w:hAnsi="Times New Roman" w:cs="Times New Roman"/>
          <w:highlight w:val="none"/>
          <w:lang w:val="en-US" w:eastAsia="zh-CN"/>
        </w:rPr>
        <w:t>三</w:t>
      </w:r>
      <w:r>
        <w:rPr>
          <w:rFonts w:hint="default" w:ascii="Times New Roman" w:hAnsi="Times New Roman" w:cs="Times New Roman"/>
          <w:highlight w:val="none"/>
        </w:rPr>
        <w:t>）</w:t>
      </w:r>
      <w:r>
        <w:rPr>
          <w:rFonts w:hint="default" w:ascii="Times New Roman" w:hAnsi="Times New Roman" w:cs="Times New Roman"/>
          <w:highlight w:val="none"/>
          <w:lang w:val="en-US" w:eastAsia="zh-CN"/>
        </w:rPr>
        <w:t>绩效评价工作过程</w:t>
      </w:r>
      <w:bookmarkEnd w:id="48"/>
      <w:bookmarkEnd w:id="49"/>
      <w:bookmarkEnd w:id="50"/>
      <w:bookmarkEnd w:id="51"/>
    </w:p>
    <w:p w14:paraId="7713543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1.资料收集</w:t>
      </w:r>
    </w:p>
    <w:p w14:paraId="2827D39A">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池砾公司成立绩效评价工作组，了解并收集与绩效评价项目相关的文件、资料，为研究制定绩效评价工作方案做好前期准备。</w:t>
      </w:r>
    </w:p>
    <w:p w14:paraId="642E659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2.编制实施方案</w:t>
      </w:r>
    </w:p>
    <w:p w14:paraId="5A649043">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结合项目资料设计绩效评价指标体系、调查问卷等工作底稿。</w:t>
      </w:r>
    </w:p>
    <w:p w14:paraId="63D121AE">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3.实施方案评审</w:t>
      </w:r>
    </w:p>
    <w:p w14:paraId="31EC9C08">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由区财政局组织实施方案评审，形成方案修改意见，修改形成方案终稿。</w:t>
      </w:r>
    </w:p>
    <w:p w14:paraId="34F088F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4.实地调研</w:t>
      </w:r>
    </w:p>
    <w:p w14:paraId="6BA033A9">
      <w:pPr>
        <w:keepNext w:val="0"/>
        <w:keepLines w:val="0"/>
        <w:pageBreakBefore w:val="0"/>
        <w:kinsoku/>
        <w:wordWrap/>
        <w:overflowPunct/>
        <w:topLinePunct w:val="0"/>
        <w:autoSpaceDE/>
        <w:autoSpaceDN/>
        <w:bidi w:val="0"/>
        <w:adjustRightInd/>
        <w:spacing w:line="579" w:lineRule="exact"/>
        <w:ind w:firstLine="630" w:firstLineChars="200"/>
        <w:textAlignment w:val="auto"/>
        <w:outlineLvl w:val="9"/>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根据项目分组安排，前往现场与相关部门对接并进行现场调研，包括资料核查、访谈、数据收集及问卷调查等工作。</w:t>
      </w:r>
    </w:p>
    <w:p w14:paraId="3DE6B22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5.撰写绩效评价报告</w:t>
      </w:r>
    </w:p>
    <w:p w14:paraId="369173B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highlight w:val="none"/>
          <w:lang w:val="en-US" w:eastAsia="zh-CN"/>
        </w:rPr>
      </w:pPr>
      <w:r>
        <w:rPr>
          <w:rFonts w:hint="default" w:ascii="Times New Roman" w:hAnsi="Times New Roman" w:eastAsia="仿宋" w:cs="Times New Roman"/>
          <w:color w:val="auto"/>
          <w:szCs w:val="30"/>
          <w:highlight w:val="none"/>
          <w:lang w:val="en-US" w:eastAsia="zh-CN"/>
        </w:rPr>
        <w:t>分析资料，统计数据，根据相应标准，进行综合性评价，完成绩效评分，并形成评价结论；根据评价结论撰写绩效评价报告初稿。</w:t>
      </w:r>
    </w:p>
    <w:p w14:paraId="3E445DC5">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6.绩效评价报告评审</w:t>
      </w:r>
    </w:p>
    <w:p w14:paraId="5DB1AFF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color w:val="auto"/>
          <w:szCs w:val="30"/>
          <w:highlight w:val="none"/>
          <w:lang w:val="en-US" w:eastAsia="zh-CN"/>
        </w:rPr>
      </w:pPr>
      <w:r>
        <w:rPr>
          <w:rFonts w:hint="default" w:ascii="Times New Roman" w:hAnsi="Times New Roman" w:eastAsia="仿宋" w:cs="Times New Roman"/>
          <w:color w:val="auto"/>
          <w:szCs w:val="30"/>
          <w:highlight w:val="none"/>
          <w:lang w:val="en-US" w:eastAsia="zh-CN"/>
        </w:rPr>
        <w:t>由</w:t>
      </w:r>
      <w:r>
        <w:rPr>
          <w:rFonts w:hint="default" w:ascii="Times New Roman" w:hAnsi="Times New Roman" w:cs="Times New Roman"/>
          <w:color w:val="auto"/>
          <w:szCs w:val="30"/>
          <w:highlight w:val="none"/>
          <w:lang w:val="en-US" w:eastAsia="zh-CN"/>
        </w:rPr>
        <w:t>区</w:t>
      </w:r>
      <w:r>
        <w:rPr>
          <w:rFonts w:hint="default" w:ascii="Times New Roman" w:hAnsi="Times New Roman" w:eastAsia="仿宋" w:cs="Times New Roman"/>
          <w:color w:val="auto"/>
          <w:szCs w:val="30"/>
          <w:highlight w:val="none"/>
          <w:lang w:val="en-US" w:eastAsia="zh-CN"/>
        </w:rPr>
        <w:t>财政局组织绩效评价报告评审，形成报告修改意见；根据修改意见修改报告形成最终稿。</w:t>
      </w:r>
    </w:p>
    <w:p w14:paraId="662AC720">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7.撰写绩效评价汇总报告</w:t>
      </w:r>
    </w:p>
    <w:p w14:paraId="23DE14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黑体" w:cs="Times New Roman"/>
          <w:szCs w:val="30"/>
          <w:highlight w:val="none"/>
          <w:lang w:val="en-US" w:eastAsia="zh-CN"/>
        </w:rPr>
      </w:pPr>
      <w:r>
        <w:rPr>
          <w:rFonts w:hint="default" w:ascii="Times New Roman" w:hAnsi="Times New Roman" w:cs="Times New Roman"/>
          <w:szCs w:val="30"/>
          <w:highlight w:val="none"/>
          <w:lang w:val="en-US" w:eastAsia="zh-CN"/>
        </w:rPr>
        <w:t>根据各项目绩效评价结果撰写绩效评价汇总报告。</w:t>
      </w:r>
      <w:bookmarkEnd w:id="36"/>
      <w:bookmarkEnd w:id="37"/>
    </w:p>
    <w:p w14:paraId="0595A9C5">
      <w:pPr>
        <w:pStyle w:val="30"/>
        <w:keepNext w:val="0"/>
        <w:keepLines w:val="0"/>
        <w:pageBreakBefore w:val="0"/>
        <w:numPr>
          <w:ilvl w:val="0"/>
          <w:numId w:val="0"/>
        </w:numPr>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52" w:name="_Toc1023"/>
      <w:r>
        <w:rPr>
          <w:rFonts w:hint="default" w:ascii="Times New Roman" w:hAnsi="Times New Roman" w:cs="Times New Roman"/>
          <w:highlight w:val="none"/>
          <w:lang w:val="en-US" w:eastAsia="zh-CN"/>
        </w:rPr>
        <w:t>三、绩效评价结论</w:t>
      </w:r>
      <w:bookmarkEnd w:id="52"/>
    </w:p>
    <w:p w14:paraId="37A61746">
      <w:pPr>
        <w:pStyle w:val="31"/>
        <w:keepNext w:val="0"/>
        <w:keepLines w:val="0"/>
        <w:pageBreakBefore w:val="0"/>
        <w:kinsoku/>
        <w:wordWrap/>
        <w:overflowPunct/>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53" w:name="_Toc20188"/>
      <w:r>
        <w:rPr>
          <w:rFonts w:hint="default" w:ascii="Times New Roman" w:hAnsi="Times New Roman" w:cs="Times New Roman"/>
          <w:highlight w:val="none"/>
        </w:rPr>
        <w:t>（一）</w:t>
      </w:r>
      <w:r>
        <w:rPr>
          <w:rFonts w:hint="default" w:ascii="Times New Roman" w:hAnsi="Times New Roman" w:cs="Times New Roman"/>
          <w:highlight w:val="none"/>
          <w:shd w:val="clear" w:fill="auto"/>
          <w:lang w:eastAsia="zh-CN"/>
        </w:rPr>
        <w:t>绩效评价</w:t>
      </w:r>
      <w:r>
        <w:rPr>
          <w:rFonts w:hint="default" w:ascii="Times New Roman" w:hAnsi="Times New Roman" w:cs="Times New Roman"/>
          <w:highlight w:val="none"/>
          <w:shd w:val="clear" w:fill="auto"/>
        </w:rPr>
        <w:t>综合</w:t>
      </w:r>
      <w:r>
        <w:rPr>
          <w:rFonts w:hint="default" w:ascii="Times New Roman" w:hAnsi="Times New Roman" w:cs="Times New Roman"/>
          <w:highlight w:val="none"/>
        </w:rPr>
        <w:t>结论</w:t>
      </w:r>
      <w:bookmarkEnd w:id="53"/>
    </w:p>
    <w:p w14:paraId="68F85703">
      <w:pPr>
        <w:keepNext w:val="0"/>
        <w:keepLines w:val="0"/>
        <w:pageBreakBefore w:val="0"/>
        <w:kinsoku/>
        <w:wordWrap/>
        <w:overflowPunct/>
        <w:topLinePunct w:val="0"/>
        <w:autoSpaceDE/>
        <w:autoSpaceDN/>
        <w:bidi w:val="0"/>
        <w:adjustRightInd/>
        <w:spacing w:line="579" w:lineRule="exact"/>
        <w:ind w:firstLine="630" w:firstLineChars="200"/>
        <w:textAlignment w:val="auto"/>
        <w:rPr>
          <w:rFonts w:hint="default" w:ascii="Times New Roman" w:hAnsi="Times New Roman" w:cs="Times New Roman"/>
          <w:szCs w:val="30"/>
          <w:highlight w:val="none"/>
        </w:rPr>
      </w:pPr>
      <w:bookmarkStart w:id="54" w:name="_Hlk525314439"/>
      <w:r>
        <w:rPr>
          <w:rFonts w:hint="default" w:ascii="Times New Roman" w:hAnsi="Times New Roman" w:cs="Times New Roman"/>
          <w:szCs w:val="30"/>
          <w:highlight w:val="none"/>
          <w:lang w:eastAsia="zh-CN"/>
        </w:rPr>
        <w:t>社区居家养老服务中心运营补助项目绩效评价</w:t>
      </w:r>
      <w:r>
        <w:rPr>
          <w:rFonts w:hint="default" w:ascii="Times New Roman" w:hAnsi="Times New Roman" w:cs="Times New Roman"/>
          <w:szCs w:val="30"/>
          <w:highlight w:val="none"/>
        </w:rPr>
        <w:t>得分</w:t>
      </w:r>
      <w:r>
        <w:rPr>
          <w:rFonts w:hint="default" w:ascii="Times New Roman" w:hAnsi="Times New Roman" w:cs="Times New Roman"/>
          <w:szCs w:val="30"/>
          <w:highlight w:val="none"/>
          <w:lang w:val="en-US" w:eastAsia="zh-CN"/>
        </w:rPr>
        <w:t>9</w:t>
      </w:r>
      <w:r>
        <w:rPr>
          <w:rFonts w:hint="eastAsia" w:ascii="Times New Roman" w:cs="Times New Roman"/>
          <w:szCs w:val="30"/>
          <w:highlight w:val="none"/>
          <w:lang w:val="en-US" w:eastAsia="zh-CN"/>
        </w:rPr>
        <w:t>4</w:t>
      </w:r>
      <w:r>
        <w:rPr>
          <w:rFonts w:hint="default" w:ascii="Times New Roman" w:hAnsi="Times New Roman" w:cs="Times New Roman"/>
          <w:szCs w:val="30"/>
          <w:highlight w:val="none"/>
          <w:lang w:val="en-US" w:eastAsia="zh-CN"/>
        </w:rPr>
        <w:t>.53</w:t>
      </w:r>
      <w:r>
        <w:rPr>
          <w:rFonts w:hint="default" w:ascii="Times New Roman" w:hAnsi="Times New Roman" w:cs="Times New Roman"/>
          <w:szCs w:val="30"/>
          <w:highlight w:val="none"/>
        </w:rPr>
        <w:t>分，评价等级为</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lang w:val="en-US" w:eastAsia="zh-CN"/>
        </w:rPr>
        <w:t>优</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。一级指标具体得分情况详见下表：</w:t>
      </w:r>
    </w:p>
    <w:p w14:paraId="5DBC724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default" w:ascii="Times New Roman" w:hAnsi="Times New Roman" w:eastAsia="黑体" w:cs="Times New Roman"/>
          <w:b w:val="0"/>
          <w:bCs/>
          <w:sz w:val="24"/>
          <w:szCs w:val="24"/>
          <w:highlight w:val="none"/>
        </w:rPr>
        <w:t>表</w:t>
      </w:r>
      <w:r>
        <w:rPr>
          <w:rFonts w:hint="eastAsia" w:ascii="Times New Roman" w:eastAsia="黑体" w:cs="Times New Roman"/>
          <w:b w:val="0"/>
          <w:bCs/>
          <w:sz w:val="24"/>
          <w:szCs w:val="24"/>
          <w:highlight w:val="none"/>
          <w:lang w:val="en-US" w:eastAsia="zh-CN"/>
        </w:rPr>
        <w:t>4</w:t>
      </w:r>
      <w:r>
        <w:rPr>
          <w:rFonts w:hint="eastAsia" w:ascii="Times New Roman" w:hAnsi="Times New Roman" w:eastAsia="黑体" w:cs="Times New Roman"/>
          <w:b w:val="0"/>
          <w:bCs/>
          <w:sz w:val="24"/>
          <w:szCs w:val="24"/>
          <w:highlight w:val="none"/>
          <w:lang w:val="en-US" w:eastAsia="zh-CN"/>
        </w:rPr>
        <w:t xml:space="preserve"> </w:t>
      </w:r>
      <w:r>
        <w:rPr>
          <w:rFonts w:hint="default" w:ascii="Times New Roman" w:hAnsi="Times New Roman" w:eastAsia="黑体" w:cs="Times New Roman"/>
          <w:b w:val="0"/>
          <w:bCs/>
          <w:sz w:val="24"/>
          <w:szCs w:val="24"/>
          <w:highlight w:val="none"/>
          <w:lang w:eastAsia="zh-CN"/>
        </w:rPr>
        <w:t>绩效评价</w:t>
      </w:r>
      <w:r>
        <w:rPr>
          <w:rFonts w:hint="default" w:ascii="Times New Roman" w:hAnsi="Times New Roman" w:eastAsia="黑体" w:cs="Times New Roman"/>
          <w:b w:val="0"/>
          <w:bCs/>
          <w:sz w:val="24"/>
          <w:szCs w:val="24"/>
          <w:highlight w:val="none"/>
        </w:rPr>
        <w:t>得分情况表</w:t>
      </w:r>
    </w:p>
    <w:tbl>
      <w:tblPr>
        <w:tblStyle w:val="20"/>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538F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tblHeader/>
          <w:jc w:val="center"/>
        </w:trPr>
        <w:tc>
          <w:tcPr>
            <w:tcW w:w="2212" w:type="dxa"/>
            <w:tcBorders>
              <w:top w:val="single" w:color="auto" w:sz="4" w:space="0"/>
            </w:tcBorders>
            <w:vAlign w:val="center"/>
          </w:tcPr>
          <w:p w14:paraId="32CFA9CE">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一级指标</w:t>
            </w:r>
          </w:p>
        </w:tc>
        <w:tc>
          <w:tcPr>
            <w:tcW w:w="2211" w:type="dxa"/>
            <w:tcBorders>
              <w:top w:val="single" w:color="auto" w:sz="4" w:space="0"/>
            </w:tcBorders>
            <w:vAlign w:val="center"/>
          </w:tcPr>
          <w:p w14:paraId="048A5159">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指标分值</w:t>
            </w:r>
          </w:p>
        </w:tc>
        <w:tc>
          <w:tcPr>
            <w:tcW w:w="2211" w:type="dxa"/>
            <w:tcBorders>
              <w:top w:val="single" w:color="auto" w:sz="4" w:space="0"/>
            </w:tcBorders>
            <w:vAlign w:val="center"/>
          </w:tcPr>
          <w:p w14:paraId="08FC3368">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评价得分</w:t>
            </w:r>
          </w:p>
        </w:tc>
        <w:tc>
          <w:tcPr>
            <w:tcW w:w="2211" w:type="dxa"/>
            <w:tcBorders>
              <w:top w:val="single" w:color="auto" w:sz="4" w:space="0"/>
            </w:tcBorders>
            <w:vAlign w:val="center"/>
          </w:tcPr>
          <w:p w14:paraId="024B92D8">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得分率</w:t>
            </w:r>
          </w:p>
        </w:tc>
      </w:tr>
      <w:tr w14:paraId="1CFA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604D309A">
            <w:pPr>
              <w:snapToGrid w:val="0"/>
              <w:jc w:val="center"/>
              <w:rPr>
                <w:rFonts w:hint="default" w:ascii="Times New Roman" w:hAnsi="Times New Roman" w:eastAsia="仿宋" w:cs="Times New Roman"/>
                <w:bCs/>
                <w:spacing w:val="6"/>
                <w:sz w:val="21"/>
                <w:highlight w:val="none"/>
                <w:lang w:eastAsia="zh-CN"/>
              </w:rPr>
            </w:pPr>
            <w:r>
              <w:rPr>
                <w:rFonts w:hint="default" w:ascii="Times New Roman" w:hAnsi="Times New Roman" w:cs="Times New Roman"/>
                <w:bCs/>
                <w:spacing w:val="6"/>
                <w:sz w:val="21"/>
                <w:highlight w:val="none"/>
                <w:lang w:val="en-US" w:eastAsia="zh-CN"/>
              </w:rPr>
              <w:t>决策</w:t>
            </w:r>
          </w:p>
        </w:tc>
        <w:tc>
          <w:tcPr>
            <w:tcW w:w="2211" w:type="dxa"/>
            <w:vAlign w:val="center"/>
          </w:tcPr>
          <w:p w14:paraId="6337F938">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rPr>
              <w:t>15</w:t>
            </w:r>
            <w:r>
              <w:rPr>
                <w:rFonts w:hint="eastAsia" w:ascii="Times New Roman" w:hAnsi="Times New Roman" w:cs="Times New Roman"/>
                <w:bCs/>
                <w:spacing w:val="6"/>
                <w:sz w:val="21"/>
                <w:highlight w:val="none"/>
                <w:lang w:val="en-US" w:eastAsia="zh-CN"/>
              </w:rPr>
              <w:t>.00</w:t>
            </w:r>
          </w:p>
        </w:tc>
        <w:tc>
          <w:tcPr>
            <w:tcW w:w="2211" w:type="dxa"/>
            <w:vAlign w:val="center"/>
          </w:tcPr>
          <w:p w14:paraId="782B35E9">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14</w:t>
            </w:r>
            <w:r>
              <w:rPr>
                <w:rFonts w:hint="eastAsia" w:ascii="Times New Roman" w:hAnsi="Times New Roman" w:cs="Times New Roman"/>
                <w:bCs/>
                <w:spacing w:val="6"/>
                <w:sz w:val="21"/>
                <w:highlight w:val="none"/>
                <w:lang w:val="en-US" w:eastAsia="zh-CN"/>
              </w:rPr>
              <w:t>.00</w:t>
            </w:r>
          </w:p>
        </w:tc>
        <w:tc>
          <w:tcPr>
            <w:tcW w:w="2211" w:type="dxa"/>
            <w:vAlign w:val="center"/>
          </w:tcPr>
          <w:p w14:paraId="2F52498A">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93.33%</w:t>
            </w:r>
          </w:p>
        </w:tc>
      </w:tr>
      <w:tr w14:paraId="6193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85FAA54">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过程</w:t>
            </w:r>
          </w:p>
        </w:tc>
        <w:tc>
          <w:tcPr>
            <w:tcW w:w="2211" w:type="dxa"/>
            <w:vAlign w:val="center"/>
          </w:tcPr>
          <w:p w14:paraId="37EB27B3">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rPr>
              <w:t>20</w:t>
            </w:r>
            <w:r>
              <w:rPr>
                <w:rFonts w:hint="eastAsia" w:ascii="Times New Roman" w:hAnsi="Times New Roman" w:cs="Times New Roman"/>
                <w:bCs/>
                <w:spacing w:val="6"/>
                <w:sz w:val="21"/>
                <w:highlight w:val="none"/>
                <w:lang w:val="en-US" w:eastAsia="zh-CN"/>
              </w:rPr>
              <w:t>.00</w:t>
            </w:r>
          </w:p>
        </w:tc>
        <w:tc>
          <w:tcPr>
            <w:tcW w:w="2211" w:type="dxa"/>
            <w:vAlign w:val="center"/>
          </w:tcPr>
          <w:p w14:paraId="13DF003D">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20</w:t>
            </w:r>
            <w:r>
              <w:rPr>
                <w:rFonts w:hint="eastAsia" w:ascii="Times New Roman" w:hAnsi="Times New Roman" w:cs="Times New Roman"/>
                <w:bCs/>
                <w:spacing w:val="6"/>
                <w:sz w:val="21"/>
                <w:highlight w:val="none"/>
                <w:lang w:val="en-US" w:eastAsia="zh-CN"/>
              </w:rPr>
              <w:t>.00</w:t>
            </w:r>
          </w:p>
        </w:tc>
        <w:tc>
          <w:tcPr>
            <w:tcW w:w="2211" w:type="dxa"/>
            <w:vAlign w:val="center"/>
          </w:tcPr>
          <w:p w14:paraId="2334F51A">
            <w:pPr>
              <w:snapToGrid w:val="0"/>
              <w:jc w:val="center"/>
              <w:rPr>
                <w:rFonts w:hint="default" w:ascii="Times New Roman" w:hAnsi="Times New Roman" w:eastAsia="仿宋" w:cs="Times New Roman"/>
                <w:bCs/>
                <w:spacing w:val="6"/>
                <w:sz w:val="21"/>
                <w:highlight w:val="none"/>
                <w:lang w:val="en-US" w:eastAsia="zh-CN"/>
              </w:rPr>
            </w:pPr>
            <w:r>
              <w:rPr>
                <w:rFonts w:hint="eastAsia" w:ascii="Times New Roman" w:cs="Times New Roman"/>
                <w:bCs/>
                <w:spacing w:val="6"/>
                <w:sz w:val="21"/>
                <w:highlight w:val="none"/>
                <w:lang w:val="en-US" w:eastAsia="zh-CN"/>
              </w:rPr>
              <w:t>100</w:t>
            </w:r>
            <w:r>
              <w:rPr>
                <w:rFonts w:hint="eastAsia" w:ascii="Times New Roman" w:hAnsi="Times New Roman" w:cs="Times New Roman"/>
                <w:bCs/>
                <w:spacing w:val="6"/>
                <w:sz w:val="21"/>
                <w:highlight w:val="none"/>
                <w:lang w:val="en-US" w:eastAsia="zh-CN"/>
              </w:rPr>
              <w:t>.00</w:t>
            </w:r>
            <w:r>
              <w:rPr>
                <w:rFonts w:hint="default" w:ascii="Times New Roman" w:hAnsi="Times New Roman" w:cs="Times New Roman"/>
                <w:bCs/>
                <w:spacing w:val="6"/>
                <w:sz w:val="21"/>
                <w:highlight w:val="none"/>
                <w:lang w:val="en-US" w:eastAsia="zh-CN"/>
              </w:rPr>
              <w:t>%</w:t>
            </w:r>
          </w:p>
        </w:tc>
      </w:tr>
      <w:tr w14:paraId="7498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27CF7B37">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产出</w:t>
            </w:r>
          </w:p>
        </w:tc>
        <w:tc>
          <w:tcPr>
            <w:tcW w:w="2211" w:type="dxa"/>
            <w:vAlign w:val="center"/>
          </w:tcPr>
          <w:p w14:paraId="20C8C6A4">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35</w:t>
            </w:r>
            <w:r>
              <w:rPr>
                <w:rFonts w:hint="eastAsia" w:ascii="Times New Roman" w:hAnsi="Times New Roman" w:cs="Times New Roman"/>
                <w:bCs/>
                <w:spacing w:val="6"/>
                <w:sz w:val="21"/>
                <w:highlight w:val="none"/>
                <w:lang w:val="en-US" w:eastAsia="zh-CN"/>
              </w:rPr>
              <w:t>.00</w:t>
            </w:r>
          </w:p>
        </w:tc>
        <w:tc>
          <w:tcPr>
            <w:tcW w:w="2211" w:type="dxa"/>
            <w:vAlign w:val="center"/>
          </w:tcPr>
          <w:p w14:paraId="37C69583">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31</w:t>
            </w:r>
            <w:r>
              <w:rPr>
                <w:rFonts w:hint="eastAsia" w:ascii="Times New Roman" w:hAnsi="Times New Roman" w:cs="Times New Roman"/>
                <w:bCs/>
                <w:spacing w:val="6"/>
                <w:sz w:val="21"/>
                <w:highlight w:val="none"/>
                <w:lang w:val="en-US" w:eastAsia="zh-CN"/>
              </w:rPr>
              <w:t>.00</w:t>
            </w:r>
          </w:p>
        </w:tc>
        <w:tc>
          <w:tcPr>
            <w:tcW w:w="2211" w:type="dxa"/>
            <w:vAlign w:val="center"/>
          </w:tcPr>
          <w:p w14:paraId="0EA79292">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88.57%</w:t>
            </w:r>
          </w:p>
        </w:tc>
      </w:tr>
      <w:tr w14:paraId="5C54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3DA5ADC0">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效果</w:t>
            </w:r>
          </w:p>
        </w:tc>
        <w:tc>
          <w:tcPr>
            <w:tcW w:w="2211" w:type="dxa"/>
            <w:vAlign w:val="center"/>
          </w:tcPr>
          <w:p w14:paraId="78D4B4F9">
            <w:pPr>
              <w:snapToGrid w:val="0"/>
              <w:jc w:val="center"/>
              <w:rPr>
                <w:rFonts w:hint="default" w:ascii="Times New Roman" w:hAnsi="Times New Roman" w:cs="Times New Roman"/>
                <w:bCs/>
                <w:spacing w:val="6"/>
                <w:sz w:val="21"/>
                <w:highlight w:val="none"/>
              </w:rPr>
            </w:pPr>
            <w:r>
              <w:rPr>
                <w:rFonts w:hint="default" w:ascii="Times New Roman" w:hAnsi="Times New Roman" w:cs="Times New Roman"/>
                <w:bCs/>
                <w:spacing w:val="6"/>
                <w:sz w:val="21"/>
                <w:highlight w:val="none"/>
              </w:rPr>
              <w:t>30</w:t>
            </w:r>
            <w:r>
              <w:rPr>
                <w:rFonts w:hint="eastAsia" w:ascii="Times New Roman" w:hAnsi="Times New Roman" w:cs="Times New Roman"/>
                <w:bCs/>
                <w:spacing w:val="6"/>
                <w:sz w:val="21"/>
                <w:highlight w:val="none"/>
                <w:lang w:val="en-US" w:eastAsia="zh-CN"/>
              </w:rPr>
              <w:t>.00</w:t>
            </w:r>
          </w:p>
        </w:tc>
        <w:tc>
          <w:tcPr>
            <w:tcW w:w="2211" w:type="dxa"/>
            <w:vAlign w:val="center"/>
          </w:tcPr>
          <w:p w14:paraId="4FB1EC1C">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29.53</w:t>
            </w:r>
          </w:p>
        </w:tc>
        <w:tc>
          <w:tcPr>
            <w:tcW w:w="2211" w:type="dxa"/>
            <w:vAlign w:val="center"/>
          </w:tcPr>
          <w:p w14:paraId="33A77F99">
            <w:pPr>
              <w:snapToGrid w:val="0"/>
              <w:jc w:val="center"/>
              <w:rPr>
                <w:rFonts w:hint="default" w:ascii="Times New Roman" w:hAnsi="Times New Roman" w:eastAsia="仿宋" w:cs="Times New Roman"/>
                <w:bCs/>
                <w:spacing w:val="6"/>
                <w:sz w:val="21"/>
                <w:highlight w:val="none"/>
                <w:lang w:val="en-US" w:eastAsia="zh-CN"/>
              </w:rPr>
            </w:pPr>
            <w:r>
              <w:rPr>
                <w:rFonts w:hint="default" w:ascii="Times New Roman" w:hAnsi="Times New Roman" w:cs="Times New Roman"/>
                <w:bCs/>
                <w:spacing w:val="6"/>
                <w:sz w:val="21"/>
                <w:highlight w:val="none"/>
                <w:lang w:val="en-US" w:eastAsia="zh-CN"/>
              </w:rPr>
              <w:t>98.43%</w:t>
            </w:r>
          </w:p>
        </w:tc>
      </w:tr>
      <w:tr w14:paraId="730F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567" w:hRule="atLeast"/>
          <w:jc w:val="center"/>
        </w:trPr>
        <w:tc>
          <w:tcPr>
            <w:tcW w:w="2212" w:type="dxa"/>
            <w:vAlign w:val="center"/>
          </w:tcPr>
          <w:p w14:paraId="795F27AF">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合 计</w:t>
            </w:r>
          </w:p>
        </w:tc>
        <w:tc>
          <w:tcPr>
            <w:tcW w:w="2211" w:type="dxa"/>
            <w:vAlign w:val="center"/>
          </w:tcPr>
          <w:p w14:paraId="275A4180">
            <w:pPr>
              <w:snapToGrid w:val="0"/>
              <w:jc w:val="center"/>
              <w:rPr>
                <w:rFonts w:hint="default" w:ascii="Times New Roman" w:hAnsi="Times New Roman" w:cs="Times New Roman"/>
                <w:b/>
                <w:bCs/>
                <w:spacing w:val="6"/>
                <w:sz w:val="21"/>
                <w:highlight w:val="none"/>
              </w:rPr>
            </w:pPr>
            <w:r>
              <w:rPr>
                <w:rFonts w:hint="default" w:ascii="Times New Roman" w:hAnsi="Times New Roman" w:cs="Times New Roman"/>
                <w:b/>
                <w:bCs/>
                <w:spacing w:val="6"/>
                <w:sz w:val="21"/>
                <w:highlight w:val="none"/>
              </w:rPr>
              <w:t>100</w:t>
            </w:r>
            <w:r>
              <w:rPr>
                <w:rFonts w:hint="eastAsia" w:ascii="Times New Roman" w:hAnsi="Times New Roman" w:cs="Times New Roman"/>
                <w:b/>
                <w:bCs w:val="0"/>
                <w:spacing w:val="6"/>
                <w:sz w:val="21"/>
                <w:highlight w:val="none"/>
                <w:lang w:val="en-US" w:eastAsia="zh-CN"/>
              </w:rPr>
              <w:t>.00</w:t>
            </w:r>
          </w:p>
        </w:tc>
        <w:tc>
          <w:tcPr>
            <w:tcW w:w="2211" w:type="dxa"/>
            <w:vAlign w:val="center"/>
          </w:tcPr>
          <w:p w14:paraId="04F268EA">
            <w:pPr>
              <w:snapToGrid w:val="0"/>
              <w:jc w:val="center"/>
              <w:rPr>
                <w:rFonts w:hint="default" w:ascii="Times New Roman" w:hAnsi="Times New Roman" w:eastAsia="仿宋"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4</w:t>
            </w:r>
            <w:r>
              <w:rPr>
                <w:rFonts w:hint="default" w:ascii="Times New Roman" w:hAnsi="Times New Roman" w:cs="Times New Roman"/>
                <w:b/>
                <w:bCs/>
                <w:spacing w:val="6"/>
                <w:sz w:val="21"/>
                <w:highlight w:val="none"/>
                <w:lang w:val="en-US" w:eastAsia="zh-CN"/>
              </w:rPr>
              <w:t>.53</w:t>
            </w:r>
          </w:p>
        </w:tc>
        <w:tc>
          <w:tcPr>
            <w:tcW w:w="2211" w:type="dxa"/>
            <w:vAlign w:val="center"/>
          </w:tcPr>
          <w:p w14:paraId="66C2ECAA">
            <w:pPr>
              <w:snapToGrid w:val="0"/>
              <w:jc w:val="center"/>
              <w:rPr>
                <w:rFonts w:hint="default" w:ascii="Times New Roman" w:hAnsi="Times New Roman" w:eastAsia="仿宋" w:cs="Times New Roman"/>
                <w:b/>
                <w:bCs/>
                <w:spacing w:val="6"/>
                <w:sz w:val="21"/>
                <w:highlight w:val="none"/>
                <w:lang w:val="en-US" w:eastAsia="zh-CN"/>
              </w:rPr>
            </w:pPr>
            <w:r>
              <w:rPr>
                <w:rFonts w:hint="default" w:ascii="Times New Roman" w:hAnsi="Times New Roman" w:cs="Times New Roman"/>
                <w:b/>
                <w:bCs/>
                <w:spacing w:val="6"/>
                <w:sz w:val="21"/>
                <w:highlight w:val="none"/>
                <w:lang w:val="en-US" w:eastAsia="zh-CN"/>
              </w:rPr>
              <w:t>9</w:t>
            </w:r>
            <w:r>
              <w:rPr>
                <w:rFonts w:hint="eastAsia" w:ascii="Times New Roman" w:cs="Times New Roman"/>
                <w:b/>
                <w:bCs/>
                <w:spacing w:val="6"/>
                <w:sz w:val="21"/>
                <w:highlight w:val="none"/>
                <w:lang w:val="en-US" w:eastAsia="zh-CN"/>
              </w:rPr>
              <w:t>4</w:t>
            </w:r>
            <w:r>
              <w:rPr>
                <w:rFonts w:hint="default" w:ascii="Times New Roman" w:hAnsi="Times New Roman" w:cs="Times New Roman"/>
                <w:b/>
                <w:bCs/>
                <w:spacing w:val="6"/>
                <w:sz w:val="21"/>
                <w:highlight w:val="none"/>
                <w:lang w:val="en-US" w:eastAsia="zh-CN"/>
              </w:rPr>
              <w:t>.53%</w:t>
            </w:r>
          </w:p>
        </w:tc>
      </w:tr>
      <w:bookmarkEnd w:id="54"/>
    </w:tbl>
    <w:p w14:paraId="15F9FCA2">
      <w:pPr>
        <w:spacing w:line="579" w:lineRule="exact"/>
        <w:ind w:firstLine="630" w:firstLineChars="200"/>
        <w:rPr>
          <w:rFonts w:hint="default" w:ascii="Times New Roman" w:hAnsi="Times New Roman" w:eastAsia="仿宋" w:cs="Times New Roman"/>
          <w:bCs/>
          <w:szCs w:val="30"/>
          <w:highlight w:val="none"/>
          <w:lang w:val="en-US" w:eastAsia="zh-CN"/>
        </w:rPr>
      </w:pPr>
      <w:r>
        <w:rPr>
          <w:rFonts w:hint="default" w:ascii="Times New Roman" w:hAnsi="Times New Roman" w:cs="Times New Roman"/>
          <w:szCs w:val="30"/>
          <w:highlight w:val="none"/>
          <w:lang w:val="en-US" w:eastAsia="zh-CN"/>
        </w:rPr>
        <w:t>综合结论：</w:t>
      </w:r>
      <w:r>
        <w:rPr>
          <w:rFonts w:hint="default" w:ascii="Times New Roman" w:hAnsi="Times New Roman" w:cs="Times New Roman"/>
          <w:highlight w:val="none"/>
          <w:lang w:val="en-US" w:eastAsia="zh-CN"/>
        </w:rPr>
        <w:t>社区居家养老服务中心运营补助项目</w:t>
      </w:r>
      <w:r>
        <w:rPr>
          <w:rFonts w:hint="default" w:ascii="Times New Roman" w:hAnsi="Times New Roman" w:cs="Times New Roman"/>
          <w:szCs w:val="30"/>
          <w:highlight w:val="none"/>
        </w:rPr>
        <w:t>立项依据充分、立项程序规范，内容完善</w:t>
      </w:r>
      <w:r>
        <w:rPr>
          <w:rFonts w:hint="default" w:ascii="Times New Roman" w:hAnsi="Times New Roman" w:cs="Times New Roman"/>
          <w:szCs w:val="30"/>
          <w:highlight w:val="none"/>
          <w:lang w:val="en-US" w:eastAsia="zh-CN"/>
        </w:rPr>
        <w:t>，项目实施效果良好，但</w:t>
      </w:r>
      <w:r>
        <w:rPr>
          <w:rFonts w:hint="default" w:ascii="Times New Roman" w:hAnsi="Times New Roman" w:cs="Times New Roman"/>
          <w:szCs w:val="30"/>
          <w:highlight w:val="none"/>
        </w:rPr>
        <w:t>绩效目标设定</w:t>
      </w:r>
      <w:r>
        <w:rPr>
          <w:rFonts w:hint="default" w:ascii="Times New Roman" w:hAnsi="Times New Roman" w:cs="Times New Roman"/>
          <w:szCs w:val="30"/>
          <w:highlight w:val="none"/>
          <w:lang w:val="en-US" w:eastAsia="zh-CN"/>
        </w:rPr>
        <w:t>还有待加强，个别管理制度条款待完善，评估单位的专业性还有待提高。</w:t>
      </w:r>
    </w:p>
    <w:p w14:paraId="6800FBA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55" w:name="_Toc25831"/>
      <w:r>
        <w:rPr>
          <w:rFonts w:hint="default" w:ascii="Times New Roman" w:hAnsi="Times New Roman" w:cs="Times New Roman"/>
          <w:highlight w:val="none"/>
        </w:rPr>
        <w:t>（二）绩效目标实现情</w:t>
      </w:r>
      <w:r>
        <w:rPr>
          <w:rFonts w:hint="default" w:ascii="Times New Roman" w:hAnsi="Times New Roman" w:cs="Times New Roman"/>
          <w:highlight w:val="none"/>
          <w:lang w:val="en-US" w:eastAsia="zh-CN"/>
        </w:rPr>
        <w:t>况</w:t>
      </w:r>
      <w:bookmarkEnd w:id="55"/>
    </w:p>
    <w:p w14:paraId="3154A4DF">
      <w:pPr>
        <w:ind w:firstLine="631"/>
        <w:jc w:val="left"/>
        <w:rPr>
          <w:rFonts w:hint="default" w:ascii="Times New Roman" w:hAnsi="Times New Roman" w:cs="Times New Roman"/>
          <w:szCs w:val="30"/>
          <w:highlight w:val="none"/>
          <w:lang w:bidi="ar"/>
        </w:rPr>
      </w:pPr>
      <w:bookmarkStart w:id="56" w:name="_Hlk525314457"/>
      <w:r>
        <w:rPr>
          <w:rFonts w:hint="default" w:ascii="Times New Roman" w:hAnsi="Times New Roman" w:cs="Times New Roman"/>
          <w:szCs w:val="30"/>
          <w:highlight w:val="none"/>
          <w:lang w:val="en-US" w:eastAsia="zh-CN" w:bidi="ar"/>
        </w:rPr>
        <w:t>根据本次绩效评价情况，社区居家养老服务中心运营补助项目</w:t>
      </w:r>
      <w:r>
        <w:rPr>
          <w:rFonts w:hint="default" w:ascii="Times New Roman" w:hAnsi="Times New Roman" w:cs="Times New Roman"/>
          <w:szCs w:val="30"/>
          <w:highlight w:val="none"/>
          <w:lang w:val="en-US" w:eastAsia="zh-CN"/>
        </w:rPr>
        <w:t>9</w:t>
      </w:r>
      <w:r>
        <w:rPr>
          <w:rFonts w:hint="default" w:ascii="Times New Roman" w:hAnsi="Times New Roman" w:cs="Times New Roman"/>
          <w:szCs w:val="30"/>
          <w:highlight w:val="none"/>
          <w:lang w:bidi="ar"/>
        </w:rPr>
        <w:t>个具体绩效指标中，</w:t>
      </w:r>
      <w:r>
        <w:rPr>
          <w:rFonts w:hint="default" w:ascii="Times New Roman" w:hAnsi="Times New Roman" w:cs="Times New Roman"/>
          <w:szCs w:val="30"/>
          <w:highlight w:val="none"/>
          <w:lang w:val="en-US" w:eastAsia="zh-CN" w:bidi="ar"/>
        </w:rPr>
        <w:t>7</w:t>
      </w:r>
      <w:r>
        <w:rPr>
          <w:rFonts w:hint="default" w:ascii="Times New Roman" w:hAnsi="Times New Roman" w:cs="Times New Roman"/>
          <w:szCs w:val="30"/>
          <w:highlight w:val="none"/>
          <w:lang w:bidi="ar"/>
        </w:rPr>
        <w:t>项实现了预期目标，</w:t>
      </w:r>
      <w:r>
        <w:rPr>
          <w:rFonts w:hint="default" w:ascii="Times New Roman" w:hAnsi="Times New Roman" w:cs="Times New Roman"/>
          <w:szCs w:val="30"/>
          <w:highlight w:val="none"/>
          <w:lang w:val="en-US" w:eastAsia="zh-CN" w:bidi="ar"/>
        </w:rPr>
        <w:t>2</w:t>
      </w:r>
      <w:r>
        <w:rPr>
          <w:rFonts w:hint="default" w:ascii="Times New Roman" w:hAnsi="Times New Roman" w:cs="Times New Roman"/>
          <w:szCs w:val="30"/>
          <w:highlight w:val="none"/>
          <w:lang w:bidi="ar"/>
        </w:rPr>
        <w:t>项部分实现了预期目标</w:t>
      </w:r>
      <w:r>
        <w:rPr>
          <w:rFonts w:hint="default" w:ascii="Times New Roman" w:hAnsi="Times New Roman" w:cs="Times New Roman"/>
          <w:szCs w:val="30"/>
          <w:highlight w:val="none"/>
          <w:lang w:eastAsia="zh-CN" w:bidi="ar"/>
        </w:rPr>
        <w:t>。</w:t>
      </w:r>
      <w:r>
        <w:rPr>
          <w:rFonts w:hint="default" w:ascii="Times New Roman" w:hAnsi="Times New Roman" w:cs="Times New Roman"/>
          <w:szCs w:val="30"/>
          <w:highlight w:val="none"/>
        </w:rPr>
        <w:t>本项目</w:t>
      </w:r>
      <w:r>
        <w:rPr>
          <w:rFonts w:hint="default" w:ascii="Times New Roman" w:hAnsi="Times New Roman" w:cs="Times New Roman"/>
          <w:szCs w:val="30"/>
          <w:highlight w:val="none"/>
          <w:lang w:bidi="ar"/>
        </w:rPr>
        <w:t>绩效指标总体实现情况良好，基本实现了社区居家养老服务中心运营补助项目的绩效目标，各指标完成情况详见</w:t>
      </w:r>
      <w:r>
        <w:rPr>
          <w:rFonts w:hint="default" w:ascii="Times New Roman" w:hAnsi="Times New Roman" w:cs="Times New Roman"/>
          <w:szCs w:val="30"/>
          <w:highlight w:val="none"/>
          <w:lang w:val="en-US" w:eastAsia="zh-CN" w:bidi="ar"/>
        </w:rPr>
        <w:t>下</w:t>
      </w:r>
      <w:r>
        <w:rPr>
          <w:rFonts w:hint="default" w:ascii="Times New Roman" w:hAnsi="Times New Roman" w:cs="Times New Roman"/>
          <w:szCs w:val="30"/>
          <w:highlight w:val="none"/>
          <w:lang w:bidi="ar"/>
        </w:rPr>
        <w:t>表。</w:t>
      </w:r>
    </w:p>
    <w:p w14:paraId="07CFA2D4">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黑体" w:cs="Times New Roman"/>
          <w:b w:val="0"/>
          <w:bCs/>
          <w:sz w:val="24"/>
          <w:szCs w:val="24"/>
          <w:highlight w:val="none"/>
        </w:rPr>
      </w:pPr>
      <w:r>
        <w:rPr>
          <w:rFonts w:hint="default" w:ascii="Times New Roman" w:hAnsi="Times New Roman" w:eastAsia="黑体" w:cs="Times New Roman"/>
          <w:b w:val="0"/>
          <w:bCs/>
          <w:sz w:val="24"/>
          <w:szCs w:val="24"/>
          <w:highlight w:val="none"/>
        </w:rPr>
        <w:t>表</w:t>
      </w:r>
      <w:r>
        <w:rPr>
          <w:rFonts w:hint="eastAsia" w:ascii="Times New Roman" w:eastAsia="黑体" w:cs="Times New Roman"/>
          <w:b w:val="0"/>
          <w:bCs/>
          <w:sz w:val="24"/>
          <w:szCs w:val="24"/>
          <w:highlight w:val="none"/>
          <w:lang w:val="en-US" w:eastAsia="zh-CN"/>
        </w:rPr>
        <w:t>5</w:t>
      </w:r>
      <w:r>
        <w:rPr>
          <w:rFonts w:hint="eastAsia" w:ascii="Times New Roman" w:hAnsi="Times New Roman" w:eastAsia="黑体" w:cs="Times New Roman"/>
          <w:b w:val="0"/>
          <w:bCs/>
          <w:sz w:val="24"/>
          <w:szCs w:val="24"/>
          <w:highlight w:val="none"/>
          <w:lang w:val="en-US" w:eastAsia="zh-CN"/>
        </w:rPr>
        <w:t xml:space="preserve"> </w:t>
      </w:r>
      <w:r>
        <w:rPr>
          <w:rFonts w:hint="default" w:ascii="Times New Roman" w:hAnsi="Times New Roman" w:eastAsia="黑体" w:cs="Times New Roman"/>
          <w:b w:val="0"/>
          <w:bCs/>
          <w:sz w:val="24"/>
          <w:szCs w:val="24"/>
          <w:highlight w:val="none"/>
        </w:rPr>
        <w:t>绩效指标完成情况表</w:t>
      </w:r>
    </w:p>
    <w:bookmarkEnd w:id="56"/>
    <w:tbl>
      <w:tblPr>
        <w:tblStyle w:val="20"/>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9"/>
        <w:gridCol w:w="744"/>
        <w:gridCol w:w="1504"/>
        <w:gridCol w:w="1044"/>
        <w:gridCol w:w="1080"/>
        <w:gridCol w:w="3644"/>
      </w:tblGrid>
      <w:tr w14:paraId="1D74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181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E50B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绩效指标名称</w:t>
            </w:r>
          </w:p>
        </w:tc>
        <w:tc>
          <w:tcPr>
            <w:tcW w:w="5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BB895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指标值</w:t>
            </w:r>
          </w:p>
        </w:tc>
        <w:tc>
          <w:tcPr>
            <w:tcW w:w="59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CB3FB">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指标实现情况</w:t>
            </w:r>
          </w:p>
        </w:tc>
        <w:tc>
          <w:tcPr>
            <w:tcW w:w="2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F4DA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完成情况说明</w:t>
            </w:r>
          </w:p>
        </w:tc>
      </w:tr>
      <w:tr w14:paraId="4C803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blHeader/>
        </w:trPr>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0C0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一级指标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DA11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二级指标</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94A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b/>
                <w:bCs/>
                <w:i w:val="0"/>
                <w:iCs w:val="0"/>
                <w:color w:val="000000"/>
                <w:sz w:val="20"/>
                <w:szCs w:val="20"/>
                <w:highlight w:val="none"/>
                <w:u w:val="none"/>
              </w:rPr>
            </w:pPr>
            <w:r>
              <w:rPr>
                <w:rFonts w:hint="default" w:ascii="Times New Roman" w:hAnsi="Times New Roman" w:eastAsia="仿宋" w:cs="Times New Roman"/>
                <w:b/>
                <w:bCs/>
                <w:i w:val="0"/>
                <w:iCs w:val="0"/>
                <w:color w:val="000000"/>
                <w:kern w:val="0"/>
                <w:sz w:val="20"/>
                <w:szCs w:val="20"/>
                <w:highlight w:val="none"/>
                <w:u w:val="none"/>
                <w:lang w:val="en-US" w:eastAsia="zh-CN" w:bidi="ar"/>
              </w:rPr>
              <w:t>三级指标</w:t>
            </w:r>
          </w:p>
        </w:tc>
        <w:tc>
          <w:tcPr>
            <w:tcW w:w="5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4902E">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highlight w:val="none"/>
                <w:u w:val="none"/>
              </w:rPr>
            </w:pPr>
          </w:p>
        </w:tc>
        <w:tc>
          <w:tcPr>
            <w:tcW w:w="59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E38A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highlight w:val="none"/>
                <w:u w:val="none"/>
              </w:rPr>
            </w:pPr>
          </w:p>
        </w:tc>
        <w:tc>
          <w:tcPr>
            <w:tcW w:w="2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443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b/>
                <w:bCs/>
                <w:i w:val="0"/>
                <w:iCs w:val="0"/>
                <w:color w:val="000000"/>
                <w:sz w:val="20"/>
                <w:szCs w:val="20"/>
                <w:highlight w:val="none"/>
                <w:u w:val="none"/>
              </w:rPr>
            </w:pPr>
          </w:p>
        </w:tc>
      </w:tr>
      <w:tr w14:paraId="7B7FF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8CBB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产出（35分）</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6D72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产出数量</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2AB4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eastAsia="仿宋" w:cs="Times New Roman"/>
                <w:i w:val="0"/>
                <w:iCs w:val="0"/>
                <w:color w:val="000000"/>
                <w:kern w:val="0"/>
                <w:sz w:val="20"/>
                <w:szCs w:val="20"/>
                <w:highlight w:val="none"/>
                <w:u w:val="none"/>
                <w:lang w:val="en-US" w:eastAsia="zh-CN" w:bidi="ar"/>
              </w:rPr>
              <w:t>补助资金发放完成</w:t>
            </w:r>
            <w:r>
              <w:rPr>
                <w:rFonts w:hint="default" w:ascii="Times New Roman" w:hAnsi="Times New Roman" w:cs="Times New Roman"/>
                <w:i w:val="0"/>
                <w:iCs w:val="0"/>
                <w:color w:val="000000"/>
                <w:kern w:val="0"/>
                <w:sz w:val="20"/>
                <w:szCs w:val="20"/>
                <w:highlight w:val="none"/>
                <w:u w:val="none"/>
                <w:lang w:val="en-US" w:eastAsia="zh-CN" w:bidi="ar"/>
              </w:rPr>
              <w:t>数</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3E1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w:t>
            </w:r>
            <w:r>
              <w:rPr>
                <w:rFonts w:hint="default" w:ascii="Times New Roman" w:hAnsi="Times New Roman" w:cs="Times New Roman"/>
                <w:i w:val="0"/>
                <w:iCs w:val="0"/>
                <w:color w:val="000000"/>
                <w:kern w:val="0"/>
                <w:sz w:val="20"/>
                <w:szCs w:val="20"/>
                <w:highlight w:val="none"/>
                <w:u w:val="none"/>
                <w:lang w:val="en-US" w:eastAsia="zh-CN" w:bidi="ar"/>
              </w:rPr>
              <w:t>26</w:t>
            </w:r>
            <w:r>
              <w:rPr>
                <w:rFonts w:hint="default" w:ascii="Times New Roman" w:hAnsi="Times New Roman" w:eastAsia="仿宋" w:cs="Times New Roman"/>
                <w:i w:val="0"/>
                <w:iCs w:val="0"/>
                <w:color w:val="000000"/>
                <w:kern w:val="0"/>
                <w:sz w:val="20"/>
                <w:szCs w:val="20"/>
                <w:highlight w:val="none"/>
                <w:u w:val="none"/>
                <w:lang w:val="en-US" w:eastAsia="zh-CN" w:bidi="ar"/>
              </w:rPr>
              <w:t>个</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5E14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kern w:val="0"/>
                <w:sz w:val="20"/>
                <w:szCs w:val="20"/>
                <w:highlight w:val="none"/>
                <w:u w:val="none"/>
                <w:lang w:val="en-US" w:eastAsia="zh-CN" w:bidi="ar"/>
              </w:rPr>
              <w:t>24个</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7A892">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2023年</w:t>
            </w:r>
            <w:r>
              <w:rPr>
                <w:rFonts w:hint="eastAsia" w:ascii="Times New Roman" w:cs="Times New Roman"/>
                <w:i w:val="0"/>
                <w:iCs w:val="0"/>
                <w:color w:val="000000"/>
                <w:kern w:val="0"/>
                <w:sz w:val="20"/>
                <w:szCs w:val="20"/>
                <w:highlight w:val="none"/>
                <w:u w:val="none"/>
                <w:lang w:val="en-US" w:eastAsia="zh-CN" w:bidi="ar"/>
              </w:rPr>
              <w:t>区民政局</w:t>
            </w:r>
            <w:r>
              <w:rPr>
                <w:rFonts w:hint="default" w:ascii="Times New Roman" w:hAnsi="Times New Roman" w:eastAsia="仿宋" w:cs="Times New Roman"/>
                <w:i w:val="0"/>
                <w:iCs w:val="0"/>
                <w:color w:val="000000"/>
                <w:kern w:val="0"/>
                <w:sz w:val="20"/>
                <w:szCs w:val="20"/>
                <w:highlight w:val="none"/>
                <w:u w:val="none"/>
                <w:lang w:val="en-US" w:eastAsia="zh-CN" w:bidi="ar"/>
              </w:rPr>
              <w:t>需对西山区26个居家养老服务中心进行补贴，实际补贴24家。</w:t>
            </w:r>
          </w:p>
        </w:tc>
      </w:tr>
      <w:tr w14:paraId="6AEE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EAB34">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4502C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产出质量</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B13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补助资金发放准确率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243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100%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B70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kern w:val="0"/>
                <w:sz w:val="20"/>
                <w:szCs w:val="20"/>
                <w:highlight w:val="none"/>
                <w:u w:val="none"/>
                <w:lang w:val="en-US" w:eastAsia="zh-CN" w:bidi="ar"/>
              </w:rPr>
              <w:t>100%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E4F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除特殊原因未发放的补助外，其余发放的单位均与补助名单一致，无法收到补助的单位则由管辖的街道进行代收。</w:t>
            </w:r>
          </w:p>
        </w:tc>
      </w:tr>
      <w:tr w14:paraId="03C9C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E1868">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A58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产出质量</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AF21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eastAsia="仿宋" w:cs="Times New Roman"/>
                <w:i w:val="0"/>
                <w:iCs w:val="0"/>
                <w:color w:val="000000"/>
                <w:kern w:val="0"/>
                <w:sz w:val="20"/>
                <w:szCs w:val="20"/>
                <w:highlight w:val="none"/>
                <w:u w:val="none"/>
                <w:lang w:val="en-US" w:eastAsia="zh-CN" w:bidi="ar"/>
              </w:rPr>
              <w:t>评估单位专业性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8B4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专业</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9D8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部分达到</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92713">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根据评估单位提供的《2022年西山区居家养老服务中心运营补助评估报告》，2023年需对西山区26个居家养老服务中心补贴60.2万元，但实际补助单位为24家，补助总金额55.4万元，与评估单位提供的26家缺少两家。一是猫猫箐社区马鞍山小组居家养老服务中心已经暂停运营。二是海口街道白鱼社区居家养老服务中心于2023年5月份才正式投入运营，不属于2022年补贴的范围内。</w:t>
            </w:r>
          </w:p>
        </w:tc>
      </w:tr>
      <w:tr w14:paraId="7063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18B92">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C86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产出时效</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C4407">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补助资金发放的及时性</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290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及时</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BF2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及时</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30F2E">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cs="Times New Roman"/>
                <w:i w:val="0"/>
                <w:iCs w:val="0"/>
                <w:color w:val="000000"/>
                <w:kern w:val="0"/>
                <w:sz w:val="20"/>
                <w:szCs w:val="20"/>
                <w:highlight w:val="none"/>
                <w:u w:val="none"/>
                <w:lang w:val="en-US" w:eastAsia="zh-CN" w:bidi="ar"/>
              </w:rPr>
            </w:pPr>
            <w:r>
              <w:rPr>
                <w:rFonts w:hint="default" w:ascii="Times New Roman" w:hAnsi="Times New Roman" w:cs="Times New Roman"/>
                <w:i w:val="0"/>
                <w:iCs w:val="0"/>
                <w:color w:val="000000"/>
                <w:kern w:val="0"/>
                <w:sz w:val="20"/>
                <w:szCs w:val="20"/>
                <w:highlight w:val="none"/>
                <w:u w:val="none"/>
                <w:lang w:val="en-US" w:eastAsia="zh-CN" w:bidi="ar"/>
              </w:rPr>
              <w:t>区民政局均在通过局办公会及党组会后，30日内完成补助资金的发放。</w:t>
            </w:r>
          </w:p>
          <w:p w14:paraId="033B14CB">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cs="Times New Roman"/>
                <w:i w:val="0"/>
                <w:iCs w:val="0"/>
                <w:color w:val="000000"/>
                <w:kern w:val="0"/>
                <w:sz w:val="20"/>
                <w:szCs w:val="20"/>
                <w:highlight w:val="none"/>
                <w:u w:val="none"/>
                <w:lang w:val="en-US" w:eastAsia="zh-CN" w:bidi="ar"/>
              </w:rPr>
              <w:t>调查问卷中，项目组设置了“资金是否及时到位的问题”，调查对象为居家养老服务中心，根据结论，未出现资金发放不及时的情况。。</w:t>
            </w:r>
          </w:p>
        </w:tc>
      </w:tr>
      <w:tr w14:paraId="46116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FE62D">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2447E">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产出成本</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43E5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sz w:val="20"/>
                <w:szCs w:val="20"/>
                <w:highlight w:val="none"/>
                <w:u w:val="none"/>
                <w:lang w:val="en-US" w:eastAsia="zh-CN"/>
              </w:rPr>
              <w:t>成本控制率</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148B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C56D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100%</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EFC75">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根据项目基本信息表及本级项目测算表，2023年社区居家养老服务中心运营补助项目计划成本为24.6</w:t>
            </w:r>
            <w:r>
              <w:rPr>
                <w:rFonts w:hint="eastAsia" w:ascii="Times New Roman" w:cs="Times New Roman"/>
                <w:i w:val="0"/>
                <w:iCs w:val="0"/>
                <w:color w:val="000000"/>
                <w:sz w:val="20"/>
                <w:szCs w:val="20"/>
                <w:highlight w:val="none"/>
                <w:u w:val="none"/>
                <w:lang w:val="en-US" w:eastAsia="zh-CN"/>
              </w:rPr>
              <w:t>1</w:t>
            </w:r>
            <w:r>
              <w:rPr>
                <w:rFonts w:hint="default" w:ascii="Times New Roman" w:hAnsi="Times New Roman" w:cs="Times New Roman"/>
                <w:i w:val="0"/>
                <w:iCs w:val="0"/>
                <w:color w:val="000000"/>
                <w:sz w:val="20"/>
                <w:szCs w:val="20"/>
                <w:highlight w:val="none"/>
                <w:u w:val="none"/>
                <w:lang w:val="en-US" w:eastAsia="zh-CN"/>
              </w:rPr>
              <w:t>万元，实际成本为55.4万元。但由于区民政局在申请预算时充分考虑到上年度的结余资金，因此没有申请过多的预算。</w:t>
            </w:r>
          </w:p>
        </w:tc>
      </w:tr>
      <w:tr w14:paraId="04C68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56510">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效益（30分</w:t>
            </w:r>
            <w:r>
              <w:rPr>
                <w:rFonts w:hint="default" w:ascii="Times New Roman" w:hAnsi="Times New Roman" w:cs="Times New Roman"/>
                <w:i w:val="0"/>
                <w:iCs w:val="0"/>
                <w:color w:val="000000"/>
                <w:kern w:val="0"/>
                <w:sz w:val="20"/>
                <w:szCs w:val="20"/>
                <w:highlight w:val="none"/>
                <w:u w:val="none"/>
                <w:lang w:val="en-US" w:eastAsia="zh-CN" w:bidi="ar"/>
              </w:rPr>
              <w:t>）</w:t>
            </w:r>
          </w:p>
        </w:tc>
        <w:tc>
          <w:tcPr>
            <w:tcW w:w="4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4FB5D">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社会效益</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3E1A8">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居家养老服务中心运营支撑情况</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BC93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支撑</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192FA">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支撑</w:t>
            </w:r>
          </w:p>
        </w:tc>
        <w:tc>
          <w:tcPr>
            <w:tcW w:w="3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BF06">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cs="Times New Roman"/>
                <w:i w:val="0"/>
                <w:iCs w:val="0"/>
                <w:color w:val="000000"/>
                <w:kern w:val="0"/>
                <w:sz w:val="20"/>
                <w:szCs w:val="20"/>
                <w:highlight w:val="none"/>
                <w:u w:val="none"/>
                <w:lang w:val="en-US" w:eastAsia="zh-CN" w:bidi="ar"/>
              </w:rPr>
              <w:t>根据评估报告，2022年补助名单中的17家居家养老服务中心在2023年均稳定运行，且在当年度中再次领取了补助资金。</w:t>
            </w:r>
          </w:p>
        </w:tc>
      </w:tr>
      <w:tr w14:paraId="2B3A5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EA73A">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A9BC3">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03505">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居家养老服务中心数量提升情况</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FC65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提升</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89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提升</w:t>
            </w:r>
          </w:p>
        </w:tc>
        <w:tc>
          <w:tcPr>
            <w:tcW w:w="3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1BEBC">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cs="Times New Roman"/>
                <w:i w:val="0"/>
                <w:iCs w:val="0"/>
                <w:color w:val="000000"/>
                <w:sz w:val="20"/>
                <w:szCs w:val="20"/>
                <w:highlight w:val="none"/>
                <w:u w:val="none"/>
                <w:lang w:val="en-US" w:eastAsia="zh-CN"/>
              </w:rPr>
              <w:t>项目组对比了本项目两年的补贴名单及评估报告，2022年西山区共有32家居家养老服务中心，2023年西山区共有36家居家养老服务中心，相较上年度新增4家。本项目的实施有效支持了辖区居家养老服务中心的数量提升。</w:t>
            </w:r>
          </w:p>
        </w:tc>
      </w:tr>
      <w:tr w14:paraId="32C9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67FEB">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B0637">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9898C">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居家养老服务中心工作人员提升情况</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CD69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提升</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0626">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rPr>
            </w:pPr>
            <w:r>
              <w:rPr>
                <w:rFonts w:hint="default" w:ascii="Times New Roman" w:hAnsi="Times New Roman" w:cs="Times New Roman"/>
                <w:i w:val="0"/>
                <w:iCs w:val="0"/>
                <w:color w:val="000000"/>
                <w:sz w:val="20"/>
                <w:szCs w:val="20"/>
                <w:highlight w:val="none"/>
                <w:u w:val="none"/>
                <w:lang w:val="en-US" w:eastAsia="zh-CN"/>
              </w:rPr>
              <w:t>部分提升</w:t>
            </w:r>
          </w:p>
        </w:tc>
        <w:tc>
          <w:tcPr>
            <w:tcW w:w="3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1E99">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个别居家养老服务中心认为补助资金对于提升工作人员数量的作用较小。</w:t>
            </w:r>
          </w:p>
        </w:tc>
      </w:tr>
      <w:tr w14:paraId="2CFE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7121C">
            <w:pPr>
              <w:keepNext w:val="0"/>
              <w:keepLines w:val="0"/>
              <w:pageBreakBefore w:val="0"/>
              <w:kinsoku/>
              <w:wordWrap/>
              <w:overflowPunct/>
              <w:topLinePunct w:val="0"/>
              <w:autoSpaceDE/>
              <w:autoSpaceDN/>
              <w:bidi w:val="0"/>
              <w:adjustRightInd w:val="0"/>
              <w:snapToGrid w:val="0"/>
              <w:spacing w:line="240" w:lineRule="atLeast"/>
              <w:jc w:val="center"/>
              <w:rPr>
                <w:rFonts w:hint="default" w:ascii="Times New Roman" w:hAnsi="Times New Roman" w:eastAsia="仿宋" w:cs="Times New Roman"/>
                <w:i w:val="0"/>
                <w:iCs w:val="0"/>
                <w:color w:val="000000"/>
                <w:sz w:val="20"/>
                <w:szCs w:val="20"/>
                <w:highlight w:val="none"/>
                <w:u w:val="none"/>
              </w:rPr>
            </w:pP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C90C2">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满意度</w:t>
            </w:r>
          </w:p>
        </w:tc>
        <w:tc>
          <w:tcPr>
            <w:tcW w:w="8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6D58F">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居家养老服务中心的满意度</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05F3">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cs="Times New Roman"/>
                <w:i w:val="0"/>
                <w:iCs w:val="0"/>
                <w:color w:val="000000"/>
                <w:kern w:val="0"/>
                <w:sz w:val="20"/>
                <w:szCs w:val="20"/>
                <w:highlight w:val="none"/>
                <w:u w:val="none"/>
                <w:lang w:val="en-US" w:eastAsia="zh-CN" w:bidi="ar"/>
              </w:rPr>
              <w:t>80</w:t>
            </w:r>
            <w:r>
              <w:rPr>
                <w:rFonts w:hint="default" w:ascii="Times New Roman" w:hAnsi="Times New Roman" w:eastAsia="仿宋" w:cs="Times New Roman"/>
                <w:i w:val="0"/>
                <w:iCs w:val="0"/>
                <w:color w:val="000000"/>
                <w:kern w:val="0"/>
                <w:sz w:val="20"/>
                <w:szCs w:val="20"/>
                <w:highlight w:val="none"/>
                <w:u w:val="none"/>
                <w:lang w:val="en-US" w:eastAsia="zh-CN" w:bidi="ar"/>
              </w:rPr>
              <w:t>%</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1BD11">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default" w:ascii="Times New Roman" w:hAnsi="Times New Roman" w:eastAsia="仿宋" w:cs="Times New Roman"/>
                <w:i w:val="0"/>
                <w:iCs w:val="0"/>
                <w:color w:val="000000"/>
                <w:sz w:val="20"/>
                <w:szCs w:val="20"/>
                <w:highlight w:val="none"/>
                <w:u w:val="none"/>
                <w:lang w:val="en-US" w:eastAsia="zh-CN"/>
              </w:rPr>
            </w:pPr>
            <w:r>
              <w:rPr>
                <w:rFonts w:hint="default" w:ascii="Times New Roman" w:hAnsi="Times New Roman" w:cs="Times New Roman"/>
                <w:i w:val="0"/>
                <w:iCs w:val="0"/>
                <w:color w:val="000000"/>
                <w:sz w:val="20"/>
                <w:szCs w:val="20"/>
                <w:highlight w:val="none"/>
                <w:u w:val="none"/>
                <w:lang w:val="en-US" w:eastAsia="zh-CN"/>
              </w:rPr>
              <w:t>94%</w:t>
            </w:r>
          </w:p>
        </w:tc>
        <w:tc>
          <w:tcPr>
            <w:tcW w:w="2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0F4A">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default" w:ascii="Times New Roman" w:hAnsi="Times New Roman" w:eastAsia="仿宋" w:cs="Times New Roman"/>
                <w:i w:val="0"/>
                <w:iCs w:val="0"/>
                <w:color w:val="000000"/>
                <w:sz w:val="20"/>
                <w:szCs w:val="20"/>
                <w:highlight w:val="none"/>
                <w:u w:val="none"/>
              </w:rPr>
            </w:pPr>
            <w:r>
              <w:rPr>
                <w:rFonts w:hint="default" w:ascii="Times New Roman" w:hAnsi="Times New Roman" w:eastAsia="仿宋" w:cs="Times New Roman"/>
                <w:i w:val="0"/>
                <w:iCs w:val="0"/>
                <w:color w:val="000000"/>
                <w:kern w:val="0"/>
                <w:sz w:val="20"/>
                <w:szCs w:val="20"/>
                <w:highlight w:val="none"/>
                <w:u w:val="none"/>
                <w:lang w:val="en-US" w:eastAsia="zh-CN" w:bidi="ar"/>
              </w:rPr>
              <w:t>本次发放电子问卷</w:t>
            </w:r>
            <w:r>
              <w:rPr>
                <w:rFonts w:hint="default" w:ascii="Times New Roman" w:hAnsi="Times New Roman" w:cs="Times New Roman"/>
                <w:i w:val="0"/>
                <w:iCs w:val="0"/>
                <w:color w:val="000000"/>
                <w:kern w:val="0"/>
                <w:sz w:val="20"/>
                <w:szCs w:val="20"/>
                <w:highlight w:val="none"/>
                <w:u w:val="none"/>
                <w:lang w:val="en-US" w:eastAsia="zh-CN" w:bidi="ar"/>
              </w:rPr>
              <w:t>24</w:t>
            </w:r>
            <w:r>
              <w:rPr>
                <w:rFonts w:hint="default" w:ascii="Times New Roman" w:hAnsi="Times New Roman" w:eastAsia="仿宋" w:cs="Times New Roman"/>
                <w:i w:val="0"/>
                <w:iCs w:val="0"/>
                <w:color w:val="000000"/>
                <w:kern w:val="0"/>
                <w:sz w:val="20"/>
                <w:szCs w:val="20"/>
                <w:highlight w:val="none"/>
                <w:u w:val="none"/>
                <w:lang w:val="en-US" w:eastAsia="zh-CN" w:bidi="ar"/>
              </w:rPr>
              <w:t>份，回收有效问卷</w:t>
            </w:r>
            <w:r>
              <w:rPr>
                <w:rFonts w:hint="default" w:ascii="Times New Roman" w:hAnsi="Times New Roman" w:cs="Times New Roman"/>
                <w:i w:val="0"/>
                <w:iCs w:val="0"/>
                <w:color w:val="000000"/>
                <w:kern w:val="0"/>
                <w:sz w:val="20"/>
                <w:szCs w:val="20"/>
                <w:highlight w:val="none"/>
                <w:u w:val="none"/>
                <w:lang w:val="en-US" w:eastAsia="zh-CN" w:bidi="ar"/>
              </w:rPr>
              <w:t>15</w:t>
            </w:r>
            <w:r>
              <w:rPr>
                <w:rFonts w:hint="default" w:ascii="Times New Roman" w:hAnsi="Times New Roman" w:eastAsia="仿宋" w:cs="Times New Roman"/>
                <w:i w:val="0"/>
                <w:iCs w:val="0"/>
                <w:color w:val="000000"/>
                <w:kern w:val="0"/>
                <w:sz w:val="20"/>
                <w:szCs w:val="20"/>
                <w:highlight w:val="none"/>
                <w:u w:val="none"/>
                <w:lang w:val="en-US" w:eastAsia="zh-CN" w:bidi="ar"/>
              </w:rPr>
              <w:t>份，经项目组统计计算，服务对象满意度为</w:t>
            </w:r>
            <w:r>
              <w:rPr>
                <w:rFonts w:hint="default" w:ascii="Times New Roman" w:hAnsi="Times New Roman" w:cs="Times New Roman"/>
                <w:i w:val="0"/>
                <w:iCs w:val="0"/>
                <w:color w:val="000000"/>
                <w:kern w:val="0"/>
                <w:sz w:val="20"/>
                <w:szCs w:val="20"/>
                <w:highlight w:val="none"/>
                <w:u w:val="none"/>
                <w:lang w:val="en-US" w:eastAsia="zh-CN" w:bidi="ar"/>
              </w:rPr>
              <w:t>94</w:t>
            </w:r>
            <w:r>
              <w:rPr>
                <w:rFonts w:hint="default" w:ascii="Times New Roman" w:hAnsi="Times New Roman" w:eastAsia="仿宋" w:cs="Times New Roman"/>
                <w:i w:val="0"/>
                <w:iCs w:val="0"/>
                <w:color w:val="000000"/>
                <w:kern w:val="0"/>
                <w:sz w:val="20"/>
                <w:szCs w:val="20"/>
                <w:highlight w:val="none"/>
                <w:u w:val="none"/>
                <w:lang w:val="en-US" w:eastAsia="zh-CN" w:bidi="ar"/>
              </w:rPr>
              <w:t>% 。</w:t>
            </w:r>
          </w:p>
        </w:tc>
      </w:tr>
    </w:tbl>
    <w:p w14:paraId="757D65FB">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57" w:name="_Toc7440"/>
      <w:r>
        <w:rPr>
          <w:rFonts w:hint="default" w:ascii="Times New Roman" w:hAnsi="Times New Roman" w:cs="Times New Roman"/>
          <w:highlight w:val="none"/>
          <w:lang w:val="en-US" w:eastAsia="zh-CN"/>
        </w:rPr>
        <w:t>四、绩效评价情况分析</w:t>
      </w:r>
      <w:bookmarkEnd w:id="57"/>
    </w:p>
    <w:p w14:paraId="11D6EA4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bookmarkStart w:id="58" w:name="_Toc2767"/>
      <w:bookmarkStart w:id="59" w:name="_Toc14682"/>
      <w:r>
        <w:rPr>
          <w:rFonts w:hint="default" w:ascii="Times New Roman" w:hAnsi="Times New Roman" w:cs="Times New Roman"/>
          <w:kern w:val="2"/>
          <w:sz w:val="30"/>
          <w:szCs w:val="30"/>
          <w:highlight w:val="none"/>
          <w:lang w:val="en-US" w:eastAsia="zh-CN" w:bidi="ar-SA"/>
        </w:rPr>
        <w:t>池砾公司</w:t>
      </w:r>
      <w:r>
        <w:rPr>
          <w:rFonts w:hint="default" w:ascii="Times New Roman" w:hAnsi="Times New Roman" w:eastAsia="仿宋" w:cs="Times New Roman"/>
          <w:kern w:val="2"/>
          <w:sz w:val="30"/>
          <w:szCs w:val="30"/>
          <w:highlight w:val="none"/>
          <w:lang w:val="en-US" w:eastAsia="zh-CN" w:bidi="ar-SA"/>
        </w:rPr>
        <w:t>根据绩效管理基本原则，采用比较法、因素分析法、成本效益分析法、公众评议法等方法，按照《</w:t>
      </w:r>
      <w:r>
        <w:rPr>
          <w:rFonts w:hint="default" w:ascii="Times New Roman" w:hAnsi="Times New Roman" w:cs="Times New Roman"/>
          <w:kern w:val="2"/>
          <w:sz w:val="30"/>
          <w:szCs w:val="30"/>
          <w:highlight w:val="none"/>
          <w:lang w:val="en-US" w:eastAsia="zh-CN" w:bidi="ar-SA"/>
        </w:rPr>
        <w:t>昆明市西山区民政局2023年社区居家养老服务中心运营补助项目绩效评价指标体系</w:t>
      </w:r>
      <w:r>
        <w:rPr>
          <w:rFonts w:hint="default" w:ascii="Times New Roman" w:hAnsi="Times New Roman" w:eastAsia="仿宋" w:cs="Times New Roman"/>
          <w:kern w:val="2"/>
          <w:sz w:val="30"/>
          <w:szCs w:val="30"/>
          <w:highlight w:val="none"/>
          <w:lang w:val="en-US" w:eastAsia="zh-CN" w:bidi="ar-SA"/>
        </w:rPr>
        <w:t>》，对</w:t>
      </w:r>
      <w:r>
        <w:rPr>
          <w:rFonts w:hint="default" w:ascii="Times New Roman" w:hAnsi="Times New Roman" w:cs="Times New Roman"/>
          <w:kern w:val="2"/>
          <w:sz w:val="30"/>
          <w:szCs w:val="30"/>
          <w:highlight w:val="none"/>
          <w:lang w:val="en-US" w:eastAsia="zh-CN" w:bidi="ar-SA"/>
        </w:rPr>
        <w:t>社区居家养老服务中心运营补助项目</w:t>
      </w:r>
      <w:r>
        <w:rPr>
          <w:rFonts w:hint="default" w:ascii="Times New Roman" w:hAnsi="Times New Roman" w:eastAsia="仿宋" w:cs="Times New Roman"/>
          <w:kern w:val="2"/>
          <w:sz w:val="30"/>
          <w:szCs w:val="30"/>
          <w:highlight w:val="none"/>
          <w:lang w:val="en-US" w:eastAsia="zh-CN" w:bidi="ar-SA"/>
        </w:rPr>
        <w:t>的各项指标进行分析，具体内容如下：</w:t>
      </w:r>
      <w:bookmarkEnd w:id="58"/>
      <w:bookmarkEnd w:id="59"/>
    </w:p>
    <w:p w14:paraId="7A207F63">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60" w:name="_Toc11047"/>
      <w:r>
        <w:rPr>
          <w:rFonts w:hint="default" w:ascii="Times New Roman" w:hAnsi="Times New Roman" w:cs="Times New Roman"/>
          <w:highlight w:val="none"/>
        </w:rPr>
        <w:t>（一）</w:t>
      </w:r>
      <w:r>
        <w:rPr>
          <w:rFonts w:hint="default" w:ascii="Times New Roman" w:hAnsi="Times New Roman" w:cs="Times New Roman"/>
          <w:highlight w:val="none"/>
          <w:lang w:val="en-US" w:eastAsia="zh-CN"/>
        </w:rPr>
        <w:t>决策</w:t>
      </w:r>
      <w:r>
        <w:rPr>
          <w:rFonts w:hint="default" w:ascii="Times New Roman" w:hAnsi="Times New Roman" w:cs="Times New Roman"/>
          <w:highlight w:val="none"/>
        </w:rPr>
        <w:t>情况分析</w:t>
      </w:r>
      <w:bookmarkEnd w:id="60"/>
    </w:p>
    <w:p w14:paraId="460EA9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项目决策类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指标包括项目立项、绩效目标和资金投入三个方面，采用6个三级指标进行考察。权重分值15分，绩效评价得分</w:t>
      </w:r>
      <w:r>
        <w:rPr>
          <w:rFonts w:hint="default" w:ascii="Times New Roman" w:hAnsi="Times New Roman" w:cs="Times New Roman"/>
          <w:kern w:val="2"/>
          <w:sz w:val="30"/>
          <w:szCs w:val="30"/>
          <w:highlight w:val="none"/>
          <w:lang w:val="en-US" w:eastAsia="zh-CN" w:bidi="ar-SA"/>
        </w:rPr>
        <w:t>14</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93.33</w:t>
      </w:r>
      <w:r>
        <w:rPr>
          <w:rFonts w:hint="default" w:ascii="Times New Roman" w:hAnsi="Times New Roman" w:eastAsia="仿宋" w:cs="Times New Roman"/>
          <w:kern w:val="2"/>
          <w:sz w:val="30"/>
          <w:szCs w:val="30"/>
          <w:highlight w:val="none"/>
          <w:lang w:val="en-US" w:eastAsia="zh-CN" w:bidi="ar-SA"/>
        </w:rPr>
        <w:t>%。</w:t>
      </w:r>
    </w:p>
    <w:p w14:paraId="6491CE7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1.项目立项</w:t>
      </w:r>
    </w:p>
    <w:p w14:paraId="3653848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（1）立项依据充分性</w:t>
      </w:r>
    </w:p>
    <w:p w14:paraId="77A97CA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本项目依据</w:t>
      </w:r>
      <w:r>
        <w:rPr>
          <w:rFonts w:hint="default" w:ascii="Times New Roman" w:hAnsi="Times New Roman" w:eastAsia="仿宋" w:cs="Times New Roman"/>
          <w:b w:val="0"/>
          <w:bCs w:val="0"/>
          <w:kern w:val="30"/>
          <w:sz w:val="30"/>
          <w:szCs w:val="30"/>
          <w:highlight w:val="none"/>
          <w:lang w:val="en-US" w:eastAsia="zh-CN" w:bidi="ar-SA"/>
        </w:rPr>
        <w:t>《昆明市城乡社区居家养老服务设施建设及运营管理实施意见》（昆老办〔2016〕29号）</w:t>
      </w:r>
      <w:r>
        <w:rPr>
          <w:rFonts w:hint="default" w:ascii="Times New Roman" w:hAnsi="Times New Roman" w:cs="Times New Roman"/>
          <w:b w:val="0"/>
          <w:bCs w:val="0"/>
          <w:kern w:val="30"/>
          <w:sz w:val="30"/>
          <w:szCs w:val="30"/>
          <w:highlight w:val="none"/>
          <w:lang w:val="en-US" w:eastAsia="zh-CN" w:bidi="ar-SA"/>
        </w:rPr>
        <w:t>、</w:t>
      </w:r>
      <w:r>
        <w:rPr>
          <w:rFonts w:hint="default" w:ascii="Times New Roman" w:hAnsi="Times New Roman" w:cs="Times New Roman"/>
          <w:szCs w:val="30"/>
          <w:highlight w:val="none"/>
          <w:lang w:val="en-US" w:eastAsia="zh-CN"/>
        </w:rPr>
        <w:t>《昆明市民政局关于申报民办养老服务机构及居家养老服务中心补助的通知》（昆民通〔2020〕41号）</w:t>
      </w:r>
      <w:r>
        <w:rPr>
          <w:rFonts w:hint="default" w:ascii="Times New Roman" w:hAnsi="Times New Roman" w:eastAsia="仿宋" w:cs="Times New Roman"/>
          <w:kern w:val="2"/>
          <w:sz w:val="30"/>
          <w:szCs w:val="30"/>
          <w:highlight w:val="none"/>
          <w:lang w:val="en-US" w:eastAsia="zh-CN" w:bidi="ar-SA"/>
        </w:rPr>
        <w:t>等文件立项，项目立项与国家政策方向一致，符合国家、省级、市级相关政策要求；项目立项与</w:t>
      </w:r>
      <w:r>
        <w:rPr>
          <w:rFonts w:hint="default" w:ascii="Times New Roman" w:hAnsi="Times New Roman" w:cs="Times New Roman"/>
          <w:kern w:val="2"/>
          <w:sz w:val="30"/>
          <w:szCs w:val="30"/>
          <w:highlight w:val="none"/>
          <w:lang w:val="en-US" w:eastAsia="zh-CN" w:bidi="ar-SA"/>
        </w:rPr>
        <w:t>西山区民政局的社会保障科</w:t>
      </w:r>
      <w:r>
        <w:rPr>
          <w:rFonts w:hint="default" w:ascii="Times New Roman" w:hAnsi="Times New Roman" w:eastAsia="仿宋" w:cs="Times New Roman"/>
          <w:kern w:val="2"/>
          <w:sz w:val="30"/>
          <w:szCs w:val="30"/>
          <w:highlight w:val="none"/>
          <w:lang w:val="en-US" w:eastAsia="zh-CN" w:bidi="ar-SA"/>
        </w:rPr>
        <w:t>部门职能职责相关；项目属于公共财政支持范围，符合中央、地方事权支出责任划分原则；与相关部门同类项目或部门内部相关项目不重复。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42ED03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（2）立项规范性</w:t>
      </w:r>
    </w:p>
    <w:p w14:paraId="5C09C1B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西山区民政局在申报年初部门预算时，对项目进行了同步申报，并填报了项目立项申报表，项目按规定的程序申请设立，提交的文件、材料符合相关要求，项目立项程序规范。因此，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7F9E212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2.绩效目标</w:t>
      </w:r>
    </w:p>
    <w:p w14:paraId="660A21F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（1）绩效目标合理性</w:t>
      </w:r>
    </w:p>
    <w:p w14:paraId="6F86ADDB">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的绩效目标与实际工作内容相关，绩效指标涵盖产出数量、质量、时效及效益指标；项目预期产出效益和效果符合正常的业绩水平；目标与预算确定的项目投资额或资金量相匹配。</w:t>
      </w:r>
    </w:p>
    <w:p w14:paraId="45D4BFE4">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6D9EB1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（2）绩效目标明确性</w:t>
      </w:r>
    </w:p>
    <w:p w14:paraId="2BBF497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根据项目绩效目标申报表，</w:t>
      </w:r>
      <w:r>
        <w:rPr>
          <w:rFonts w:hint="default" w:ascii="Times New Roman" w:hAnsi="Times New Roman" w:cs="Times New Roman"/>
          <w:kern w:val="2"/>
          <w:sz w:val="30"/>
          <w:szCs w:val="30"/>
          <w:highlight w:val="none"/>
          <w:lang w:val="en-US" w:eastAsia="zh-CN" w:bidi="ar-SA"/>
        </w:rPr>
        <w:t>本项目</w:t>
      </w:r>
      <w:r>
        <w:rPr>
          <w:rFonts w:hint="default" w:ascii="Times New Roman" w:hAnsi="Times New Roman" w:eastAsia="仿宋" w:cs="Times New Roman"/>
          <w:kern w:val="2"/>
          <w:sz w:val="30"/>
          <w:szCs w:val="30"/>
          <w:highlight w:val="none"/>
          <w:lang w:val="en-US" w:eastAsia="zh-CN" w:bidi="ar-SA"/>
        </w:rPr>
        <w:t>已将项目绩效目标细化分解为具体的绩效指标，绩效指标涵盖产出数量、质量、时效及效益指标</w:t>
      </w:r>
      <w:r>
        <w:rPr>
          <w:rFonts w:hint="default" w:ascii="Times New Roman" w:hAnsi="Times New Roman" w:cs="Times New Roman"/>
          <w:kern w:val="2"/>
          <w:sz w:val="30"/>
          <w:szCs w:val="30"/>
          <w:highlight w:val="none"/>
          <w:lang w:val="en-US" w:eastAsia="zh-CN" w:bidi="ar-SA"/>
        </w:rPr>
        <w:t>，但是个别指标编制不够准确，如质量指标编制为“2023年发放城乡居家养老服务中心运营补助资金完成率”，该指标实际应为数量指标，建议按照文件要求，增加对工作过程的考核的质量指标，如“补助资金发放准确性”，用于考核实际发出补贴是否与应补贴名单一致。二是时效指标建议更改为“工作完成及时性”，用于考核项目是否在年度内完成。因此，</w:t>
      </w:r>
      <w:r>
        <w:rPr>
          <w:rFonts w:hint="default" w:ascii="Times New Roman" w:hAnsi="Times New Roman" w:eastAsia="仿宋" w:cs="Times New Roman"/>
          <w:kern w:val="2"/>
          <w:sz w:val="30"/>
          <w:szCs w:val="30"/>
          <w:highlight w:val="none"/>
          <w:lang w:val="en-US" w:eastAsia="zh-CN" w:bidi="ar-SA"/>
        </w:rPr>
        <w:t>指标分值3分，评价得分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491ECBA8">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3.资金投入</w:t>
      </w:r>
    </w:p>
    <w:p w14:paraId="4F4226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（1）预算编制科学性</w:t>
      </w:r>
    </w:p>
    <w:p w14:paraId="5929357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本项目主要</w:t>
      </w:r>
      <w:r>
        <w:rPr>
          <w:rFonts w:hint="default" w:ascii="Times New Roman" w:hAnsi="Times New Roman" w:eastAsia="仿宋" w:cs="Times New Roman"/>
          <w:kern w:val="2"/>
          <w:sz w:val="30"/>
          <w:szCs w:val="30"/>
          <w:highlight w:val="none"/>
          <w:lang w:val="en-US" w:eastAsia="zh-CN" w:bidi="ar-SA"/>
        </w:rPr>
        <w:t>根据</w:t>
      </w:r>
      <w:r>
        <w:rPr>
          <w:rFonts w:hint="default" w:ascii="Times New Roman" w:hAnsi="Times New Roman" w:cs="Times New Roman"/>
          <w:szCs w:val="30"/>
          <w:highlight w:val="none"/>
          <w:lang w:val="en-US" w:eastAsia="zh-CN"/>
        </w:rPr>
        <w:t>昆明市民政局发布的《昆明市民政局关于申报民办养老服务机构及居家养老服务中心补助的通知》（昆民通〔2020〕41号），</w:t>
      </w:r>
      <w:r>
        <w:rPr>
          <w:rFonts w:hint="default" w:ascii="Times New Roman" w:hAnsi="Times New Roman" w:cs="Times New Roman"/>
          <w:b w:val="0"/>
          <w:bCs w:val="0"/>
          <w:szCs w:val="30"/>
          <w:highlight w:val="none"/>
          <w:lang w:val="en-US" w:eastAsia="zh-CN"/>
        </w:rPr>
        <w:t>关于“居家养老中心（站）不低于2.4万元的运营经费”的要求，结合历年支出及辖区发展情况进行编制。</w:t>
      </w:r>
      <w:r>
        <w:rPr>
          <w:rFonts w:hint="default" w:ascii="Times New Roman" w:hAnsi="Times New Roman" w:eastAsia="仿宋" w:cs="Times New Roman"/>
          <w:b w:val="0"/>
          <w:bCs w:val="0"/>
          <w:kern w:val="2"/>
          <w:sz w:val="30"/>
          <w:szCs w:val="30"/>
          <w:highlight w:val="none"/>
          <w:lang w:val="en-US" w:eastAsia="zh-CN" w:bidi="ar-SA"/>
        </w:rPr>
        <w:t>本项目预算编制经过科学论证；预算内容与项目内容匹配；预算额度测算依据充分；预算确定的项目投资额或资金</w:t>
      </w:r>
      <w:r>
        <w:rPr>
          <w:rFonts w:hint="default" w:ascii="Times New Roman" w:hAnsi="Times New Roman" w:eastAsia="仿宋" w:cs="Times New Roman"/>
          <w:kern w:val="2"/>
          <w:sz w:val="30"/>
          <w:szCs w:val="30"/>
          <w:highlight w:val="none"/>
          <w:lang w:val="en-US" w:eastAsia="zh-CN" w:bidi="ar-SA"/>
        </w:rPr>
        <w:t>量与工作任务相匹配。</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指标分值3分，评价得分3分。</w:t>
      </w:r>
    </w:p>
    <w:p w14:paraId="42B7DB1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（2）资金分配合理性</w:t>
      </w:r>
    </w:p>
    <w:p w14:paraId="512A92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w:t>
      </w:r>
      <w:r>
        <w:rPr>
          <w:rFonts w:hint="default" w:ascii="Times New Roman" w:hAnsi="Times New Roman" w:cs="Times New Roman"/>
          <w:kern w:val="2"/>
          <w:sz w:val="30"/>
          <w:szCs w:val="30"/>
          <w:highlight w:val="none"/>
          <w:lang w:val="en-US" w:eastAsia="zh-CN" w:bidi="ar-SA"/>
        </w:rPr>
        <w:t>评估单位提供的报告以及实际支出名单</w:t>
      </w:r>
      <w:r>
        <w:rPr>
          <w:rFonts w:hint="default" w:ascii="Times New Roman" w:hAnsi="Times New Roman" w:eastAsia="仿宋" w:cs="Times New Roman"/>
          <w:kern w:val="2"/>
          <w:sz w:val="30"/>
          <w:szCs w:val="30"/>
          <w:highlight w:val="none"/>
          <w:lang w:val="en-US" w:eastAsia="zh-CN" w:bidi="ar-SA"/>
        </w:rPr>
        <w:t>等文件，本项目预算资金分配依据充分；资金分配额度合理，与项目单位</w:t>
      </w:r>
      <w:r>
        <w:rPr>
          <w:rFonts w:hint="default" w:ascii="Times New Roman" w:hAnsi="Times New Roman" w:cs="Times New Roman"/>
          <w:kern w:val="2"/>
          <w:sz w:val="30"/>
          <w:szCs w:val="30"/>
          <w:highlight w:val="none"/>
          <w:lang w:val="en-US" w:eastAsia="zh-CN" w:bidi="ar-SA"/>
        </w:rPr>
        <w:t>和</w:t>
      </w:r>
      <w:r>
        <w:rPr>
          <w:rFonts w:hint="default" w:ascii="Times New Roman" w:hAnsi="Times New Roman" w:eastAsia="仿宋" w:cs="Times New Roman"/>
          <w:kern w:val="2"/>
          <w:sz w:val="30"/>
          <w:szCs w:val="30"/>
          <w:highlight w:val="none"/>
          <w:lang w:val="en-US" w:eastAsia="zh-CN" w:bidi="ar-SA"/>
        </w:rPr>
        <w:t>地方实际相适应。</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分。</w:t>
      </w:r>
    </w:p>
    <w:p w14:paraId="0B28469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61" w:name="_Toc11488"/>
      <w:r>
        <w:rPr>
          <w:rFonts w:hint="default" w:ascii="Times New Roman" w:hAnsi="Times New Roman" w:cs="Times New Roman"/>
          <w:highlight w:val="none"/>
        </w:rPr>
        <w:t>（二）过程情况分析</w:t>
      </w:r>
      <w:bookmarkEnd w:id="61"/>
    </w:p>
    <w:p w14:paraId="3A000D3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项目过程类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指标，包括资金管理和组织实施两个方面，采用</w:t>
      </w:r>
      <w:r>
        <w:rPr>
          <w:rFonts w:hint="default" w:ascii="Times New Roman" w:hAns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个三级指标进行考察。权重分值20分，绩效评价得分</w:t>
      </w:r>
      <w:r>
        <w:rPr>
          <w:rFonts w:hint="eastAsia" w:ascii="Times New Roman" w:cs="Times New Roman"/>
          <w:kern w:val="2"/>
          <w:sz w:val="30"/>
          <w:szCs w:val="30"/>
          <w:highlight w:val="none"/>
          <w:lang w:val="en-US" w:eastAsia="zh-CN" w:bidi="ar-SA"/>
        </w:rPr>
        <w:t>20</w:t>
      </w:r>
      <w:r>
        <w:rPr>
          <w:rFonts w:hint="default" w:ascii="Times New Roman" w:hAnsi="Times New Roman" w:eastAsia="仿宋" w:cs="Times New Roman"/>
          <w:kern w:val="2"/>
          <w:sz w:val="30"/>
          <w:szCs w:val="30"/>
          <w:highlight w:val="none"/>
          <w:lang w:val="en-US" w:eastAsia="zh-CN" w:bidi="ar-SA"/>
        </w:rPr>
        <w:t>分，得分率为</w:t>
      </w:r>
      <w:r>
        <w:rPr>
          <w:rFonts w:hint="eastAsia" w:ascii="Times New Roman" w:cs="Times New Roman"/>
          <w:kern w:val="2"/>
          <w:sz w:val="30"/>
          <w:szCs w:val="30"/>
          <w:highlight w:val="none"/>
          <w:lang w:val="en-US" w:eastAsia="zh-CN" w:bidi="ar-SA"/>
        </w:rPr>
        <w:t>100</w:t>
      </w:r>
      <w:r>
        <w:rPr>
          <w:rFonts w:hint="default" w:ascii="Times New Roman" w:hAnsi="Times New Roman" w:eastAsia="仿宋" w:cs="Times New Roman"/>
          <w:kern w:val="2"/>
          <w:sz w:val="30"/>
          <w:szCs w:val="30"/>
          <w:highlight w:val="none"/>
          <w:lang w:val="en-US" w:eastAsia="zh-CN" w:bidi="ar-SA"/>
        </w:rPr>
        <w:t>%。</w:t>
      </w:r>
    </w:p>
    <w:p w14:paraId="28041943">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1.资金管理</w:t>
      </w:r>
    </w:p>
    <w:p w14:paraId="7D9FF13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（1）资金到位率</w:t>
      </w:r>
    </w:p>
    <w:p w14:paraId="7136D31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根据项目申报书，本项目202</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年共申报预算资金</w:t>
      </w:r>
      <w:r>
        <w:rPr>
          <w:rFonts w:hint="default" w:ascii="Times New Roman" w:hAnsi="Times New Roman" w:cs="Times New Roman"/>
          <w:kern w:val="2"/>
          <w:sz w:val="30"/>
          <w:szCs w:val="30"/>
          <w:highlight w:val="none"/>
          <w:lang w:val="en-US" w:eastAsia="zh-CN" w:bidi="ar-SA"/>
        </w:rPr>
        <w:t>24.6</w:t>
      </w:r>
      <w:r>
        <w:rPr>
          <w:rFonts w:hint="eastAsia" w:ascii="Times New Roman" w:cs="Times New Roman"/>
          <w:kern w:val="2"/>
          <w:sz w:val="30"/>
          <w:szCs w:val="30"/>
          <w:highlight w:val="none"/>
          <w:lang w:val="en-US" w:eastAsia="zh-CN" w:bidi="ar-SA"/>
        </w:rPr>
        <w:t>1</w:t>
      </w:r>
      <w:r>
        <w:rPr>
          <w:rFonts w:hint="default" w:ascii="Times New Roman" w:hAnsi="Times New Roman" w:eastAsia="仿宋" w:cs="Times New Roman"/>
          <w:kern w:val="2"/>
          <w:sz w:val="30"/>
          <w:szCs w:val="30"/>
          <w:highlight w:val="none"/>
          <w:lang w:val="en-US" w:eastAsia="zh-CN" w:bidi="ar-SA"/>
        </w:rPr>
        <w:t>万元</w:t>
      </w:r>
      <w:r>
        <w:rPr>
          <w:rFonts w:hint="default" w:ascii="Times New Roman" w:hAnsi="Times New Roman" w:cs="Times New Roman"/>
          <w:kern w:val="2"/>
          <w:sz w:val="30"/>
          <w:szCs w:val="30"/>
          <w:highlight w:val="none"/>
          <w:lang w:val="en-US" w:eastAsia="zh-CN" w:bidi="ar-SA"/>
        </w:rPr>
        <w:t>，截至2023年12月31日，本项目实际收到财政资金24.6</w:t>
      </w: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万元</w:t>
      </w: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szCs w:val="30"/>
          <w:highlight w:val="none"/>
          <w:lang w:val="en-US" w:eastAsia="zh-CN"/>
        </w:rPr>
        <w:t>资金到位率=（实际到位资金÷预算资金）×100%=（</w:t>
      </w:r>
      <w:r>
        <w:rPr>
          <w:rFonts w:hint="default" w:ascii="Times New Roman" w:hAnsi="Times New Roman" w:cs="Times New Roman"/>
          <w:kern w:val="2"/>
          <w:sz w:val="30"/>
          <w:szCs w:val="30"/>
          <w:highlight w:val="none"/>
          <w:lang w:val="en-US" w:eastAsia="zh-CN" w:bidi="ar-SA"/>
        </w:rPr>
        <w:t>24.6</w:t>
      </w:r>
      <w:r>
        <w:rPr>
          <w:rFonts w:hint="eastAsia" w:ascii="Times New Roman" w:cs="Times New Roman"/>
          <w:kern w:val="2"/>
          <w:sz w:val="30"/>
          <w:szCs w:val="30"/>
          <w:highlight w:val="none"/>
          <w:lang w:val="en-US" w:eastAsia="zh-CN" w:bidi="ar-SA"/>
        </w:rPr>
        <w:t>1</w:t>
      </w:r>
      <w:r>
        <w:rPr>
          <w:rFonts w:hint="default" w:ascii="Times New Roman" w:hAnsi="Times New Roman" w:cs="Times New Roman"/>
          <w:szCs w:val="30"/>
          <w:highlight w:val="none"/>
          <w:lang w:val="en-US" w:eastAsia="zh-CN"/>
        </w:rPr>
        <w:t>÷</w:t>
      </w:r>
      <w:r>
        <w:rPr>
          <w:rFonts w:hint="default" w:ascii="Times New Roman" w:hAnsi="Times New Roman" w:cs="Times New Roman"/>
          <w:kern w:val="2"/>
          <w:sz w:val="30"/>
          <w:szCs w:val="30"/>
          <w:highlight w:val="none"/>
          <w:lang w:val="en-US" w:eastAsia="zh-CN" w:bidi="ar-SA"/>
        </w:rPr>
        <w:t>24.6</w:t>
      </w:r>
      <w:r>
        <w:rPr>
          <w:rFonts w:hint="eastAsia" w:ascii="Times New Roman" w:cs="Times New Roman"/>
          <w:kern w:val="2"/>
          <w:sz w:val="30"/>
          <w:szCs w:val="30"/>
          <w:highlight w:val="none"/>
          <w:lang w:val="en-US" w:eastAsia="zh-CN" w:bidi="ar-SA"/>
        </w:rPr>
        <w:t>1</w:t>
      </w:r>
      <w:r>
        <w:rPr>
          <w:rFonts w:hint="default" w:ascii="Times New Roman" w:hAnsi="Times New Roman" w:cs="Times New Roman"/>
          <w:szCs w:val="30"/>
          <w:highlight w:val="none"/>
          <w:lang w:val="en-US" w:eastAsia="zh-CN"/>
        </w:rPr>
        <w:t>）×100%=100%。</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指标分值3分，评价得分3分。</w:t>
      </w:r>
    </w:p>
    <w:p w14:paraId="17FA247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（2）预算执行率</w:t>
      </w:r>
    </w:p>
    <w:p w14:paraId="778FE2D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根据项目财务资</w:t>
      </w:r>
      <w:r>
        <w:rPr>
          <w:rFonts w:hint="default" w:ascii="Times New Roman" w:hAnsi="Times New Roman" w:eastAsia="仿宋" w:cs="Times New Roman"/>
          <w:b w:val="0"/>
          <w:bCs w:val="0"/>
          <w:kern w:val="2"/>
          <w:sz w:val="30"/>
          <w:szCs w:val="30"/>
          <w:highlight w:val="none"/>
          <w:lang w:val="en-US" w:eastAsia="zh-CN" w:bidi="ar-SA"/>
        </w:rPr>
        <w:t>料，</w:t>
      </w:r>
      <w:r>
        <w:rPr>
          <w:rFonts w:hint="default" w:ascii="Times New Roman" w:hAnsi="Times New Roman" w:cs="Times New Roman"/>
          <w:b w:val="0"/>
          <w:bCs w:val="0"/>
          <w:szCs w:val="30"/>
          <w:highlight w:val="none"/>
          <w:lang w:val="en-US" w:eastAsia="zh-CN"/>
        </w:rPr>
        <w:t>共补助金额55.4万元，资金构成包含2023年预算24.6</w:t>
      </w:r>
      <w:r>
        <w:rPr>
          <w:rFonts w:hint="eastAsia" w:ascii="Times New Roman" w:cs="Times New Roman"/>
          <w:b w:val="0"/>
          <w:bCs w:val="0"/>
          <w:szCs w:val="30"/>
          <w:highlight w:val="none"/>
          <w:lang w:val="en-US" w:eastAsia="zh-CN"/>
        </w:rPr>
        <w:t>1</w:t>
      </w:r>
      <w:r>
        <w:rPr>
          <w:rFonts w:hint="default" w:ascii="Times New Roman" w:hAnsi="Times New Roman" w:cs="Times New Roman"/>
          <w:b w:val="0"/>
          <w:bCs w:val="0"/>
          <w:szCs w:val="30"/>
          <w:highlight w:val="none"/>
          <w:lang w:val="en-US" w:eastAsia="zh-CN"/>
        </w:rPr>
        <w:t>万元（预算执行率100%）以及2022年该项目的结余资金30.79万元</w:t>
      </w:r>
      <w:r>
        <w:rPr>
          <w:rFonts w:hint="default" w:ascii="Times New Roman" w:hAnsi="Times New Roman" w:eastAsia="仿宋" w:cs="Times New Roman"/>
          <w:b w:val="0"/>
          <w:bCs w:val="0"/>
          <w:kern w:val="2"/>
          <w:sz w:val="30"/>
          <w:szCs w:val="30"/>
          <w:highlight w:val="none"/>
          <w:lang w:val="en-US" w:eastAsia="zh-CN" w:bidi="ar-SA"/>
        </w:rPr>
        <w:t>。</w:t>
      </w:r>
      <w:r>
        <w:rPr>
          <w:rFonts w:hint="default" w:ascii="Times New Roman" w:hAnsi="Times New Roman" w:cs="Times New Roman"/>
          <w:b w:val="0"/>
          <w:bCs w:val="0"/>
          <w:kern w:val="2"/>
          <w:sz w:val="30"/>
          <w:szCs w:val="30"/>
          <w:highlight w:val="none"/>
          <w:lang w:val="en-US" w:eastAsia="zh-CN" w:bidi="ar-SA"/>
        </w:rPr>
        <w:t>因</w:t>
      </w:r>
      <w:r>
        <w:rPr>
          <w:rFonts w:hint="default" w:ascii="Times New Roman" w:hAnsi="Times New Roman" w:cs="Times New Roman"/>
          <w:kern w:val="2"/>
          <w:sz w:val="30"/>
          <w:szCs w:val="30"/>
          <w:highlight w:val="none"/>
          <w:lang w:val="en-US" w:eastAsia="zh-CN" w:bidi="ar-SA"/>
        </w:rPr>
        <w:t>此，</w:t>
      </w:r>
      <w:r>
        <w:rPr>
          <w:rFonts w:hint="default" w:ascii="Times New Roman" w:hAnsi="Times New Roman" w:eastAsia="仿宋" w:cs="Times New Roman"/>
          <w:kern w:val="2"/>
          <w:sz w:val="30"/>
          <w:szCs w:val="30"/>
          <w:highlight w:val="none"/>
          <w:lang w:val="en-US" w:eastAsia="zh-CN" w:bidi="ar-SA"/>
        </w:rPr>
        <w:t>指标分值3分，评价得分3分。</w:t>
      </w:r>
    </w:p>
    <w:p w14:paraId="5F4FEBD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（3）资金使用合规性</w:t>
      </w:r>
    </w:p>
    <w:p w14:paraId="70BB319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经项目组现场评价，并查阅项目相关费用支出凭证，</w:t>
      </w:r>
      <w:r>
        <w:rPr>
          <w:rFonts w:hint="default" w:ascii="Times New Roman" w:hAnsi="Times New Roman" w:cs="Times New Roman"/>
          <w:highlight w:val="none"/>
          <w:lang w:val="en-US" w:eastAsia="zh-CN"/>
        </w:rPr>
        <w:t>社区居家养老服务中心运营补助项目</w:t>
      </w:r>
      <w:r>
        <w:rPr>
          <w:rFonts w:hint="default" w:ascii="Times New Roman" w:hAnsi="Times New Roman" w:eastAsia="仿宋" w:cs="Times New Roman"/>
          <w:kern w:val="2"/>
          <w:sz w:val="30"/>
          <w:szCs w:val="30"/>
          <w:highlight w:val="none"/>
          <w:lang w:val="en-US" w:eastAsia="zh-CN" w:bidi="ar-SA"/>
        </w:rPr>
        <w:t>资金使用符合专项资金管理办法的规定，未发现存在截留、挤占、挪用、虚列支出等情况。</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分。</w:t>
      </w:r>
    </w:p>
    <w:p w14:paraId="3E2A60B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2.组织实施</w:t>
      </w:r>
    </w:p>
    <w:p w14:paraId="3D8CB89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（1）管理制度健全性</w:t>
      </w:r>
    </w:p>
    <w:p w14:paraId="16DDB546">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本项目按照</w:t>
      </w:r>
      <w:r>
        <w:rPr>
          <w:rFonts w:hint="default" w:ascii="Times New Roman" w:hAnsi="Times New Roman" w:cs="Times New Roman"/>
          <w:szCs w:val="30"/>
          <w:highlight w:val="none"/>
          <w:lang w:val="en-US" w:eastAsia="zh-CN"/>
        </w:rPr>
        <w:t>《昆明市民政局关于申报民办养老服务机构及居家养老服务中心补助的通知》（昆民通〔2020〕41号）</w:t>
      </w:r>
      <w:r>
        <w:rPr>
          <w:rFonts w:hint="default" w:ascii="Times New Roman" w:hAnsi="Times New Roman" w:eastAsia="仿宋" w:cs="Times New Roman"/>
          <w:kern w:val="2"/>
          <w:sz w:val="30"/>
          <w:szCs w:val="30"/>
          <w:highlight w:val="none"/>
          <w:lang w:val="en-US" w:eastAsia="zh-CN" w:bidi="ar-SA"/>
        </w:rPr>
        <w:t>执行项目管理，项目管理制度健全，职责分工明确；</w:t>
      </w:r>
      <w:r>
        <w:rPr>
          <w:rFonts w:hint="default" w:ascii="Times New Roman" w:hAnsi="Times New Roman" w:cs="Times New Roman"/>
          <w:kern w:val="2"/>
          <w:sz w:val="30"/>
          <w:szCs w:val="30"/>
          <w:highlight w:val="none"/>
          <w:lang w:val="en-US" w:eastAsia="zh-CN" w:bidi="ar-SA"/>
        </w:rPr>
        <w:t>西山区民政局</w:t>
      </w:r>
      <w:r>
        <w:rPr>
          <w:rFonts w:hint="default" w:ascii="Times New Roman" w:hAnsi="Times New Roman" w:eastAsia="仿宋" w:cs="Times New Roman"/>
          <w:kern w:val="2"/>
          <w:sz w:val="30"/>
          <w:szCs w:val="30"/>
          <w:highlight w:val="none"/>
          <w:lang w:val="en-US" w:eastAsia="zh-CN" w:bidi="ar-SA"/>
        </w:rPr>
        <w:t>严格按照</w:t>
      </w:r>
      <w:r>
        <w:rPr>
          <w:rFonts w:hint="default" w:ascii="Times New Roman" w:hAnsi="Times New Roman" w:cs="Times New Roman"/>
          <w:szCs w:val="30"/>
          <w:highlight w:val="none"/>
          <w:lang w:val="en-US" w:eastAsia="zh-CN"/>
        </w:rPr>
        <w:t>《昆明市西山区民政局财务管理制度》</w:t>
      </w:r>
      <w:r>
        <w:rPr>
          <w:rFonts w:hint="default" w:ascii="Times New Roman" w:hAnsi="Times New Roman" w:eastAsia="仿宋" w:cs="Times New Roman"/>
          <w:kern w:val="2"/>
          <w:sz w:val="30"/>
          <w:szCs w:val="30"/>
          <w:highlight w:val="none"/>
          <w:lang w:val="en-US" w:eastAsia="zh-CN" w:bidi="ar-SA"/>
        </w:rPr>
        <w:t>进行资金管理，财务管理制度合法、合规。</w:t>
      </w:r>
    </w:p>
    <w:p w14:paraId="04BFFA4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因此，指标分值</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eastAsia" w:asci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1FC54EE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2</w:t>
      </w:r>
      <w:r>
        <w:rPr>
          <w:rFonts w:hint="default" w:ascii="Times New Roman" w:hAnsi="Times New Roman" w:eastAsia="仿宋" w:cs="Times New Roman"/>
          <w:kern w:val="2"/>
          <w:sz w:val="30"/>
          <w:szCs w:val="30"/>
          <w:highlight w:val="none"/>
          <w:lang w:val="en-US" w:eastAsia="zh-CN" w:bidi="ar-SA"/>
        </w:rPr>
        <w:t>）制度执行有效性</w:t>
      </w:r>
    </w:p>
    <w:p w14:paraId="60F431B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本项目不涉及采购</w:t>
      </w:r>
      <w:r>
        <w:rPr>
          <w:rFonts w:hint="default" w:ascii="Times New Roman" w:hAnsi="Times New Roman" w:cs="Times New Roman"/>
          <w:kern w:val="2"/>
          <w:sz w:val="30"/>
          <w:szCs w:val="30"/>
          <w:highlight w:val="none"/>
          <w:lang w:val="en-US" w:eastAsia="zh-CN" w:bidi="ar-SA"/>
        </w:rPr>
        <w:t>及合同</w:t>
      </w:r>
      <w:r>
        <w:rPr>
          <w:rFonts w:hint="default" w:ascii="Times New Roman" w:hAnsi="Times New Roman" w:eastAsia="仿宋" w:cs="Times New Roman"/>
          <w:kern w:val="2"/>
          <w:sz w:val="30"/>
          <w:szCs w:val="30"/>
          <w:highlight w:val="none"/>
          <w:lang w:val="en-US" w:eastAsia="zh-CN" w:bidi="ar-SA"/>
        </w:rPr>
        <w:t>等工作</w:t>
      </w:r>
      <w:r>
        <w:rPr>
          <w:rFonts w:hint="default" w:ascii="Times New Roman" w:hAnsi="Times New Roman" w:cs="Times New Roman"/>
          <w:kern w:val="2"/>
          <w:sz w:val="30"/>
          <w:szCs w:val="30"/>
          <w:highlight w:val="none"/>
          <w:lang w:val="en-US" w:eastAsia="zh-CN" w:bidi="ar-SA"/>
        </w:rPr>
        <w:t>，主要是根据评估单位的结论对符合补助范围的居家养老中心进行补助资金的发放。</w:t>
      </w:r>
    </w:p>
    <w:p w14:paraId="5060609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highlight w:val="none"/>
          <w:lang w:val="en-US" w:eastAsia="zh-CN"/>
        </w:rPr>
        <w:t>财务管理方面。根据《昆明市西山区民政局财务管理制度》要求，</w:t>
      </w:r>
      <w:r>
        <w:rPr>
          <w:rFonts w:hint="default" w:ascii="Times New Roman" w:hAnsi="Times New Roman" w:cs="Times New Roman"/>
          <w:b w:val="0"/>
          <w:bCs w:val="0"/>
          <w:szCs w:val="30"/>
          <w:highlight w:val="none"/>
          <w:lang w:val="en-US" w:eastAsia="zh-CN"/>
        </w:rPr>
        <w:t>“10000元以上的开支由局办公会议集体讨论决定，局长审批”。项目组对相应的材料进行了收集，其中，区民政局社保科于2023年11月10日收到评估单位的报告后，于2023年11月29日上报区民政局第20次办公会议。会议明确“拟同意下拨西山区 2022年度社区居家养老服务中心运营补贴26家60.2万元，具体经费拟从上年度上级结余资金和本年度上级补助资金中列支，报局党组研究。”同日，根据局党组会研究，拟同意下拨区2022年度设于居家养老服务中心运营补贴60.2万元</w:t>
      </w:r>
      <w:r>
        <w:rPr>
          <w:rFonts w:hint="default" w:ascii="Times New Roman" w:hAnsi="Times New Roman" w:eastAsia="仿宋" w:cs="Times New Roman"/>
          <w:kern w:val="2"/>
          <w:sz w:val="30"/>
          <w:szCs w:val="30"/>
          <w:highlight w:val="none"/>
          <w:lang w:val="en-US" w:eastAsia="zh-CN" w:bidi="ar-SA"/>
        </w:rPr>
        <w:t>。</w:t>
      </w:r>
    </w:p>
    <w:p w14:paraId="7EA4484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绩效自评方面。区民政局根据绩效工作要求完成绩效自评工作，本项目得分为100分，无需整改。</w:t>
      </w:r>
      <w:r>
        <w:rPr>
          <w:rFonts w:hint="default" w:ascii="Times New Roman" w:hAnsi="Times New Roman" w:eastAsia="仿宋" w:cs="Times New Roman"/>
          <w:kern w:val="2"/>
          <w:sz w:val="30"/>
          <w:szCs w:val="30"/>
          <w:highlight w:val="none"/>
          <w:lang w:val="en-US" w:eastAsia="zh-CN" w:bidi="ar-SA"/>
        </w:rPr>
        <w:t>因此，指标分值</w:t>
      </w:r>
      <w:r>
        <w:rPr>
          <w:rFonts w:hint="default" w:ascii="Times New Roman" w:hAns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6</w:t>
      </w:r>
      <w:r>
        <w:rPr>
          <w:rFonts w:hint="default" w:ascii="Times New Roman" w:hAnsi="Times New Roman" w:eastAsia="仿宋" w:cs="Times New Roman"/>
          <w:kern w:val="2"/>
          <w:sz w:val="30"/>
          <w:szCs w:val="30"/>
          <w:highlight w:val="none"/>
          <w:lang w:val="en-US" w:eastAsia="zh-CN" w:bidi="ar-SA"/>
        </w:rPr>
        <w:t>分。</w:t>
      </w:r>
    </w:p>
    <w:p w14:paraId="1E0BF95F">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62" w:name="_Toc29864"/>
      <w:r>
        <w:rPr>
          <w:rFonts w:hint="default" w:ascii="Times New Roman" w:hAnsi="Times New Roman" w:cs="Times New Roman"/>
          <w:highlight w:val="none"/>
        </w:rPr>
        <w:t>（三）产出情况分析</w:t>
      </w:r>
      <w:bookmarkEnd w:id="62"/>
    </w:p>
    <w:p w14:paraId="79AFCDB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项目产出类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指标，包括产出数量、产出质量、产出时效、产出成本四个方面，采用</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个三级指标进行考察。权重分值35分，绩效评价得分</w:t>
      </w:r>
      <w:r>
        <w:rPr>
          <w:rFonts w:hint="default" w:ascii="Times New Roman" w:hAnsi="Times New Roman" w:cs="Times New Roman"/>
          <w:kern w:val="2"/>
          <w:sz w:val="30"/>
          <w:szCs w:val="30"/>
          <w:highlight w:val="none"/>
          <w:lang w:val="en-US" w:eastAsia="zh-CN" w:bidi="ar-SA"/>
        </w:rPr>
        <w:t>31</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88.57</w:t>
      </w:r>
      <w:r>
        <w:rPr>
          <w:rFonts w:hint="default" w:ascii="Times New Roman" w:hAnsi="Times New Roman" w:eastAsia="仿宋" w:cs="Times New Roman"/>
          <w:kern w:val="2"/>
          <w:sz w:val="30"/>
          <w:szCs w:val="30"/>
          <w:highlight w:val="none"/>
          <w:lang w:val="en-US" w:eastAsia="zh-CN" w:bidi="ar-SA"/>
        </w:rPr>
        <w:t>%。</w:t>
      </w:r>
    </w:p>
    <w:p w14:paraId="3F1F779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1.产出数量</w:t>
      </w:r>
    </w:p>
    <w:p w14:paraId="676B2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（1）补助资金发放完成率</w:t>
      </w:r>
    </w:p>
    <w:p w14:paraId="0BDED711">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kern w:val="2"/>
          <w:sz w:val="30"/>
          <w:szCs w:val="30"/>
          <w:highlight w:val="none"/>
          <w:lang w:val="en-US" w:eastAsia="zh-CN" w:bidi="ar-SA"/>
        </w:rPr>
        <w:t>根据评估单位提供的《2022年西山区居家养老服务中心运营补助评估报告》、局办公会议及党组会议的会议纪要，2023年需对西山区26个居家养老服务中心进行补贴，实际补贴24家。</w:t>
      </w:r>
      <w:r>
        <w:rPr>
          <w:rFonts w:hint="default" w:ascii="Times New Roman" w:hAnsi="Times New Roman" w:cs="Times New Roman"/>
          <w:b w:val="0"/>
          <w:bCs w:val="0"/>
          <w:szCs w:val="30"/>
          <w:highlight w:val="none"/>
          <w:lang w:val="en-US" w:eastAsia="zh-CN"/>
        </w:rPr>
        <w:t>经核实，缺少的两家分别为猫猫箐社区马鞍山小组居家养老服务中心以及白鱼社区居家养老服务中心，具体未补助原因如下：</w:t>
      </w:r>
    </w:p>
    <w:p w14:paraId="66CA27FB">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szCs w:val="30"/>
          <w:highlight w:val="none"/>
          <w:lang w:val="en-US" w:eastAsia="zh-CN"/>
        </w:rPr>
      </w:pPr>
      <w:r>
        <w:rPr>
          <w:rFonts w:hint="default" w:ascii="Times New Roman" w:hAnsi="Times New Roman" w:cs="Times New Roman"/>
          <w:b w:val="0"/>
          <w:bCs w:val="0"/>
          <w:szCs w:val="30"/>
          <w:highlight w:val="none"/>
          <w:lang w:val="en-US" w:eastAsia="zh-CN"/>
        </w:rPr>
        <w:t>猫猫箐社区马鞍山小组居家养老服务中心：一是由于新冠疫情长时间持续的影响；二是由于居家养老服务中心的运营成本较高，缺乏足够的资金支持；三是社区居家养老服务中心服务设施和服务水平已无法达到相关规定的标准要求。导致猫猫箐社区马鞍山小组居家养老服务中心已经暂停运营，故未领取2022年运营补贴2.4万元。</w:t>
      </w:r>
    </w:p>
    <w:p w14:paraId="440DA364">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rPr>
          <w:rFonts w:hint="default" w:ascii="Times New Roman" w:hAnsi="Times New Roman" w:cs="Times New Roman"/>
          <w:b w:val="0"/>
          <w:bCs w:val="0"/>
          <w:kern w:val="2"/>
          <w:sz w:val="30"/>
          <w:szCs w:val="30"/>
          <w:highlight w:val="none"/>
          <w:lang w:val="en-US" w:eastAsia="zh-CN" w:bidi="ar-SA"/>
        </w:rPr>
      </w:pPr>
      <w:r>
        <w:rPr>
          <w:rFonts w:hint="default" w:ascii="Times New Roman" w:hAnsi="Times New Roman" w:cs="Times New Roman"/>
          <w:b w:val="0"/>
          <w:bCs w:val="0"/>
          <w:szCs w:val="30"/>
          <w:highlight w:val="none"/>
          <w:lang w:val="en-US" w:eastAsia="zh-CN"/>
        </w:rPr>
        <w:t>白鱼社区居家养老服务中心：由于海口街道白鱼社区居家养老服务中心于2023年5月份才正式投入运营，2022年未运营，不符合领取2022年运营补助条件，第三方上门评估的时候已经向第三方老师讲明情况。故未领取 2022年居家养老运营补助2.4万元。</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default" w:ascii="Times New Roman" w:hAns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3</w:t>
      </w:r>
      <w:r>
        <w:rPr>
          <w:rFonts w:hint="default" w:ascii="Times New Roman" w:hAnsi="Times New Roman" w:eastAsia="仿宋" w:cs="Times New Roman"/>
          <w:b w:val="0"/>
          <w:bCs w:val="0"/>
          <w:kern w:val="2"/>
          <w:sz w:val="30"/>
          <w:szCs w:val="30"/>
          <w:highlight w:val="none"/>
          <w:lang w:val="en-US" w:eastAsia="zh-CN" w:bidi="ar-SA"/>
        </w:rPr>
        <w:t>分。</w:t>
      </w:r>
    </w:p>
    <w:p w14:paraId="4A16B0B9">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2.产出质量</w:t>
      </w:r>
    </w:p>
    <w:p w14:paraId="26093204">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（1）补助资金发放准确率</w:t>
      </w:r>
    </w:p>
    <w:p w14:paraId="1FDC2B4C">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根据区民政局提供的支出材料，除特殊原因未发放的补助外，其余发放的单位均与补助名单一致，无法收到补助的单位则由管辖的街道进行代收。</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default" w:ascii="Times New Roman" w:hAnsi="Times New Roman" w:cs="Times New Roman"/>
          <w:b w:val="0"/>
          <w:bCs w:val="0"/>
          <w:kern w:val="2"/>
          <w:sz w:val="30"/>
          <w:szCs w:val="30"/>
          <w:highlight w:val="none"/>
          <w:lang w:val="en-US" w:eastAsia="zh-CN" w:bidi="ar-SA"/>
        </w:rPr>
        <w:t>8</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8</w:t>
      </w:r>
      <w:r>
        <w:rPr>
          <w:rFonts w:hint="default" w:ascii="Times New Roman" w:hAnsi="Times New Roman" w:eastAsia="仿宋" w:cs="Times New Roman"/>
          <w:b w:val="0"/>
          <w:bCs w:val="0"/>
          <w:kern w:val="2"/>
          <w:sz w:val="30"/>
          <w:szCs w:val="30"/>
          <w:highlight w:val="none"/>
          <w:lang w:val="en-US" w:eastAsia="zh-CN" w:bidi="ar-SA"/>
        </w:rPr>
        <w:t>分。</w:t>
      </w:r>
    </w:p>
    <w:p w14:paraId="120BAF51">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left="0" w:leftChars="0"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评估单位专业性</w:t>
      </w:r>
    </w:p>
    <w:p w14:paraId="58CBDEA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评估单位提供的《2022年西山区居家养老服务中心运营补助评估报告》，2023年需对西山区26个居家养老服务中心补贴60.2万元，但实际补助单位为24家，补助总金额55.4万元，与评估单位提供的26家缺少两家。根据情况说明，猫猫箐社区马鞍山小组居家养老服务中心在考核时已经暂停运营。海口街道白鱼社区居家养老服务中心于2023年5月份才正式投入运营，均不属于2022年补贴的范围内。因此项目组认为评估单位的专业性有待加强。</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default" w:ascii="Times New Roman" w:hAnsi="Times New Roman" w:cs="Times New Roman"/>
          <w:b w:val="0"/>
          <w:bCs w:val="0"/>
          <w:kern w:val="2"/>
          <w:sz w:val="30"/>
          <w:szCs w:val="30"/>
          <w:highlight w:val="none"/>
          <w:lang w:val="en-US" w:eastAsia="zh-CN" w:bidi="ar-SA"/>
        </w:rPr>
        <w:t>7</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5</w:t>
      </w:r>
      <w:r>
        <w:rPr>
          <w:rFonts w:hint="default" w:ascii="Times New Roman" w:hAnsi="Times New Roman" w:eastAsia="仿宋" w:cs="Times New Roman"/>
          <w:b w:val="0"/>
          <w:bCs w:val="0"/>
          <w:kern w:val="2"/>
          <w:sz w:val="30"/>
          <w:szCs w:val="30"/>
          <w:highlight w:val="none"/>
          <w:lang w:val="en-US" w:eastAsia="zh-CN" w:bidi="ar-SA"/>
        </w:rPr>
        <w:t>分。</w:t>
      </w:r>
    </w:p>
    <w:p w14:paraId="7671F7A7">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3.产出时效</w:t>
      </w:r>
    </w:p>
    <w:p w14:paraId="2916AF1B">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（1）补助资金发放的及时性</w:t>
      </w:r>
    </w:p>
    <w:p w14:paraId="4646963D">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根据回单，区民政局均在通过局办公会及党组会后，30日内完成补助资金的发放。</w:t>
      </w:r>
    </w:p>
    <w:p w14:paraId="7EEEA6A2">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调查问卷中，项目组设置了“资金是否及时到位的问题”，调查对象为居家养老服务中心，根据结论，未出现资金发放不及时的情况。</w:t>
      </w:r>
      <w:r>
        <w:rPr>
          <w:rFonts w:hint="default" w:ascii="Times New Roman" w:hAnsi="Times New Roman" w:eastAsia="仿宋" w:cs="Times New Roman"/>
          <w:b w:val="0"/>
          <w:bCs w:val="0"/>
          <w:kern w:val="2"/>
          <w:sz w:val="30"/>
          <w:szCs w:val="30"/>
          <w:highlight w:val="none"/>
          <w:lang w:val="en-US" w:eastAsia="zh-CN" w:bidi="ar-SA"/>
        </w:rPr>
        <w:t>因此，指标分值</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分，评价得分</w:t>
      </w:r>
      <w:r>
        <w:rPr>
          <w:rFonts w:hint="default" w:ascii="Times New Roman" w:hAnsi="Times New Roman" w:cs="Times New Roman"/>
          <w:b w:val="0"/>
          <w:bCs w:val="0"/>
          <w:kern w:val="2"/>
          <w:sz w:val="30"/>
          <w:szCs w:val="30"/>
          <w:highlight w:val="none"/>
          <w:lang w:val="en-US" w:eastAsia="zh-CN" w:bidi="ar-SA"/>
        </w:rPr>
        <w:t>6</w:t>
      </w:r>
      <w:r>
        <w:rPr>
          <w:rFonts w:hint="default" w:ascii="Times New Roman" w:hAnsi="Times New Roman" w:eastAsia="仿宋" w:cs="Times New Roman"/>
          <w:b w:val="0"/>
          <w:bCs w:val="0"/>
          <w:kern w:val="2"/>
          <w:sz w:val="30"/>
          <w:szCs w:val="30"/>
          <w:highlight w:val="none"/>
          <w:lang w:val="en-US" w:eastAsia="zh-CN" w:bidi="ar-SA"/>
        </w:rPr>
        <w:t>分。</w:t>
      </w:r>
    </w:p>
    <w:p w14:paraId="7663544C">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4.产出成本</w:t>
      </w:r>
    </w:p>
    <w:p w14:paraId="5183A9A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cs="Times New Roman"/>
          <w:kern w:val="2"/>
          <w:sz w:val="30"/>
          <w:szCs w:val="30"/>
          <w:highlight w:val="none"/>
          <w:lang w:val="en-US" w:eastAsia="zh-CN" w:bidi="ar-SA"/>
        </w:rPr>
      </w:pP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成本控制率</w:t>
      </w:r>
    </w:p>
    <w:p w14:paraId="0DCD260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根据项目基本信息表及本级项目测算表，2023年社区居家养老服务中心运营补助项目计划成本为24.6</w:t>
      </w: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万元，实际成本为55.4万元。成本控制率=[</w:t>
      </w:r>
      <w:r>
        <w:rPr>
          <w:rFonts w:hint="default" w:ascii="Times New Roman" w:hAnsi="Times New Roman" w:cs="Times New Roman"/>
          <w:kern w:val="2"/>
          <w:sz w:val="30"/>
          <w:szCs w:val="30"/>
          <w:highlight w:val="none"/>
          <w:shd w:val="clear" w:fill="auto"/>
          <w:lang w:val="en-US" w:eastAsia="zh-CN" w:bidi="ar-SA"/>
        </w:rPr>
        <w:t>（</w:t>
      </w:r>
      <w:r>
        <w:rPr>
          <w:rFonts w:hint="default" w:ascii="Times New Roman" w:hAnsi="Times New Roman" w:cs="Times New Roman"/>
          <w:kern w:val="2"/>
          <w:sz w:val="30"/>
          <w:szCs w:val="30"/>
          <w:highlight w:val="none"/>
          <w:lang w:val="en-US" w:eastAsia="zh-CN" w:bidi="ar-SA"/>
        </w:rPr>
        <w:t>计划成本-实际成本</w:t>
      </w:r>
      <w:r>
        <w:rPr>
          <w:rFonts w:hint="default" w:ascii="Times New Roman" w:hAnsi="Times New Roman" w:cs="Times New Roman"/>
          <w:kern w:val="2"/>
          <w:sz w:val="30"/>
          <w:szCs w:val="30"/>
          <w:highlight w:val="none"/>
          <w:shd w:val="clear" w:fill="auto"/>
          <w:lang w:val="en-US" w:eastAsia="zh-CN" w:bidi="ar-SA"/>
        </w:rPr>
        <w:t>）</w:t>
      </w:r>
      <w:r>
        <w:rPr>
          <w:rFonts w:hint="default" w:ascii="Times New Roman" w:hAnsi="Times New Roman" w:cs="Times New Roman"/>
          <w:kern w:val="2"/>
          <w:sz w:val="30"/>
          <w:szCs w:val="30"/>
          <w:highlight w:val="none"/>
          <w:lang w:val="en-US" w:eastAsia="zh-CN" w:bidi="ar-SA"/>
        </w:rPr>
        <w:t>÷计划成本]×100%=（24.6</w:t>
      </w: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-55.4）÷24.6</w:t>
      </w:r>
      <w:r>
        <w:rPr>
          <w:rFonts w:hint="eastAsia" w:ascii="Times New Roman" w:cs="Times New Roman"/>
          <w:kern w:val="2"/>
          <w:sz w:val="30"/>
          <w:szCs w:val="30"/>
          <w:highlight w:val="none"/>
          <w:lang w:val="en-US" w:eastAsia="zh-CN" w:bidi="ar-SA"/>
        </w:rPr>
        <w:t>1</w:t>
      </w:r>
      <w:r>
        <w:rPr>
          <w:rFonts w:hint="default" w:ascii="Times New Roman" w:hAnsi="Times New Roman" w:cs="Times New Roman"/>
          <w:kern w:val="2"/>
          <w:sz w:val="30"/>
          <w:szCs w:val="30"/>
          <w:highlight w:val="none"/>
          <w:lang w:val="en-US" w:eastAsia="zh-CN" w:bidi="ar-SA"/>
        </w:rPr>
        <w:t>=-125.13%。但由于区民政局在申请预算时充分考虑到上年度的结余资金，因此没有申请过多的预算。因此本指标不扣分，</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9</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9</w:t>
      </w:r>
      <w:r>
        <w:rPr>
          <w:rFonts w:hint="default" w:ascii="Times New Roman" w:hAnsi="Times New Roman" w:eastAsia="仿宋" w:cs="Times New Roman"/>
          <w:kern w:val="2"/>
          <w:sz w:val="30"/>
          <w:szCs w:val="30"/>
          <w:highlight w:val="none"/>
          <w:lang w:val="en-US" w:eastAsia="zh-CN" w:bidi="ar-SA"/>
        </w:rPr>
        <w:t>分。</w:t>
      </w:r>
    </w:p>
    <w:p w14:paraId="43DF4AF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rPr>
      </w:pPr>
      <w:bookmarkStart w:id="63" w:name="_Toc940"/>
      <w:r>
        <w:rPr>
          <w:rFonts w:hint="default" w:ascii="Times New Roman" w:hAnsi="Times New Roman" w:cs="Times New Roman"/>
          <w:highlight w:val="none"/>
        </w:rPr>
        <w:t>（四）效果情况分析</w:t>
      </w:r>
      <w:bookmarkEnd w:id="63"/>
    </w:p>
    <w:p w14:paraId="5C5C986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项目</w:t>
      </w:r>
      <w:r>
        <w:rPr>
          <w:rFonts w:hint="default" w:ascii="Times New Roman" w:hAnsi="Times New Roman" w:cs="Times New Roman"/>
          <w:kern w:val="2"/>
          <w:sz w:val="30"/>
          <w:szCs w:val="30"/>
          <w:highlight w:val="none"/>
          <w:lang w:val="en-US" w:eastAsia="zh-CN" w:bidi="ar-SA"/>
        </w:rPr>
        <w:t>效果</w:t>
      </w:r>
      <w:r>
        <w:rPr>
          <w:rFonts w:hint="default" w:ascii="Times New Roman" w:hAnsi="Times New Roman" w:eastAsia="仿宋" w:cs="Times New Roman"/>
          <w:kern w:val="2"/>
          <w:sz w:val="30"/>
          <w:szCs w:val="30"/>
          <w:highlight w:val="none"/>
          <w:lang w:val="en-US" w:eastAsia="zh-CN" w:bidi="ar-SA"/>
        </w:rPr>
        <w:t>类</w:t>
      </w:r>
      <w:r>
        <w:rPr>
          <w:rFonts w:hint="default" w:ascii="Times New Roman" w:hAnsi="Times New Roman" w:cs="Times New Roman"/>
          <w:kern w:val="2"/>
          <w:sz w:val="30"/>
          <w:szCs w:val="30"/>
          <w:highlight w:val="none"/>
          <w:lang w:val="en-US" w:eastAsia="zh-CN" w:bidi="ar-SA"/>
        </w:rPr>
        <w:t>”</w:t>
      </w:r>
      <w:r>
        <w:rPr>
          <w:rFonts w:hint="default" w:ascii="Times New Roman" w:hAnsi="Times New Roman" w:eastAsia="仿宋" w:cs="Times New Roman"/>
          <w:kern w:val="2"/>
          <w:sz w:val="30"/>
          <w:szCs w:val="30"/>
          <w:highlight w:val="none"/>
          <w:lang w:val="en-US" w:eastAsia="zh-CN" w:bidi="ar-SA"/>
        </w:rPr>
        <w:t>指标，包括</w:t>
      </w:r>
      <w:r>
        <w:rPr>
          <w:rFonts w:hint="default" w:ascii="Times New Roman" w:hAnsi="Times New Roman" w:cs="Times New Roman"/>
          <w:kern w:val="2"/>
          <w:sz w:val="30"/>
          <w:szCs w:val="30"/>
          <w:highlight w:val="none"/>
          <w:lang w:val="en-US" w:eastAsia="zh-CN" w:bidi="ar-SA"/>
        </w:rPr>
        <w:t>社会效益和满意度</w:t>
      </w:r>
      <w:r>
        <w:rPr>
          <w:rFonts w:hint="eastAsia" w:ascii="Times New Roman" w:cs="Times New Roman"/>
          <w:kern w:val="2"/>
          <w:sz w:val="30"/>
          <w:szCs w:val="30"/>
          <w:highlight w:val="none"/>
          <w:lang w:val="en-US" w:eastAsia="zh-CN" w:bidi="ar-SA"/>
        </w:rPr>
        <w:t>两</w:t>
      </w:r>
      <w:r>
        <w:rPr>
          <w:rFonts w:hint="default" w:ascii="Times New Roman" w:hAnsi="Times New Roman" w:eastAsia="仿宋" w:cs="Times New Roman"/>
          <w:kern w:val="2"/>
          <w:sz w:val="30"/>
          <w:szCs w:val="30"/>
          <w:highlight w:val="none"/>
          <w:lang w:val="en-US" w:eastAsia="zh-CN" w:bidi="ar-SA"/>
        </w:rPr>
        <w:t>个方面，采用</w:t>
      </w:r>
      <w:r>
        <w:rPr>
          <w:rFonts w:hint="eastAsia" w:ascii="Times New Roman" w:cs="Times New Roman"/>
          <w:kern w:val="2"/>
          <w:sz w:val="30"/>
          <w:szCs w:val="30"/>
          <w:highlight w:val="none"/>
          <w:lang w:val="en-US" w:eastAsia="zh-CN" w:bidi="ar-SA"/>
        </w:rPr>
        <w:t>4</w:t>
      </w:r>
      <w:r>
        <w:rPr>
          <w:rFonts w:hint="default" w:ascii="Times New Roman" w:hAnsi="Times New Roman" w:eastAsia="仿宋" w:cs="Times New Roman"/>
          <w:kern w:val="2"/>
          <w:sz w:val="30"/>
          <w:szCs w:val="30"/>
          <w:highlight w:val="none"/>
          <w:lang w:val="en-US" w:eastAsia="zh-CN" w:bidi="ar-SA"/>
        </w:rPr>
        <w:t>个三级指标进行考察。权重分值3</w:t>
      </w:r>
      <w:r>
        <w:rPr>
          <w:rFonts w:hint="default" w:ascii="Times New Roman" w:hAnsi="Times New Roman" w:cs="Times New Roman"/>
          <w:kern w:val="2"/>
          <w:sz w:val="30"/>
          <w:szCs w:val="30"/>
          <w:highlight w:val="none"/>
          <w:lang w:val="en-US" w:eastAsia="zh-CN" w:bidi="ar-SA"/>
        </w:rPr>
        <w:t>0</w:t>
      </w:r>
      <w:r>
        <w:rPr>
          <w:rFonts w:hint="default" w:ascii="Times New Roman" w:hAnsi="Times New Roman" w:eastAsia="仿宋" w:cs="Times New Roman"/>
          <w:kern w:val="2"/>
          <w:sz w:val="30"/>
          <w:szCs w:val="30"/>
          <w:highlight w:val="none"/>
          <w:lang w:val="en-US" w:eastAsia="zh-CN" w:bidi="ar-SA"/>
        </w:rPr>
        <w:t>分，绩效评价得分</w:t>
      </w:r>
      <w:r>
        <w:rPr>
          <w:rFonts w:hint="default" w:ascii="Times New Roman" w:hAnsi="Times New Roman" w:cs="Times New Roman"/>
          <w:kern w:val="2"/>
          <w:sz w:val="30"/>
          <w:szCs w:val="30"/>
          <w:highlight w:val="none"/>
          <w:lang w:val="en-US" w:eastAsia="zh-CN" w:bidi="ar-SA"/>
        </w:rPr>
        <w:t>29.65</w:t>
      </w:r>
      <w:r>
        <w:rPr>
          <w:rFonts w:hint="default" w:ascii="Times New Roman" w:hAnsi="Times New Roman" w:eastAsia="仿宋" w:cs="Times New Roman"/>
          <w:kern w:val="2"/>
          <w:sz w:val="30"/>
          <w:szCs w:val="30"/>
          <w:highlight w:val="none"/>
          <w:lang w:val="en-US" w:eastAsia="zh-CN" w:bidi="ar-SA"/>
        </w:rPr>
        <w:t>分，得分率为</w:t>
      </w:r>
      <w:r>
        <w:rPr>
          <w:rFonts w:hint="default" w:ascii="Times New Roman" w:hAnsi="Times New Roman" w:cs="Times New Roman"/>
          <w:kern w:val="2"/>
          <w:sz w:val="30"/>
          <w:szCs w:val="30"/>
          <w:highlight w:val="none"/>
          <w:lang w:val="en-US" w:eastAsia="zh-CN" w:bidi="ar-SA"/>
        </w:rPr>
        <w:t>98.83</w:t>
      </w:r>
      <w:r>
        <w:rPr>
          <w:rFonts w:hint="default" w:ascii="Times New Roman" w:hAnsi="Times New Roman" w:eastAsia="仿宋" w:cs="Times New Roman"/>
          <w:kern w:val="2"/>
          <w:sz w:val="30"/>
          <w:szCs w:val="30"/>
          <w:highlight w:val="none"/>
          <w:lang w:val="en-US" w:eastAsia="zh-CN" w:bidi="ar-SA"/>
        </w:rPr>
        <w:t>%。</w:t>
      </w:r>
    </w:p>
    <w:p w14:paraId="0938FEAD">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default" w:ascii="Times New Roman" w:hAnsi="Times New Roman" w:eastAsia="仿宋" w:cs="Times New Roman"/>
          <w:highlight w:val="none"/>
          <w:lang w:val="en-US" w:eastAsia="zh-CN"/>
        </w:rPr>
        <w:t>1.社会效益</w:t>
      </w:r>
    </w:p>
    <w:p w14:paraId="16861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（1）居家养老服务中心运营支撑情况</w:t>
      </w:r>
    </w:p>
    <w:p w14:paraId="2DA467AA">
      <w:pPr>
        <w:keepNext w:val="0"/>
        <w:keepLines w:val="0"/>
        <w:pageBreakBefore w:val="0"/>
        <w:widowControl w:val="0"/>
        <w:shd w:val="clear"/>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szCs w:val="30"/>
          <w:highlight w:val="none"/>
          <w:lang w:val="en-US" w:eastAsia="zh-CN"/>
        </w:rPr>
        <w:t>根据评估报告，2022年补助名单中的17家居家养老服务中心在2023年均稳定运行，且在当年度中再次领取了补助资金。</w:t>
      </w:r>
      <w:r>
        <w:rPr>
          <w:rFonts w:hint="default" w:ascii="Times New Roman" w:hAnsi="Times New Roman" w:cs="Times New Roman"/>
          <w:kern w:val="2"/>
          <w:sz w:val="30"/>
          <w:szCs w:val="30"/>
          <w:highlight w:val="none"/>
          <w:lang w:val="en-US" w:eastAsia="zh-CN" w:bidi="ar-SA"/>
        </w:rPr>
        <w:t>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5</w:t>
      </w:r>
      <w:r>
        <w:rPr>
          <w:rFonts w:hint="default" w:ascii="Times New Roman" w:hAnsi="Times New Roman" w:eastAsia="仿宋" w:cs="Times New Roman"/>
          <w:kern w:val="2"/>
          <w:sz w:val="30"/>
          <w:szCs w:val="30"/>
          <w:highlight w:val="none"/>
          <w:lang w:val="en-US" w:eastAsia="zh-CN" w:bidi="ar-SA"/>
        </w:rPr>
        <w:t>分。</w:t>
      </w:r>
    </w:p>
    <w:p w14:paraId="6999F77E">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（2）居家养老服务中心数量提升情况</w:t>
      </w:r>
    </w:p>
    <w:p w14:paraId="7A0F9F7A">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组对比了本项目两年的补贴名单及评估报告，2022年西山区共有32家居家养老服务中心，2023年西山区共有36家居家养老服务中心，相较上年度新增4家。本项目的实施有效支持了辖区居家养老服务中心的数量提升。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8</w:t>
      </w:r>
      <w:r>
        <w:rPr>
          <w:rFonts w:hint="default" w:ascii="Times New Roman" w:hAnsi="Times New Roman" w:eastAsia="仿宋" w:cs="Times New Roman"/>
          <w:kern w:val="2"/>
          <w:sz w:val="30"/>
          <w:szCs w:val="30"/>
          <w:highlight w:val="none"/>
          <w:lang w:val="en-US" w:eastAsia="zh-CN" w:bidi="ar-SA"/>
        </w:rPr>
        <w:t>分。</w:t>
      </w:r>
    </w:p>
    <w:p w14:paraId="4A201A28">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eastAsia="仿宋" w:cs="Times New Roman"/>
          <w:kern w:val="2"/>
          <w:sz w:val="30"/>
          <w:szCs w:val="30"/>
          <w:highlight w:val="none"/>
          <w:lang w:val="en-US" w:eastAsia="zh-CN" w:bidi="ar-SA"/>
        </w:rPr>
        <w:t>（</w:t>
      </w:r>
      <w:r>
        <w:rPr>
          <w:rFonts w:hint="default" w:ascii="Times New Roman" w:hAnsi="Times New Roman" w:cs="Times New Roman"/>
          <w:kern w:val="2"/>
          <w:sz w:val="30"/>
          <w:szCs w:val="30"/>
          <w:highlight w:val="none"/>
          <w:lang w:val="en-US" w:eastAsia="zh-CN" w:bidi="ar-SA"/>
        </w:rPr>
        <w:t>3</w:t>
      </w:r>
      <w:r>
        <w:rPr>
          <w:rFonts w:hint="default" w:ascii="Times New Roman" w:hAnsi="Times New Roman" w:eastAsia="仿宋" w:cs="Times New Roman"/>
          <w:kern w:val="2"/>
          <w:sz w:val="30"/>
          <w:szCs w:val="30"/>
          <w:highlight w:val="none"/>
          <w:lang w:val="en-US" w:eastAsia="zh-CN" w:bidi="ar-SA"/>
        </w:rPr>
        <w:t>）居家养老服务中心工作人员提升情况</w:t>
      </w:r>
    </w:p>
    <w:p w14:paraId="75D561F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项目组在调查问卷中设置了问题“自2021年至今，该项目是否有效支持您单位工作人员的数量增长?”主要关注补助资金是否能有效促进区域工作人员数量的上升，根据回收的15份调查问卷，有9人认为补助资金有效支撑工作人员数量上涨，5人认为有一定作用，1人认为作用较小。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7</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6.53（（14/15）*7）</w:t>
      </w:r>
      <w:r>
        <w:rPr>
          <w:rFonts w:hint="default" w:ascii="Times New Roman" w:hAnsi="Times New Roman" w:eastAsia="仿宋" w:cs="Times New Roman"/>
          <w:kern w:val="2"/>
          <w:sz w:val="30"/>
          <w:szCs w:val="30"/>
          <w:highlight w:val="none"/>
          <w:lang w:val="en-US" w:eastAsia="zh-CN" w:bidi="ar-SA"/>
        </w:rPr>
        <w:t>分。</w:t>
      </w:r>
    </w:p>
    <w:p w14:paraId="15075386">
      <w:pPr>
        <w:keepNext w:val="0"/>
        <w:keepLines w:val="0"/>
        <w:pageBreakBefore w:val="0"/>
        <w:widowControl w:val="0"/>
        <w:kinsoku/>
        <w:wordWrap/>
        <w:overflowPunct/>
        <w:topLinePunct w:val="0"/>
        <w:autoSpaceDE/>
        <w:autoSpaceDN/>
        <w:bidi w:val="0"/>
        <w:adjustRightInd/>
        <w:snapToGrid/>
        <w:spacing w:line="579" w:lineRule="exact"/>
        <w:ind w:firstLine="630" w:firstLineChars="200"/>
        <w:jc w:val="both"/>
        <w:textAlignment w:val="auto"/>
        <w:outlineLvl w:val="9"/>
        <w:rPr>
          <w:rFonts w:hint="default" w:ascii="Times New Roman" w:hAnsi="Times New Roman" w:eastAsia="仿宋" w:cs="Times New Roman"/>
          <w:highlight w:val="none"/>
          <w:lang w:val="en-US" w:eastAsia="zh-CN"/>
        </w:rPr>
      </w:pPr>
      <w:r>
        <w:rPr>
          <w:rFonts w:hint="eastAsia" w:ascii="Times New Roman" w:cs="Times New Roman"/>
          <w:highlight w:val="none"/>
          <w:lang w:val="en-US" w:eastAsia="zh-CN"/>
        </w:rPr>
        <w:t>2</w:t>
      </w:r>
      <w:r>
        <w:rPr>
          <w:rFonts w:hint="default" w:ascii="Times New Roman" w:hAnsi="Times New Roman" w:eastAsia="仿宋" w:cs="Times New Roman"/>
          <w:highlight w:val="none"/>
          <w:lang w:val="en-US" w:eastAsia="zh-CN"/>
        </w:rPr>
        <w:t>.满意度</w:t>
      </w:r>
    </w:p>
    <w:p w14:paraId="21665780">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kern w:val="2"/>
          <w:sz w:val="30"/>
          <w:szCs w:val="30"/>
          <w:highlight w:val="none"/>
          <w:lang w:val="en-US" w:eastAsia="zh-CN" w:bidi="ar-SA"/>
        </w:rPr>
      </w:pPr>
      <w:r>
        <w:rPr>
          <w:rFonts w:hint="default" w:ascii="Times New Roman" w:hAnsi="Times New Roman" w:cs="Times New Roman"/>
          <w:kern w:val="2"/>
          <w:sz w:val="30"/>
          <w:szCs w:val="30"/>
          <w:highlight w:val="none"/>
          <w:lang w:val="en-US" w:eastAsia="zh-CN" w:bidi="ar-SA"/>
        </w:rPr>
        <w:t>受益对象满意度：本次发放电子问卷共回收有效问卷50份，经项目组统计计算，受益对象满意度为94%。因此，</w:t>
      </w:r>
      <w:r>
        <w:rPr>
          <w:rFonts w:hint="default" w:ascii="Times New Roman" w:hAnsi="Times New Roman" w:eastAsia="仿宋" w:cs="Times New Roman"/>
          <w:kern w:val="2"/>
          <w:sz w:val="30"/>
          <w:szCs w:val="30"/>
          <w:highlight w:val="none"/>
          <w:lang w:val="en-US" w:eastAsia="zh-CN" w:bidi="ar-SA"/>
        </w:rPr>
        <w:t>指标分值</w:t>
      </w:r>
      <w:r>
        <w:rPr>
          <w:rFonts w:hint="default" w:ascii="Times New Roman" w:hAnsi="Times New Roman" w:cs="Times New Roman"/>
          <w:kern w:val="2"/>
          <w:sz w:val="30"/>
          <w:szCs w:val="30"/>
          <w:highlight w:val="none"/>
          <w:lang w:val="en-US" w:eastAsia="zh-CN" w:bidi="ar-SA"/>
        </w:rPr>
        <w:t>10</w:t>
      </w:r>
      <w:r>
        <w:rPr>
          <w:rFonts w:hint="default" w:ascii="Times New Roman" w:hAnsi="Times New Roman" w:eastAsia="仿宋" w:cs="Times New Roman"/>
          <w:kern w:val="2"/>
          <w:sz w:val="30"/>
          <w:szCs w:val="30"/>
          <w:highlight w:val="none"/>
          <w:lang w:val="en-US" w:eastAsia="zh-CN" w:bidi="ar-SA"/>
        </w:rPr>
        <w:t>分，评价得分</w:t>
      </w:r>
      <w:r>
        <w:rPr>
          <w:rFonts w:hint="default" w:ascii="Times New Roman" w:hAnsi="Times New Roman" w:cs="Times New Roman"/>
          <w:kern w:val="2"/>
          <w:sz w:val="30"/>
          <w:szCs w:val="30"/>
          <w:highlight w:val="none"/>
          <w:lang w:val="en-US" w:eastAsia="zh-CN" w:bidi="ar-SA"/>
        </w:rPr>
        <w:t>10</w:t>
      </w:r>
      <w:r>
        <w:rPr>
          <w:rFonts w:hint="default" w:ascii="Times New Roman" w:hAnsi="Times New Roman" w:eastAsia="仿宋" w:cs="Times New Roman"/>
          <w:kern w:val="2"/>
          <w:sz w:val="30"/>
          <w:szCs w:val="30"/>
          <w:highlight w:val="none"/>
          <w:lang w:val="en-US" w:eastAsia="zh-CN" w:bidi="ar-SA"/>
        </w:rPr>
        <w:t>分。</w:t>
      </w:r>
    </w:p>
    <w:p w14:paraId="46AC6891">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64" w:name="_Toc31741"/>
      <w:r>
        <w:rPr>
          <w:rFonts w:hint="default" w:ascii="Times New Roman" w:hAnsi="Times New Roman" w:cs="Times New Roman"/>
          <w:highlight w:val="none"/>
          <w:lang w:val="en-US" w:eastAsia="zh-CN"/>
        </w:rPr>
        <w:t>五、存在问题及原因分析</w:t>
      </w:r>
      <w:bookmarkEnd w:id="64"/>
    </w:p>
    <w:p w14:paraId="47957F9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65" w:name="_Toc17755"/>
      <w:bookmarkStart w:id="66" w:name="_Toc22942"/>
      <w:r>
        <w:rPr>
          <w:rFonts w:hint="default" w:ascii="Times New Roman" w:hAnsi="Times New Roman" w:cs="Times New Roman"/>
          <w:highlight w:val="none"/>
          <w:lang w:val="en-US" w:eastAsia="zh-CN"/>
        </w:rPr>
        <w:t>（一）绩效</w:t>
      </w:r>
      <w:bookmarkEnd w:id="65"/>
      <w:r>
        <w:rPr>
          <w:rFonts w:hint="default" w:ascii="Times New Roman" w:hAnsi="Times New Roman" w:cs="Times New Roman"/>
          <w:highlight w:val="none"/>
          <w:lang w:val="en-US" w:eastAsia="zh-CN"/>
        </w:rPr>
        <w:t>目标编制不准确，绩效管理有待加强</w:t>
      </w:r>
      <w:bookmarkEnd w:id="66"/>
    </w:p>
    <w:p w14:paraId="27FE97A3">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szCs w:val="30"/>
          <w:highlight w:val="none"/>
          <w:lang w:val="en-US" w:eastAsia="zh-CN"/>
        </w:rPr>
      </w:pPr>
      <w:r>
        <w:rPr>
          <w:rFonts w:hint="default" w:ascii="Times New Roman" w:hAnsi="Times New Roman" w:cs="Times New Roman"/>
          <w:kern w:val="2"/>
          <w:sz w:val="30"/>
          <w:szCs w:val="30"/>
          <w:highlight w:val="none"/>
          <w:lang w:val="en-US" w:eastAsia="zh-CN" w:bidi="ar-SA"/>
        </w:rPr>
        <w:t>个别指标编制不够准确，如质量指标的“2023年发放城乡居家养老服务中心运营补助资金完成率”以及时效指标的“完成率”，该指标实际应为数量指标。</w:t>
      </w:r>
    </w:p>
    <w:p w14:paraId="76165AC9">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67" w:name="_Toc2281"/>
      <w:bookmarkStart w:id="68" w:name="_Toc8747"/>
      <w:r>
        <w:rPr>
          <w:rFonts w:hint="default" w:ascii="Times New Roman" w:hAnsi="Times New Roman" w:cs="Times New Roman"/>
          <w:highlight w:val="none"/>
          <w:lang w:val="en-US" w:eastAsia="zh-CN"/>
        </w:rPr>
        <w:t>（二）</w:t>
      </w:r>
      <w:bookmarkEnd w:id="67"/>
      <w:bookmarkEnd w:id="68"/>
      <w:bookmarkStart w:id="69" w:name="_Toc15828"/>
      <w:r>
        <w:rPr>
          <w:rFonts w:hint="default" w:ascii="Times New Roman" w:hAnsi="Times New Roman" w:cs="Times New Roman"/>
          <w:highlight w:val="none"/>
          <w:lang w:val="en-US" w:eastAsia="zh-CN"/>
        </w:rPr>
        <w:t>评估单位专业性有待加强，个别结论充分性不足</w:t>
      </w:r>
      <w:bookmarkEnd w:id="69"/>
    </w:p>
    <w:p w14:paraId="2C84336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kern w:val="2"/>
          <w:sz w:val="30"/>
          <w:szCs w:val="30"/>
          <w:highlight w:val="none"/>
          <w:lang w:val="en-US" w:eastAsia="zh-CN" w:bidi="ar-SA"/>
        </w:rPr>
        <w:t>根据评估单位提供的《2022年西山区居家养老服务中心运营补助评估报告》，2023年需对西山区26个居家养老服务中心补贴60.2万元，但实际补助单位为24家，补助总金额55.4万元，与评估单位提供的26家缺少两家。根据情况说明，猫猫箐社区马鞍山小组居家养老服务中心在考核时已经暂停运营。海口街道白鱼社区居家养老服务中心于2023年5月份才正式投入运营，均不属于2022年补贴的范围内。因此项目组认为评估单位的专业性有待加强。</w:t>
      </w:r>
    </w:p>
    <w:p w14:paraId="629F2E9B">
      <w:pPr>
        <w:pStyle w:val="30"/>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rPr>
          <w:rFonts w:hint="default" w:ascii="Times New Roman" w:hAnsi="Times New Roman" w:cs="Times New Roman"/>
          <w:highlight w:val="none"/>
          <w:lang w:val="en-US" w:eastAsia="zh-CN"/>
        </w:rPr>
      </w:pPr>
      <w:bookmarkStart w:id="70" w:name="_Toc15537"/>
      <w:r>
        <w:rPr>
          <w:rFonts w:hint="default" w:ascii="Times New Roman" w:hAnsi="Times New Roman" w:cs="Times New Roman"/>
          <w:highlight w:val="none"/>
          <w:lang w:val="en-US" w:eastAsia="zh-CN"/>
        </w:rPr>
        <w:t>六、建议</w:t>
      </w:r>
      <w:bookmarkEnd w:id="70"/>
      <w:bookmarkStart w:id="71" w:name="_Toc4297"/>
    </w:p>
    <w:p w14:paraId="2B7F75D0">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72" w:name="_Toc29232"/>
      <w:r>
        <w:rPr>
          <w:rFonts w:hint="default" w:ascii="Times New Roman" w:hAnsi="Times New Roman" w:cs="Times New Roman"/>
          <w:highlight w:val="none"/>
          <w:lang w:val="en-US" w:eastAsia="zh-CN"/>
        </w:rPr>
        <w:t>（一）加强绩效管理工作，提升单位绩效意识</w:t>
      </w:r>
      <w:bookmarkEnd w:id="71"/>
      <w:bookmarkEnd w:id="72"/>
    </w:p>
    <w:p w14:paraId="44F106A5">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9"/>
        <w:rPr>
          <w:rFonts w:hint="default" w:ascii="Times New Roman" w:hAnsi="Times New Roman" w:eastAsia="仿宋" w:cs="Times New Roman"/>
          <w:szCs w:val="30"/>
          <w:highlight w:val="none"/>
          <w:lang w:val="en-US" w:eastAsia="zh-CN"/>
        </w:rPr>
      </w:pPr>
      <w:r>
        <w:rPr>
          <w:rFonts w:hint="default" w:ascii="Times New Roman" w:hAnsi="Times New Roman" w:cs="Times New Roman"/>
          <w:szCs w:val="30"/>
          <w:highlight w:val="none"/>
          <w:lang w:val="en-US" w:eastAsia="zh-CN"/>
        </w:rPr>
        <w:t>建议区民政局按照</w:t>
      </w:r>
      <w:r>
        <w:rPr>
          <w:rFonts w:hint="default" w:ascii="Times New Roman" w:hAnsi="Times New Roman" w:eastAsia="仿宋" w:cs="Times New Roman"/>
          <w:kern w:val="2"/>
          <w:sz w:val="30"/>
          <w:szCs w:val="30"/>
          <w:highlight w:val="none"/>
          <w:lang w:val="en-US" w:eastAsia="zh-CN" w:bidi="ar-SA"/>
        </w:rPr>
        <w:t>国家、</w:t>
      </w:r>
      <w:r>
        <w:rPr>
          <w:rFonts w:hint="eastAsia" w:ascii="Times New Roman" w:cs="Times New Roman"/>
          <w:kern w:val="2"/>
          <w:sz w:val="30"/>
          <w:szCs w:val="30"/>
          <w:highlight w:val="none"/>
          <w:lang w:val="en-US" w:eastAsia="zh-CN" w:bidi="ar-SA"/>
        </w:rPr>
        <w:t>云南</w:t>
      </w:r>
      <w:r>
        <w:rPr>
          <w:rFonts w:hint="default" w:ascii="Times New Roman" w:hAnsi="Times New Roman" w:eastAsia="仿宋" w:cs="Times New Roman"/>
          <w:kern w:val="2"/>
          <w:sz w:val="30"/>
          <w:szCs w:val="30"/>
          <w:highlight w:val="none"/>
          <w:lang w:val="en-US" w:eastAsia="zh-CN" w:bidi="ar-SA"/>
        </w:rPr>
        <w:t>省</w:t>
      </w:r>
      <w:r>
        <w:rPr>
          <w:rFonts w:hint="eastAsia" w:ascii="Times New Roman" w:cs="Times New Roman"/>
          <w:kern w:val="2"/>
          <w:sz w:val="30"/>
          <w:szCs w:val="30"/>
          <w:highlight w:val="none"/>
          <w:lang w:val="en-US" w:eastAsia="zh-CN" w:bidi="ar-SA"/>
        </w:rPr>
        <w:t>、昆明市、西山区</w:t>
      </w:r>
      <w:r>
        <w:rPr>
          <w:rFonts w:hint="default" w:ascii="Times New Roman" w:hAnsi="Times New Roman" w:cs="Times New Roman"/>
          <w:szCs w:val="30"/>
          <w:highlight w:val="none"/>
          <w:lang w:val="en-US" w:eastAsia="zh-CN"/>
        </w:rPr>
        <w:t>绩效相关工作要求，严格编制绩效目标表，确保后续指标评价的完整性及整体目标设置的合理性。对于本次项目，质量指标建议调整为</w:t>
      </w:r>
      <w:r>
        <w:rPr>
          <w:rFonts w:hint="default" w:ascii="Times New Roman" w:hAnsi="Times New Roman" w:cs="Times New Roman"/>
          <w:kern w:val="2"/>
          <w:sz w:val="30"/>
          <w:szCs w:val="30"/>
          <w:highlight w:val="none"/>
          <w:lang w:val="en-US" w:eastAsia="zh-CN" w:bidi="ar-SA"/>
        </w:rPr>
        <w:t>“补助资金发放准确性”，用于考核实际发出补贴是否与应补贴名单一致。时效指标建议更改为“工作完成及时性”，用于考核项目是否在年度内完成。</w:t>
      </w:r>
    </w:p>
    <w:p w14:paraId="647E3EE1">
      <w:pPr>
        <w:pStyle w:val="31"/>
        <w:keepNext w:val="0"/>
        <w:keepLines w:val="0"/>
        <w:pageBreakBefore w:val="0"/>
        <w:kinsoku/>
        <w:wordWrap/>
        <w:topLinePunct w:val="0"/>
        <w:autoSpaceDE/>
        <w:autoSpaceDN/>
        <w:bidi w:val="0"/>
        <w:adjustRightInd/>
        <w:spacing w:line="579" w:lineRule="exact"/>
        <w:textAlignment w:val="auto"/>
        <w:outlineLvl w:val="1"/>
        <w:rPr>
          <w:rFonts w:hint="default" w:ascii="Times New Roman" w:hAnsi="Times New Roman" w:cs="Times New Roman"/>
          <w:highlight w:val="none"/>
          <w:lang w:val="en-US" w:eastAsia="zh-CN"/>
        </w:rPr>
      </w:pPr>
      <w:bookmarkStart w:id="73" w:name="_Toc30371"/>
      <w:r>
        <w:rPr>
          <w:rFonts w:hint="default" w:ascii="Times New Roman" w:hAnsi="Times New Roman" w:cs="Times New Roman"/>
          <w:highlight w:val="none"/>
          <w:lang w:val="en-US" w:eastAsia="zh-CN"/>
        </w:rPr>
        <w:t>（二）</w:t>
      </w:r>
      <w:bookmarkEnd w:id="73"/>
      <w:bookmarkStart w:id="74" w:name="_Toc2280"/>
      <w:r>
        <w:rPr>
          <w:rFonts w:hint="default" w:ascii="Times New Roman" w:hAnsi="Times New Roman" w:cs="Times New Roman"/>
          <w:highlight w:val="none"/>
          <w:lang w:val="en-US" w:eastAsia="zh-CN"/>
        </w:rPr>
        <w:t>加强第三方管理要求，提升结论的专业性</w:t>
      </w:r>
      <w:bookmarkEnd w:id="74"/>
    </w:p>
    <w:p w14:paraId="41F44D16">
      <w:pPr>
        <w:pStyle w:val="31"/>
        <w:keepNext w:val="0"/>
        <w:keepLines w:val="0"/>
        <w:pageBreakBefore w:val="0"/>
        <w:numPr>
          <w:ilvl w:val="0"/>
          <w:numId w:val="0"/>
        </w:numPr>
        <w:kinsoku/>
        <w:wordWrap/>
        <w:topLinePunct w:val="0"/>
        <w:autoSpaceDE/>
        <w:autoSpaceDN/>
        <w:bidi w:val="0"/>
        <w:adjustRightInd/>
        <w:spacing w:line="579" w:lineRule="exact"/>
        <w:ind w:firstLine="630" w:firstLineChars="200"/>
        <w:textAlignment w:val="auto"/>
        <w:outlineLvl w:val="9"/>
        <w:rPr>
          <w:rFonts w:hint="default" w:ascii="Times New Roman" w:hAnsi="Times New Roman" w:eastAsia="仿宋" w:cs="Times New Roman"/>
          <w:kern w:val="30"/>
          <w:sz w:val="30"/>
          <w:szCs w:val="30"/>
          <w:highlight w:val="none"/>
          <w:lang w:val="en-US" w:eastAsia="zh-CN" w:bidi="ar-SA"/>
        </w:rPr>
      </w:pPr>
      <w:r>
        <w:rPr>
          <w:rFonts w:hint="default" w:ascii="Times New Roman" w:hAnsi="Times New Roman" w:eastAsia="仿宋" w:cs="Times New Roman"/>
          <w:kern w:val="30"/>
          <w:sz w:val="30"/>
          <w:szCs w:val="30"/>
          <w:highlight w:val="none"/>
          <w:lang w:val="en-US" w:eastAsia="zh-CN" w:bidi="ar-SA"/>
        </w:rPr>
        <w:t>一是建议区民政局加强采购管理流程，减少“低价中标”的要求，优先考虑符合评估单位要求的投标方，包含过去实施的项目、对评估的理解等。二是建议区民政局加强第三方结论的复核，在报告初稿阶段，应征求各街道或社区的意见，确保符合补贴范围内的居家养老服务中心都能享受到政策的补助和支持，对于不符合补助范围的居家养老中心予以调整。</w:t>
      </w:r>
    </w:p>
    <w:p w14:paraId="0099572D">
      <w:pPr>
        <w:spacing w:line="579" w:lineRule="exact"/>
        <w:ind w:firstLine="630" w:firstLineChars="200"/>
        <w:outlineLvl w:val="9"/>
        <w:rPr>
          <w:rFonts w:hint="default" w:ascii="Times New Roman" w:hAnsi="Times New Roman" w:eastAsia="黑体" w:cs="Times New Roman"/>
          <w:szCs w:val="30"/>
          <w:highlight w:val="none"/>
        </w:rPr>
      </w:pPr>
    </w:p>
    <w:p w14:paraId="1E7D96F2">
      <w:pPr>
        <w:outlineLvl w:val="9"/>
        <w:rPr>
          <w:rFonts w:hint="default" w:ascii="Times New Roman" w:hAnsi="Times New Roman" w:eastAsia="黑体" w:cs="Times New Roman"/>
          <w:szCs w:val="30"/>
          <w:highlight w:val="none"/>
        </w:rPr>
      </w:pPr>
    </w:p>
    <w:p w14:paraId="69B5CE89">
      <w:pPr>
        <w:rPr>
          <w:rFonts w:hint="default" w:ascii="Times New Roman" w:hAnsi="Times New Roman" w:cs="Times New Roman"/>
          <w:b/>
          <w:bCs/>
          <w:szCs w:val="30"/>
          <w:highlight w:val="none"/>
        </w:rPr>
      </w:pPr>
      <w:bookmarkStart w:id="75" w:name="_Hlk525314575"/>
      <w:r>
        <w:rPr>
          <w:rFonts w:hint="default" w:ascii="Times New Roman" w:hAnsi="Times New Roman" w:cs="Times New Roman"/>
          <w:b/>
          <w:bCs/>
          <w:szCs w:val="30"/>
          <w:highlight w:val="none"/>
        </w:rPr>
        <w:br w:type="page"/>
      </w:r>
    </w:p>
    <w:p w14:paraId="5F324A44">
      <w:pPr>
        <w:spacing w:line="579" w:lineRule="exact"/>
        <w:ind w:firstLine="630" w:firstLineChars="200"/>
        <w:rPr>
          <w:rFonts w:hint="default" w:ascii="Times New Roman" w:hAnsi="Times New Roman" w:cs="Times New Roman"/>
          <w:b/>
          <w:bCs/>
          <w:szCs w:val="30"/>
          <w:highlight w:val="none"/>
        </w:rPr>
      </w:pPr>
      <w:r>
        <w:rPr>
          <w:rFonts w:hint="default" w:ascii="Times New Roman" w:hAnsi="Times New Roman" w:cs="Times New Roman"/>
          <w:b/>
          <w:bCs/>
          <w:szCs w:val="30"/>
          <w:highlight w:val="none"/>
        </w:rPr>
        <w:t>附件：</w:t>
      </w:r>
    </w:p>
    <w:p w14:paraId="3A257D34">
      <w:pPr>
        <w:spacing w:line="579" w:lineRule="exact"/>
        <w:ind w:firstLine="630" w:firstLineChars="200"/>
        <w:rPr>
          <w:rFonts w:hint="default" w:ascii="Times New Roman" w:hAnsi="Times New Roman" w:cs="Times New Roman"/>
          <w:szCs w:val="30"/>
          <w:highlight w:val="none"/>
        </w:rPr>
      </w:pPr>
      <w:r>
        <w:rPr>
          <w:rFonts w:hint="default" w:ascii="Times New Roman" w:hAnsi="Times New Roman" w:cs="Times New Roman"/>
          <w:szCs w:val="30"/>
          <w:highlight w:val="none"/>
          <w:lang w:val="en-US" w:eastAsia="zh-CN"/>
        </w:rPr>
        <w:t>附件</w:t>
      </w:r>
      <w:r>
        <w:rPr>
          <w:rFonts w:hint="default" w:ascii="Times New Roman" w:hAnsi="Times New Roman" w:cs="Times New Roman"/>
          <w:szCs w:val="30"/>
          <w:highlight w:val="none"/>
        </w:rPr>
        <w:t>1</w:t>
      </w:r>
      <w:r>
        <w:rPr>
          <w:rFonts w:hint="default" w:ascii="Times New Roman" w:hAnsi="Times New Roman" w:cs="Times New Roman"/>
          <w:szCs w:val="30"/>
          <w:highlight w:val="none"/>
          <w:lang w:eastAsia="zh-CN"/>
        </w:rPr>
        <w:t>：</w:t>
      </w:r>
      <w:r>
        <w:rPr>
          <w:rFonts w:hint="default" w:ascii="Times New Roman" w:hAnsi="Times New Roman" w:cs="Times New Roman"/>
          <w:szCs w:val="30"/>
          <w:highlight w:val="none"/>
        </w:rPr>
        <w:t>社区居家养老服务中心运营补助</w:t>
      </w:r>
      <w:r>
        <w:rPr>
          <w:rFonts w:hint="default" w:ascii="Times New Roman" w:hAnsi="Times New Roman" w:cs="Times New Roman"/>
          <w:szCs w:val="30"/>
          <w:highlight w:val="none"/>
          <w:lang w:val="en-US" w:eastAsia="zh-CN"/>
        </w:rPr>
        <w:t>项目</w:t>
      </w:r>
      <w:r>
        <w:rPr>
          <w:rFonts w:hint="default" w:ascii="Times New Roman" w:hAnsi="Times New Roman" w:cs="Times New Roman"/>
          <w:szCs w:val="30"/>
          <w:highlight w:val="none"/>
        </w:rPr>
        <w:t>绩效目标表</w:t>
      </w:r>
    </w:p>
    <w:p w14:paraId="70D72DB9">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附件2</w:t>
      </w:r>
      <w:bookmarkStart w:id="76" w:name="_Hlk527019547"/>
      <w:r>
        <w:rPr>
          <w:rFonts w:hint="default" w:ascii="Times New Roman" w:hAnsi="Times New Roman" w:cs="Times New Roman"/>
          <w:szCs w:val="30"/>
          <w:highlight w:val="none"/>
          <w:lang w:val="en-US" w:eastAsia="zh-CN"/>
        </w:rPr>
        <w:t>：</w:t>
      </w:r>
      <w:r>
        <w:rPr>
          <w:rFonts w:hint="default" w:ascii="Times New Roman" w:hAnsi="Times New Roman" w:cs="Times New Roman"/>
          <w:szCs w:val="30"/>
          <w:highlight w:val="none"/>
        </w:rPr>
        <w:t>社区居家养老服务中心运营补助</w:t>
      </w:r>
      <w:r>
        <w:rPr>
          <w:rFonts w:hint="default" w:ascii="Times New Roman" w:hAnsi="Times New Roman" w:cs="Times New Roman"/>
          <w:szCs w:val="30"/>
          <w:highlight w:val="none"/>
          <w:lang w:val="en-US" w:eastAsia="zh-CN"/>
        </w:rPr>
        <w:t>项目绩效评价指标体系</w:t>
      </w:r>
      <w:bookmarkEnd w:id="76"/>
      <w:r>
        <w:rPr>
          <w:rFonts w:hint="default" w:ascii="Times New Roman" w:hAnsi="Times New Roman" w:cs="Times New Roman"/>
          <w:szCs w:val="30"/>
          <w:highlight w:val="none"/>
          <w:lang w:val="en-US" w:eastAsia="zh-CN"/>
        </w:rPr>
        <w:t>表</w:t>
      </w:r>
    </w:p>
    <w:p w14:paraId="61DD8281">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附件3：</w:t>
      </w:r>
      <w:r>
        <w:rPr>
          <w:rFonts w:hint="default" w:ascii="Times New Roman" w:hAnsi="Times New Roman" w:cs="Times New Roman"/>
          <w:szCs w:val="30"/>
          <w:highlight w:val="none"/>
        </w:rPr>
        <w:t>社区居家养老服务中心运营补助</w:t>
      </w:r>
      <w:r>
        <w:rPr>
          <w:rFonts w:hint="default" w:ascii="Times New Roman" w:hAnsi="Times New Roman" w:cs="Times New Roman"/>
          <w:szCs w:val="30"/>
          <w:highlight w:val="none"/>
          <w:lang w:val="en-US" w:eastAsia="zh-CN"/>
        </w:rPr>
        <w:t>项目调查问卷</w:t>
      </w:r>
    </w:p>
    <w:bookmarkEnd w:id="75"/>
    <w:p w14:paraId="40771698">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w:t>
      </w:r>
      <w:r>
        <w:rPr>
          <w:rFonts w:hint="eastAsia" w:ascii="Times New Roman" w:cs="Times New Roman"/>
          <w:szCs w:val="30"/>
          <w:highlight w:val="none"/>
          <w:lang w:val="en-US" w:eastAsia="zh-CN"/>
        </w:rPr>
        <w:t>4</w:t>
      </w:r>
      <w:r>
        <w:rPr>
          <w:rFonts w:hint="default" w:ascii="Times New Roman" w:hAnsi="Times New Roman" w:cs="Times New Roman"/>
          <w:szCs w:val="30"/>
          <w:highlight w:val="none"/>
          <w:lang w:val="en-US" w:eastAsia="zh-CN"/>
        </w:rPr>
        <w:t>：</w:t>
      </w:r>
      <w:r>
        <w:rPr>
          <w:rFonts w:hint="eastAsia"/>
          <w:highlight w:val="none"/>
          <w:lang w:val="en-US" w:eastAsia="zh-CN"/>
        </w:rPr>
        <w:t xml:space="preserve"> 绩效评价报告意见反馈表（单位）</w:t>
      </w:r>
    </w:p>
    <w:p w14:paraId="695B2FA2">
      <w:pPr>
        <w:spacing w:line="579" w:lineRule="exact"/>
        <w:ind w:firstLine="630" w:firstLineChars="200"/>
        <w:rPr>
          <w:rFonts w:hint="default" w:ascii="Times New Roman" w:hAnsi="Times New Roman" w:cs="Times New Roman"/>
          <w:szCs w:val="30"/>
          <w:highlight w:val="none"/>
          <w:lang w:val="en-US" w:eastAsia="zh-CN"/>
        </w:rPr>
      </w:pPr>
      <w:r>
        <w:rPr>
          <w:rFonts w:hint="default" w:ascii="Times New Roman" w:hAnsi="Times New Roman" w:cs="Times New Roman"/>
          <w:szCs w:val="30"/>
          <w:highlight w:val="none"/>
          <w:lang w:val="en-US" w:eastAsia="zh-CN"/>
        </w:rPr>
        <w:t>附件</w:t>
      </w:r>
      <w:r>
        <w:rPr>
          <w:rFonts w:hint="eastAsia" w:ascii="Times New Roman" w:cs="Times New Roman"/>
          <w:szCs w:val="30"/>
          <w:highlight w:val="none"/>
          <w:lang w:val="en-US" w:eastAsia="zh-CN"/>
        </w:rPr>
        <w:t>5</w:t>
      </w:r>
      <w:r>
        <w:rPr>
          <w:rFonts w:hint="default" w:ascii="Times New Roman" w:hAnsi="Times New Roman" w:cs="Times New Roman"/>
          <w:szCs w:val="30"/>
          <w:highlight w:val="none"/>
          <w:lang w:val="en-US" w:eastAsia="zh-CN"/>
        </w:rPr>
        <w:t>：</w:t>
      </w:r>
      <w:r>
        <w:rPr>
          <w:rFonts w:hint="eastAsia"/>
          <w:highlight w:val="none"/>
          <w:lang w:val="en-US" w:eastAsia="zh-CN"/>
        </w:rPr>
        <w:t xml:space="preserve"> 绩效评价报告意见反馈表（科室）</w:t>
      </w:r>
    </w:p>
    <w:p w14:paraId="0FFBAFA7">
      <w:pPr>
        <w:pStyle w:val="19"/>
        <w:ind w:left="0" w:leftChars="0" w:firstLine="0" w:firstLineChars="0"/>
        <w:rPr>
          <w:rFonts w:hint="default" w:ascii="Times New Roman" w:hAnsi="Times New Roman" w:cs="Times New Roman"/>
          <w:szCs w:val="30"/>
          <w:highlight w:val="none"/>
          <w:lang w:val="en-US" w:eastAsia="zh-CN"/>
        </w:rPr>
      </w:pPr>
    </w:p>
    <w:p w14:paraId="591BDD25">
      <w:pPr>
        <w:bidi w:val="0"/>
        <w:jc w:val="right"/>
        <w:rPr>
          <w:rFonts w:hint="default" w:ascii="Times New Roman" w:hAnsi="Times New Roman" w:eastAsia="宋体" w:cs="Times New Roman"/>
          <w:kern w:val="30"/>
          <w:sz w:val="21"/>
          <w:szCs w:val="21"/>
          <w:highlight w:val="none"/>
          <w:lang w:val="en-US" w:eastAsia="zh-CN" w:bidi="ar-SA"/>
        </w:rPr>
      </w:pPr>
      <w:r>
        <w:rPr>
          <w:rFonts w:hint="default" w:ascii="Times New Roman" w:hAnsi="Times New Roman" w:cs="Times New Roman"/>
          <w:highlight w:val="none"/>
          <w:lang w:val="en-US" w:eastAsia="zh-CN"/>
        </w:rPr>
        <w:t>昆明池砾项目咨询有限责任公司</w:t>
      </w:r>
    </w:p>
    <w:p w14:paraId="20AD152E">
      <w:pPr>
        <w:pStyle w:val="19"/>
        <w:jc w:val="center"/>
        <w:rPr>
          <w:rFonts w:hint="default" w:ascii="Times New Roman" w:hAnsi="Times New Roman" w:cs="Times New Roman"/>
          <w:szCs w:val="30"/>
          <w:highlight w:val="none"/>
        </w:rPr>
      </w:pPr>
      <w:r>
        <w:rPr>
          <w:rFonts w:hint="default" w:ascii="Times New Roman" w:hAnsi="Times New Roman" w:eastAsia="宋体" w:cs="Times New Roman"/>
          <w:kern w:val="30"/>
          <w:sz w:val="21"/>
          <w:szCs w:val="21"/>
          <w:highlight w:val="none"/>
          <w:lang w:val="en-US" w:eastAsia="zh-CN" w:bidi="ar-SA"/>
        </w:rPr>
        <w:t xml:space="preserve">                                          </w:t>
      </w:r>
      <w:r>
        <w:rPr>
          <w:rFonts w:hint="default" w:ascii="Times New Roman" w:hAnsi="Times New Roman" w:cs="Times New Roman"/>
          <w:szCs w:val="30"/>
          <w:highlight w:val="none"/>
          <w:lang w:val="en-US" w:eastAsia="zh-CN"/>
        </w:rPr>
        <w:t>2024年9月</w:t>
      </w:r>
    </w:p>
    <w:sectPr>
      <w:footerReference r:id="rId8" w:type="default"/>
      <w:footerReference r:id="rId9" w:type="even"/>
      <w:pgSz w:w="11906" w:h="16838"/>
      <w:pgMar w:top="2098" w:right="1474" w:bottom="1985" w:left="1588" w:header="851" w:footer="1474" w:gutter="0"/>
      <w:pgNumType w:fmt="decimal" w:start="1"/>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C3ACD72-276B-4EE3-8BB4-364A5DD0F61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D20D45EE-5D5B-47D5-AD79-7BAED9D861E8}"/>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3" w:fontKey="{8DAA8318-D1C3-43E6-A206-A9CE0498515D}"/>
  </w:font>
  <w:font w:name="楷体">
    <w:panose1 w:val="02010609060101010101"/>
    <w:charset w:val="86"/>
    <w:family w:val="modern"/>
    <w:pitch w:val="default"/>
    <w:sig w:usb0="800002BF" w:usb1="38CF7CFA" w:usb2="00000016" w:usb3="00000000" w:csb0="00040001" w:csb1="00000000"/>
    <w:embedRegular r:id="rId4" w:fontKey="{66873F87-9643-42C3-8343-DF0DE5438C91}"/>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embedRegular r:id="rId5" w:fontKey="{CF390CB8-483E-4674-B669-E7944B7FC9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5B978">
    <w:pPr>
      <w:pStyle w:val="12"/>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45C1A">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15240</wp:posOffset>
              </wp:positionV>
              <wp:extent cx="269875" cy="307975"/>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269875" cy="307975"/>
                      </a:xfrm>
                      <a:prstGeom prst="rect">
                        <a:avLst/>
                      </a:prstGeom>
                      <a:noFill/>
                      <a:ln>
                        <a:noFill/>
                      </a:ln>
                    </wps:spPr>
                    <wps:txbx>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wps:txbx>
                    <wps:bodyPr vert="horz" lIns="0" tIns="0" rIns="0" bIns="0" anchor="t" anchorCtr="0" upright="0"/>
                  </wps:wsp>
                </a:graphicData>
              </a:graphic>
            </wp:anchor>
          </w:drawing>
        </mc:Choice>
        <mc:Fallback>
          <w:pict>
            <v:shape id="文本框 1031" o:spid="_x0000_s1026" o:spt="202" type="#_x0000_t202" style="position:absolute;left:0pt;margin-top:1.2pt;height:24.25pt;width:21.25pt;mso-position-horizontal:center;mso-position-horizontal-relative:margin;z-index:251661312;mso-width-relative:page;mso-height-relative:page;" filled="f" stroked="f" coordsize="21600,21600" o:gfxdata="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wzzYq9QAAAAEAQAADwAAAAAAAAABACAAAAAiAAAA&#10;ZHJzL2Rvd25yZXYueG1sUEsBAhQAFAAAAAgAh07iQHjI/ezSAQAAmQMAAA4AAAAAAAAAAQAgAAAA&#10;IwEAAGRycy9lMm9Eb2MueG1sUEsFBgAAAAAGAAYAWQEAAGcFAAAAAA==&#10;">
              <v:fill on="f" focussize="0,0"/>
              <v:stroke on="f"/>
              <v:imagedata o:title=""/>
              <o:lock v:ext="edit" aspectratio="f"/>
              <v:textbox inset="0mm,0mm,0mm,0mm">
                <w:txbxContent>
                  <w:p w14:paraId="4B222F1F">
                    <w:pPr>
                      <w:pStyle w:val="12"/>
                      <w:keepNext w:val="0"/>
                      <w:keepLines w:val="0"/>
                      <w:pageBreakBefore w:val="0"/>
                      <w:widowControl w:val="0"/>
                      <w:kinsoku/>
                      <w:wordWrap/>
                      <w:overflowPunct/>
                      <w:topLinePunct w:val="0"/>
                      <w:bidi w:val="0"/>
                      <w:adjustRightInd/>
                      <w:snapToGrid w:val="0"/>
                      <w:jc w:val="center"/>
                      <w:textAlignment w:val="auto"/>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w:t>
                    </w:r>
                    <w:r>
                      <w:rPr>
                        <w:rFonts w:hint="eastAsia" w:ascii="仿宋" w:hAnsi="仿宋" w:eastAsia="仿宋" w:cs="仿宋"/>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BEAE2">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15240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1.2pt;height:144pt;width:144pt;mso-position-horizontal:center;mso-position-horizontal-relative:margin;mso-wrap-style:none;z-index:251662336;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b8eTNOEBAADBAwAA&#10;DgAAAAAAAAABACAAAAAiAQAAZHJzL2Uyb0RvYy54bWxQSwUGAAAAAAYABgBZAQAAdQUAAAAA&#10;">
              <v:fill on="f" focussize="0,0"/>
              <v:stroke on="f"/>
              <v:imagedata o:title=""/>
              <o:lock v:ext="edit" aspectratio="f"/>
              <v:textbox inset="0mm,0mm,0mm,0mm" style="mso-fit-shape-to-text:t;">
                <w:txbxContent>
                  <w:p w14:paraId="510DD35F">
                    <w:pPr>
                      <w:pStyle w:val="12"/>
                      <w:keepNext w:val="0"/>
                      <w:keepLines w:val="0"/>
                      <w:pageBreakBefore w:val="0"/>
                      <w:widowControl w:val="0"/>
                      <w:kinsoku/>
                      <w:wordWrap/>
                      <w:overflowPunct/>
                      <w:topLinePunct w:val="0"/>
                      <w:bidi w:val="0"/>
                      <w:adjustRightInd/>
                      <w:snapToGrid w:val="0"/>
                      <w:jc w:val="center"/>
                      <w:textAlignment w:val="auto"/>
                      <w:rPr>
                        <w:rFonts w:hint="eastAsia" w:ascii="Times New Roman" w:hAnsi="Times New Roman" w:eastAsia="宋体" w:cs="Times New Roman"/>
                        <w:sz w:val="21"/>
                        <w:szCs w:val="21"/>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ii</w:t>
                    </w:r>
                    <w:r>
                      <w:rPr>
                        <w:rFonts w:hint="eastAsia" w:ascii="仿宋" w:hAnsi="仿宋" w:eastAsia="仿宋" w:cs="仿宋"/>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80B58">
    <w:pPr>
      <w:pStyle w:val="12"/>
      <w:keepNext w:val="0"/>
      <w:keepLines w:val="0"/>
      <w:pageBreakBefore w:val="0"/>
      <w:widowControl w:val="0"/>
      <w:kinsoku/>
      <w:wordWrap/>
      <w:overflowPunct/>
      <w:topLinePunct w:val="0"/>
      <w:bidi w:val="0"/>
      <w:adjustRightInd/>
      <w:snapToGrid w:val="0"/>
      <w:jc w:val="center"/>
      <w:textAlignment w:val="auto"/>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4"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8Ddl/0wAAAAYBAAAPAAAA&#10;AAAAAAEAIAAAACIAAABkcnMvZG93bnJldi54bWxQSwECFAAUAAAACACHTuJAg5iJueEBAADBAwAA&#10;DgAAAAAAAAABACAAAAAiAQAAZHJzL2Uyb0RvYy54bWxQSwUGAAAAAAYABgBZAQAAdQUAAAAA&#10;">
              <v:fill on="f" focussize="0,0"/>
              <v:stroke on="f"/>
              <v:imagedata o:title=""/>
              <o:lock v:ext="edit" aspectratio="f"/>
              <v:textbox inset="0mm,0mm,0mm,0mm" style="mso-fit-shape-to-text:t;">
                <w:txbxContent>
                  <w:p w14:paraId="124E9770">
                    <w:pPr>
                      <w:pStyle w:val="1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1F754">
    <w:pPr>
      <w:pStyle w:val="12"/>
      <w:rPr>
        <w:rFonts w:ascii="仿宋" w:hAnsi="仿宋" w:eastAsia="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5"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A3Zf9MAAAAGAQAADwAAAAAA&#10;AAABACAAAAAiAAAAZHJzL2Rvd25yZXYueG1sUEsBAhQAFAAAAAgAh07iQANlitTfAQAAwQMAAA4A&#10;AAAAAAAAAQAgAAAAIgEAAGRycy9lMm9Eb2MueG1sUEsFBgAAAAAGAAYAWQEAAHMFAAAAAA==&#10;">
              <v:fill on="f" focussize="0,0"/>
              <v:stroke on="f"/>
              <v:imagedata o:title=""/>
              <o:lock v:ext="edit" aspectratio="f"/>
              <v:textbox inset="0mm,0mm,0mm,0mm" style="mso-fit-shape-to-text:t;">
                <w:txbxContent>
                  <w:p w14:paraId="30076A5C">
                    <w:pPr>
                      <w:pStyle w:val="1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A867E">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r>
      <w:rPr>
        <w:rFonts w:hint="eastAsia"/>
        <w:lang w:val="en-US" w:eastAsia="zh-CN"/>
      </w:rPr>
      <w:br w:type="textWrapping"/>
    </w:r>
  </w:p>
  <w:p w14:paraId="3E6007F3">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sz w:val="21"/>
        <w:szCs w:val="21"/>
      </w:rPr>
    </w:pPr>
    <w:r>
      <w:rPr>
        <w:rFonts w:hint="eastAsia"/>
        <w:lang w:val="en-US" w:eastAsia="zh-CN"/>
      </w:rPr>
      <w:t xml:space="preserve">       昆明市西山区民政局2023年社区居家养老服务中心运营补助项目支出绩效评价报告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9A191">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4AC10112">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rPr>
        <w:rFonts w:hint="eastAsia"/>
        <w:lang w:val="en-US" w:eastAsia="zh-CN"/>
      </w:rPr>
    </w:pPr>
  </w:p>
  <w:p w14:paraId="0DBEA175">
    <w:pPr>
      <w:pStyle w:val="1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right"/>
      <w:textAlignment w:val="auto"/>
    </w:pPr>
    <w:r>
      <w:rPr>
        <w:rFonts w:hint="eastAsia"/>
        <w:lang w:val="en-US" w:eastAsia="zh-CN"/>
      </w:rPr>
      <w:t xml:space="preserve">       昆明市西山区民政局2023年社区居家养老服务中心运营补助项目支出绩效评价报告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4996E1"/>
    <w:multiLevelType w:val="singleLevel"/>
    <w:tmpl w:val="054996E1"/>
    <w:lvl w:ilvl="0" w:tentative="0">
      <w:start w:val="1"/>
      <w:numFmt w:val="decimal"/>
      <w:suff w:val="space"/>
      <w:lvlText w:val="%1."/>
      <w:lvlJc w:val="left"/>
    </w:lvl>
  </w:abstractNum>
  <w:abstractNum w:abstractNumId="1">
    <w:nsid w:val="7EB4FB12"/>
    <w:multiLevelType w:val="singleLevel"/>
    <w:tmpl w:val="7EB4FB1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removePersonalInformation/>
  <w:embedTrueTypeFonts/>
  <w:saveSubsetFonts/>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NjMwMDRkNDI2MzY3YWFkOWJjOWEyNjI3ZGViNmEifQ=="/>
  </w:docVars>
  <w:rsids>
    <w:rsidRoot w:val="00763D8D"/>
    <w:rsid w:val="000027B8"/>
    <w:rsid w:val="00003457"/>
    <w:rsid w:val="000053D4"/>
    <w:rsid w:val="000101DC"/>
    <w:rsid w:val="000109E6"/>
    <w:rsid w:val="00011162"/>
    <w:rsid w:val="000163D2"/>
    <w:rsid w:val="00021B6D"/>
    <w:rsid w:val="00022FFA"/>
    <w:rsid w:val="00023FF0"/>
    <w:rsid w:val="000302F4"/>
    <w:rsid w:val="00030BA6"/>
    <w:rsid w:val="00032A27"/>
    <w:rsid w:val="00032BAE"/>
    <w:rsid w:val="000377E6"/>
    <w:rsid w:val="00037F46"/>
    <w:rsid w:val="0004014B"/>
    <w:rsid w:val="00044EEC"/>
    <w:rsid w:val="00046291"/>
    <w:rsid w:val="00046463"/>
    <w:rsid w:val="00050813"/>
    <w:rsid w:val="00073C73"/>
    <w:rsid w:val="00075831"/>
    <w:rsid w:val="000761D2"/>
    <w:rsid w:val="00077515"/>
    <w:rsid w:val="0008006D"/>
    <w:rsid w:val="0008270C"/>
    <w:rsid w:val="00082DC6"/>
    <w:rsid w:val="000910C9"/>
    <w:rsid w:val="000913F5"/>
    <w:rsid w:val="000926D7"/>
    <w:rsid w:val="00093656"/>
    <w:rsid w:val="00095539"/>
    <w:rsid w:val="000A3ED9"/>
    <w:rsid w:val="000A4562"/>
    <w:rsid w:val="000A60AC"/>
    <w:rsid w:val="000C04DE"/>
    <w:rsid w:val="000C0984"/>
    <w:rsid w:val="000C1909"/>
    <w:rsid w:val="000C3CE0"/>
    <w:rsid w:val="000C5033"/>
    <w:rsid w:val="000D71DD"/>
    <w:rsid w:val="000E21D8"/>
    <w:rsid w:val="000E6F75"/>
    <w:rsid w:val="000F1534"/>
    <w:rsid w:val="000F3E60"/>
    <w:rsid w:val="000F46ED"/>
    <w:rsid w:val="000F6595"/>
    <w:rsid w:val="00106A8B"/>
    <w:rsid w:val="001075E2"/>
    <w:rsid w:val="001114F0"/>
    <w:rsid w:val="00114580"/>
    <w:rsid w:val="001146BA"/>
    <w:rsid w:val="00116445"/>
    <w:rsid w:val="00122361"/>
    <w:rsid w:val="00124FFE"/>
    <w:rsid w:val="00125D9C"/>
    <w:rsid w:val="001308E4"/>
    <w:rsid w:val="00142242"/>
    <w:rsid w:val="001439E1"/>
    <w:rsid w:val="00147856"/>
    <w:rsid w:val="00147F84"/>
    <w:rsid w:val="00150F3E"/>
    <w:rsid w:val="001513E5"/>
    <w:rsid w:val="00152B2B"/>
    <w:rsid w:val="001537D8"/>
    <w:rsid w:val="00153BC6"/>
    <w:rsid w:val="00155A7C"/>
    <w:rsid w:val="00157E96"/>
    <w:rsid w:val="0016290B"/>
    <w:rsid w:val="00162B90"/>
    <w:rsid w:val="00167E57"/>
    <w:rsid w:val="001722F7"/>
    <w:rsid w:val="00175976"/>
    <w:rsid w:val="00182613"/>
    <w:rsid w:val="001836BB"/>
    <w:rsid w:val="00183D89"/>
    <w:rsid w:val="001844AE"/>
    <w:rsid w:val="00184577"/>
    <w:rsid w:val="0018788E"/>
    <w:rsid w:val="001905A5"/>
    <w:rsid w:val="001A2410"/>
    <w:rsid w:val="001A2D6F"/>
    <w:rsid w:val="001A644B"/>
    <w:rsid w:val="001A77EE"/>
    <w:rsid w:val="001A7B0F"/>
    <w:rsid w:val="001B4784"/>
    <w:rsid w:val="001D4E03"/>
    <w:rsid w:val="001D58D7"/>
    <w:rsid w:val="001E07CC"/>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29E2"/>
    <w:rsid w:val="0022365E"/>
    <w:rsid w:val="002260C9"/>
    <w:rsid w:val="00226E95"/>
    <w:rsid w:val="00227678"/>
    <w:rsid w:val="00227EAF"/>
    <w:rsid w:val="00230719"/>
    <w:rsid w:val="00230C67"/>
    <w:rsid w:val="00235C5D"/>
    <w:rsid w:val="002422DC"/>
    <w:rsid w:val="00243F53"/>
    <w:rsid w:val="00246276"/>
    <w:rsid w:val="00251346"/>
    <w:rsid w:val="00252898"/>
    <w:rsid w:val="002532A4"/>
    <w:rsid w:val="00254804"/>
    <w:rsid w:val="00254B91"/>
    <w:rsid w:val="002554E5"/>
    <w:rsid w:val="002567E0"/>
    <w:rsid w:val="00256D4E"/>
    <w:rsid w:val="002606F4"/>
    <w:rsid w:val="00274648"/>
    <w:rsid w:val="00277ACC"/>
    <w:rsid w:val="00282CC8"/>
    <w:rsid w:val="00283F38"/>
    <w:rsid w:val="00285265"/>
    <w:rsid w:val="00290595"/>
    <w:rsid w:val="002917E5"/>
    <w:rsid w:val="0029356B"/>
    <w:rsid w:val="002A020A"/>
    <w:rsid w:val="002A1DF7"/>
    <w:rsid w:val="002A5AD2"/>
    <w:rsid w:val="002A6EAA"/>
    <w:rsid w:val="002B3F00"/>
    <w:rsid w:val="002B7B5E"/>
    <w:rsid w:val="002C46F4"/>
    <w:rsid w:val="002C555C"/>
    <w:rsid w:val="002D1D67"/>
    <w:rsid w:val="002D3C45"/>
    <w:rsid w:val="002D498A"/>
    <w:rsid w:val="002D55A2"/>
    <w:rsid w:val="002E06C9"/>
    <w:rsid w:val="002E1041"/>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70CD"/>
    <w:rsid w:val="003305B8"/>
    <w:rsid w:val="0033130B"/>
    <w:rsid w:val="0033489A"/>
    <w:rsid w:val="00337586"/>
    <w:rsid w:val="0033762E"/>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80118"/>
    <w:rsid w:val="003807BD"/>
    <w:rsid w:val="00381F0D"/>
    <w:rsid w:val="0038336A"/>
    <w:rsid w:val="00384495"/>
    <w:rsid w:val="00392745"/>
    <w:rsid w:val="00393295"/>
    <w:rsid w:val="003A3987"/>
    <w:rsid w:val="003A5711"/>
    <w:rsid w:val="003A6AB4"/>
    <w:rsid w:val="003B2603"/>
    <w:rsid w:val="003B355C"/>
    <w:rsid w:val="003B5FE1"/>
    <w:rsid w:val="003B74B5"/>
    <w:rsid w:val="003D112A"/>
    <w:rsid w:val="003D12B5"/>
    <w:rsid w:val="003D2104"/>
    <w:rsid w:val="003D35C0"/>
    <w:rsid w:val="003D6830"/>
    <w:rsid w:val="003E0E49"/>
    <w:rsid w:val="003E28AB"/>
    <w:rsid w:val="003E37CD"/>
    <w:rsid w:val="003F1515"/>
    <w:rsid w:val="003F16E7"/>
    <w:rsid w:val="003F402E"/>
    <w:rsid w:val="003F6354"/>
    <w:rsid w:val="00400D06"/>
    <w:rsid w:val="0040239B"/>
    <w:rsid w:val="00402CE7"/>
    <w:rsid w:val="00405226"/>
    <w:rsid w:val="00405C75"/>
    <w:rsid w:val="00406D6A"/>
    <w:rsid w:val="00420BEC"/>
    <w:rsid w:val="0042251D"/>
    <w:rsid w:val="00426FE5"/>
    <w:rsid w:val="004272A6"/>
    <w:rsid w:val="0043119F"/>
    <w:rsid w:val="00433CAA"/>
    <w:rsid w:val="00436B3B"/>
    <w:rsid w:val="00437980"/>
    <w:rsid w:val="004401ED"/>
    <w:rsid w:val="00440843"/>
    <w:rsid w:val="0044349C"/>
    <w:rsid w:val="00452585"/>
    <w:rsid w:val="00452895"/>
    <w:rsid w:val="00453319"/>
    <w:rsid w:val="004542C8"/>
    <w:rsid w:val="004549D1"/>
    <w:rsid w:val="00457099"/>
    <w:rsid w:val="00460E4C"/>
    <w:rsid w:val="00462343"/>
    <w:rsid w:val="00464A91"/>
    <w:rsid w:val="00465B8C"/>
    <w:rsid w:val="004671F2"/>
    <w:rsid w:val="00472258"/>
    <w:rsid w:val="00474787"/>
    <w:rsid w:val="0048081D"/>
    <w:rsid w:val="0048089A"/>
    <w:rsid w:val="004811D4"/>
    <w:rsid w:val="004839EA"/>
    <w:rsid w:val="00484612"/>
    <w:rsid w:val="004860CD"/>
    <w:rsid w:val="004866EA"/>
    <w:rsid w:val="004949AC"/>
    <w:rsid w:val="004A0A75"/>
    <w:rsid w:val="004A3DDB"/>
    <w:rsid w:val="004A4700"/>
    <w:rsid w:val="004A711A"/>
    <w:rsid w:val="004B34FB"/>
    <w:rsid w:val="004B448D"/>
    <w:rsid w:val="004C51F5"/>
    <w:rsid w:val="004C5D7B"/>
    <w:rsid w:val="004C6BF0"/>
    <w:rsid w:val="004D0D4D"/>
    <w:rsid w:val="004D2649"/>
    <w:rsid w:val="004D31B0"/>
    <w:rsid w:val="004D34AD"/>
    <w:rsid w:val="004D5F2D"/>
    <w:rsid w:val="004D678B"/>
    <w:rsid w:val="004E013B"/>
    <w:rsid w:val="004E0906"/>
    <w:rsid w:val="004E5E85"/>
    <w:rsid w:val="004F0288"/>
    <w:rsid w:val="004F0B47"/>
    <w:rsid w:val="004F43AA"/>
    <w:rsid w:val="004F47FC"/>
    <w:rsid w:val="004F5DE3"/>
    <w:rsid w:val="004F6CCC"/>
    <w:rsid w:val="005102A2"/>
    <w:rsid w:val="00510BAB"/>
    <w:rsid w:val="00514671"/>
    <w:rsid w:val="00515734"/>
    <w:rsid w:val="00522A6C"/>
    <w:rsid w:val="00526431"/>
    <w:rsid w:val="00536F5B"/>
    <w:rsid w:val="00542670"/>
    <w:rsid w:val="00545001"/>
    <w:rsid w:val="00550937"/>
    <w:rsid w:val="0055330D"/>
    <w:rsid w:val="005578D6"/>
    <w:rsid w:val="00561795"/>
    <w:rsid w:val="00562BA8"/>
    <w:rsid w:val="0056376A"/>
    <w:rsid w:val="00564552"/>
    <w:rsid w:val="00566921"/>
    <w:rsid w:val="005750C4"/>
    <w:rsid w:val="00576CB6"/>
    <w:rsid w:val="00576FBF"/>
    <w:rsid w:val="00577FAD"/>
    <w:rsid w:val="00585784"/>
    <w:rsid w:val="00587462"/>
    <w:rsid w:val="00587C8D"/>
    <w:rsid w:val="00591EF2"/>
    <w:rsid w:val="00592198"/>
    <w:rsid w:val="0059320E"/>
    <w:rsid w:val="005953FB"/>
    <w:rsid w:val="00597B52"/>
    <w:rsid w:val="005A2E6F"/>
    <w:rsid w:val="005A3998"/>
    <w:rsid w:val="005A50E5"/>
    <w:rsid w:val="005B0482"/>
    <w:rsid w:val="005B6066"/>
    <w:rsid w:val="005B70F0"/>
    <w:rsid w:val="005C40D3"/>
    <w:rsid w:val="005D06E4"/>
    <w:rsid w:val="005E0F3C"/>
    <w:rsid w:val="005E4ABD"/>
    <w:rsid w:val="005E6172"/>
    <w:rsid w:val="005F1102"/>
    <w:rsid w:val="00613763"/>
    <w:rsid w:val="00620526"/>
    <w:rsid w:val="00621602"/>
    <w:rsid w:val="00623AF9"/>
    <w:rsid w:val="006251E6"/>
    <w:rsid w:val="00626208"/>
    <w:rsid w:val="00627439"/>
    <w:rsid w:val="006323C6"/>
    <w:rsid w:val="00634466"/>
    <w:rsid w:val="00636016"/>
    <w:rsid w:val="00643CC5"/>
    <w:rsid w:val="0064402F"/>
    <w:rsid w:val="0065445B"/>
    <w:rsid w:val="00655674"/>
    <w:rsid w:val="00656020"/>
    <w:rsid w:val="00656A9A"/>
    <w:rsid w:val="00656F7D"/>
    <w:rsid w:val="006571CA"/>
    <w:rsid w:val="00657FEB"/>
    <w:rsid w:val="006633E2"/>
    <w:rsid w:val="00663BBB"/>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BCF"/>
    <w:rsid w:val="006B610A"/>
    <w:rsid w:val="006B70DE"/>
    <w:rsid w:val="006C0244"/>
    <w:rsid w:val="006C0E35"/>
    <w:rsid w:val="006D012E"/>
    <w:rsid w:val="006D2836"/>
    <w:rsid w:val="006E342B"/>
    <w:rsid w:val="006E36CF"/>
    <w:rsid w:val="006E3A23"/>
    <w:rsid w:val="006E76CA"/>
    <w:rsid w:val="006E79B8"/>
    <w:rsid w:val="006F09DA"/>
    <w:rsid w:val="00701599"/>
    <w:rsid w:val="00703419"/>
    <w:rsid w:val="00704906"/>
    <w:rsid w:val="00704B20"/>
    <w:rsid w:val="0070532D"/>
    <w:rsid w:val="007061AB"/>
    <w:rsid w:val="00706C0E"/>
    <w:rsid w:val="00707272"/>
    <w:rsid w:val="00711BD6"/>
    <w:rsid w:val="0071646D"/>
    <w:rsid w:val="00723885"/>
    <w:rsid w:val="007258CC"/>
    <w:rsid w:val="0072647A"/>
    <w:rsid w:val="00727017"/>
    <w:rsid w:val="007319A2"/>
    <w:rsid w:val="00733D12"/>
    <w:rsid w:val="00733E02"/>
    <w:rsid w:val="0073677A"/>
    <w:rsid w:val="007431B7"/>
    <w:rsid w:val="00746DEF"/>
    <w:rsid w:val="007474F3"/>
    <w:rsid w:val="0075085D"/>
    <w:rsid w:val="00751985"/>
    <w:rsid w:val="00752CA1"/>
    <w:rsid w:val="00753514"/>
    <w:rsid w:val="00754346"/>
    <w:rsid w:val="007622C7"/>
    <w:rsid w:val="00763D8D"/>
    <w:rsid w:val="00763F0B"/>
    <w:rsid w:val="00771DBA"/>
    <w:rsid w:val="00774689"/>
    <w:rsid w:val="00775421"/>
    <w:rsid w:val="00780354"/>
    <w:rsid w:val="00780EAF"/>
    <w:rsid w:val="00780F68"/>
    <w:rsid w:val="00783983"/>
    <w:rsid w:val="007854FB"/>
    <w:rsid w:val="00786B54"/>
    <w:rsid w:val="00795893"/>
    <w:rsid w:val="00796558"/>
    <w:rsid w:val="007A0D31"/>
    <w:rsid w:val="007A1C7C"/>
    <w:rsid w:val="007A2BCD"/>
    <w:rsid w:val="007A58C0"/>
    <w:rsid w:val="007A6474"/>
    <w:rsid w:val="007A7277"/>
    <w:rsid w:val="007B064B"/>
    <w:rsid w:val="007B2D33"/>
    <w:rsid w:val="007B72C4"/>
    <w:rsid w:val="007C023F"/>
    <w:rsid w:val="007C1423"/>
    <w:rsid w:val="007C2CA2"/>
    <w:rsid w:val="007C38FA"/>
    <w:rsid w:val="007C3BD4"/>
    <w:rsid w:val="007C3CB2"/>
    <w:rsid w:val="007C7E73"/>
    <w:rsid w:val="007D051F"/>
    <w:rsid w:val="007D0BBA"/>
    <w:rsid w:val="007D2550"/>
    <w:rsid w:val="007D3332"/>
    <w:rsid w:val="007D333C"/>
    <w:rsid w:val="007D6583"/>
    <w:rsid w:val="007D778F"/>
    <w:rsid w:val="007E0FFD"/>
    <w:rsid w:val="007E18FC"/>
    <w:rsid w:val="007E494F"/>
    <w:rsid w:val="007E5BBF"/>
    <w:rsid w:val="007E68BF"/>
    <w:rsid w:val="007F0B94"/>
    <w:rsid w:val="007F26DD"/>
    <w:rsid w:val="007F2884"/>
    <w:rsid w:val="007F2CFD"/>
    <w:rsid w:val="007F3CED"/>
    <w:rsid w:val="00801696"/>
    <w:rsid w:val="00803FFB"/>
    <w:rsid w:val="00805C6A"/>
    <w:rsid w:val="00807246"/>
    <w:rsid w:val="00812AFF"/>
    <w:rsid w:val="00814803"/>
    <w:rsid w:val="00814C48"/>
    <w:rsid w:val="00822129"/>
    <w:rsid w:val="00832C5F"/>
    <w:rsid w:val="00833991"/>
    <w:rsid w:val="00834B6A"/>
    <w:rsid w:val="008369B8"/>
    <w:rsid w:val="00837E6A"/>
    <w:rsid w:val="0084288D"/>
    <w:rsid w:val="008429AF"/>
    <w:rsid w:val="008444BD"/>
    <w:rsid w:val="00846B79"/>
    <w:rsid w:val="00851B24"/>
    <w:rsid w:val="00851F54"/>
    <w:rsid w:val="00866AB0"/>
    <w:rsid w:val="00867F1E"/>
    <w:rsid w:val="00870D8D"/>
    <w:rsid w:val="008735D5"/>
    <w:rsid w:val="00873D83"/>
    <w:rsid w:val="00877854"/>
    <w:rsid w:val="00882E11"/>
    <w:rsid w:val="00884635"/>
    <w:rsid w:val="00885EF1"/>
    <w:rsid w:val="00890F31"/>
    <w:rsid w:val="00893649"/>
    <w:rsid w:val="00894CB7"/>
    <w:rsid w:val="00896267"/>
    <w:rsid w:val="00896DBE"/>
    <w:rsid w:val="008A096F"/>
    <w:rsid w:val="008A3471"/>
    <w:rsid w:val="008A5EF0"/>
    <w:rsid w:val="008B035B"/>
    <w:rsid w:val="008B4790"/>
    <w:rsid w:val="008C134F"/>
    <w:rsid w:val="008C1413"/>
    <w:rsid w:val="008C33C4"/>
    <w:rsid w:val="008C3699"/>
    <w:rsid w:val="008D007F"/>
    <w:rsid w:val="008D5ECA"/>
    <w:rsid w:val="008D6C00"/>
    <w:rsid w:val="008D7D2E"/>
    <w:rsid w:val="008E077D"/>
    <w:rsid w:val="008E0FBB"/>
    <w:rsid w:val="008E70EF"/>
    <w:rsid w:val="008F0F5E"/>
    <w:rsid w:val="008F2F92"/>
    <w:rsid w:val="008F689B"/>
    <w:rsid w:val="00901D0E"/>
    <w:rsid w:val="009034E6"/>
    <w:rsid w:val="00903C2E"/>
    <w:rsid w:val="0090678C"/>
    <w:rsid w:val="00910CE3"/>
    <w:rsid w:val="00915956"/>
    <w:rsid w:val="00920E07"/>
    <w:rsid w:val="0092374D"/>
    <w:rsid w:val="00923BAA"/>
    <w:rsid w:val="00924970"/>
    <w:rsid w:val="009267F6"/>
    <w:rsid w:val="009317C0"/>
    <w:rsid w:val="009326BF"/>
    <w:rsid w:val="0093787B"/>
    <w:rsid w:val="00937BC1"/>
    <w:rsid w:val="00942C8E"/>
    <w:rsid w:val="0095111A"/>
    <w:rsid w:val="00954F31"/>
    <w:rsid w:val="009607A3"/>
    <w:rsid w:val="00961330"/>
    <w:rsid w:val="00961BEE"/>
    <w:rsid w:val="00963095"/>
    <w:rsid w:val="00964F1C"/>
    <w:rsid w:val="00965869"/>
    <w:rsid w:val="009672A4"/>
    <w:rsid w:val="00973859"/>
    <w:rsid w:val="00974A70"/>
    <w:rsid w:val="00983C33"/>
    <w:rsid w:val="00983EB5"/>
    <w:rsid w:val="009900E6"/>
    <w:rsid w:val="00990F17"/>
    <w:rsid w:val="009912B5"/>
    <w:rsid w:val="00991437"/>
    <w:rsid w:val="009914DC"/>
    <w:rsid w:val="00993E30"/>
    <w:rsid w:val="009A3DA3"/>
    <w:rsid w:val="009A3DE0"/>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A000D9"/>
    <w:rsid w:val="00A00612"/>
    <w:rsid w:val="00A02D03"/>
    <w:rsid w:val="00A02E94"/>
    <w:rsid w:val="00A057DC"/>
    <w:rsid w:val="00A0725B"/>
    <w:rsid w:val="00A10153"/>
    <w:rsid w:val="00A11EC9"/>
    <w:rsid w:val="00A121FB"/>
    <w:rsid w:val="00A12F69"/>
    <w:rsid w:val="00A17A74"/>
    <w:rsid w:val="00A22A04"/>
    <w:rsid w:val="00A23FCD"/>
    <w:rsid w:val="00A24E49"/>
    <w:rsid w:val="00A25F38"/>
    <w:rsid w:val="00A27411"/>
    <w:rsid w:val="00A27C51"/>
    <w:rsid w:val="00A31048"/>
    <w:rsid w:val="00A33005"/>
    <w:rsid w:val="00A34C99"/>
    <w:rsid w:val="00A36910"/>
    <w:rsid w:val="00A370A6"/>
    <w:rsid w:val="00A375F1"/>
    <w:rsid w:val="00A41B24"/>
    <w:rsid w:val="00A43DC7"/>
    <w:rsid w:val="00A444BF"/>
    <w:rsid w:val="00A5152D"/>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504E"/>
    <w:rsid w:val="00A86EA4"/>
    <w:rsid w:val="00A91A3E"/>
    <w:rsid w:val="00A92139"/>
    <w:rsid w:val="00A95E98"/>
    <w:rsid w:val="00AA01D4"/>
    <w:rsid w:val="00AA2D96"/>
    <w:rsid w:val="00AB0EEC"/>
    <w:rsid w:val="00AB312A"/>
    <w:rsid w:val="00AB5B2F"/>
    <w:rsid w:val="00AB738C"/>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2516C"/>
    <w:rsid w:val="00B2587E"/>
    <w:rsid w:val="00B300AD"/>
    <w:rsid w:val="00B327D2"/>
    <w:rsid w:val="00B35B22"/>
    <w:rsid w:val="00B36265"/>
    <w:rsid w:val="00B45B74"/>
    <w:rsid w:val="00B53412"/>
    <w:rsid w:val="00B54DC6"/>
    <w:rsid w:val="00B55B57"/>
    <w:rsid w:val="00B567D7"/>
    <w:rsid w:val="00B57693"/>
    <w:rsid w:val="00B61B4E"/>
    <w:rsid w:val="00B70DE9"/>
    <w:rsid w:val="00B74E74"/>
    <w:rsid w:val="00B873B5"/>
    <w:rsid w:val="00B93260"/>
    <w:rsid w:val="00B93F28"/>
    <w:rsid w:val="00B972CB"/>
    <w:rsid w:val="00BA0FD9"/>
    <w:rsid w:val="00BA40D9"/>
    <w:rsid w:val="00BB0BA8"/>
    <w:rsid w:val="00BB37A8"/>
    <w:rsid w:val="00BB6206"/>
    <w:rsid w:val="00BC66F9"/>
    <w:rsid w:val="00BC6820"/>
    <w:rsid w:val="00BC6C03"/>
    <w:rsid w:val="00BC6F02"/>
    <w:rsid w:val="00BC6F77"/>
    <w:rsid w:val="00BD1031"/>
    <w:rsid w:val="00BD455D"/>
    <w:rsid w:val="00BE2CD8"/>
    <w:rsid w:val="00BE2E79"/>
    <w:rsid w:val="00BE36D4"/>
    <w:rsid w:val="00BF212F"/>
    <w:rsid w:val="00BF373E"/>
    <w:rsid w:val="00BF43FA"/>
    <w:rsid w:val="00BF652B"/>
    <w:rsid w:val="00C045BB"/>
    <w:rsid w:val="00C06CB9"/>
    <w:rsid w:val="00C12472"/>
    <w:rsid w:val="00C127E3"/>
    <w:rsid w:val="00C12993"/>
    <w:rsid w:val="00C14194"/>
    <w:rsid w:val="00C1562E"/>
    <w:rsid w:val="00C15C47"/>
    <w:rsid w:val="00C20FD7"/>
    <w:rsid w:val="00C21C6A"/>
    <w:rsid w:val="00C226BA"/>
    <w:rsid w:val="00C25D38"/>
    <w:rsid w:val="00C3203F"/>
    <w:rsid w:val="00C322A8"/>
    <w:rsid w:val="00C342E1"/>
    <w:rsid w:val="00C377A0"/>
    <w:rsid w:val="00C40B0E"/>
    <w:rsid w:val="00C40CCE"/>
    <w:rsid w:val="00C41346"/>
    <w:rsid w:val="00C4210A"/>
    <w:rsid w:val="00C43BD6"/>
    <w:rsid w:val="00C45B16"/>
    <w:rsid w:val="00C45EBD"/>
    <w:rsid w:val="00C466DC"/>
    <w:rsid w:val="00C468DC"/>
    <w:rsid w:val="00C47B12"/>
    <w:rsid w:val="00C534CE"/>
    <w:rsid w:val="00C5415C"/>
    <w:rsid w:val="00C541D9"/>
    <w:rsid w:val="00C62615"/>
    <w:rsid w:val="00C6335B"/>
    <w:rsid w:val="00C63F3D"/>
    <w:rsid w:val="00C645D0"/>
    <w:rsid w:val="00C65119"/>
    <w:rsid w:val="00C67B4F"/>
    <w:rsid w:val="00C71AC0"/>
    <w:rsid w:val="00C72787"/>
    <w:rsid w:val="00C80468"/>
    <w:rsid w:val="00C82510"/>
    <w:rsid w:val="00C83288"/>
    <w:rsid w:val="00C83A49"/>
    <w:rsid w:val="00C846E1"/>
    <w:rsid w:val="00C90211"/>
    <w:rsid w:val="00C90783"/>
    <w:rsid w:val="00C95C0B"/>
    <w:rsid w:val="00CA0927"/>
    <w:rsid w:val="00CA0E05"/>
    <w:rsid w:val="00CA4623"/>
    <w:rsid w:val="00CA4B6A"/>
    <w:rsid w:val="00CA4C0D"/>
    <w:rsid w:val="00CA7A9C"/>
    <w:rsid w:val="00CB007D"/>
    <w:rsid w:val="00CB0544"/>
    <w:rsid w:val="00CB140F"/>
    <w:rsid w:val="00CC1977"/>
    <w:rsid w:val="00CC1F56"/>
    <w:rsid w:val="00CC2185"/>
    <w:rsid w:val="00CC28DD"/>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26A0"/>
    <w:rsid w:val="00D27175"/>
    <w:rsid w:val="00D304CE"/>
    <w:rsid w:val="00D3157C"/>
    <w:rsid w:val="00D32626"/>
    <w:rsid w:val="00D33D96"/>
    <w:rsid w:val="00D35671"/>
    <w:rsid w:val="00D364E5"/>
    <w:rsid w:val="00D37658"/>
    <w:rsid w:val="00D41184"/>
    <w:rsid w:val="00D42666"/>
    <w:rsid w:val="00D428E9"/>
    <w:rsid w:val="00D434B3"/>
    <w:rsid w:val="00D47CF4"/>
    <w:rsid w:val="00D5212F"/>
    <w:rsid w:val="00D52D57"/>
    <w:rsid w:val="00D52EB8"/>
    <w:rsid w:val="00D53012"/>
    <w:rsid w:val="00D543E3"/>
    <w:rsid w:val="00D557FA"/>
    <w:rsid w:val="00D56D8A"/>
    <w:rsid w:val="00D6208B"/>
    <w:rsid w:val="00D6323D"/>
    <w:rsid w:val="00D65736"/>
    <w:rsid w:val="00D67916"/>
    <w:rsid w:val="00D70277"/>
    <w:rsid w:val="00D7082A"/>
    <w:rsid w:val="00D76498"/>
    <w:rsid w:val="00D86780"/>
    <w:rsid w:val="00D86E4E"/>
    <w:rsid w:val="00D878B0"/>
    <w:rsid w:val="00D94156"/>
    <w:rsid w:val="00D94439"/>
    <w:rsid w:val="00DA15E3"/>
    <w:rsid w:val="00DB4813"/>
    <w:rsid w:val="00DB6228"/>
    <w:rsid w:val="00DC5F49"/>
    <w:rsid w:val="00DC77D8"/>
    <w:rsid w:val="00DC7BEC"/>
    <w:rsid w:val="00DE073C"/>
    <w:rsid w:val="00DE16E9"/>
    <w:rsid w:val="00DE4365"/>
    <w:rsid w:val="00DE4C6F"/>
    <w:rsid w:val="00E01B46"/>
    <w:rsid w:val="00E05F95"/>
    <w:rsid w:val="00E06324"/>
    <w:rsid w:val="00E109B2"/>
    <w:rsid w:val="00E11C47"/>
    <w:rsid w:val="00E1400B"/>
    <w:rsid w:val="00E17B51"/>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7717"/>
    <w:rsid w:val="00E6040B"/>
    <w:rsid w:val="00E610C7"/>
    <w:rsid w:val="00E66C39"/>
    <w:rsid w:val="00E67AC7"/>
    <w:rsid w:val="00E70CC7"/>
    <w:rsid w:val="00E727B4"/>
    <w:rsid w:val="00E758B8"/>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D063F"/>
    <w:rsid w:val="00ED7CDD"/>
    <w:rsid w:val="00ED7FF2"/>
    <w:rsid w:val="00EE7F07"/>
    <w:rsid w:val="00EF18F6"/>
    <w:rsid w:val="00EF6E58"/>
    <w:rsid w:val="00F00DC9"/>
    <w:rsid w:val="00F03A6F"/>
    <w:rsid w:val="00F078B5"/>
    <w:rsid w:val="00F12E05"/>
    <w:rsid w:val="00F15CE1"/>
    <w:rsid w:val="00F15F42"/>
    <w:rsid w:val="00F1642E"/>
    <w:rsid w:val="00F1677C"/>
    <w:rsid w:val="00F22E84"/>
    <w:rsid w:val="00F24F9C"/>
    <w:rsid w:val="00F30AB9"/>
    <w:rsid w:val="00F361CB"/>
    <w:rsid w:val="00F3751F"/>
    <w:rsid w:val="00F448F4"/>
    <w:rsid w:val="00F50FEA"/>
    <w:rsid w:val="00F51A53"/>
    <w:rsid w:val="00F52C04"/>
    <w:rsid w:val="00F53597"/>
    <w:rsid w:val="00F56C74"/>
    <w:rsid w:val="00F57207"/>
    <w:rsid w:val="00F5747F"/>
    <w:rsid w:val="00F606DB"/>
    <w:rsid w:val="00F63A66"/>
    <w:rsid w:val="00F644D9"/>
    <w:rsid w:val="00F656A9"/>
    <w:rsid w:val="00F66DF8"/>
    <w:rsid w:val="00F67ECF"/>
    <w:rsid w:val="00F70120"/>
    <w:rsid w:val="00F72138"/>
    <w:rsid w:val="00F72CA9"/>
    <w:rsid w:val="00F73E58"/>
    <w:rsid w:val="00F74539"/>
    <w:rsid w:val="00F842CC"/>
    <w:rsid w:val="00F8543D"/>
    <w:rsid w:val="00F86C2F"/>
    <w:rsid w:val="00F9086D"/>
    <w:rsid w:val="00F908C4"/>
    <w:rsid w:val="00F9496E"/>
    <w:rsid w:val="00F96741"/>
    <w:rsid w:val="00FA211A"/>
    <w:rsid w:val="00FA215F"/>
    <w:rsid w:val="00FA390E"/>
    <w:rsid w:val="00FA3A5D"/>
    <w:rsid w:val="00FA5054"/>
    <w:rsid w:val="00FA6FA2"/>
    <w:rsid w:val="00FB1764"/>
    <w:rsid w:val="00FB5172"/>
    <w:rsid w:val="00FB698D"/>
    <w:rsid w:val="00FC0283"/>
    <w:rsid w:val="00FC076E"/>
    <w:rsid w:val="00FC11EF"/>
    <w:rsid w:val="00FC24B4"/>
    <w:rsid w:val="00FC2B68"/>
    <w:rsid w:val="00FC49E1"/>
    <w:rsid w:val="00FD1537"/>
    <w:rsid w:val="00FD7AFE"/>
    <w:rsid w:val="00FE0ABD"/>
    <w:rsid w:val="00FE12EB"/>
    <w:rsid w:val="00FE1A58"/>
    <w:rsid w:val="00FE2D4E"/>
    <w:rsid w:val="00FE3AFA"/>
    <w:rsid w:val="00FE6D8D"/>
    <w:rsid w:val="00FF362B"/>
    <w:rsid w:val="01487061"/>
    <w:rsid w:val="017D4F5C"/>
    <w:rsid w:val="019E4ED3"/>
    <w:rsid w:val="01B31EA0"/>
    <w:rsid w:val="01C71945"/>
    <w:rsid w:val="022278B2"/>
    <w:rsid w:val="0227311A"/>
    <w:rsid w:val="02497534"/>
    <w:rsid w:val="026558D4"/>
    <w:rsid w:val="0295277A"/>
    <w:rsid w:val="02AD361F"/>
    <w:rsid w:val="02F079B0"/>
    <w:rsid w:val="0314369E"/>
    <w:rsid w:val="03230731"/>
    <w:rsid w:val="0332621A"/>
    <w:rsid w:val="03547F3F"/>
    <w:rsid w:val="037C1244"/>
    <w:rsid w:val="03CF5817"/>
    <w:rsid w:val="03FF60FC"/>
    <w:rsid w:val="040631D7"/>
    <w:rsid w:val="041D2A27"/>
    <w:rsid w:val="042C4A18"/>
    <w:rsid w:val="05746809"/>
    <w:rsid w:val="05A21435"/>
    <w:rsid w:val="05B922DB"/>
    <w:rsid w:val="065344DE"/>
    <w:rsid w:val="066A7A79"/>
    <w:rsid w:val="06734B80"/>
    <w:rsid w:val="06A50AB1"/>
    <w:rsid w:val="06ED4932"/>
    <w:rsid w:val="074A1D85"/>
    <w:rsid w:val="084E1401"/>
    <w:rsid w:val="086C4384"/>
    <w:rsid w:val="0955056D"/>
    <w:rsid w:val="098B3F8E"/>
    <w:rsid w:val="09D73678"/>
    <w:rsid w:val="09EA33AB"/>
    <w:rsid w:val="0A4505E1"/>
    <w:rsid w:val="0AB93C3A"/>
    <w:rsid w:val="0B397F4D"/>
    <w:rsid w:val="0B5C5BE2"/>
    <w:rsid w:val="0B7C44D7"/>
    <w:rsid w:val="0B8B64C8"/>
    <w:rsid w:val="0B8F249D"/>
    <w:rsid w:val="0BB80875"/>
    <w:rsid w:val="0C061FF2"/>
    <w:rsid w:val="0C3D1EB8"/>
    <w:rsid w:val="0C5E1E2E"/>
    <w:rsid w:val="0C8952EC"/>
    <w:rsid w:val="0CC55A09"/>
    <w:rsid w:val="0D074274"/>
    <w:rsid w:val="0D110C4F"/>
    <w:rsid w:val="0D673E7E"/>
    <w:rsid w:val="0D7F205C"/>
    <w:rsid w:val="0D837D9E"/>
    <w:rsid w:val="0DBD4932"/>
    <w:rsid w:val="0DC70C8E"/>
    <w:rsid w:val="0DF13BA7"/>
    <w:rsid w:val="0E034A3B"/>
    <w:rsid w:val="0E2438E6"/>
    <w:rsid w:val="0E26697C"/>
    <w:rsid w:val="0E43308A"/>
    <w:rsid w:val="0E52151F"/>
    <w:rsid w:val="0E701D89"/>
    <w:rsid w:val="0E8F62CF"/>
    <w:rsid w:val="0E9B1118"/>
    <w:rsid w:val="0EAC6E81"/>
    <w:rsid w:val="0EED1247"/>
    <w:rsid w:val="0F056591"/>
    <w:rsid w:val="0F20786F"/>
    <w:rsid w:val="0F661726"/>
    <w:rsid w:val="0F751969"/>
    <w:rsid w:val="0FCB3337"/>
    <w:rsid w:val="101A42BE"/>
    <w:rsid w:val="104B4477"/>
    <w:rsid w:val="10CD30DE"/>
    <w:rsid w:val="10D2137D"/>
    <w:rsid w:val="113E3FDC"/>
    <w:rsid w:val="114E06C3"/>
    <w:rsid w:val="11733C86"/>
    <w:rsid w:val="11965BC6"/>
    <w:rsid w:val="11BF336F"/>
    <w:rsid w:val="11C269BB"/>
    <w:rsid w:val="11DB182B"/>
    <w:rsid w:val="123E24E6"/>
    <w:rsid w:val="128679E9"/>
    <w:rsid w:val="13174AE5"/>
    <w:rsid w:val="131B45D5"/>
    <w:rsid w:val="14180B15"/>
    <w:rsid w:val="145558C5"/>
    <w:rsid w:val="148B7538"/>
    <w:rsid w:val="14A423A8"/>
    <w:rsid w:val="15670DB0"/>
    <w:rsid w:val="157E0E4B"/>
    <w:rsid w:val="15892E91"/>
    <w:rsid w:val="15D373E9"/>
    <w:rsid w:val="15EA29F9"/>
    <w:rsid w:val="15EC2259"/>
    <w:rsid w:val="16481B85"/>
    <w:rsid w:val="16A30ACD"/>
    <w:rsid w:val="16B03286"/>
    <w:rsid w:val="16BC7E7D"/>
    <w:rsid w:val="172872C1"/>
    <w:rsid w:val="177E5132"/>
    <w:rsid w:val="18D07C10"/>
    <w:rsid w:val="192817FA"/>
    <w:rsid w:val="1929525A"/>
    <w:rsid w:val="193B777F"/>
    <w:rsid w:val="196D36B1"/>
    <w:rsid w:val="19D618FD"/>
    <w:rsid w:val="19F94F44"/>
    <w:rsid w:val="1A8A3DEE"/>
    <w:rsid w:val="1AD5150D"/>
    <w:rsid w:val="1ADF238C"/>
    <w:rsid w:val="1AE71241"/>
    <w:rsid w:val="1B040045"/>
    <w:rsid w:val="1B8F49C6"/>
    <w:rsid w:val="1B9E2247"/>
    <w:rsid w:val="1C19367C"/>
    <w:rsid w:val="1C314E69"/>
    <w:rsid w:val="1CC23D13"/>
    <w:rsid w:val="1D3C5874"/>
    <w:rsid w:val="1D5F77B4"/>
    <w:rsid w:val="1D686669"/>
    <w:rsid w:val="1D976F4E"/>
    <w:rsid w:val="1E15349E"/>
    <w:rsid w:val="1E7D6144"/>
    <w:rsid w:val="1ED0096A"/>
    <w:rsid w:val="1EEC32CA"/>
    <w:rsid w:val="1F0E4FEE"/>
    <w:rsid w:val="1F6D440A"/>
    <w:rsid w:val="1F707A57"/>
    <w:rsid w:val="1FD224BF"/>
    <w:rsid w:val="1FE67D19"/>
    <w:rsid w:val="20086079"/>
    <w:rsid w:val="20273464"/>
    <w:rsid w:val="203E7B55"/>
    <w:rsid w:val="20586E69"/>
    <w:rsid w:val="20A53730"/>
    <w:rsid w:val="21336F8E"/>
    <w:rsid w:val="217E5254"/>
    <w:rsid w:val="21C83B7A"/>
    <w:rsid w:val="21EA1D42"/>
    <w:rsid w:val="220646A2"/>
    <w:rsid w:val="22121299"/>
    <w:rsid w:val="22821F7B"/>
    <w:rsid w:val="22A75EA3"/>
    <w:rsid w:val="22DC3362"/>
    <w:rsid w:val="22DF268F"/>
    <w:rsid w:val="230F7587"/>
    <w:rsid w:val="237F67AF"/>
    <w:rsid w:val="241237D2"/>
    <w:rsid w:val="2423153B"/>
    <w:rsid w:val="2443398C"/>
    <w:rsid w:val="246B4024"/>
    <w:rsid w:val="24B2466D"/>
    <w:rsid w:val="24C17028"/>
    <w:rsid w:val="25B82157"/>
    <w:rsid w:val="2629095F"/>
    <w:rsid w:val="262D48F3"/>
    <w:rsid w:val="26396DF4"/>
    <w:rsid w:val="26881B2A"/>
    <w:rsid w:val="26D11723"/>
    <w:rsid w:val="26D66D39"/>
    <w:rsid w:val="26FE3B9A"/>
    <w:rsid w:val="273870AC"/>
    <w:rsid w:val="276205CD"/>
    <w:rsid w:val="27893DAB"/>
    <w:rsid w:val="27D45508"/>
    <w:rsid w:val="28017DE6"/>
    <w:rsid w:val="28137B19"/>
    <w:rsid w:val="282B09BF"/>
    <w:rsid w:val="283C2BCC"/>
    <w:rsid w:val="28511A08"/>
    <w:rsid w:val="28802805"/>
    <w:rsid w:val="28D472A8"/>
    <w:rsid w:val="28ED3EC6"/>
    <w:rsid w:val="29194CBB"/>
    <w:rsid w:val="295E3016"/>
    <w:rsid w:val="298365D8"/>
    <w:rsid w:val="29A0609E"/>
    <w:rsid w:val="29F00112"/>
    <w:rsid w:val="2A383867"/>
    <w:rsid w:val="2A63351A"/>
    <w:rsid w:val="2AA66A22"/>
    <w:rsid w:val="2ACB46DB"/>
    <w:rsid w:val="2AE8528D"/>
    <w:rsid w:val="2B7E50A1"/>
    <w:rsid w:val="2BFD6B16"/>
    <w:rsid w:val="2C536736"/>
    <w:rsid w:val="2C8114F5"/>
    <w:rsid w:val="2C923702"/>
    <w:rsid w:val="2D6055AE"/>
    <w:rsid w:val="2D7921CC"/>
    <w:rsid w:val="2DAA0AB7"/>
    <w:rsid w:val="2DAA6F41"/>
    <w:rsid w:val="2DAE631A"/>
    <w:rsid w:val="2DC72F38"/>
    <w:rsid w:val="2DF16206"/>
    <w:rsid w:val="2E075A2A"/>
    <w:rsid w:val="2E165C6D"/>
    <w:rsid w:val="2EB11931"/>
    <w:rsid w:val="2EBD433B"/>
    <w:rsid w:val="2ED022C0"/>
    <w:rsid w:val="2EFA76D2"/>
    <w:rsid w:val="2F0D52C2"/>
    <w:rsid w:val="2F2E6FE6"/>
    <w:rsid w:val="2F6D5D61"/>
    <w:rsid w:val="2F9432ED"/>
    <w:rsid w:val="300E30A0"/>
    <w:rsid w:val="302E3742"/>
    <w:rsid w:val="30443FDF"/>
    <w:rsid w:val="30DD2A72"/>
    <w:rsid w:val="30EB33E1"/>
    <w:rsid w:val="30F304E8"/>
    <w:rsid w:val="31E57E30"/>
    <w:rsid w:val="320C1861"/>
    <w:rsid w:val="32284BF5"/>
    <w:rsid w:val="32496611"/>
    <w:rsid w:val="32700042"/>
    <w:rsid w:val="32841131"/>
    <w:rsid w:val="32AA2E28"/>
    <w:rsid w:val="32D22AAA"/>
    <w:rsid w:val="3369683F"/>
    <w:rsid w:val="343230D5"/>
    <w:rsid w:val="343E1A7A"/>
    <w:rsid w:val="345474EF"/>
    <w:rsid w:val="34A51AF9"/>
    <w:rsid w:val="34A90093"/>
    <w:rsid w:val="35A95619"/>
    <w:rsid w:val="366652B8"/>
    <w:rsid w:val="367D2D2D"/>
    <w:rsid w:val="368A369C"/>
    <w:rsid w:val="372E4027"/>
    <w:rsid w:val="378E4AC6"/>
    <w:rsid w:val="37CD1A92"/>
    <w:rsid w:val="385C2E16"/>
    <w:rsid w:val="38710670"/>
    <w:rsid w:val="38A071A7"/>
    <w:rsid w:val="38DF7CCF"/>
    <w:rsid w:val="390E4110"/>
    <w:rsid w:val="39227BBC"/>
    <w:rsid w:val="3A86417A"/>
    <w:rsid w:val="3ABB02C8"/>
    <w:rsid w:val="3B765F9D"/>
    <w:rsid w:val="3BD827B4"/>
    <w:rsid w:val="3BF375EE"/>
    <w:rsid w:val="3C1F6635"/>
    <w:rsid w:val="3C5C33E5"/>
    <w:rsid w:val="3C720E5A"/>
    <w:rsid w:val="3CF07013"/>
    <w:rsid w:val="3D622C7D"/>
    <w:rsid w:val="3DA23079"/>
    <w:rsid w:val="3E3E7246"/>
    <w:rsid w:val="3E78060F"/>
    <w:rsid w:val="3E7E7642"/>
    <w:rsid w:val="3ECE4ADB"/>
    <w:rsid w:val="3EE85404"/>
    <w:rsid w:val="3F0264C5"/>
    <w:rsid w:val="3F520ACF"/>
    <w:rsid w:val="3FB20368"/>
    <w:rsid w:val="3FEE6A4A"/>
    <w:rsid w:val="40760500"/>
    <w:rsid w:val="408B6047"/>
    <w:rsid w:val="40C1415E"/>
    <w:rsid w:val="41253E3C"/>
    <w:rsid w:val="4162324B"/>
    <w:rsid w:val="41A47EAA"/>
    <w:rsid w:val="41B94E35"/>
    <w:rsid w:val="41C757A4"/>
    <w:rsid w:val="423D1B0D"/>
    <w:rsid w:val="42530DE6"/>
    <w:rsid w:val="42D31F27"/>
    <w:rsid w:val="42F223AD"/>
    <w:rsid w:val="42F500EF"/>
    <w:rsid w:val="43087E22"/>
    <w:rsid w:val="43596C77"/>
    <w:rsid w:val="438104E1"/>
    <w:rsid w:val="43893EEA"/>
    <w:rsid w:val="43A13550"/>
    <w:rsid w:val="43D27190"/>
    <w:rsid w:val="43E066A9"/>
    <w:rsid w:val="43F108B7"/>
    <w:rsid w:val="44255497"/>
    <w:rsid w:val="44316F05"/>
    <w:rsid w:val="44421112"/>
    <w:rsid w:val="450E5498"/>
    <w:rsid w:val="45194C57"/>
    <w:rsid w:val="459B4F7E"/>
    <w:rsid w:val="45F56F48"/>
    <w:rsid w:val="463B22BD"/>
    <w:rsid w:val="46AE2A8F"/>
    <w:rsid w:val="46C027C2"/>
    <w:rsid w:val="47022C0A"/>
    <w:rsid w:val="471548BC"/>
    <w:rsid w:val="471843AC"/>
    <w:rsid w:val="47887784"/>
    <w:rsid w:val="4792415F"/>
    <w:rsid w:val="47BC11DC"/>
    <w:rsid w:val="47D429C9"/>
    <w:rsid w:val="48B545A9"/>
    <w:rsid w:val="48CE7418"/>
    <w:rsid w:val="49172B6D"/>
    <w:rsid w:val="499917D4"/>
    <w:rsid w:val="49EC3FFA"/>
    <w:rsid w:val="4A1E7F2C"/>
    <w:rsid w:val="4A275032"/>
    <w:rsid w:val="4A5646C6"/>
    <w:rsid w:val="4A9D70A2"/>
    <w:rsid w:val="4AB34B18"/>
    <w:rsid w:val="4AF8077D"/>
    <w:rsid w:val="4B0C5FD6"/>
    <w:rsid w:val="4B447E66"/>
    <w:rsid w:val="4B614574"/>
    <w:rsid w:val="4B78366B"/>
    <w:rsid w:val="4BD905AE"/>
    <w:rsid w:val="4BF058F8"/>
    <w:rsid w:val="4C3954F1"/>
    <w:rsid w:val="4C5D7084"/>
    <w:rsid w:val="4C987480"/>
    <w:rsid w:val="4CC21042"/>
    <w:rsid w:val="4D243AAB"/>
    <w:rsid w:val="4D4B2839"/>
    <w:rsid w:val="4DBA61BD"/>
    <w:rsid w:val="4E086F29"/>
    <w:rsid w:val="4E8C42E3"/>
    <w:rsid w:val="4E8F764A"/>
    <w:rsid w:val="4F1D07B2"/>
    <w:rsid w:val="4F251D5C"/>
    <w:rsid w:val="4F532425"/>
    <w:rsid w:val="4F552641"/>
    <w:rsid w:val="4F870321"/>
    <w:rsid w:val="4FA669F9"/>
    <w:rsid w:val="4FB70C06"/>
    <w:rsid w:val="4FF97471"/>
    <w:rsid w:val="50297C96"/>
    <w:rsid w:val="50302767"/>
    <w:rsid w:val="504D156B"/>
    <w:rsid w:val="50854D82"/>
    <w:rsid w:val="50A218B6"/>
    <w:rsid w:val="50CA2BBB"/>
    <w:rsid w:val="50CA4969"/>
    <w:rsid w:val="51A21442"/>
    <w:rsid w:val="51B64EEE"/>
    <w:rsid w:val="51D830B6"/>
    <w:rsid w:val="523C1897"/>
    <w:rsid w:val="52426781"/>
    <w:rsid w:val="52CF6267"/>
    <w:rsid w:val="53DB0C3B"/>
    <w:rsid w:val="542B1BC3"/>
    <w:rsid w:val="54662BFB"/>
    <w:rsid w:val="54A84109"/>
    <w:rsid w:val="54A93F3B"/>
    <w:rsid w:val="54F75F49"/>
    <w:rsid w:val="55142657"/>
    <w:rsid w:val="555111B5"/>
    <w:rsid w:val="55564A1D"/>
    <w:rsid w:val="55603AEE"/>
    <w:rsid w:val="5575291E"/>
    <w:rsid w:val="56020701"/>
    <w:rsid w:val="56466840"/>
    <w:rsid w:val="565076BF"/>
    <w:rsid w:val="566273F2"/>
    <w:rsid w:val="56FD4225"/>
    <w:rsid w:val="573E1C0D"/>
    <w:rsid w:val="576F0018"/>
    <w:rsid w:val="5778511F"/>
    <w:rsid w:val="57914433"/>
    <w:rsid w:val="57D90083"/>
    <w:rsid w:val="58711B6E"/>
    <w:rsid w:val="58B33A31"/>
    <w:rsid w:val="58ED5699"/>
    <w:rsid w:val="594E5BCE"/>
    <w:rsid w:val="597D4C6F"/>
    <w:rsid w:val="598B6C60"/>
    <w:rsid w:val="59AC5554"/>
    <w:rsid w:val="5A643739"/>
    <w:rsid w:val="5A706581"/>
    <w:rsid w:val="5AA247F9"/>
    <w:rsid w:val="5B10566E"/>
    <w:rsid w:val="5B5A4B3C"/>
    <w:rsid w:val="5B9462A0"/>
    <w:rsid w:val="5BDB5C7C"/>
    <w:rsid w:val="5BFD0E7B"/>
    <w:rsid w:val="5C361105"/>
    <w:rsid w:val="5C381321"/>
    <w:rsid w:val="5C3D6937"/>
    <w:rsid w:val="5CB0535B"/>
    <w:rsid w:val="5CC46711"/>
    <w:rsid w:val="5CE96177"/>
    <w:rsid w:val="5D170F36"/>
    <w:rsid w:val="5D6879E4"/>
    <w:rsid w:val="5D880074"/>
    <w:rsid w:val="5D9C768D"/>
    <w:rsid w:val="5E145476"/>
    <w:rsid w:val="5E6F3446"/>
    <w:rsid w:val="5E8819C0"/>
    <w:rsid w:val="5E9A1E1F"/>
    <w:rsid w:val="5EA44A4C"/>
    <w:rsid w:val="5EA467FA"/>
    <w:rsid w:val="5EAB1644"/>
    <w:rsid w:val="5F011E9E"/>
    <w:rsid w:val="5F8B0797"/>
    <w:rsid w:val="5FD473D2"/>
    <w:rsid w:val="5FE1582B"/>
    <w:rsid w:val="6052563D"/>
    <w:rsid w:val="60B70D8B"/>
    <w:rsid w:val="60F03F78"/>
    <w:rsid w:val="611D0AE5"/>
    <w:rsid w:val="61493688"/>
    <w:rsid w:val="617947F2"/>
    <w:rsid w:val="61A9664A"/>
    <w:rsid w:val="61AD3C17"/>
    <w:rsid w:val="61E67129"/>
    <w:rsid w:val="61F60246"/>
    <w:rsid w:val="62165C60"/>
    <w:rsid w:val="62404A8B"/>
    <w:rsid w:val="62514C75"/>
    <w:rsid w:val="62F85366"/>
    <w:rsid w:val="63260125"/>
    <w:rsid w:val="632C5010"/>
    <w:rsid w:val="634412E8"/>
    <w:rsid w:val="639257BA"/>
    <w:rsid w:val="63D01E3F"/>
    <w:rsid w:val="63D57455"/>
    <w:rsid w:val="63E36016"/>
    <w:rsid w:val="63FB1729"/>
    <w:rsid w:val="64295B47"/>
    <w:rsid w:val="64340B77"/>
    <w:rsid w:val="64632CB3"/>
    <w:rsid w:val="6472169E"/>
    <w:rsid w:val="647C1FC7"/>
    <w:rsid w:val="64BE613B"/>
    <w:rsid w:val="64DB6CED"/>
    <w:rsid w:val="6545060B"/>
    <w:rsid w:val="654B3E73"/>
    <w:rsid w:val="6580532C"/>
    <w:rsid w:val="662E7568"/>
    <w:rsid w:val="670858C3"/>
    <w:rsid w:val="67360434"/>
    <w:rsid w:val="674D37A6"/>
    <w:rsid w:val="67E05761"/>
    <w:rsid w:val="681E6D9B"/>
    <w:rsid w:val="688558EE"/>
    <w:rsid w:val="68E05E96"/>
    <w:rsid w:val="6931512E"/>
    <w:rsid w:val="69AB1384"/>
    <w:rsid w:val="69B018C1"/>
    <w:rsid w:val="69E74C9F"/>
    <w:rsid w:val="6A026ACA"/>
    <w:rsid w:val="6A38073E"/>
    <w:rsid w:val="6AA81420"/>
    <w:rsid w:val="6AEA7C8A"/>
    <w:rsid w:val="6B2A7872"/>
    <w:rsid w:val="6BD46244"/>
    <w:rsid w:val="6BEC5C84"/>
    <w:rsid w:val="6C076B5D"/>
    <w:rsid w:val="6C1D48F5"/>
    <w:rsid w:val="6C240F7A"/>
    <w:rsid w:val="6C8F526F"/>
    <w:rsid w:val="6C9500C9"/>
    <w:rsid w:val="6C983716"/>
    <w:rsid w:val="6C9B27B9"/>
    <w:rsid w:val="6CAE4CE7"/>
    <w:rsid w:val="6CF7043C"/>
    <w:rsid w:val="6CFA7F2C"/>
    <w:rsid w:val="6D487076"/>
    <w:rsid w:val="6D667370"/>
    <w:rsid w:val="6DC5053A"/>
    <w:rsid w:val="6DE07122"/>
    <w:rsid w:val="6E142972"/>
    <w:rsid w:val="6E2656F3"/>
    <w:rsid w:val="6E2C2368"/>
    <w:rsid w:val="6E445903"/>
    <w:rsid w:val="6E7D0E15"/>
    <w:rsid w:val="6E867CCA"/>
    <w:rsid w:val="6EAD16FA"/>
    <w:rsid w:val="6ED21161"/>
    <w:rsid w:val="6F285225"/>
    <w:rsid w:val="6F347726"/>
    <w:rsid w:val="6F5002D8"/>
    <w:rsid w:val="6F59718C"/>
    <w:rsid w:val="6F773AB6"/>
    <w:rsid w:val="6F8D5088"/>
    <w:rsid w:val="6FF46EB5"/>
    <w:rsid w:val="70090BB2"/>
    <w:rsid w:val="70716758"/>
    <w:rsid w:val="70903082"/>
    <w:rsid w:val="70DD5B9B"/>
    <w:rsid w:val="70E4517B"/>
    <w:rsid w:val="716167CC"/>
    <w:rsid w:val="717402AD"/>
    <w:rsid w:val="71744751"/>
    <w:rsid w:val="718F158B"/>
    <w:rsid w:val="71EF3DD8"/>
    <w:rsid w:val="72536115"/>
    <w:rsid w:val="72C05E22"/>
    <w:rsid w:val="72F42ADE"/>
    <w:rsid w:val="72F9501D"/>
    <w:rsid w:val="733D0B73"/>
    <w:rsid w:val="7349576A"/>
    <w:rsid w:val="735A34D3"/>
    <w:rsid w:val="73CD0149"/>
    <w:rsid w:val="74F55BA9"/>
    <w:rsid w:val="757B6B58"/>
    <w:rsid w:val="75894543"/>
    <w:rsid w:val="758D7B90"/>
    <w:rsid w:val="759C6025"/>
    <w:rsid w:val="75DB4D9F"/>
    <w:rsid w:val="75F23E97"/>
    <w:rsid w:val="76481691"/>
    <w:rsid w:val="765E777E"/>
    <w:rsid w:val="76A2766B"/>
    <w:rsid w:val="76B33626"/>
    <w:rsid w:val="76CA0970"/>
    <w:rsid w:val="770C0F88"/>
    <w:rsid w:val="776A072F"/>
    <w:rsid w:val="77846D70"/>
    <w:rsid w:val="778A25E1"/>
    <w:rsid w:val="779372B6"/>
    <w:rsid w:val="77FB188A"/>
    <w:rsid w:val="782F3180"/>
    <w:rsid w:val="792F71B0"/>
    <w:rsid w:val="7A146AD1"/>
    <w:rsid w:val="7A560E98"/>
    <w:rsid w:val="7A652E89"/>
    <w:rsid w:val="7A9170CB"/>
    <w:rsid w:val="7A990D85"/>
    <w:rsid w:val="7AD3663F"/>
    <w:rsid w:val="7AE67CE9"/>
    <w:rsid w:val="7B430CF1"/>
    <w:rsid w:val="7BA23C69"/>
    <w:rsid w:val="7C091F3A"/>
    <w:rsid w:val="7C392FCB"/>
    <w:rsid w:val="7C49196C"/>
    <w:rsid w:val="7C701FB9"/>
    <w:rsid w:val="7C865339"/>
    <w:rsid w:val="7D0C7F34"/>
    <w:rsid w:val="7DD32800"/>
    <w:rsid w:val="7E1E7F1F"/>
    <w:rsid w:val="7E265025"/>
    <w:rsid w:val="7E971A7F"/>
    <w:rsid w:val="7EEB6A0A"/>
    <w:rsid w:val="7F2E23E3"/>
    <w:rsid w:val="7F65392B"/>
    <w:rsid w:val="7F6F6558"/>
    <w:rsid w:val="7FCF60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Times New Roman"/>
      <w:kern w:val="30"/>
      <w:sz w:val="30"/>
      <w:szCs w:val="21"/>
      <w:lang w:val="en-US" w:eastAsia="zh-CN" w:bidi="ar-SA"/>
    </w:rPr>
  </w:style>
  <w:style w:type="paragraph" w:styleId="2">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4"/>
    <w:autoRedefine/>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5"/>
    <w:autoRedefine/>
    <w:qFormat/>
    <w:uiPriority w:val="99"/>
    <w:pPr>
      <w:keepNext/>
      <w:keepLines/>
      <w:spacing w:before="260" w:after="260" w:line="416" w:lineRule="auto"/>
      <w:outlineLvl w:val="2"/>
    </w:pPr>
    <w:rPr>
      <w:b/>
      <w:bCs/>
      <w:kern w:val="0"/>
      <w:sz w:val="32"/>
      <w:szCs w:val="32"/>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szCs w:val="20"/>
    </w:rPr>
  </w:style>
  <w:style w:type="paragraph" w:styleId="6">
    <w:name w:val="Document Map"/>
    <w:basedOn w:val="1"/>
    <w:link w:val="41"/>
    <w:autoRedefine/>
    <w:semiHidden/>
    <w:unhideWhenUsed/>
    <w:qFormat/>
    <w:uiPriority w:val="99"/>
    <w:rPr>
      <w:rFonts w:ascii="宋体"/>
      <w:sz w:val="18"/>
      <w:szCs w:val="18"/>
    </w:rPr>
  </w:style>
  <w:style w:type="paragraph" w:styleId="7">
    <w:name w:val="annotation text"/>
    <w:basedOn w:val="1"/>
    <w:link w:val="39"/>
    <w:autoRedefine/>
    <w:unhideWhenUsed/>
    <w:qFormat/>
    <w:uiPriority w:val="99"/>
    <w:pPr>
      <w:jc w:val="left"/>
    </w:pPr>
  </w:style>
  <w:style w:type="paragraph" w:styleId="8">
    <w:name w:val="Body Text"/>
    <w:basedOn w:val="1"/>
    <w:next w:val="9"/>
    <w:link w:val="46"/>
    <w:autoRedefine/>
    <w:qFormat/>
    <w:uiPriority w:val="1"/>
    <w:pPr>
      <w:ind w:left="119"/>
      <w:jc w:val="left"/>
    </w:pPr>
    <w:rPr>
      <w:rFonts w:ascii="仿宋_GB2312" w:hAnsi="仿宋_GB2312" w:eastAsia="仿宋_GB2312" w:cstheme="minorBidi"/>
      <w:kern w:val="0"/>
      <w:szCs w:val="30"/>
      <w:lang w:eastAsia="en-US"/>
    </w:rPr>
  </w:style>
  <w:style w:type="paragraph" w:styleId="9">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10">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Balloon Text"/>
    <w:basedOn w:val="1"/>
    <w:link w:val="38"/>
    <w:autoRedefine/>
    <w:semiHidden/>
    <w:unhideWhenUsed/>
    <w:qFormat/>
    <w:uiPriority w:val="99"/>
    <w:rPr>
      <w:sz w:val="18"/>
      <w:szCs w:val="18"/>
    </w:rPr>
  </w:style>
  <w:style w:type="paragraph" w:styleId="12">
    <w:name w:val="footer"/>
    <w:basedOn w:val="1"/>
    <w:link w:val="37"/>
    <w:autoRedefine/>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5">
    <w:name w:val="table of figures"/>
    <w:basedOn w:val="1"/>
    <w:next w:val="1"/>
    <w:autoRedefine/>
    <w:unhideWhenUsed/>
    <w:qFormat/>
    <w:uiPriority w:val="0"/>
    <w:pPr>
      <w:spacing w:line="360" w:lineRule="auto"/>
      <w:ind w:left="200" w:leftChars="200" w:hanging="200" w:hangingChars="200"/>
      <w:jc w:val="left"/>
    </w:pPr>
    <w:rPr>
      <w:sz w:val="24"/>
    </w:rPr>
  </w:style>
  <w:style w:type="paragraph" w:styleId="16">
    <w:name w:val="toc 2"/>
    <w:basedOn w:val="1"/>
    <w:next w:val="1"/>
    <w:autoRedefine/>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8">
    <w:name w:val="annotation subject"/>
    <w:basedOn w:val="7"/>
    <w:next w:val="7"/>
    <w:link w:val="40"/>
    <w:autoRedefine/>
    <w:semiHidden/>
    <w:unhideWhenUsed/>
    <w:qFormat/>
    <w:uiPriority w:val="99"/>
    <w:rPr>
      <w:b/>
      <w:bCs/>
    </w:rPr>
  </w:style>
  <w:style w:type="paragraph" w:styleId="19">
    <w:name w:val="Body Text First Indent"/>
    <w:basedOn w:val="8"/>
    <w:autoRedefine/>
    <w:semiHidden/>
    <w:unhideWhenUsed/>
    <w:qFormat/>
    <w:uiPriority w:val="99"/>
    <w:pPr>
      <w:ind w:firstLine="420" w:firstLineChars="100"/>
    </w:pPr>
  </w:style>
  <w:style w:type="table" w:styleId="21">
    <w:name w:val="Table Grid"/>
    <w:basedOn w:val="20"/>
    <w:autoRedefine/>
    <w:qFormat/>
    <w:uiPriority w:val="3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3">
    <w:name w:val="Strong"/>
    <w:basedOn w:val="22"/>
    <w:qFormat/>
    <w:uiPriority w:val="22"/>
    <w:rPr>
      <w:b/>
    </w:rPr>
  </w:style>
  <w:style w:type="character" w:styleId="24">
    <w:name w:val="page number"/>
    <w:basedOn w:val="22"/>
    <w:autoRedefine/>
    <w:qFormat/>
    <w:uiPriority w:val="0"/>
  </w:style>
  <w:style w:type="character" w:styleId="25">
    <w:name w:val="Hyperlink"/>
    <w:basedOn w:val="22"/>
    <w:autoRedefine/>
    <w:unhideWhenUsed/>
    <w:qFormat/>
    <w:uiPriority w:val="99"/>
    <w:rPr>
      <w:color w:val="0000FF" w:themeColor="hyperlink"/>
      <w:u w:val="single"/>
      <w14:textFill>
        <w14:solidFill>
          <w14:schemeClr w14:val="hlink"/>
        </w14:solidFill>
      </w14:textFill>
    </w:rPr>
  </w:style>
  <w:style w:type="character" w:styleId="26">
    <w:name w:val="annotation reference"/>
    <w:basedOn w:val="22"/>
    <w:autoRedefine/>
    <w:semiHidden/>
    <w:unhideWhenUsed/>
    <w:qFormat/>
    <w:uiPriority w:val="99"/>
    <w:rPr>
      <w:sz w:val="21"/>
      <w:szCs w:val="21"/>
    </w:rPr>
  </w:style>
  <w:style w:type="paragraph" w:customStyle="1" w:styleId="27">
    <w:name w:val="脚注文本1"/>
    <w:autoRedefine/>
    <w:qFormat/>
    <w:uiPriority w:val="0"/>
    <w:pPr>
      <w:widowControl w:val="0"/>
      <w:snapToGrid w:val="0"/>
      <w:jc w:val="left"/>
    </w:pPr>
    <w:rPr>
      <w:rFonts w:ascii="Calibri" w:hAnsi="Calibri" w:eastAsia="宋体" w:cs="Times New Roman"/>
      <w:kern w:val="2"/>
      <w:sz w:val="18"/>
      <w:szCs w:val="24"/>
      <w:lang w:val="en-US" w:eastAsia="zh-CN" w:bidi="ar-SA"/>
    </w:rPr>
  </w:style>
  <w:style w:type="paragraph" w:customStyle="1" w:styleId="28">
    <w:name w:val="Default"/>
    <w:next w:val="1"/>
    <w:autoRedefine/>
    <w:qFormat/>
    <w:uiPriority w:val="0"/>
    <w:pPr>
      <w:widowControl w:val="0"/>
      <w:autoSpaceDE w:val="0"/>
      <w:autoSpaceDN w:val="0"/>
      <w:adjustRightInd w:val="0"/>
      <w:spacing w:after="160" w:line="259" w:lineRule="auto"/>
    </w:pPr>
    <w:rPr>
      <w:rFonts w:ascii="宋体" w:hAnsi="Times New Roman" w:eastAsia="宋体" w:cs="宋体"/>
      <w:color w:val="000000"/>
      <w:kern w:val="0"/>
      <w:sz w:val="24"/>
      <w:szCs w:val="24"/>
      <w:lang w:val="en-US" w:eastAsia="zh-CN" w:bidi="ar-SA"/>
    </w:rPr>
  </w:style>
  <w:style w:type="paragraph" w:customStyle="1" w:styleId="29">
    <w:name w:val="一、报告标题"/>
    <w:basedOn w:val="1"/>
    <w:autoRedefine/>
    <w:qFormat/>
    <w:uiPriority w:val="0"/>
    <w:pPr>
      <w:spacing w:line="600" w:lineRule="exact"/>
      <w:ind w:firstLine="643" w:firstLineChars="200"/>
      <w:outlineLvl w:val="0"/>
    </w:pPr>
    <w:rPr>
      <w:rFonts w:hint="eastAsia" w:ascii="楷体_GB2312" w:hAnsi="楷体_GB2312" w:eastAsia="楷体_GB2312" w:cs="楷体_GB2312"/>
      <w:b/>
      <w:bCs/>
      <w:sz w:val="32"/>
      <w:szCs w:val="32"/>
    </w:rPr>
  </w:style>
  <w:style w:type="paragraph" w:customStyle="1" w:styleId="30">
    <w:name w:val="绩效一级"/>
    <w:basedOn w:val="29"/>
    <w:autoRedefine/>
    <w:qFormat/>
    <w:uiPriority w:val="0"/>
    <w:rPr>
      <w:rFonts w:hint="default" w:eastAsia="黑体" w:asciiTheme="minorAscii" w:hAnsiTheme="minorAscii"/>
      <w:kern w:val="30"/>
      <w:sz w:val="30"/>
    </w:rPr>
  </w:style>
  <w:style w:type="paragraph" w:customStyle="1" w:styleId="31">
    <w:name w:val="绩效二级"/>
    <w:basedOn w:val="1"/>
    <w:autoRedefine/>
    <w:qFormat/>
    <w:uiPriority w:val="0"/>
    <w:pPr>
      <w:adjustRightInd w:val="0"/>
      <w:snapToGrid w:val="0"/>
      <w:spacing w:line="579" w:lineRule="exact"/>
      <w:ind w:firstLine="630" w:firstLineChars="200"/>
      <w:outlineLvl w:val="9"/>
    </w:pPr>
    <w:rPr>
      <w:rFonts w:hint="eastAsia" w:ascii="Times New Roman" w:hAnsi="Times New Roman" w:eastAsia="楷体" w:cs="Times New Roman"/>
      <w:kern w:val="30"/>
      <w:sz w:val="30"/>
      <w:szCs w:val="30"/>
    </w:rPr>
  </w:style>
  <w:style w:type="paragraph" w:customStyle="1" w:styleId="32">
    <w:name w:val="绩效正文"/>
    <w:basedOn w:val="1"/>
    <w:autoRedefine/>
    <w:qFormat/>
    <w:uiPriority w:val="0"/>
    <w:pPr>
      <w:adjustRightInd/>
      <w:snapToGrid/>
      <w:spacing w:line="579" w:lineRule="exact"/>
      <w:ind w:firstLine="630" w:firstLineChars="200"/>
    </w:pPr>
    <w:rPr>
      <w:rFonts w:hint="eastAsia" w:ascii="仿宋" w:hAnsi="仿宋" w:eastAsia="仿宋" w:cs="Times New Roman"/>
      <w:kern w:val="30"/>
      <w:sz w:val="30"/>
      <w:szCs w:val="30"/>
    </w:rPr>
  </w:style>
  <w:style w:type="character" w:customStyle="1" w:styleId="33">
    <w:name w:val="标题 1 字符"/>
    <w:basedOn w:val="22"/>
    <w:link w:val="2"/>
    <w:autoRedefine/>
    <w:qFormat/>
    <w:uiPriority w:val="9"/>
    <w:rPr>
      <w:rFonts w:ascii="Times New Roman" w:hAnsi="Times New Roman" w:eastAsia="宋体" w:cs="Times New Roman"/>
      <w:b/>
      <w:bCs/>
      <w:kern w:val="44"/>
      <w:sz w:val="44"/>
      <w:szCs w:val="44"/>
    </w:rPr>
  </w:style>
  <w:style w:type="character" w:customStyle="1" w:styleId="34">
    <w:name w:val="标题 2 字符"/>
    <w:basedOn w:val="22"/>
    <w:link w:val="3"/>
    <w:autoRedefine/>
    <w:qFormat/>
    <w:uiPriority w:val="99"/>
    <w:rPr>
      <w:rFonts w:ascii="Cambria" w:hAnsi="Cambria" w:eastAsia="宋体" w:cs="Times New Roman"/>
      <w:b/>
      <w:bCs/>
      <w:kern w:val="0"/>
      <w:sz w:val="32"/>
      <w:szCs w:val="32"/>
    </w:rPr>
  </w:style>
  <w:style w:type="character" w:customStyle="1" w:styleId="35">
    <w:name w:val="标题 3 字符"/>
    <w:basedOn w:val="22"/>
    <w:link w:val="4"/>
    <w:autoRedefine/>
    <w:qFormat/>
    <w:uiPriority w:val="99"/>
    <w:rPr>
      <w:rFonts w:ascii="Times New Roman" w:hAnsi="Times New Roman" w:eastAsia="宋体" w:cs="Times New Roman"/>
      <w:b/>
      <w:bCs/>
      <w:kern w:val="0"/>
      <w:sz w:val="32"/>
      <w:szCs w:val="32"/>
    </w:rPr>
  </w:style>
  <w:style w:type="character" w:customStyle="1" w:styleId="36">
    <w:name w:val="页眉 字符"/>
    <w:basedOn w:val="22"/>
    <w:link w:val="13"/>
    <w:autoRedefine/>
    <w:qFormat/>
    <w:uiPriority w:val="99"/>
    <w:rPr>
      <w:sz w:val="18"/>
      <w:szCs w:val="18"/>
    </w:rPr>
  </w:style>
  <w:style w:type="character" w:customStyle="1" w:styleId="37">
    <w:name w:val="页脚 字符"/>
    <w:basedOn w:val="22"/>
    <w:link w:val="12"/>
    <w:autoRedefine/>
    <w:qFormat/>
    <w:uiPriority w:val="0"/>
    <w:rPr>
      <w:sz w:val="18"/>
      <w:szCs w:val="18"/>
    </w:rPr>
  </w:style>
  <w:style w:type="character" w:customStyle="1" w:styleId="38">
    <w:name w:val="批注框文本 字符"/>
    <w:basedOn w:val="22"/>
    <w:link w:val="11"/>
    <w:autoRedefine/>
    <w:semiHidden/>
    <w:qFormat/>
    <w:uiPriority w:val="99"/>
    <w:rPr>
      <w:rFonts w:ascii="Times New Roman" w:hAnsi="Times New Roman" w:eastAsia="宋体" w:cs="Times New Roman"/>
      <w:sz w:val="18"/>
      <w:szCs w:val="18"/>
    </w:rPr>
  </w:style>
  <w:style w:type="character" w:customStyle="1" w:styleId="39">
    <w:name w:val="批注文字 字符"/>
    <w:basedOn w:val="22"/>
    <w:link w:val="7"/>
    <w:autoRedefine/>
    <w:qFormat/>
    <w:uiPriority w:val="99"/>
    <w:rPr>
      <w:rFonts w:ascii="Times New Roman" w:hAnsi="Times New Roman" w:eastAsia="宋体" w:cs="Times New Roman"/>
      <w:szCs w:val="21"/>
    </w:rPr>
  </w:style>
  <w:style w:type="character" w:customStyle="1" w:styleId="40">
    <w:name w:val="批注主题 字符"/>
    <w:basedOn w:val="39"/>
    <w:link w:val="18"/>
    <w:autoRedefine/>
    <w:semiHidden/>
    <w:qFormat/>
    <w:uiPriority w:val="99"/>
    <w:rPr>
      <w:rFonts w:ascii="Times New Roman" w:hAnsi="Times New Roman" w:eastAsia="宋体" w:cs="Times New Roman"/>
      <w:b/>
      <w:bCs/>
      <w:szCs w:val="21"/>
    </w:rPr>
  </w:style>
  <w:style w:type="character" w:customStyle="1" w:styleId="41">
    <w:name w:val="文档结构图 字符"/>
    <w:basedOn w:val="22"/>
    <w:link w:val="6"/>
    <w:autoRedefine/>
    <w:semiHidden/>
    <w:qFormat/>
    <w:uiPriority w:val="99"/>
    <w:rPr>
      <w:rFonts w:ascii="宋体" w:hAnsi="Times New Roman" w:eastAsia="宋体" w:cs="Times New Roman"/>
      <w:sz w:val="18"/>
      <w:szCs w:val="18"/>
    </w:rPr>
  </w:style>
  <w:style w:type="paragraph" w:customStyle="1" w:styleId="42">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3">
    <w:name w:val="Revision"/>
    <w:autoRedefine/>
    <w:hidden/>
    <w:semiHidden/>
    <w:qFormat/>
    <w:uiPriority w:val="99"/>
    <w:rPr>
      <w:rFonts w:ascii="Times New Roman" w:hAnsi="Times New Roman" w:eastAsia="宋体" w:cs="Times New Roman"/>
      <w:kern w:val="2"/>
      <w:sz w:val="21"/>
      <w:szCs w:val="21"/>
      <w:lang w:val="en-US" w:eastAsia="zh-CN" w:bidi="ar-SA"/>
    </w:rPr>
  </w:style>
  <w:style w:type="character" w:customStyle="1" w:styleId="44">
    <w:name w:val="页码 New New"/>
    <w:basedOn w:val="22"/>
    <w:autoRedefine/>
    <w:qFormat/>
    <w:uiPriority w:val="0"/>
  </w:style>
  <w:style w:type="paragraph" w:styleId="45">
    <w:name w:val="List Paragraph"/>
    <w:basedOn w:val="1"/>
    <w:autoRedefine/>
    <w:qFormat/>
    <w:uiPriority w:val="34"/>
    <w:pPr>
      <w:ind w:firstLine="420" w:firstLineChars="200"/>
    </w:pPr>
  </w:style>
  <w:style w:type="character" w:customStyle="1" w:styleId="46">
    <w:name w:val="正文文本 字符"/>
    <w:basedOn w:val="22"/>
    <w:link w:val="8"/>
    <w:autoRedefine/>
    <w:qFormat/>
    <w:uiPriority w:val="1"/>
    <w:rPr>
      <w:rFonts w:ascii="仿宋_GB2312" w:hAnsi="仿宋_GB2312" w:eastAsia="仿宋_GB2312"/>
      <w:kern w:val="0"/>
      <w:sz w:val="30"/>
      <w:szCs w:val="30"/>
      <w:lang w:eastAsia="en-US"/>
    </w:rPr>
  </w:style>
  <w:style w:type="character" w:customStyle="1" w:styleId="47">
    <w:name w:val="Unresolved Mention"/>
    <w:basedOn w:val="22"/>
    <w:autoRedefine/>
    <w:semiHidden/>
    <w:unhideWhenUsed/>
    <w:qFormat/>
    <w:uiPriority w:val="99"/>
    <w:rPr>
      <w:color w:val="605E5C"/>
      <w:shd w:val="clear" w:color="auto" w:fill="E1DFDD"/>
    </w:rPr>
  </w:style>
  <w:style w:type="paragraph" w:customStyle="1" w:styleId="4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979FAE-EF8C-4413-8BA6-6BA5B5841ADB}">
  <ds:schemaRefs/>
</ds:datastoreItem>
</file>

<file path=docProps/app.xml><?xml version="1.0" encoding="utf-8"?>
<Properties xmlns="http://schemas.openxmlformats.org/officeDocument/2006/extended-properties" xmlns:vt="http://schemas.openxmlformats.org/officeDocument/2006/docPropsVTypes">
  <Template>Normal</Template>
  <Pages>32</Pages>
  <Words>3819</Words>
  <Characters>4171</Characters>
  <Lines>30</Lines>
  <Paragraphs>8</Paragraphs>
  <TotalTime>296</TotalTime>
  <ScaleCrop>false</ScaleCrop>
  <LinksUpToDate>false</LinksUpToDate>
  <CharactersWithSpaces>4216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2017-10-30T07:15:00Z</dcterms:created>
  <dcterms:modified xsi:type="dcterms:W3CDTF">2026-02-04T06:41:53Z</dcterms:modified>
  <dc:title>目  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406D519D8D9548B08E0461D8F282B387_13</vt:lpwstr>
  </property>
  <property fmtid="{D5CDD505-2E9C-101B-9397-08002B2CF9AE}" pid="4" name="KSOTemplateDocerSaveRecord">
    <vt:lpwstr>eyJoZGlkIjoiOGQ2YzJiYTM5M2U1MDRhZDA4YWIzMDRkZTNiOTgzNjUiLCJ1c2VySWQiOiIyNDM4MTE4NzUifQ==</vt:lpwstr>
  </property>
</Properties>
</file>