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92" w:lineRule="exact"/>
        <w:ind w:firstLine="0"/>
        <w:rPr>
          <w:rFonts w:ascii="Times New Roman" w:hAnsi="Times New Roman" w:eastAsia="黑体" w:cs="黑体"/>
          <w:snapToGrid w:val="0"/>
          <w:sz w:val="32"/>
          <w:szCs w:val="32"/>
        </w:rPr>
      </w:pPr>
      <w:r>
        <w:rPr>
          <w:rFonts w:hint="eastAsia" w:ascii="Times New Roman" w:hAnsi="Times New Roman" w:eastAsia="黑体" w:cs="黑体"/>
          <w:snapToGrid w:val="0"/>
          <w:sz w:val="32"/>
          <w:szCs w:val="32"/>
        </w:rPr>
        <w:t>附件2</w:t>
      </w:r>
    </w:p>
    <w:p>
      <w:pPr>
        <w:pStyle w:val="7"/>
        <w:spacing w:line="592" w:lineRule="exact"/>
        <w:ind w:firstLine="0"/>
        <w:rPr>
          <w:rFonts w:ascii="Times New Roman" w:hAnsi="Times New Roman" w:eastAsia="黑体" w:cs="Times New Roman"/>
          <w:snapToGrid w:val="0"/>
          <w:sz w:val="32"/>
          <w:szCs w:val="32"/>
        </w:rPr>
      </w:pPr>
    </w:p>
    <w:p>
      <w:pPr>
        <w:pStyle w:val="7"/>
        <w:spacing w:line="592" w:lineRule="exact"/>
        <w:ind w:firstLine="0"/>
        <w:jc w:val="center"/>
        <w:rPr>
          <w:rFonts w:ascii="方正小标宋简体" w:hAnsi="Times New Roman" w:eastAsia="方正小标宋简体"/>
          <w:snapToGrid w:val="0"/>
          <w:sz w:val="44"/>
          <w:szCs w:val="44"/>
        </w:rPr>
      </w:pPr>
      <w:r>
        <w:rPr>
          <w:rFonts w:ascii="方正小标宋简体" w:hAnsi="Times New Roman" w:eastAsia="方正小标宋简体" w:cs="Times New Roman"/>
          <w:snapToGrid w:val="0"/>
          <w:sz w:val="44"/>
          <w:szCs w:val="44"/>
        </w:rPr>
        <w:t>2023年</w:t>
      </w:r>
      <w:r>
        <w:rPr>
          <w:rFonts w:hint="eastAsia" w:ascii="方正小标宋简体" w:hAnsi="Times New Roman" w:eastAsia="方正小标宋简体" w:cs="Times New Roman"/>
          <w:snapToGrid w:val="0"/>
          <w:sz w:val="44"/>
          <w:szCs w:val="44"/>
        </w:rPr>
        <w:t>昆明市和西山区</w:t>
      </w:r>
      <w:r>
        <w:rPr>
          <w:rFonts w:ascii="方正小标宋简体" w:hAnsi="Times New Roman" w:eastAsia="方正小标宋简体" w:cs="Times New Roman"/>
          <w:spacing w:val="4"/>
          <w:sz w:val="44"/>
          <w:szCs w:val="44"/>
        </w:rPr>
        <w:t>经济社会发展</w:t>
      </w:r>
      <w:r>
        <w:rPr>
          <w:rFonts w:ascii="方正小标宋简体" w:hAnsi="Times New Roman" w:eastAsia="方正小标宋简体" w:cs="Times New Roman"/>
          <w:snapToGrid w:val="0"/>
          <w:sz w:val="44"/>
          <w:szCs w:val="44"/>
        </w:rPr>
        <w:t>主要指标完成情况</w:t>
      </w:r>
    </w:p>
    <w:p>
      <w:pPr>
        <w:spacing w:line="592" w:lineRule="exact"/>
      </w:pPr>
    </w:p>
    <w:tbl>
      <w:tblPr>
        <w:tblStyle w:val="24"/>
        <w:tblW w:w="5750" w:type="pct"/>
        <w:jc w:val="center"/>
        <w:tblLayout w:type="fixed"/>
        <w:tblCellMar>
          <w:top w:w="0" w:type="dxa"/>
          <w:left w:w="108" w:type="dxa"/>
          <w:bottom w:w="0" w:type="dxa"/>
          <w:right w:w="108" w:type="dxa"/>
        </w:tblCellMar>
      </w:tblPr>
      <w:tblGrid>
        <w:gridCol w:w="3136"/>
        <w:gridCol w:w="1773"/>
        <w:gridCol w:w="2043"/>
        <w:gridCol w:w="1687"/>
        <w:gridCol w:w="1819"/>
        <w:gridCol w:w="4789"/>
      </w:tblGrid>
      <w:tr>
        <w:tblPrEx>
          <w:tblCellMar>
            <w:top w:w="0" w:type="dxa"/>
            <w:left w:w="108" w:type="dxa"/>
            <w:bottom w:w="0" w:type="dxa"/>
            <w:right w:w="108" w:type="dxa"/>
          </w:tblCellMar>
        </w:tblPrEx>
        <w:trPr>
          <w:trHeight w:val="397" w:hRule="atLeast"/>
          <w:tblHeader/>
          <w:jc w:val="center"/>
        </w:trPr>
        <w:tc>
          <w:tcPr>
            <w:tcW w:w="2994" w:type="dxa"/>
            <w:tcBorders>
              <w:top w:val="single" w:color="000000" w:sz="12" w:space="0"/>
              <w:left w:val="nil"/>
              <w:bottom w:val="single" w:color="000000" w:sz="4" w:space="0"/>
              <w:right w:val="single" w:color="000000" w:sz="4" w:space="0"/>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eastAsia="方正黑体_GBK"/>
                <w:bCs/>
                <w:color w:val="000000" w:themeColor="text1"/>
                <w:kern w:val="0"/>
                <w:sz w:val="22"/>
                <w:szCs w:val="22"/>
                <w:lang w:bidi="ar"/>
                <w14:textFill>
                  <w14:solidFill>
                    <w14:schemeClr w14:val="tx1"/>
                  </w14:solidFill>
                </w14:textFill>
              </w:rPr>
              <w:t>指</w:t>
            </w:r>
            <w:r>
              <w:rPr>
                <w:rStyle w:val="103"/>
                <w:rFonts w:hint="default" w:eastAsia="方正黑体_GBK"/>
                <w:bCs/>
                <w:color w:val="000000" w:themeColor="text1"/>
                <w:sz w:val="22"/>
                <w:szCs w:val="22"/>
                <w:lang w:bidi="ar"/>
                <w14:textFill>
                  <w14:solidFill>
                    <w14:schemeClr w14:val="tx1"/>
                  </w14:solidFill>
                </w14:textFill>
              </w:rPr>
              <w:t xml:space="preserve"> 标 名 称</w:t>
            </w:r>
          </w:p>
        </w:tc>
        <w:tc>
          <w:tcPr>
            <w:tcW w:w="1693"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hint="eastAsia" w:eastAsia="方正黑体_GBK"/>
                <w:bCs/>
                <w:color w:val="000000" w:themeColor="text1"/>
                <w:sz w:val="22"/>
                <w:szCs w:val="22"/>
                <w14:textFill>
                  <w14:solidFill>
                    <w14:schemeClr w14:val="tx1"/>
                  </w14:solidFill>
                </w14:textFill>
              </w:rPr>
              <w:t>昆明市</w:t>
            </w:r>
            <w:r>
              <w:rPr>
                <w:rFonts w:eastAsia="方正黑体_GBK"/>
                <w:bCs/>
                <w:color w:val="000000" w:themeColor="text1"/>
                <w:sz w:val="22"/>
                <w:szCs w:val="22"/>
                <w14:textFill>
                  <w14:solidFill>
                    <w14:schemeClr w14:val="tx1"/>
                  </w14:solidFill>
                </w14:textFill>
              </w:rPr>
              <w:t>目标</w:t>
            </w:r>
          </w:p>
        </w:tc>
        <w:tc>
          <w:tcPr>
            <w:tcW w:w="1950" w:type="dxa"/>
            <w:tcBorders>
              <w:top w:val="single" w:color="000000" w:sz="12" w:space="0"/>
              <w:left w:val="single" w:color="000000" w:sz="4" w:space="0"/>
              <w:bottom w:val="single" w:color="000000" w:sz="4" w:space="0"/>
              <w:right w:val="nil"/>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hint="eastAsia" w:eastAsia="方正黑体_GBK"/>
                <w:bCs/>
                <w:color w:val="000000" w:themeColor="text1"/>
                <w:sz w:val="22"/>
                <w:szCs w:val="22"/>
                <w14:textFill>
                  <w14:solidFill>
                    <w14:schemeClr w14:val="tx1"/>
                  </w14:solidFill>
                </w14:textFill>
              </w:rPr>
              <w:t>市级</w:t>
            </w:r>
            <w:r>
              <w:rPr>
                <w:rFonts w:eastAsia="方正黑体_GBK"/>
                <w:bCs/>
                <w:color w:val="000000" w:themeColor="text1"/>
                <w:sz w:val="22"/>
                <w:szCs w:val="22"/>
                <w14:textFill>
                  <w14:solidFill>
                    <w14:schemeClr w14:val="tx1"/>
                  </w14:solidFill>
                </w14:textFill>
              </w:rPr>
              <w:t>完成</w:t>
            </w:r>
          </w:p>
        </w:tc>
        <w:tc>
          <w:tcPr>
            <w:tcW w:w="1610" w:type="dxa"/>
            <w:tcBorders>
              <w:top w:val="single" w:color="000000" w:sz="12" w:space="0"/>
              <w:left w:val="single" w:color="000000" w:sz="4" w:space="0"/>
              <w:bottom w:val="single" w:color="000000" w:sz="4" w:space="0"/>
              <w:right w:val="nil"/>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hint="eastAsia" w:eastAsia="方正黑体_GBK"/>
                <w:bCs/>
                <w:color w:val="000000" w:themeColor="text1"/>
                <w:sz w:val="22"/>
                <w:szCs w:val="22"/>
                <w14:textFill>
                  <w14:solidFill>
                    <w14:schemeClr w14:val="tx1"/>
                  </w14:solidFill>
                </w14:textFill>
              </w:rPr>
              <w:t>市对区调整后预期</w:t>
            </w:r>
          </w:p>
        </w:tc>
        <w:tc>
          <w:tcPr>
            <w:tcW w:w="1735" w:type="dxa"/>
            <w:tcBorders>
              <w:top w:val="single" w:color="000000" w:sz="12" w:space="0"/>
              <w:left w:val="single" w:color="000000" w:sz="4" w:space="0"/>
              <w:bottom w:val="single" w:color="000000" w:sz="4" w:space="0"/>
              <w:right w:val="nil"/>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hint="eastAsia" w:eastAsia="方正黑体_GBK"/>
                <w:bCs/>
                <w:color w:val="000000" w:themeColor="text1"/>
                <w:sz w:val="22"/>
                <w:szCs w:val="22"/>
                <w14:textFill>
                  <w14:solidFill>
                    <w14:schemeClr w14:val="tx1"/>
                  </w14:solidFill>
                </w14:textFill>
              </w:rPr>
              <w:t>区级</w:t>
            </w:r>
            <w:r>
              <w:rPr>
                <w:rFonts w:eastAsia="方正黑体_GBK"/>
                <w:bCs/>
                <w:color w:val="000000" w:themeColor="text1"/>
                <w:sz w:val="22"/>
                <w:szCs w:val="22"/>
                <w14:textFill>
                  <w14:solidFill>
                    <w14:schemeClr w14:val="tx1"/>
                  </w14:solidFill>
                </w14:textFill>
              </w:rPr>
              <w:t>完成</w:t>
            </w:r>
          </w:p>
        </w:tc>
        <w:tc>
          <w:tcPr>
            <w:tcW w:w="4572" w:type="dxa"/>
            <w:tcBorders>
              <w:top w:val="single" w:color="000000" w:sz="12" w:space="0"/>
              <w:left w:val="single" w:color="000000" w:sz="4" w:space="0"/>
              <w:bottom w:val="single" w:color="000000" w:sz="4" w:space="0"/>
              <w:right w:val="nil"/>
            </w:tcBorders>
            <w:vAlign w:val="center"/>
          </w:tcPr>
          <w:p>
            <w:pPr>
              <w:widowControl/>
              <w:spacing w:line="280" w:lineRule="exact"/>
              <w:jc w:val="center"/>
              <w:textAlignment w:val="center"/>
              <w:rPr>
                <w:rFonts w:eastAsia="方正黑体_GBK"/>
                <w:bCs/>
                <w:color w:val="000000" w:themeColor="text1"/>
                <w:sz w:val="22"/>
                <w:szCs w:val="22"/>
                <w14:textFill>
                  <w14:solidFill>
                    <w14:schemeClr w14:val="tx1"/>
                  </w14:solidFill>
                </w14:textFill>
              </w:rPr>
            </w:pPr>
            <w:r>
              <w:rPr>
                <w:rFonts w:hint="eastAsia" w:eastAsia="方正黑体_GBK"/>
                <w:bCs/>
                <w:color w:val="000000" w:themeColor="text1"/>
                <w:sz w:val="22"/>
                <w:szCs w:val="22"/>
                <w14:textFill>
                  <w14:solidFill>
                    <w14:schemeClr w14:val="tx1"/>
                  </w14:solidFill>
                </w14:textFill>
              </w:rPr>
              <w:t>超差市（区）进度</w:t>
            </w:r>
          </w:p>
        </w:tc>
      </w:tr>
      <w:tr>
        <w:tblPrEx>
          <w:tblCellMar>
            <w:top w:w="0" w:type="dxa"/>
            <w:left w:w="108" w:type="dxa"/>
            <w:bottom w:w="0" w:type="dxa"/>
            <w:right w:w="108" w:type="dxa"/>
          </w:tblCellMar>
        </w:tblPrEx>
        <w:trPr>
          <w:trHeight w:val="397" w:hRule="atLeast"/>
          <w:jc w:val="center"/>
        </w:trPr>
        <w:tc>
          <w:tcPr>
            <w:tcW w:w="6637" w:type="dxa"/>
            <w:gridSpan w:val="3"/>
            <w:tcBorders>
              <w:top w:val="single" w:color="000000" w:sz="4" w:space="0"/>
              <w:left w:val="nil"/>
              <w:bottom w:val="single" w:color="000000" w:sz="4" w:space="0"/>
              <w:right w:val="nil"/>
            </w:tcBorders>
            <w:shd w:val="clear" w:color="auto" w:fill="D7D7D7"/>
            <w:vAlign w:val="center"/>
          </w:tcPr>
          <w:p>
            <w:pPr>
              <w:widowControl/>
              <w:spacing w:line="280" w:lineRule="exact"/>
              <w:textAlignment w:val="center"/>
              <w:rPr>
                <w:rFonts w:eastAsia="楷体_GB2312"/>
                <w:b/>
                <w:color w:val="000000" w:themeColor="text1"/>
                <w:sz w:val="22"/>
                <w:szCs w:val="22"/>
                <w14:textFill>
                  <w14:solidFill>
                    <w14:schemeClr w14:val="tx1"/>
                  </w14:solidFill>
                </w14:textFill>
              </w:rPr>
            </w:pPr>
            <w:r>
              <w:rPr>
                <w:rFonts w:eastAsia="楷体_GB2312"/>
                <w:bCs/>
                <w:color w:val="000000" w:themeColor="text1"/>
                <w:kern w:val="0"/>
                <w:sz w:val="22"/>
                <w:szCs w:val="22"/>
                <w:lang w:bidi="ar"/>
                <w14:textFill>
                  <w14:solidFill>
                    <w14:schemeClr w14:val="tx1"/>
                  </w14:solidFill>
                </w14:textFill>
              </w:rPr>
              <w:t>一、经济发展</w:t>
            </w:r>
            <w:r>
              <w:rPr>
                <w:rFonts w:hint="eastAsia" w:eastAsia="楷体_GB2312"/>
                <w:bCs/>
                <w:color w:val="000000" w:themeColor="text1"/>
                <w:kern w:val="0"/>
                <w:sz w:val="22"/>
                <w:szCs w:val="22"/>
                <w:lang w:bidi="ar"/>
                <w14:textFill>
                  <w14:solidFill>
                    <w14:schemeClr w14:val="tx1"/>
                  </w14:solidFill>
                </w14:textFill>
              </w:rPr>
              <w:t>、实力春城</w:t>
            </w:r>
          </w:p>
        </w:tc>
        <w:tc>
          <w:tcPr>
            <w:tcW w:w="1610" w:type="dxa"/>
            <w:tcBorders>
              <w:top w:val="single" w:color="000000" w:sz="4" w:space="0"/>
              <w:left w:val="nil"/>
              <w:bottom w:val="single" w:color="000000" w:sz="4" w:space="0"/>
              <w:right w:val="nil"/>
            </w:tcBorders>
            <w:shd w:val="clear" w:color="auto" w:fill="D7D7D7"/>
            <w:vAlign w:val="center"/>
          </w:tcPr>
          <w:p>
            <w:pPr>
              <w:widowControl/>
              <w:spacing w:line="280" w:lineRule="exact"/>
              <w:textAlignment w:val="center"/>
              <w:rPr>
                <w:rFonts w:eastAsia="楷体_GB2312"/>
                <w:bCs/>
                <w:color w:val="000000" w:themeColor="text1"/>
                <w:kern w:val="0"/>
                <w:sz w:val="22"/>
                <w:szCs w:val="22"/>
                <w:lang w:bidi="ar"/>
                <w14:textFill>
                  <w14:solidFill>
                    <w14:schemeClr w14:val="tx1"/>
                  </w14:solidFill>
                </w14:textFill>
              </w:rPr>
            </w:pPr>
          </w:p>
        </w:tc>
        <w:tc>
          <w:tcPr>
            <w:tcW w:w="1735" w:type="dxa"/>
            <w:tcBorders>
              <w:top w:val="single" w:color="000000" w:sz="4" w:space="0"/>
              <w:left w:val="nil"/>
              <w:bottom w:val="single" w:color="000000" w:sz="4" w:space="0"/>
              <w:right w:val="nil"/>
            </w:tcBorders>
            <w:shd w:val="clear" w:color="auto" w:fill="D7D7D7"/>
            <w:vAlign w:val="center"/>
          </w:tcPr>
          <w:p>
            <w:pPr>
              <w:widowControl/>
              <w:spacing w:line="280" w:lineRule="exact"/>
              <w:jc w:val="center"/>
              <w:textAlignment w:val="center"/>
              <w:rPr>
                <w:rFonts w:eastAsia="楷体_GB2312"/>
                <w:bCs/>
                <w:color w:val="000000" w:themeColor="text1"/>
                <w:kern w:val="0"/>
                <w:sz w:val="22"/>
                <w:szCs w:val="22"/>
                <w:lang w:bidi="ar"/>
                <w14:textFill>
                  <w14:solidFill>
                    <w14:schemeClr w14:val="tx1"/>
                  </w14:solidFill>
                </w14:textFill>
              </w:rPr>
            </w:pPr>
          </w:p>
        </w:tc>
        <w:tc>
          <w:tcPr>
            <w:tcW w:w="4572" w:type="dxa"/>
            <w:tcBorders>
              <w:top w:val="single" w:color="000000" w:sz="4" w:space="0"/>
              <w:left w:val="nil"/>
              <w:bottom w:val="single" w:color="000000" w:sz="4" w:space="0"/>
              <w:right w:val="nil"/>
            </w:tcBorders>
            <w:shd w:val="clear" w:color="auto" w:fill="D7D7D7"/>
            <w:vAlign w:val="center"/>
          </w:tcPr>
          <w:p>
            <w:pPr>
              <w:widowControl/>
              <w:spacing w:line="280" w:lineRule="exact"/>
              <w:textAlignment w:val="center"/>
              <w:rPr>
                <w:rFonts w:eastAsia="楷体_GB2312"/>
                <w:bCs/>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1.地区生产总值增速</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3.3%</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3.5%</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1084.68亿元、1.2%</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市级差2.7个百分点↓</w:t>
            </w:r>
          </w:p>
          <w:p>
            <w:pPr>
              <w:widowControl/>
              <w:spacing w:line="280" w:lineRule="exact"/>
              <w:textAlignment w:val="center"/>
              <w:rPr>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区级差2.3个百分点↓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2.规模以上固定资产投资</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下降24.9%</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267亿元</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186</w:t>
            </w:r>
            <w:r>
              <w:rPr>
                <w:rFonts w:eastAsia="仿宋_GB2312"/>
                <w:color w:val="000000" w:themeColor="text1"/>
                <w:kern w:val="0"/>
                <w:sz w:val="22"/>
                <w:szCs w:val="22"/>
                <w:lang w:bidi="ar"/>
                <w14:textFill>
                  <w14:solidFill>
                    <w14:schemeClr w14:val="tx1"/>
                  </w14:solidFill>
                </w14:textFill>
              </w:rPr>
              <w:t>.01</w:t>
            </w:r>
            <w:r>
              <w:rPr>
                <w:rFonts w:hint="eastAsia" w:eastAsia="仿宋_GB2312"/>
                <w:color w:val="000000" w:themeColor="text1"/>
                <w:kern w:val="0"/>
                <w:sz w:val="22"/>
                <w:szCs w:val="22"/>
                <w:lang w:bidi="ar"/>
                <w14:textFill>
                  <w14:solidFill>
                    <w14:schemeClr w14:val="tx1"/>
                  </w14:solidFill>
                </w14:textFill>
              </w:rPr>
              <w:t>亿元、下降45.</w:t>
            </w:r>
            <w:r>
              <w:rPr>
                <w:rFonts w:eastAsia="仿宋_GB2312"/>
                <w:color w:val="000000" w:themeColor="text1"/>
                <w:kern w:val="0"/>
                <w:sz w:val="22"/>
                <w:szCs w:val="22"/>
                <w:lang w:bidi="ar"/>
                <w14:textFill>
                  <w14:solidFill>
                    <w14:schemeClr w14:val="tx1"/>
                  </w14:solidFill>
                </w14:textFill>
              </w:rPr>
              <w:t>3</w:t>
            </w:r>
            <w:r>
              <w:rPr>
                <w:rFonts w:hint="eastAsia" w:eastAsia="仿宋_GB2312"/>
                <w:color w:val="000000" w:themeColor="text1"/>
                <w:kern w:val="0"/>
                <w:sz w:val="22"/>
                <w:szCs w:val="22"/>
                <w:lang w:bidi="ar"/>
                <w14:textFill>
                  <w14:solidFill>
                    <w14:schemeClr w14:val="tx1"/>
                  </w14:solidFill>
                </w14:textFill>
              </w:rPr>
              <w:t>%</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市级差33.9个百分点↓</w:t>
            </w:r>
          </w:p>
          <w:p>
            <w:pPr>
              <w:widowControl/>
              <w:spacing w:line="280" w:lineRule="exact"/>
              <w:textAlignment w:val="center"/>
              <w:rPr>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区级差80.</w:t>
            </w:r>
            <w:r>
              <w:rPr>
                <w:rFonts w:eastAsia="仿宋_GB2312"/>
                <w:color w:val="000000" w:themeColor="text1"/>
                <w:kern w:val="0"/>
                <w:sz w:val="22"/>
                <w:szCs w:val="22"/>
                <w:lang w:bidi="ar"/>
                <w14:textFill>
                  <w14:solidFill>
                    <w14:schemeClr w14:val="tx1"/>
                  </w14:solidFill>
                </w14:textFill>
              </w:rPr>
              <w:t>99</w:t>
            </w:r>
            <w:r>
              <w:rPr>
                <w:rFonts w:hint="eastAsia" w:eastAsia="仿宋_GB2312"/>
                <w:color w:val="000000" w:themeColor="text1"/>
                <w:kern w:val="0"/>
                <w:sz w:val="22"/>
                <w:szCs w:val="22"/>
                <w:lang w:bidi="ar"/>
                <w14:textFill>
                  <w14:solidFill>
                    <w14:schemeClr w14:val="tx1"/>
                  </w14:solidFill>
                </w14:textFill>
              </w:rPr>
              <w:t>亿元↓</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其中：产业投资</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下降0.1%</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30.65亿元、下降0.2 %</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ind w:firstLine="648" w:firstLineChars="300"/>
              <w:jc w:val="left"/>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民间投资</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下降32.5%</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90.29亿元、下降43.7%</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ind w:firstLine="648" w:firstLineChars="300"/>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房地产投资</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40.2%（占比）</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85.82亿元</w:t>
            </w:r>
            <w:r>
              <w:rPr>
                <w:rFonts w:hint="eastAsia" w:eastAsia="仿宋_GB2312"/>
                <w:color w:val="000000" w:themeColor="text1"/>
                <w:kern w:val="0"/>
                <w:sz w:val="22"/>
                <w:szCs w:val="22"/>
                <w:lang w:bidi="ar"/>
                <w14:textFill>
                  <w14:solidFill>
                    <w14:schemeClr w14:val="tx1"/>
                  </w14:solidFill>
                </w14:textFill>
              </w:rPr>
              <w:t>、下降47.5%</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3.规上工业总产值</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216.14亿元</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其中：工业增加值增长</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6.6%</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8%</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下降4.8%</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市级差2.4个百分点↓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区级差12.8个百分点↓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ind w:firstLine="648" w:firstLineChars="300"/>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工业固投完成</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下降2.5%</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17</w:t>
            </w:r>
            <w:r>
              <w:rPr>
                <w:rFonts w:hint="eastAsia" w:eastAsia="仿宋_GB2312"/>
                <w:color w:val="000000" w:themeColor="text1"/>
                <w:kern w:val="0"/>
                <w:sz w:val="22"/>
                <w:szCs w:val="22"/>
                <w:lang w:bidi="ar"/>
                <w14:textFill>
                  <w14:solidFill>
                    <w14:schemeClr w14:val="tx1"/>
                  </w14:solidFill>
                </w14:textFill>
              </w:rPr>
              <w:t>亿元</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13.9亿元、下降10.4%</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区级差14.1亿元↓</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val="en-US" w:eastAsia="zh-CN" w:bidi="ar"/>
                <w14:textFill>
                  <w14:solidFill>
                    <w14:schemeClr w14:val="tx1"/>
                  </w14:solidFill>
                </w14:textFill>
              </w:rPr>
              <w:t>4</w:t>
            </w:r>
            <w:r>
              <w:rPr>
                <w:rFonts w:hint="eastAsia" w:eastAsia="仿宋_GB2312"/>
                <w:color w:val="000000" w:themeColor="text1"/>
                <w:kern w:val="0"/>
                <w:sz w:val="22"/>
                <w:szCs w:val="22"/>
                <w:lang w:bidi="ar"/>
                <w14:textFill>
                  <w14:solidFill>
                    <w14:schemeClr w14:val="tx1"/>
                  </w14:solidFill>
                </w14:textFill>
              </w:rPr>
              <w:t>.新增市场主体</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18万户以上</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48.19万户</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3.1万户</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6.96万户</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市级超30.19万户↑</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区级超3.86万户↑</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其中：新增四上企业</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700户以上</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增长16%</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80户</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175户</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区级超95户↑</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ind w:firstLine="648" w:firstLineChars="300"/>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新增总部企业</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8户</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1家</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4家</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区级超3家↑</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val="en-US" w:eastAsia="zh-CN" w:bidi="ar"/>
                <w14:textFill>
                  <w14:solidFill>
                    <w14:schemeClr w14:val="tx1"/>
                  </w14:solidFill>
                </w14:textFill>
              </w:rPr>
              <w:t>5</w:t>
            </w:r>
            <w:r>
              <w:rPr>
                <w:rFonts w:hint="eastAsia" w:eastAsia="仿宋_GB2312"/>
                <w:color w:val="000000" w:themeColor="text1"/>
                <w:kern w:val="0"/>
                <w:sz w:val="22"/>
                <w:szCs w:val="22"/>
                <w:lang w:bidi="ar"/>
                <w14:textFill>
                  <w14:solidFill>
                    <w14:schemeClr w14:val="tx1"/>
                  </w14:solidFill>
                </w14:textFill>
              </w:rPr>
              <w:t>.社会消费品零售总额增速</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5.5%</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568.25亿元、7.5%</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市级差4.5个百分点↓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区级差2.5个百分点↓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val="en-US" w:eastAsia="zh-CN" w:bidi="ar"/>
                <w14:textFill>
                  <w14:solidFill>
                    <w14:schemeClr w14:val="tx1"/>
                  </w14:solidFill>
                </w14:textFill>
              </w:rPr>
              <w:t>6</w:t>
            </w:r>
            <w:bookmarkStart w:id="0" w:name="_GoBack"/>
            <w:bookmarkEnd w:id="0"/>
            <w:r>
              <w:rPr>
                <w:rFonts w:hint="eastAsia" w:eastAsia="仿宋_GB2312"/>
                <w:color w:val="000000" w:themeColor="text1"/>
                <w:kern w:val="0"/>
                <w:sz w:val="22"/>
                <w:szCs w:val="22"/>
                <w:lang w:bidi="ar"/>
                <w14:textFill>
                  <w14:solidFill>
                    <w14:schemeClr w14:val="tx1"/>
                  </w14:solidFill>
                </w14:textFill>
              </w:rPr>
              <w:t>.一般公共预算收入增速</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10.4%</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35.5亿元、8.28%</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35.5</w:t>
            </w:r>
            <w:r>
              <w:rPr>
                <w:rFonts w:eastAsia="仿宋_GB2312"/>
                <w:color w:val="000000" w:themeColor="text1"/>
                <w:kern w:val="0"/>
                <w:sz w:val="22"/>
                <w:szCs w:val="22"/>
                <w:lang w:bidi="ar"/>
                <w14:textFill>
                  <w14:solidFill>
                    <w14:schemeClr w14:val="tx1"/>
                  </w14:solidFill>
                </w14:textFill>
              </w:rPr>
              <w:t>5</w:t>
            </w:r>
            <w:r>
              <w:rPr>
                <w:rFonts w:hint="eastAsia" w:eastAsia="仿宋_GB2312"/>
                <w:color w:val="000000" w:themeColor="text1"/>
                <w:kern w:val="0"/>
                <w:sz w:val="22"/>
                <w:szCs w:val="22"/>
                <w:lang w:bidi="ar"/>
                <w14:textFill>
                  <w14:solidFill>
                    <w14:schemeClr w14:val="tx1"/>
                  </w14:solidFill>
                </w14:textFill>
              </w:rPr>
              <w:t>亿元、8.42%</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市级超3.4个百分点↑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区级超0.14个百分点↑</w:t>
            </w:r>
          </w:p>
        </w:tc>
      </w:tr>
      <w:tr>
        <w:tblPrEx>
          <w:tblCellMar>
            <w:top w:w="0" w:type="dxa"/>
            <w:left w:w="108" w:type="dxa"/>
            <w:bottom w:w="0" w:type="dxa"/>
            <w:right w:w="108" w:type="dxa"/>
          </w:tblCellMar>
        </w:tblPrEx>
        <w:trPr>
          <w:trHeight w:val="397" w:hRule="atLeast"/>
          <w:jc w:val="center"/>
        </w:trPr>
        <w:tc>
          <w:tcPr>
            <w:tcW w:w="6637" w:type="dxa"/>
            <w:gridSpan w:val="3"/>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
                <w:color w:val="000000" w:themeColor="text1"/>
                <w:sz w:val="22"/>
                <w:szCs w:val="22"/>
                <w14:textFill>
                  <w14:solidFill>
                    <w14:schemeClr w14:val="tx1"/>
                  </w14:solidFill>
                </w14:textFill>
              </w:rPr>
            </w:pPr>
            <w:r>
              <w:rPr>
                <w:rFonts w:eastAsia="楷体_GB2312"/>
                <w:bCs/>
                <w:color w:val="000000" w:themeColor="text1"/>
                <w:kern w:val="0"/>
                <w:sz w:val="22"/>
                <w:szCs w:val="22"/>
                <w:lang w:bidi="ar"/>
                <w14:textFill>
                  <w14:solidFill>
                    <w14:schemeClr w14:val="tx1"/>
                  </w14:solidFill>
                </w14:textFill>
              </w:rPr>
              <w:t>二、开放创新</w:t>
            </w:r>
            <w:r>
              <w:rPr>
                <w:rFonts w:hint="eastAsia" w:eastAsia="楷体_GB2312"/>
                <w:bCs/>
                <w:color w:val="000000" w:themeColor="text1"/>
                <w:kern w:val="0"/>
                <w:sz w:val="22"/>
                <w:szCs w:val="22"/>
                <w:lang w:bidi="ar"/>
                <w14:textFill>
                  <w14:solidFill>
                    <w14:schemeClr w14:val="tx1"/>
                  </w14:solidFill>
                </w14:textFill>
              </w:rPr>
              <w:t>、温馨春城</w:t>
            </w:r>
          </w:p>
        </w:tc>
        <w:tc>
          <w:tcPr>
            <w:tcW w:w="1610"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c>
          <w:tcPr>
            <w:tcW w:w="1735" w:type="dxa"/>
            <w:tcBorders>
              <w:top w:val="single" w:color="000000" w:sz="4" w:space="0"/>
              <w:left w:val="nil"/>
              <w:bottom w:val="single" w:color="000000" w:sz="4" w:space="0"/>
              <w:right w:val="nil"/>
            </w:tcBorders>
            <w:shd w:val="clear" w:color="auto" w:fill="D7D7D7"/>
            <w:vAlign w:val="center"/>
          </w:tcPr>
          <w:p>
            <w:pPr>
              <w:widowControl/>
              <w:spacing w:line="280" w:lineRule="exact"/>
              <w:jc w:val="center"/>
              <w:textAlignment w:val="center"/>
              <w:rPr>
                <w:rFonts w:eastAsia="楷体_GB2312"/>
                <w:bCs/>
                <w:color w:val="000000" w:themeColor="text1"/>
                <w:kern w:val="0"/>
                <w:sz w:val="22"/>
                <w:szCs w:val="22"/>
                <w:lang w:bidi="ar"/>
                <w14:textFill>
                  <w14:solidFill>
                    <w14:schemeClr w14:val="tx1"/>
                  </w14:solidFill>
                </w14:textFill>
              </w:rPr>
            </w:pPr>
          </w:p>
        </w:tc>
        <w:tc>
          <w:tcPr>
            <w:tcW w:w="4572"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w:t>
            </w:r>
            <w:r>
              <w:rPr>
                <w:rFonts w:eastAsia="仿宋_GB2312"/>
                <w:color w:val="000000" w:themeColor="text1"/>
                <w:kern w:val="0"/>
                <w:sz w:val="22"/>
                <w:szCs w:val="22"/>
                <w:lang w:bidi="ar"/>
                <w14:textFill>
                  <w14:solidFill>
                    <w14:schemeClr w14:val="tx1"/>
                  </w14:solidFill>
                </w14:textFill>
              </w:rPr>
              <w:t>.</w:t>
            </w:r>
            <w:r>
              <w:rPr>
                <w:rFonts w:hint="eastAsia" w:eastAsia="仿宋_GB2312"/>
                <w:color w:val="000000" w:themeColor="text1"/>
                <w:kern w:val="0"/>
                <w:sz w:val="22"/>
                <w:szCs w:val="22"/>
                <w:lang w:bidi="ar"/>
                <w14:textFill>
                  <w14:solidFill>
                    <w14:schemeClr w14:val="tx1"/>
                  </w14:solidFill>
                </w14:textFill>
              </w:rPr>
              <w:t>培育国家高新技术企业</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突破2000家</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1163家</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70家以上</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75家</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市级差837家↓</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区级超5家↑</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w:t>
            </w:r>
            <w:r>
              <w:rPr>
                <w:rFonts w:eastAsia="仿宋_GB2312"/>
                <w:color w:val="000000" w:themeColor="text1"/>
                <w:kern w:val="0"/>
                <w:sz w:val="22"/>
                <w:szCs w:val="22"/>
                <w:lang w:bidi="ar"/>
                <w14:textFill>
                  <w14:solidFill>
                    <w14:schemeClr w14:val="tx1"/>
                  </w14:solidFill>
                </w14:textFill>
              </w:rPr>
              <w:t>.</w:t>
            </w:r>
            <w:r>
              <w:rPr>
                <w:rFonts w:hint="eastAsia" w:eastAsia="仿宋_GB2312"/>
                <w:color w:val="000000" w:themeColor="text1"/>
                <w:spacing w:val="-4"/>
                <w:kern w:val="0"/>
                <w:sz w:val="22"/>
                <w:szCs w:val="22"/>
                <w:lang w:bidi="ar"/>
                <w14:textFill>
                  <w14:solidFill>
                    <w14:schemeClr w14:val="tx1"/>
                  </w14:solidFill>
                </w14:textFill>
              </w:rPr>
              <w:t>新增专精特新“小巨人”企业</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3家</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3</w:t>
            </w:r>
            <w:r>
              <w:rPr>
                <w:rFonts w:hint="eastAsia" w:eastAsia="仿宋_GB2312"/>
                <w:color w:val="000000" w:themeColor="text1"/>
                <w:kern w:val="0"/>
                <w:sz w:val="22"/>
                <w:szCs w:val="22"/>
                <w:lang w:bidi="ar"/>
                <w14:textFill>
                  <w14:solidFill>
                    <w14:schemeClr w14:val="tx1"/>
                  </w14:solidFill>
                </w14:textFill>
              </w:rPr>
              <w:t>家</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w:t>
            </w:r>
            <w:r>
              <w:rPr>
                <w:rFonts w:eastAsia="仿宋_GB2312"/>
                <w:color w:val="000000" w:themeColor="text1"/>
                <w:kern w:val="0"/>
                <w:sz w:val="22"/>
                <w:szCs w:val="22"/>
                <w:lang w:bidi="ar"/>
                <w14:textFill>
                  <w14:solidFill>
                    <w14:schemeClr w14:val="tx1"/>
                  </w14:solidFill>
                </w14:textFill>
              </w:rPr>
              <w:t>.</w:t>
            </w:r>
            <w:r>
              <w:rPr>
                <w:rFonts w:hint="eastAsia" w:eastAsia="仿宋_GB2312"/>
                <w:color w:val="000000" w:themeColor="text1"/>
                <w:kern w:val="0"/>
                <w:sz w:val="22"/>
                <w:szCs w:val="22"/>
                <w:lang w:bidi="ar"/>
                <w14:textFill>
                  <w14:solidFill>
                    <w14:schemeClr w14:val="tx1"/>
                  </w14:solidFill>
                </w14:textFill>
              </w:rPr>
              <w:t>全社会R&amp;D经费投入（次年公布）</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研发支出与地区生产总值之比1.8%</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研发支出与地区生产总值之比1.72</w:t>
            </w:r>
            <w:r>
              <w:rPr>
                <w:rFonts w:hint="eastAsia" w:eastAsia="仿宋_GB2312"/>
                <w:color w:val="000000" w:themeColor="text1"/>
                <w:kern w:val="0"/>
                <w:sz w:val="22"/>
                <w:szCs w:val="22"/>
                <w:lang w:bidi="ar"/>
                <w14:textFill>
                  <w14:solidFill>
                    <w14:schemeClr w14:val="tx1"/>
                  </w14:solidFill>
                </w14:textFill>
              </w:rPr>
              <w:t>%（2022年）</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12.48亿元以上</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13.14</w:t>
            </w:r>
            <w:r>
              <w:rPr>
                <w:rFonts w:eastAsia="仿宋_GB2312"/>
                <w:color w:val="000000" w:themeColor="text1"/>
                <w:kern w:val="0"/>
                <w:sz w:val="22"/>
                <w:szCs w:val="22"/>
                <w:lang w:bidi="ar"/>
                <w14:textFill>
                  <w14:solidFill>
                    <w14:schemeClr w14:val="tx1"/>
                  </w14:solidFill>
                </w14:textFill>
              </w:rPr>
              <w:t>亿元</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市级差0.08个百分点↓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区级超0.66亿元↑</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shd w:val="clear" w:color="auto" w:fill="FFFFFF"/>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4.招引签约产业项目、协议投资</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98个、</w:t>
            </w:r>
            <w:r>
              <w:rPr>
                <w:rFonts w:eastAsia="仿宋_GB2312"/>
                <w:color w:val="000000" w:themeColor="text1"/>
                <w:kern w:val="0"/>
                <w:sz w:val="22"/>
                <w:szCs w:val="22"/>
                <w:lang w:bidi="ar"/>
                <w14:textFill>
                  <w14:solidFill>
                    <w14:schemeClr w14:val="tx1"/>
                  </w14:solidFill>
                </w14:textFill>
              </w:rPr>
              <w:t>87.46亿元</w:t>
            </w:r>
          </w:p>
        </w:tc>
        <w:tc>
          <w:tcPr>
            <w:tcW w:w="4572" w:type="dxa"/>
            <w:tcBorders>
              <w:top w:val="single" w:color="000000" w:sz="4" w:space="0"/>
              <w:left w:val="single" w:color="000000" w:sz="4" w:space="0"/>
              <w:bottom w:val="single" w:color="000000" w:sz="4" w:space="0"/>
              <w:right w:val="nil"/>
            </w:tcBorders>
            <w:shd w:val="clear" w:color="auto" w:fill="FFFFFF"/>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sz w:val="22"/>
                <w:szCs w:val="22"/>
                <w14:textFill>
                  <w14:solidFill>
                    <w14:schemeClr w14:val="tx1"/>
                  </w14:solidFill>
                </w14:textFill>
              </w:rPr>
              <w:t>5.引进省外产业到位资金</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预计达1265亿元</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73.76亿元</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w:t>
            </w:r>
            <w:r>
              <w:rPr>
                <w:rFonts w:eastAsia="仿宋_GB2312"/>
                <w:color w:val="000000" w:themeColor="text1"/>
                <w:kern w:val="0"/>
                <w:sz w:val="22"/>
                <w:szCs w:val="22"/>
                <w:lang w:bidi="ar"/>
                <w14:textFill>
                  <w14:solidFill>
                    <w14:schemeClr w14:val="tx1"/>
                  </w14:solidFill>
                </w14:textFill>
              </w:rPr>
              <w:t>.实际利用外资</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增速20%</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增速15.1%</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7000万美元</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450.20万美元</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市级差4.9个百分点↓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区级差6549.8万美元↓</w:t>
            </w:r>
          </w:p>
        </w:tc>
      </w:tr>
      <w:tr>
        <w:tblPrEx>
          <w:tblCellMar>
            <w:top w:w="0" w:type="dxa"/>
            <w:left w:w="108" w:type="dxa"/>
            <w:bottom w:w="0" w:type="dxa"/>
            <w:right w:w="108" w:type="dxa"/>
          </w:tblCellMar>
        </w:tblPrEx>
        <w:trPr>
          <w:trHeight w:val="397" w:hRule="atLeast"/>
          <w:jc w:val="center"/>
        </w:trPr>
        <w:tc>
          <w:tcPr>
            <w:tcW w:w="6637" w:type="dxa"/>
            <w:gridSpan w:val="3"/>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
                <w:color w:val="000000" w:themeColor="text1"/>
                <w:sz w:val="22"/>
                <w:szCs w:val="22"/>
                <w14:textFill>
                  <w14:solidFill>
                    <w14:schemeClr w14:val="tx1"/>
                  </w14:solidFill>
                </w14:textFill>
              </w:rPr>
            </w:pPr>
            <w:r>
              <w:rPr>
                <w:rFonts w:eastAsia="楷体_GB2312"/>
                <w:bCs/>
                <w:color w:val="000000" w:themeColor="text1"/>
                <w:kern w:val="0"/>
                <w:sz w:val="22"/>
                <w:szCs w:val="22"/>
                <w:lang w:bidi="ar"/>
                <w14:textFill>
                  <w14:solidFill>
                    <w14:schemeClr w14:val="tx1"/>
                  </w14:solidFill>
                </w14:textFill>
              </w:rPr>
              <w:t>三、民生保障</w:t>
            </w:r>
            <w:r>
              <w:rPr>
                <w:rFonts w:hint="eastAsia" w:eastAsia="楷体_GB2312"/>
                <w:bCs/>
                <w:color w:val="000000" w:themeColor="text1"/>
                <w:kern w:val="0"/>
                <w:sz w:val="22"/>
                <w:szCs w:val="22"/>
                <w:lang w:bidi="ar"/>
                <w14:textFill>
                  <w14:solidFill>
                    <w14:schemeClr w14:val="tx1"/>
                  </w14:solidFill>
                </w14:textFill>
              </w:rPr>
              <w:t>、幸福春城</w:t>
            </w:r>
          </w:p>
        </w:tc>
        <w:tc>
          <w:tcPr>
            <w:tcW w:w="1610"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c>
          <w:tcPr>
            <w:tcW w:w="1735" w:type="dxa"/>
            <w:tcBorders>
              <w:top w:val="single" w:color="000000" w:sz="4" w:space="0"/>
              <w:left w:val="nil"/>
              <w:bottom w:val="single" w:color="000000" w:sz="4" w:space="0"/>
              <w:right w:val="nil"/>
            </w:tcBorders>
            <w:shd w:val="clear" w:color="auto" w:fill="D7D7D7"/>
            <w:vAlign w:val="center"/>
          </w:tcPr>
          <w:p>
            <w:pPr>
              <w:widowControl/>
              <w:spacing w:line="280" w:lineRule="exact"/>
              <w:jc w:val="center"/>
              <w:textAlignment w:val="center"/>
              <w:rPr>
                <w:rFonts w:eastAsia="楷体_GB2312"/>
                <w:bCs/>
                <w:color w:val="000000" w:themeColor="text1"/>
                <w:kern w:val="0"/>
                <w:sz w:val="22"/>
                <w:szCs w:val="22"/>
                <w:lang w:bidi="ar"/>
                <w14:textFill>
                  <w14:solidFill>
                    <w14:schemeClr w14:val="tx1"/>
                  </w14:solidFill>
                </w14:textFill>
              </w:rPr>
            </w:pPr>
          </w:p>
        </w:tc>
        <w:tc>
          <w:tcPr>
            <w:tcW w:w="4572"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w:t>
            </w:r>
            <w:r>
              <w:rPr>
                <w:rFonts w:eastAsia="仿宋_GB2312"/>
                <w:color w:val="000000" w:themeColor="text1"/>
                <w:kern w:val="0"/>
                <w:sz w:val="22"/>
                <w:szCs w:val="22"/>
                <w:lang w:bidi="ar"/>
                <w14:textFill>
                  <w14:solidFill>
                    <w14:schemeClr w14:val="tx1"/>
                  </w14:solidFill>
                </w14:textFill>
              </w:rPr>
              <w:t>.</w:t>
            </w:r>
            <w:r>
              <w:rPr>
                <w:rFonts w:eastAsia="仿宋_GB2312"/>
                <w:color w:val="000000" w:themeColor="text1"/>
                <w:spacing w:val="-4"/>
                <w:kern w:val="0"/>
                <w:sz w:val="22"/>
                <w:szCs w:val="22"/>
                <w:lang w:bidi="ar"/>
                <w14:textFill>
                  <w14:solidFill>
                    <w14:schemeClr w14:val="tx1"/>
                  </w14:solidFill>
                </w14:textFill>
              </w:rPr>
              <w:t>全体居民人均可支配收入增速</w:t>
            </w:r>
          </w:p>
        </w:tc>
        <w:tc>
          <w:tcPr>
            <w:tcW w:w="1693" w:type="dxa"/>
            <w:vMerge w:val="restart"/>
            <w:tcBorders>
              <w:top w:val="single" w:color="000000" w:sz="4" w:space="0"/>
              <w:left w:val="single" w:color="000000" w:sz="4" w:space="0"/>
              <w:right w:val="single" w:color="auto"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与经济增长基本同步</w:t>
            </w:r>
          </w:p>
        </w:tc>
        <w:tc>
          <w:tcPr>
            <w:tcW w:w="1950"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3.6%</w:t>
            </w:r>
          </w:p>
        </w:tc>
        <w:tc>
          <w:tcPr>
            <w:tcW w:w="1610"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735"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3.1%</w:t>
            </w:r>
          </w:p>
        </w:tc>
        <w:tc>
          <w:tcPr>
            <w:tcW w:w="4572" w:type="dxa"/>
            <w:tcBorders>
              <w:top w:val="single" w:color="auto" w:sz="4" w:space="0"/>
              <w:left w:val="single" w:color="auto" w:sz="4" w:space="0"/>
              <w:bottom w:val="single" w:color="auto"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ind w:firstLine="216" w:firstLineChars="100"/>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其中：</w:t>
            </w:r>
            <w:r>
              <w:rPr>
                <w:rFonts w:eastAsia="仿宋_GB2312"/>
                <w:color w:val="000000" w:themeColor="text1"/>
                <w:kern w:val="0"/>
                <w:sz w:val="22"/>
                <w:szCs w:val="22"/>
                <w:lang w:bidi="ar"/>
                <w14:textFill>
                  <w14:solidFill>
                    <w14:schemeClr w14:val="tx1"/>
                  </w14:solidFill>
                </w14:textFill>
              </w:rPr>
              <w:t>城镇居民人均可支配</w:t>
            </w:r>
          </w:p>
          <w:p>
            <w:pPr>
              <w:widowControl/>
              <w:spacing w:line="280" w:lineRule="exact"/>
              <w:ind w:firstLine="864" w:firstLineChars="400"/>
              <w:jc w:val="left"/>
              <w:textAlignment w:val="center"/>
              <w:rPr>
                <w:rFonts w:eastAsia="仿宋_GB2312"/>
                <w:color w:val="000000" w:themeColor="text1"/>
                <w:kern w:val="0"/>
                <w:sz w:val="22"/>
                <w:szCs w:val="22"/>
                <w:lang w:val="en"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收入增速</w:t>
            </w:r>
          </w:p>
        </w:tc>
        <w:tc>
          <w:tcPr>
            <w:tcW w:w="1693" w:type="dxa"/>
            <w:vMerge w:val="continue"/>
            <w:tcBorders>
              <w:left w:val="single" w:color="000000" w:sz="4" w:space="0"/>
              <w:bottom w:val="single" w:color="000000" w:sz="4" w:space="0"/>
              <w:right w:val="single" w:color="auto"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p>
        </w:tc>
        <w:tc>
          <w:tcPr>
            <w:tcW w:w="1950"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3.1%</w:t>
            </w:r>
          </w:p>
        </w:tc>
        <w:tc>
          <w:tcPr>
            <w:tcW w:w="1610"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735" w:type="dxa"/>
            <w:tcBorders>
              <w:top w:val="single" w:color="auto" w:sz="4" w:space="0"/>
              <w:left w:val="single" w:color="auto" w:sz="4" w:space="0"/>
              <w:bottom w:val="single" w:color="auto"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3.1%</w:t>
            </w:r>
          </w:p>
        </w:tc>
        <w:tc>
          <w:tcPr>
            <w:tcW w:w="4572" w:type="dxa"/>
            <w:tcBorders>
              <w:top w:val="single" w:color="auto" w:sz="4" w:space="0"/>
              <w:left w:val="single" w:color="auto" w:sz="4" w:space="0"/>
              <w:bottom w:val="single" w:color="auto"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ind w:firstLine="864" w:firstLineChars="400"/>
              <w:jc w:val="left"/>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农村居民人均可支配</w:t>
            </w:r>
          </w:p>
          <w:p>
            <w:pPr>
              <w:widowControl/>
              <w:spacing w:line="280" w:lineRule="exact"/>
              <w:ind w:firstLine="864" w:firstLineChars="400"/>
              <w:jc w:val="left"/>
              <w:textAlignment w:val="center"/>
              <w:rPr>
                <w:rFonts w:eastAsia="仿宋_GB2312"/>
                <w:color w:val="000000" w:themeColor="text1"/>
                <w:kern w:val="0"/>
                <w:sz w:val="22"/>
                <w:szCs w:val="22"/>
                <w:lang w:val="en"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收入增速</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val="en"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6.5%左右</w:t>
            </w:r>
          </w:p>
        </w:tc>
        <w:tc>
          <w:tcPr>
            <w:tcW w:w="1950" w:type="dxa"/>
            <w:tcBorders>
              <w:top w:val="single" w:color="auto"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6.9%</w:t>
            </w:r>
          </w:p>
        </w:tc>
        <w:tc>
          <w:tcPr>
            <w:tcW w:w="1610" w:type="dxa"/>
            <w:tcBorders>
              <w:top w:val="single" w:color="auto"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735" w:type="dxa"/>
            <w:tcBorders>
              <w:top w:val="single" w:color="auto"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6.7%</w:t>
            </w:r>
          </w:p>
        </w:tc>
        <w:tc>
          <w:tcPr>
            <w:tcW w:w="4572" w:type="dxa"/>
            <w:tcBorders>
              <w:top w:val="single" w:color="auto"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w:t>
            </w:r>
            <w:r>
              <w:rPr>
                <w:rFonts w:eastAsia="仿宋_GB2312"/>
                <w:color w:val="000000" w:themeColor="text1"/>
                <w:kern w:val="0"/>
                <w:sz w:val="22"/>
                <w:szCs w:val="22"/>
                <w:lang w:bidi="ar"/>
                <w14:textFill>
                  <w14:solidFill>
                    <w14:schemeClr w14:val="tx1"/>
                  </w14:solidFill>
                </w14:textFill>
              </w:rPr>
              <w:t>城镇新增就业人数</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sz w:val="22"/>
                <w:szCs w:val="22"/>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14万人以上</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20.6万人</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岗位2.8万以上</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4.12万人</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市级超6.6万人↑</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3.内培外引名优教师</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引进名师230名、名校长21名</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10名以上</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29名</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区级超19名↑</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4.新建全民健身步道</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90条</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9条</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9条</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r>
        <w:tblPrEx>
          <w:tblCellMar>
            <w:top w:w="0" w:type="dxa"/>
            <w:left w:w="108" w:type="dxa"/>
            <w:bottom w:w="0" w:type="dxa"/>
            <w:right w:w="108" w:type="dxa"/>
          </w:tblCellMar>
        </w:tblPrEx>
        <w:trPr>
          <w:trHeight w:val="397" w:hRule="atLeast"/>
          <w:jc w:val="center"/>
        </w:trPr>
        <w:tc>
          <w:tcPr>
            <w:tcW w:w="6637" w:type="dxa"/>
            <w:gridSpan w:val="3"/>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
                <w:color w:val="000000" w:themeColor="text1"/>
                <w:sz w:val="22"/>
                <w:szCs w:val="22"/>
                <w14:textFill>
                  <w14:solidFill>
                    <w14:schemeClr w14:val="tx1"/>
                  </w14:solidFill>
                </w14:textFill>
              </w:rPr>
            </w:pPr>
            <w:r>
              <w:rPr>
                <w:rFonts w:eastAsia="楷体_GB2312"/>
                <w:bCs/>
                <w:color w:val="000000" w:themeColor="text1"/>
                <w:kern w:val="0"/>
                <w:sz w:val="22"/>
                <w:szCs w:val="22"/>
                <w:lang w:bidi="ar"/>
                <w14:textFill>
                  <w14:solidFill>
                    <w14:schemeClr w14:val="tx1"/>
                  </w14:solidFill>
                </w14:textFill>
              </w:rPr>
              <w:t>四、生态环境</w:t>
            </w:r>
            <w:r>
              <w:rPr>
                <w:rFonts w:hint="eastAsia" w:eastAsia="楷体_GB2312"/>
                <w:bCs/>
                <w:color w:val="000000" w:themeColor="text1"/>
                <w:kern w:val="0"/>
                <w:sz w:val="22"/>
                <w:szCs w:val="22"/>
                <w:lang w:bidi="ar"/>
                <w14:textFill>
                  <w14:solidFill>
                    <w14:schemeClr w14:val="tx1"/>
                  </w14:solidFill>
                </w14:textFill>
              </w:rPr>
              <w:t>、绿美春城</w:t>
            </w:r>
          </w:p>
        </w:tc>
        <w:tc>
          <w:tcPr>
            <w:tcW w:w="1610"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c>
          <w:tcPr>
            <w:tcW w:w="1735" w:type="dxa"/>
            <w:tcBorders>
              <w:top w:val="single" w:color="000000" w:sz="4" w:space="0"/>
              <w:left w:val="nil"/>
              <w:bottom w:val="single" w:color="000000" w:sz="4" w:space="0"/>
              <w:right w:val="nil"/>
            </w:tcBorders>
            <w:shd w:val="clear" w:color="auto" w:fill="D7D7D7"/>
            <w:vAlign w:val="center"/>
          </w:tcPr>
          <w:p>
            <w:pPr>
              <w:widowControl/>
              <w:spacing w:line="280" w:lineRule="exact"/>
              <w:jc w:val="center"/>
              <w:textAlignment w:val="center"/>
              <w:rPr>
                <w:rFonts w:eastAsia="楷体_GB2312"/>
                <w:bCs/>
                <w:color w:val="000000" w:themeColor="text1"/>
                <w:kern w:val="0"/>
                <w:sz w:val="22"/>
                <w:szCs w:val="22"/>
                <w:lang w:bidi="ar"/>
                <w14:textFill>
                  <w14:solidFill>
                    <w14:schemeClr w14:val="tx1"/>
                  </w14:solidFill>
                </w14:textFill>
              </w:rPr>
            </w:pPr>
          </w:p>
        </w:tc>
        <w:tc>
          <w:tcPr>
            <w:tcW w:w="4572"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w:t>
            </w:r>
            <w:r>
              <w:rPr>
                <w:rFonts w:eastAsia="仿宋_GB2312"/>
                <w:color w:val="000000" w:themeColor="text1"/>
                <w:kern w:val="0"/>
                <w:sz w:val="22"/>
                <w:szCs w:val="22"/>
                <w:lang w:bidi="ar"/>
                <w14:textFill>
                  <w14:solidFill>
                    <w14:schemeClr w14:val="tx1"/>
                  </w14:solidFill>
                </w14:textFill>
              </w:rPr>
              <w:t>单位地区生产总值能耗降低</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完成省下达任务</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上升1%左右</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下降2.6%以上</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上升0.4%（1-3季度）</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区级差3个百分点↓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w:t>
            </w:r>
            <w:r>
              <w:rPr>
                <w:rFonts w:eastAsia="仿宋_GB2312"/>
                <w:color w:val="000000" w:themeColor="text1"/>
                <w:kern w:val="0"/>
                <w:sz w:val="22"/>
                <w:szCs w:val="22"/>
                <w:lang w:bidi="ar"/>
                <w14:textFill>
                  <w14:solidFill>
                    <w14:schemeClr w14:val="tx1"/>
                  </w14:solidFill>
                </w14:textFill>
              </w:rPr>
              <w:t>.</w:t>
            </w:r>
            <w:r>
              <w:rPr>
                <w:rFonts w:eastAsia="仿宋_GB2312"/>
                <w:color w:val="000000" w:themeColor="text1"/>
                <w:spacing w:val="-11"/>
                <w:kern w:val="0"/>
                <w:sz w:val="22"/>
                <w:szCs w:val="22"/>
                <w:lang w:bidi="ar"/>
                <w14:textFill>
                  <w14:solidFill>
                    <w14:schemeClr w14:val="tx1"/>
                  </w14:solidFill>
                </w14:textFill>
              </w:rPr>
              <w:t>城市空气质量优良天数比</w:t>
            </w:r>
            <w:r>
              <w:rPr>
                <w:rFonts w:eastAsia="仿宋_GB2312"/>
                <w:color w:val="000000" w:themeColor="text1"/>
                <w:kern w:val="0"/>
                <w:sz w:val="22"/>
                <w:szCs w:val="22"/>
                <w:lang w:bidi="ar"/>
                <w14:textFill>
                  <w14:solidFill>
                    <w14:schemeClr w14:val="tx1"/>
                  </w14:solidFill>
                </w14:textFill>
              </w:rPr>
              <w:t>率</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&gt;98%</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97.53%</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&gt;99%</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&gt;96.98%</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市级差0.47个百分点↓</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区级差2.02个百分点↓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w:t>
            </w:r>
            <w:r>
              <w:rPr>
                <w:rFonts w:eastAsia="仿宋_GB2312"/>
                <w:color w:val="000000" w:themeColor="text1"/>
                <w:kern w:val="0"/>
                <w:sz w:val="22"/>
                <w:szCs w:val="22"/>
                <w:lang w:bidi="ar"/>
                <w14:textFill>
                  <w14:solidFill>
                    <w14:schemeClr w14:val="tx1"/>
                  </w14:solidFill>
                </w14:textFill>
              </w:rPr>
              <w:t>.</w:t>
            </w:r>
            <w:r>
              <w:rPr>
                <w:rFonts w:hint="eastAsia" w:eastAsia="仿宋_GB2312"/>
                <w:color w:val="000000" w:themeColor="text1"/>
                <w:kern w:val="0"/>
                <w:sz w:val="22"/>
                <w:szCs w:val="22"/>
                <w:lang w:bidi="ar"/>
                <w14:textFill>
                  <w14:solidFill>
                    <w14:schemeClr w14:val="tx1"/>
                  </w14:solidFill>
                </w14:textFill>
              </w:rPr>
              <w:t>出入滇主河道优良水体比例</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73%以上</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100%</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区级超27个百分点↑</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4.新增城市绿地</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215公顷</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20公顷以上</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21.23公顷</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区级超1.23公顷↑</w:t>
            </w:r>
          </w:p>
        </w:tc>
      </w:tr>
      <w:tr>
        <w:tblPrEx>
          <w:tblCellMar>
            <w:top w:w="0" w:type="dxa"/>
            <w:left w:w="108" w:type="dxa"/>
            <w:bottom w:w="0" w:type="dxa"/>
            <w:right w:w="108" w:type="dxa"/>
          </w:tblCellMar>
        </w:tblPrEx>
        <w:trPr>
          <w:trHeight w:val="397" w:hRule="atLeast"/>
          <w:jc w:val="center"/>
        </w:trPr>
        <w:tc>
          <w:tcPr>
            <w:tcW w:w="6637" w:type="dxa"/>
            <w:gridSpan w:val="3"/>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
                <w:color w:val="000000" w:themeColor="text1"/>
                <w:sz w:val="22"/>
                <w:szCs w:val="22"/>
                <w14:textFill>
                  <w14:solidFill>
                    <w14:schemeClr w14:val="tx1"/>
                  </w14:solidFill>
                </w14:textFill>
              </w:rPr>
            </w:pPr>
            <w:r>
              <w:rPr>
                <w:rFonts w:eastAsia="楷体_GB2312"/>
                <w:bCs/>
                <w:color w:val="000000" w:themeColor="text1"/>
                <w:kern w:val="0"/>
                <w:sz w:val="22"/>
                <w:szCs w:val="22"/>
                <w:lang w:bidi="ar"/>
                <w14:textFill>
                  <w14:solidFill>
                    <w14:schemeClr w14:val="tx1"/>
                  </w14:solidFill>
                </w14:textFill>
              </w:rPr>
              <w:t>五、安全</w:t>
            </w:r>
            <w:r>
              <w:rPr>
                <w:rFonts w:hint="eastAsia" w:eastAsia="楷体_GB2312"/>
                <w:bCs/>
                <w:color w:val="000000" w:themeColor="text1"/>
                <w:kern w:val="0"/>
                <w:sz w:val="22"/>
                <w:szCs w:val="22"/>
                <w:lang w:bidi="ar"/>
                <w14:textFill>
                  <w14:solidFill>
                    <w14:schemeClr w14:val="tx1"/>
                  </w14:solidFill>
                </w14:textFill>
              </w:rPr>
              <w:t>发展、粮食安全</w:t>
            </w:r>
          </w:p>
        </w:tc>
        <w:tc>
          <w:tcPr>
            <w:tcW w:w="1610"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c>
          <w:tcPr>
            <w:tcW w:w="1735" w:type="dxa"/>
            <w:tcBorders>
              <w:top w:val="single" w:color="000000" w:sz="4" w:space="0"/>
              <w:left w:val="nil"/>
              <w:bottom w:val="single" w:color="000000" w:sz="4" w:space="0"/>
              <w:right w:val="nil"/>
            </w:tcBorders>
            <w:shd w:val="clear" w:color="auto" w:fill="D7D7D7"/>
            <w:vAlign w:val="center"/>
          </w:tcPr>
          <w:p>
            <w:pPr>
              <w:widowControl/>
              <w:spacing w:line="280" w:lineRule="exact"/>
              <w:jc w:val="center"/>
              <w:textAlignment w:val="center"/>
              <w:rPr>
                <w:rFonts w:eastAsia="楷体_GB2312"/>
                <w:bCs/>
                <w:color w:val="000000" w:themeColor="text1"/>
                <w:kern w:val="0"/>
                <w:sz w:val="22"/>
                <w:szCs w:val="22"/>
                <w:lang w:bidi="ar"/>
                <w14:textFill>
                  <w14:solidFill>
                    <w14:schemeClr w14:val="tx1"/>
                  </w14:solidFill>
                </w14:textFill>
              </w:rPr>
            </w:pPr>
          </w:p>
        </w:tc>
        <w:tc>
          <w:tcPr>
            <w:tcW w:w="4572" w:type="dxa"/>
            <w:tcBorders>
              <w:top w:val="single" w:color="000000" w:sz="4" w:space="0"/>
              <w:left w:val="nil"/>
              <w:bottom w:val="single" w:color="000000" w:sz="4" w:space="0"/>
              <w:right w:val="nil"/>
            </w:tcBorders>
            <w:shd w:val="clear" w:color="auto" w:fill="D7D7D7"/>
            <w:vAlign w:val="center"/>
          </w:tcPr>
          <w:p>
            <w:pPr>
              <w:widowControl/>
              <w:spacing w:line="280" w:lineRule="exact"/>
              <w:jc w:val="left"/>
              <w:textAlignment w:val="center"/>
              <w:rPr>
                <w:rFonts w:eastAsia="楷体_GB2312"/>
                <w:bCs/>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b/>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w:t>
            </w:r>
            <w:r>
              <w:rPr>
                <w:rFonts w:eastAsia="仿宋_GB2312"/>
                <w:color w:val="000000" w:themeColor="text1"/>
                <w:kern w:val="0"/>
                <w:sz w:val="22"/>
                <w:szCs w:val="22"/>
                <w:lang w:bidi="ar"/>
                <w14:textFill>
                  <w14:solidFill>
                    <w14:schemeClr w14:val="tx1"/>
                  </w14:solidFill>
                </w14:textFill>
              </w:rPr>
              <w:t>粮食产量</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100万吨以上</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108.97万吨</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高于1.2万吨</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1.35万吨</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市级超8.97万吨↑</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区级超0.15万吨↑</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b/>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2</w:t>
            </w:r>
            <w:r>
              <w:rPr>
                <w:rFonts w:eastAsia="仿宋_GB2312"/>
                <w:color w:val="000000" w:themeColor="text1"/>
                <w:kern w:val="0"/>
                <w:sz w:val="22"/>
                <w:szCs w:val="22"/>
                <w:lang w:bidi="ar"/>
                <w14:textFill>
                  <w14:solidFill>
                    <w14:schemeClr w14:val="tx1"/>
                  </w14:solidFill>
                </w14:textFill>
              </w:rPr>
              <w:t>.耕地保有量</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完成省下达目标</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保有562.8万亩</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7.5万亩</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保有3.7万亩</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区级差3.8万亩↓</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4" w:space="0"/>
              <w:right w:val="single" w:color="000000" w:sz="4" w:space="0"/>
            </w:tcBorders>
            <w:vAlign w:val="center"/>
          </w:tcPr>
          <w:p>
            <w:pPr>
              <w:widowControl/>
              <w:spacing w:line="280" w:lineRule="exact"/>
              <w:jc w:val="lef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3.粮食播种面积</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稳定在350万亩</w:t>
            </w:r>
          </w:p>
        </w:tc>
        <w:tc>
          <w:tcPr>
            <w:tcW w:w="195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357.74万亩</w:t>
            </w:r>
          </w:p>
        </w:tc>
        <w:tc>
          <w:tcPr>
            <w:tcW w:w="1610"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3.5万亩</w:t>
            </w:r>
          </w:p>
        </w:tc>
        <w:tc>
          <w:tcPr>
            <w:tcW w:w="1735"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3.</w:t>
            </w:r>
            <w:r>
              <w:rPr>
                <w:rFonts w:eastAsia="仿宋_GB2312"/>
                <w:color w:val="000000" w:themeColor="text1"/>
                <w:kern w:val="0"/>
                <w:sz w:val="22"/>
                <w:szCs w:val="22"/>
                <w:lang w:bidi="ar"/>
                <w14:textFill>
                  <w14:solidFill>
                    <w14:schemeClr w14:val="tx1"/>
                  </w14:solidFill>
                </w14:textFill>
              </w:rPr>
              <w:t>82</w:t>
            </w:r>
            <w:r>
              <w:rPr>
                <w:rFonts w:hint="eastAsia" w:eastAsia="仿宋_GB2312"/>
                <w:color w:val="000000" w:themeColor="text1"/>
                <w:kern w:val="0"/>
                <w:sz w:val="22"/>
                <w:szCs w:val="22"/>
                <w:lang w:bidi="ar"/>
                <w14:textFill>
                  <w14:solidFill>
                    <w14:schemeClr w14:val="tx1"/>
                  </w14:solidFill>
                </w14:textFill>
              </w:rPr>
              <w:t>万亩</w:t>
            </w:r>
          </w:p>
        </w:tc>
        <w:tc>
          <w:tcPr>
            <w:tcW w:w="4572" w:type="dxa"/>
            <w:tcBorders>
              <w:top w:val="single" w:color="000000" w:sz="4" w:space="0"/>
              <w:left w:val="single" w:color="000000" w:sz="4" w:space="0"/>
              <w:bottom w:val="single" w:color="000000" w:sz="4"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市级超7.74万亩↑</w:t>
            </w:r>
          </w:p>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区级超0.</w:t>
            </w:r>
            <w:r>
              <w:rPr>
                <w:rFonts w:eastAsia="仿宋_GB2312"/>
                <w:color w:val="000000" w:themeColor="text1"/>
                <w:kern w:val="0"/>
                <w:sz w:val="22"/>
                <w:szCs w:val="22"/>
                <w:lang w:bidi="ar"/>
                <w14:textFill>
                  <w14:solidFill>
                    <w14:schemeClr w14:val="tx1"/>
                  </w14:solidFill>
                </w14:textFill>
              </w:rPr>
              <w:t>3</w:t>
            </w:r>
            <w:r>
              <w:rPr>
                <w:rFonts w:hint="eastAsia" w:eastAsia="仿宋_GB2312"/>
                <w:color w:val="000000" w:themeColor="text1"/>
                <w:kern w:val="0"/>
                <w:sz w:val="22"/>
                <w:szCs w:val="22"/>
                <w:lang w:bidi="ar"/>
                <w14:textFill>
                  <w14:solidFill>
                    <w14:schemeClr w14:val="tx1"/>
                  </w14:solidFill>
                </w14:textFill>
              </w:rPr>
              <w:t>万亩↑</w:t>
            </w:r>
          </w:p>
        </w:tc>
      </w:tr>
      <w:tr>
        <w:tblPrEx>
          <w:tblCellMar>
            <w:top w:w="0" w:type="dxa"/>
            <w:left w:w="108" w:type="dxa"/>
            <w:bottom w:w="0" w:type="dxa"/>
            <w:right w:w="108" w:type="dxa"/>
          </w:tblCellMar>
        </w:tblPrEx>
        <w:trPr>
          <w:trHeight w:val="397" w:hRule="atLeast"/>
          <w:jc w:val="center"/>
        </w:trPr>
        <w:tc>
          <w:tcPr>
            <w:tcW w:w="2994" w:type="dxa"/>
            <w:tcBorders>
              <w:top w:val="single" w:color="000000" w:sz="4" w:space="0"/>
              <w:left w:val="nil"/>
              <w:bottom w:val="single" w:color="000000" w:sz="12" w:space="0"/>
              <w:right w:val="single" w:color="000000" w:sz="4" w:space="0"/>
            </w:tcBorders>
            <w:vAlign w:val="center"/>
          </w:tcPr>
          <w:p>
            <w:pPr>
              <w:widowControl/>
              <w:spacing w:line="280" w:lineRule="exact"/>
              <w:jc w:val="left"/>
              <w:textAlignment w:val="center"/>
              <w:rPr>
                <w:rFonts w:eastAsia="仿宋_GB2312"/>
                <w:b/>
                <w:color w:val="000000" w:themeColor="text1"/>
                <w:sz w:val="22"/>
                <w:szCs w:val="22"/>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4</w:t>
            </w:r>
            <w:r>
              <w:rPr>
                <w:rFonts w:eastAsia="仿宋_GB2312"/>
                <w:color w:val="000000" w:themeColor="text1"/>
                <w:kern w:val="0"/>
                <w:sz w:val="22"/>
                <w:szCs w:val="22"/>
                <w:lang w:bidi="ar"/>
                <w14:textFill>
                  <w14:solidFill>
                    <w14:schemeClr w14:val="tx1"/>
                  </w14:solidFill>
                </w14:textFill>
              </w:rPr>
              <w:t>.安全生产事故起数</w:t>
            </w:r>
          </w:p>
        </w:tc>
        <w:tc>
          <w:tcPr>
            <w:tcW w:w="1693" w:type="dxa"/>
            <w:tcBorders>
              <w:top w:val="single" w:color="000000" w:sz="4" w:space="0"/>
              <w:left w:val="single" w:color="000000" w:sz="4" w:space="0"/>
              <w:bottom w:val="single" w:color="000000" w:sz="12" w:space="0"/>
              <w:right w:val="single" w:color="000000" w:sz="4" w:space="0"/>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lang w:bidi="ar"/>
                <w14:textFill>
                  <w14:solidFill>
                    <w14:schemeClr w14:val="tx1"/>
                  </w14:solidFill>
                </w14:textFill>
              </w:rPr>
              <w:t>稳步下降</w:t>
            </w:r>
          </w:p>
        </w:tc>
        <w:tc>
          <w:tcPr>
            <w:tcW w:w="1950" w:type="dxa"/>
            <w:tcBorders>
              <w:top w:val="single" w:color="000000" w:sz="4" w:space="0"/>
              <w:left w:val="single" w:color="000000" w:sz="4" w:space="0"/>
              <w:bottom w:val="single" w:color="000000" w:sz="12"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eastAsia="仿宋_GB2312"/>
                <w:color w:val="000000" w:themeColor="text1"/>
                <w:kern w:val="0"/>
                <w:sz w:val="22"/>
                <w:szCs w:val="22"/>
                <w14:textFill>
                  <w14:solidFill>
                    <w14:schemeClr w14:val="tx1"/>
                  </w14:solidFill>
                </w14:textFill>
              </w:rPr>
              <w:t>下降</w:t>
            </w:r>
            <w:r>
              <w:rPr>
                <w:rFonts w:hint="eastAsia" w:eastAsia="仿宋_GB2312"/>
                <w:color w:val="000000" w:themeColor="text1"/>
                <w:kern w:val="0"/>
                <w:sz w:val="22"/>
                <w:szCs w:val="22"/>
                <w14:textFill>
                  <w14:solidFill>
                    <w14:schemeClr w14:val="tx1"/>
                  </w14:solidFill>
                </w14:textFill>
              </w:rPr>
              <w:t>6.5</w:t>
            </w:r>
            <w:r>
              <w:rPr>
                <w:rFonts w:eastAsia="仿宋_GB2312"/>
                <w:color w:val="000000" w:themeColor="text1"/>
                <w:kern w:val="0"/>
                <w:sz w:val="22"/>
                <w:szCs w:val="22"/>
                <w14:textFill>
                  <w14:solidFill>
                    <w14:schemeClr w14:val="tx1"/>
                  </w14:solidFill>
                </w14:textFill>
              </w:rPr>
              <w:t>%</w:t>
            </w:r>
          </w:p>
        </w:tc>
        <w:tc>
          <w:tcPr>
            <w:tcW w:w="1610" w:type="dxa"/>
            <w:tcBorders>
              <w:top w:val="single" w:color="000000" w:sz="4" w:space="0"/>
              <w:left w:val="single" w:color="000000" w:sz="4" w:space="0"/>
              <w:bottom w:val="single" w:color="000000" w:sz="12"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坚决防止较大及以上事故发生</w:t>
            </w:r>
          </w:p>
        </w:tc>
        <w:tc>
          <w:tcPr>
            <w:tcW w:w="1735" w:type="dxa"/>
            <w:tcBorders>
              <w:top w:val="single" w:color="000000" w:sz="4" w:space="0"/>
              <w:left w:val="single" w:color="000000" w:sz="4" w:space="0"/>
              <w:bottom w:val="single" w:color="000000" w:sz="12" w:space="0"/>
              <w:right w:val="nil"/>
            </w:tcBorders>
            <w:vAlign w:val="center"/>
          </w:tcPr>
          <w:p>
            <w:pPr>
              <w:widowControl/>
              <w:spacing w:line="280" w:lineRule="exact"/>
              <w:jc w:val="center"/>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未发生较大及以上安全事故</w:t>
            </w:r>
          </w:p>
        </w:tc>
        <w:tc>
          <w:tcPr>
            <w:tcW w:w="4572" w:type="dxa"/>
            <w:tcBorders>
              <w:top w:val="single" w:color="000000" w:sz="4" w:space="0"/>
              <w:left w:val="single" w:color="000000" w:sz="4" w:space="0"/>
              <w:bottom w:val="single" w:color="000000" w:sz="12" w:space="0"/>
              <w:right w:val="nil"/>
            </w:tcBorders>
            <w:vAlign w:val="center"/>
          </w:tcPr>
          <w:p>
            <w:pPr>
              <w:widowControl/>
              <w:spacing w:line="280" w:lineRule="exact"/>
              <w:textAlignment w:val="center"/>
              <w:rPr>
                <w:rFonts w:eastAsia="仿宋_GB2312"/>
                <w:color w:val="000000" w:themeColor="text1"/>
                <w:kern w:val="0"/>
                <w:sz w:val="22"/>
                <w:szCs w:val="22"/>
                <w:lang w:bidi="ar"/>
                <w14:textFill>
                  <w14:solidFill>
                    <w14:schemeClr w14:val="tx1"/>
                  </w14:solidFill>
                </w14:textFill>
              </w:rPr>
            </w:pPr>
            <w:r>
              <w:rPr>
                <w:rFonts w:hint="eastAsia" w:eastAsia="仿宋_GB2312"/>
                <w:color w:val="000000" w:themeColor="text1"/>
                <w:kern w:val="0"/>
                <w:sz w:val="22"/>
                <w:szCs w:val="22"/>
                <w:lang w:bidi="ar"/>
                <w14:textFill>
                  <w14:solidFill>
                    <w14:schemeClr w14:val="tx1"/>
                  </w14:solidFill>
                </w14:textFill>
              </w:rPr>
              <w:t>完成</w:t>
            </w:r>
          </w:p>
        </w:tc>
      </w:tr>
    </w:tbl>
    <w:p>
      <w:pPr>
        <w:rPr>
          <w:rFonts w:eastAsia="仿宋_GB2312"/>
          <w:color w:val="000000" w:themeColor="text1"/>
          <w:sz w:val="32"/>
          <w:szCs w:val="32"/>
          <w14:textFill>
            <w14:solidFill>
              <w14:schemeClr w14:val="tx1"/>
            </w14:solidFill>
          </w14:textFill>
        </w:rPr>
      </w:pPr>
    </w:p>
    <w:p>
      <w:pPr>
        <w:rPr>
          <w:rFonts w:eastAsia="仿宋_GB2312"/>
          <w:color w:val="000000" w:themeColor="text1"/>
          <w:sz w:val="32"/>
          <w:szCs w:val="32"/>
          <w14:textFill>
            <w14:solidFill>
              <w14:schemeClr w14:val="tx1"/>
            </w14:solidFill>
          </w14:textFill>
        </w:rPr>
      </w:pPr>
    </w:p>
    <w:sectPr>
      <w:footerReference r:id="rId3" w:type="default"/>
      <w:footerReference r:id="rId4" w:type="even"/>
      <w:pgSz w:w="16840" w:h="11907" w:orient="landscape"/>
      <w:pgMar w:top="1531" w:right="1928" w:bottom="1531" w:left="187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YTBkNGZkZGE2NWQ4N2VjY2Q4MzYwODgyNDQyYzE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103F5AD3"/>
    <w:rsid w:val="16AB5C70"/>
    <w:rsid w:val="1A210127"/>
    <w:rsid w:val="23646FAD"/>
    <w:rsid w:val="26884D85"/>
    <w:rsid w:val="2725008D"/>
    <w:rsid w:val="28F64B58"/>
    <w:rsid w:val="2AA32EB9"/>
    <w:rsid w:val="2CD87928"/>
    <w:rsid w:val="2D4A08D5"/>
    <w:rsid w:val="2DA8239C"/>
    <w:rsid w:val="2EC76F67"/>
    <w:rsid w:val="2ED16703"/>
    <w:rsid w:val="2F932FFB"/>
    <w:rsid w:val="32036508"/>
    <w:rsid w:val="34A72BA0"/>
    <w:rsid w:val="35DC6A5F"/>
    <w:rsid w:val="38D8249D"/>
    <w:rsid w:val="393E5BE5"/>
    <w:rsid w:val="3BCD1ED7"/>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C595BC8"/>
    <w:rsid w:val="6D97577B"/>
    <w:rsid w:val="6E236E6A"/>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autoRedefine/>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autoRedefine/>
    <w:unhideWhenUsed/>
    <w:qFormat/>
    <w:uiPriority w:val="99"/>
  </w:style>
  <w:style w:type="character" w:styleId="32">
    <w:name w:val="HTML Variable"/>
    <w:autoRedefine/>
    <w:unhideWhenUsed/>
    <w:qFormat/>
    <w:uiPriority w:val="99"/>
  </w:style>
  <w:style w:type="character" w:styleId="33">
    <w:name w:val="Hyperlink"/>
    <w:autoRedefine/>
    <w:unhideWhenUsed/>
    <w:qFormat/>
    <w:uiPriority w:val="99"/>
    <w:rPr>
      <w:color w:val="333333"/>
      <w:u w:val="none"/>
    </w:rPr>
  </w:style>
  <w:style w:type="character" w:styleId="34">
    <w:name w:val="HTML Code"/>
    <w:autoRedefin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autoRedefin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autoRedefine/>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autoRedefin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autoRedefine/>
    <w:qFormat/>
    <w:uiPriority w:val="0"/>
    <w:pPr>
      <w:spacing w:after="120"/>
      <w:textAlignment w:val="baseline"/>
    </w:pPr>
  </w:style>
  <w:style w:type="paragraph" w:customStyle="1" w:styleId="86">
    <w:name w:val="NormalIndent"/>
    <w:next w:val="1"/>
    <w:autoRedefine/>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autoRedefine/>
    <w:qFormat/>
    <w:uiPriority w:val="0"/>
    <w:rPr>
      <w:rFonts w:hint="eastAsia" w:ascii="宋体" w:hAnsi="宋体" w:eastAsia="宋体" w:cs="宋体"/>
      <w:color w:val="000000"/>
      <w:sz w:val="44"/>
      <w:szCs w:val="44"/>
      <w:u w:val="none"/>
    </w:rPr>
  </w:style>
  <w:style w:type="paragraph" w:customStyle="1" w:styleId="88">
    <w:name w:val="Normal Indent1"/>
    <w:basedOn w:val="1"/>
    <w:autoRedefine/>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autoRedefine/>
    <w:qFormat/>
    <w:uiPriority w:val="19"/>
    <w:rPr>
      <w:i/>
      <w:iCs/>
      <w:color w:val="808080"/>
    </w:rPr>
  </w:style>
  <w:style w:type="paragraph" w:customStyle="1" w:styleId="91">
    <w:name w:val="BodyText1I2"/>
    <w:basedOn w:val="1"/>
    <w:autoRedefine/>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autoRedefine/>
    <w:qFormat/>
    <w:uiPriority w:val="0"/>
    <w:rPr>
      <w:rFonts w:hint="eastAsia" w:ascii="黑体" w:hAnsi="黑体" w:eastAsia="黑体"/>
      <w:color w:val="000000"/>
      <w:sz w:val="24"/>
      <w:szCs w:val="24"/>
      <w:u w:val="none"/>
    </w:rPr>
  </w:style>
  <w:style w:type="character" w:customStyle="1" w:styleId="94">
    <w:name w:val="font71"/>
    <w:basedOn w:val="26"/>
    <w:autoRedefine/>
    <w:qFormat/>
    <w:uiPriority w:val="0"/>
    <w:rPr>
      <w:rFonts w:hint="eastAsia" w:ascii="仿宋_GB2312" w:eastAsia="仿宋_GB2312"/>
      <w:color w:val="000000"/>
      <w:sz w:val="22"/>
      <w:szCs w:val="22"/>
      <w:u w:val="none"/>
    </w:rPr>
  </w:style>
  <w:style w:type="character" w:customStyle="1" w:styleId="95">
    <w:name w:val="font11"/>
    <w:basedOn w:val="26"/>
    <w:autoRedefine/>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autoRedefine/>
    <w:qFormat/>
    <w:uiPriority w:val="0"/>
    <w:rPr>
      <w:rFonts w:hint="eastAsia" w:ascii="仿宋_GB2312" w:eastAsia="仿宋_GB2312"/>
      <w:color w:val="000000"/>
      <w:sz w:val="22"/>
      <w:szCs w:val="22"/>
      <w:u w:val="none"/>
    </w:rPr>
  </w:style>
  <w:style w:type="table" w:customStyle="1" w:styleId="100">
    <w:name w:val="网格型2"/>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autoRedefine/>
    <w:qFormat/>
    <w:uiPriority w:val="0"/>
    <w:rPr>
      <w:rFonts w:hint="eastAsia" w:ascii="宋体" w:hAnsi="宋体" w:eastAsia="宋体"/>
      <w:b/>
      <w:bCs/>
      <w:color w:val="000000"/>
      <w:sz w:val="48"/>
      <w:szCs w:val="48"/>
      <w:u w:val="none"/>
    </w:rPr>
  </w:style>
  <w:style w:type="character" w:customStyle="1" w:styleId="103">
    <w:name w:val="font01"/>
    <w:autoRedefine/>
    <w:qFormat/>
    <w:uiPriority w:val="0"/>
    <w:rPr>
      <w:rFonts w:hint="eastAsia" w:ascii="宋体" w:hAnsi="宋体" w:eastAsia="宋体" w:cs="宋体"/>
      <w:b/>
      <w:color w:val="000000"/>
      <w:sz w:val="21"/>
      <w:szCs w:val="21"/>
      <w:u w:val="none"/>
    </w:rPr>
  </w:style>
  <w:style w:type="paragraph" w:customStyle="1" w:styleId="1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autoRedefine/>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295</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李念</cp:lastModifiedBy>
  <cp:lastPrinted>2024-02-22T17:13:00Z</cp:lastPrinted>
  <dcterms:modified xsi:type="dcterms:W3CDTF">2024-04-29T05:50:06Z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42BB8F845AA8479E901034549D826F8B_13</vt:lpwstr>
  </property>
</Properties>
</file>