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napToGrid w:val="0"/>
          <w:color w:val="000000"/>
          <w:spacing w:val="2"/>
          <w:sz w:val="44"/>
          <w:szCs w:val="44"/>
          <w:lang w:val="en-US" w:eastAsia="zh-CN"/>
        </w:rPr>
        <w:t>2023年社会保险基金收支变动情况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一、2023年西山区收入变动情况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机关事业单位基本养老保险基金收入较2022年增幅较大的主要原因是：一是财政补贴收入较2022年增幅较大；二是2023年全区机关事业单位养老保险基金缴费基数调整补差，导致费收入增长较大。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二、2023年西山区支出变动情况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机关事业单位基本养老保险基金支出数较2022年增加的主要原因是：退休人员养老增资调待后按照新标准来发放养老金待遇。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需要特别说明的是：企业职工基本养老保险基金实行全国统筹省级统收统支，失业保险基金、工伤保险基金由省级统筹，相关数据由省级统一报告，城乡居民基本医疗保险基金、城乡居民养老保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险基金由市级统筹，相关数据由市级统一报告，西山区保险基金决算不再包含企业职工基本养老保险、失业保险、工伤保险、城乡居民基本医疗保险、城乡居民养老保险情况。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97F68"/>
    <w:rsid w:val="0C784AA7"/>
    <w:rsid w:val="0CB6212B"/>
    <w:rsid w:val="0D374C17"/>
    <w:rsid w:val="0EDF2A55"/>
    <w:rsid w:val="14C27481"/>
    <w:rsid w:val="1AD574D9"/>
    <w:rsid w:val="2ED529CD"/>
    <w:rsid w:val="36140000"/>
    <w:rsid w:val="37C02A46"/>
    <w:rsid w:val="3BC94D00"/>
    <w:rsid w:val="42835F0A"/>
    <w:rsid w:val="44597F68"/>
    <w:rsid w:val="4CF63A5D"/>
    <w:rsid w:val="4D6F32DF"/>
    <w:rsid w:val="50476D4D"/>
    <w:rsid w:val="55D05EC8"/>
    <w:rsid w:val="61E93FF5"/>
    <w:rsid w:val="6E38526A"/>
    <w:rsid w:val="6FAE4051"/>
    <w:rsid w:val="723A731C"/>
    <w:rsid w:val="78B5394A"/>
    <w:rsid w:val="7B36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2024-09-25T03:31:00Z</dcterms:created>
  <dc:creator>Administrator</dc:creator>
  <cp:lastModifiedBy>lenovo</cp:lastModifiedBy>
  <dcterms:modified xsi:type="dcterms:W3CDTF">2024-09-30T01:58:02Z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