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eastAsia="黑体"/>
          <w:sz w:val="32"/>
          <w:szCs w:val="32"/>
        </w:rPr>
      </w:pPr>
    </w:p>
    <w:p>
      <w:pPr>
        <w:spacing w:line="620" w:lineRule="exact"/>
        <w:rPr>
          <w:rFonts w:eastAsia="黑体"/>
          <w:color w:val="FF0000"/>
          <w:sz w:val="32"/>
          <w:szCs w:val="32"/>
        </w:rPr>
      </w:pPr>
    </w:p>
    <w:p>
      <w:pPr>
        <w:spacing w:line="620" w:lineRule="exact"/>
        <w:rPr>
          <w:rFonts w:eastAsia="仿宋_GB2312"/>
          <w:color w:val="FF0000"/>
          <w:sz w:val="32"/>
          <w:szCs w:val="32"/>
        </w:rPr>
      </w:pPr>
    </w:p>
    <w:p>
      <w:pPr>
        <w:tabs>
          <w:tab w:val="left" w:pos="142"/>
          <w:tab w:val="left" w:pos="284"/>
        </w:tabs>
        <w:spacing w:line="1000" w:lineRule="exact"/>
        <w:jc w:val="right"/>
        <w:rPr>
          <w:rFonts w:eastAsia="方正小标宋简体"/>
          <w:color w:val="FF0000"/>
          <w:spacing w:val="-6"/>
          <w:w w:val="67"/>
          <w:position w:val="-6"/>
          <w:sz w:val="90"/>
          <w:szCs w:val="90"/>
        </w:rPr>
      </w:pPr>
      <w:r>
        <w:rPr>
          <w:rFonts w:eastAsia="方正小标宋简体"/>
          <w:color w:val="FF0000"/>
          <w:spacing w:val="-6"/>
          <w:w w:val="67"/>
          <w:position w:val="-6"/>
          <w:sz w:val="90"/>
          <w:szCs w:val="90"/>
        </w:rPr>
        <w:t>昆明市西山区人民政府办公室文件</w:t>
      </w:r>
    </w:p>
    <w:p>
      <w:pPr>
        <w:spacing w:line="240" w:lineRule="exact"/>
        <w:rPr>
          <w:rFonts w:eastAsia="仿宋_GB2312"/>
          <w:color w:val="FF0000"/>
          <w:sz w:val="32"/>
          <w:szCs w:val="32"/>
        </w:rPr>
      </w:pPr>
    </w:p>
    <w:p>
      <w:pPr>
        <w:spacing w:line="590" w:lineRule="exact"/>
        <w:rPr>
          <w:rFonts w:eastAsia="仿宋_GB2312"/>
          <w:color w:val="000000"/>
          <w:sz w:val="32"/>
          <w:szCs w:val="32"/>
        </w:rPr>
      </w:pPr>
    </w:p>
    <w:p>
      <w:pPr>
        <w:tabs>
          <w:tab w:val="left" w:pos="284"/>
          <w:tab w:val="left" w:pos="426"/>
          <w:tab w:val="left" w:pos="8505"/>
        </w:tabs>
        <w:spacing w:line="590" w:lineRule="exact"/>
        <w:jc w:val="center"/>
        <w:rPr>
          <w:rFonts w:eastAsia="楷体_GB2312"/>
          <w:color w:val="000000"/>
          <w:sz w:val="32"/>
        </w:rPr>
      </w:pPr>
      <w:r>
        <w:rPr>
          <w:rFonts w:eastAsia="仿宋_GB2312"/>
          <w:color w:val="000000"/>
          <w:sz w:val="32"/>
        </w:rPr>
        <w:t>西政办通〔202</w:t>
      </w:r>
      <w:r>
        <w:rPr>
          <w:rFonts w:hint="eastAsia" w:eastAsia="仿宋_GB2312"/>
          <w:color w:val="000000"/>
          <w:sz w:val="32"/>
        </w:rPr>
        <w:t>4</w:t>
      </w:r>
      <w:r>
        <w:rPr>
          <w:rFonts w:eastAsia="仿宋_GB2312"/>
          <w:color w:val="000000"/>
          <w:sz w:val="32"/>
        </w:rPr>
        <w:t>〕</w:t>
      </w:r>
      <w:r>
        <w:rPr>
          <w:rFonts w:hint="eastAsia" w:eastAsia="仿宋_GB2312"/>
          <w:color w:val="000000"/>
          <w:sz w:val="32"/>
        </w:rPr>
        <w:t>26</w:t>
      </w:r>
      <w:r>
        <w:rPr>
          <w:rFonts w:eastAsia="仿宋_GB2312"/>
          <w:color w:val="000000"/>
          <w:sz w:val="32"/>
        </w:rPr>
        <w:t>号</w:t>
      </w:r>
    </w:p>
    <w:p>
      <w:pPr>
        <w:tabs>
          <w:tab w:val="left" w:pos="0"/>
        </w:tabs>
        <w:spacing w:line="300" w:lineRule="exact"/>
        <w:ind w:right="-84" w:rightChars="-40"/>
        <w:rPr>
          <w:rFonts w:eastAsia="仿宋_GB2312"/>
          <w:color w:val="FF0000"/>
          <w:sz w:val="32"/>
        </w:rPr>
      </w:pPr>
      <w:r>
        <w:rPr>
          <w:rFonts w:eastAsia="仿宋_GB2312"/>
          <w:color w:val="FF0000"/>
        </w:rPr>
        <w:t>━━━━━━━━━━━━━━━━━━━━━━━━━━━━━━━━━━━━━━━━━━</w:t>
      </w:r>
    </w:p>
    <w:p>
      <w:pPr>
        <w:spacing w:line="440" w:lineRule="exact"/>
        <w:rPr>
          <w:rFonts w:eastAsia="仿宋_GB2312"/>
          <w:color w:val="FF0000"/>
          <w:sz w:val="32"/>
        </w:rPr>
      </w:pPr>
    </w:p>
    <w:p>
      <w:pPr>
        <w:spacing w:line="440" w:lineRule="exact"/>
        <w:rPr>
          <w:rFonts w:eastAsia="方正小标宋简体"/>
          <w:color w:val="FF0000"/>
          <w:sz w:val="32"/>
        </w:rPr>
      </w:pPr>
    </w:p>
    <w:p>
      <w:pPr>
        <w:spacing w:line="620" w:lineRule="exact"/>
        <w:jc w:val="center"/>
        <w:rPr>
          <w:rFonts w:ascii="方正小标宋简体" w:eastAsia="方正小标宋简体"/>
          <w:sz w:val="44"/>
          <w:szCs w:val="44"/>
          <w:lang w:val="zh-CN"/>
        </w:rPr>
      </w:pPr>
      <w:r>
        <w:rPr>
          <w:rFonts w:hint="eastAsia" w:ascii="方正小标宋简体" w:eastAsia="方正小标宋简体"/>
          <w:sz w:val="44"/>
          <w:szCs w:val="44"/>
          <w:lang w:val="zh-CN"/>
        </w:rPr>
        <w:t>昆明市西山区人民政府办公室</w:t>
      </w: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关于印发西山区棕树营街道土堆村（4号片区三期）城中村改造项目国有土地上房屋征收</w:t>
      </w: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补偿实施方案的通知</w:t>
      </w:r>
    </w:p>
    <w:p>
      <w:pPr>
        <w:spacing w:line="360" w:lineRule="exact"/>
        <w:jc w:val="center"/>
        <w:rPr>
          <w:rFonts w:eastAsia="方正小标宋简体"/>
          <w:sz w:val="32"/>
          <w:szCs w:val="32"/>
        </w:rPr>
      </w:pPr>
    </w:p>
    <w:p>
      <w:pPr>
        <w:spacing w:line="540" w:lineRule="exact"/>
        <w:rPr>
          <w:rFonts w:eastAsia="仿宋_GB2312"/>
          <w:sz w:val="32"/>
          <w:szCs w:val="32"/>
        </w:rPr>
      </w:pPr>
      <w:r>
        <w:rPr>
          <w:rFonts w:eastAsia="仿宋_GB2312"/>
          <w:sz w:val="32"/>
          <w:szCs w:val="32"/>
        </w:rPr>
        <w:t>棕树营街道办事处，区政府有关各办、局：</w:t>
      </w:r>
    </w:p>
    <w:p>
      <w:pPr>
        <w:spacing w:line="540" w:lineRule="exact"/>
        <w:ind w:firstLine="640" w:firstLineChars="200"/>
        <w:rPr>
          <w:rFonts w:eastAsia="仿宋_GB2312"/>
          <w:sz w:val="32"/>
          <w:szCs w:val="32"/>
        </w:rPr>
      </w:pPr>
      <w:r>
        <w:rPr>
          <w:rFonts w:eastAsia="仿宋_GB2312"/>
          <w:sz w:val="32"/>
          <w:szCs w:val="32"/>
        </w:rPr>
        <w:t>《西山区棕树营街道土堆村（4号片区三期）城中村改造项目国有土地上房屋征收补偿实施方案的通知》已经区政府研究同意，现印发给你们，请认真抓好贯彻执行。</w:t>
      </w:r>
    </w:p>
    <w:p>
      <w:pPr>
        <w:adjustRightInd w:val="0"/>
        <w:snapToGrid w:val="0"/>
        <w:spacing w:line="540" w:lineRule="exact"/>
        <w:jc w:val="right"/>
        <w:rPr>
          <w:rFonts w:eastAsia="仿宋_GB2312"/>
          <w:b/>
          <w:bCs/>
          <w:color w:val="000000"/>
          <w:sz w:val="32"/>
          <w:szCs w:val="32"/>
        </w:rPr>
      </w:pPr>
    </w:p>
    <w:p>
      <w:pPr>
        <w:adjustRightInd w:val="0"/>
        <w:snapToGrid w:val="0"/>
        <w:spacing w:line="540" w:lineRule="exact"/>
        <w:jc w:val="right"/>
        <w:rPr>
          <w:rFonts w:eastAsia="仿宋_GB2312"/>
          <w:b/>
          <w:bCs/>
          <w:color w:val="000000"/>
          <w:sz w:val="32"/>
          <w:szCs w:val="32"/>
        </w:rPr>
      </w:pPr>
    </w:p>
    <w:p>
      <w:pPr>
        <w:adjustRightInd w:val="0"/>
        <w:snapToGrid w:val="0"/>
        <w:spacing w:line="540" w:lineRule="exact"/>
        <w:jc w:val="right"/>
        <w:rPr>
          <w:rFonts w:eastAsia="仿宋_GB2312"/>
          <w:b/>
          <w:bCs/>
          <w:color w:val="000000"/>
          <w:sz w:val="32"/>
          <w:szCs w:val="32"/>
        </w:rPr>
      </w:pPr>
    </w:p>
    <w:p>
      <w:pPr>
        <w:adjustRightInd w:val="0"/>
        <w:snapToGrid w:val="0"/>
        <w:spacing w:line="540" w:lineRule="exact"/>
        <w:jc w:val="right"/>
        <w:rPr>
          <w:rFonts w:eastAsia="仿宋_GB2312"/>
          <w:b/>
          <w:bCs/>
          <w:color w:val="000000"/>
          <w:sz w:val="32"/>
          <w:szCs w:val="32"/>
        </w:rPr>
      </w:pPr>
    </w:p>
    <w:p>
      <w:pPr>
        <w:wordWrap w:val="0"/>
        <w:adjustRightInd w:val="0"/>
        <w:snapToGrid w:val="0"/>
        <w:spacing w:line="540" w:lineRule="exact"/>
        <w:jc w:val="right"/>
        <w:rPr>
          <w:rFonts w:eastAsia="仿宋_GB2312"/>
          <w:sz w:val="32"/>
          <w:szCs w:val="32"/>
        </w:rPr>
      </w:pPr>
      <w:r>
        <w:rPr>
          <w:rFonts w:eastAsia="仿宋_GB2312"/>
          <w:sz w:val="32"/>
          <w:szCs w:val="32"/>
        </w:rPr>
        <w:t xml:space="preserve">       </w:t>
      </w:r>
    </w:p>
    <w:p>
      <w:pPr>
        <w:spacing w:line="620" w:lineRule="exact"/>
        <w:jc w:val="center"/>
        <w:rPr>
          <w:rFonts w:hint="eastAsia" w:ascii="方正小标宋简体" w:eastAsia="方正小标宋简体"/>
          <w:kern w:val="0"/>
          <w:sz w:val="44"/>
          <w:szCs w:val="44"/>
        </w:rPr>
      </w:pPr>
      <w:r>
        <w:rPr>
          <w:rFonts w:hint="eastAsia" w:ascii="方正小标宋简体" w:eastAsia="方正小标宋简体"/>
          <w:spacing w:val="-16"/>
          <w:kern w:val="0"/>
          <w:sz w:val="44"/>
          <w:szCs w:val="44"/>
        </w:rPr>
        <w:t>西山区棕树营街道土堆村（4号片区三期）城中村</w:t>
      </w:r>
      <w:r>
        <w:rPr>
          <w:rFonts w:hint="eastAsia" w:ascii="方正小标宋简体" w:eastAsia="方正小标宋简体"/>
          <w:kern w:val="0"/>
          <w:sz w:val="44"/>
          <w:szCs w:val="44"/>
        </w:rPr>
        <w:t>改造项目国有土地上房屋征收补偿实施方案</w:t>
      </w:r>
    </w:p>
    <w:p>
      <w:pPr>
        <w:tabs>
          <w:tab w:val="left" w:pos="2794"/>
        </w:tabs>
        <w:spacing w:line="360" w:lineRule="exact"/>
        <w:ind w:firstLine="640" w:firstLineChars="200"/>
        <w:rPr>
          <w:rFonts w:eastAsia="仿宋_GB2312"/>
          <w:sz w:val="32"/>
          <w:szCs w:val="32"/>
        </w:rPr>
      </w:pPr>
    </w:p>
    <w:p>
      <w:pPr>
        <w:tabs>
          <w:tab w:val="left" w:pos="2794"/>
        </w:tabs>
        <w:spacing w:line="582" w:lineRule="exact"/>
        <w:ind w:firstLine="640" w:firstLineChars="200"/>
        <w:rPr>
          <w:rFonts w:eastAsia="仿宋_GB2312"/>
          <w:sz w:val="32"/>
          <w:szCs w:val="32"/>
        </w:rPr>
      </w:pPr>
      <w:r>
        <w:rPr>
          <w:rFonts w:eastAsia="仿宋_GB2312"/>
          <w:sz w:val="32"/>
          <w:szCs w:val="32"/>
          <w:lang w:eastAsia="zh-Hans"/>
        </w:rPr>
        <w:t>西山区</w:t>
      </w:r>
      <w:r>
        <w:rPr>
          <w:rFonts w:hint="eastAsia" w:eastAsia="仿宋_GB2312"/>
          <w:sz w:val="32"/>
          <w:szCs w:val="32"/>
          <w:lang w:eastAsia="zh-CN"/>
        </w:rPr>
        <w:t>棕树营街道土堆村（</w:t>
      </w:r>
      <w:r>
        <w:rPr>
          <w:rFonts w:hint="eastAsia" w:eastAsia="仿宋_GB2312"/>
          <w:sz w:val="32"/>
          <w:szCs w:val="32"/>
          <w:lang w:val="en-US" w:eastAsia="zh-CN"/>
        </w:rPr>
        <w:t>4号片区三期</w:t>
      </w:r>
      <w:r>
        <w:rPr>
          <w:rFonts w:hint="eastAsia" w:eastAsia="仿宋_GB2312"/>
          <w:sz w:val="32"/>
          <w:szCs w:val="32"/>
          <w:lang w:eastAsia="zh-CN"/>
        </w:rPr>
        <w:t>）</w:t>
      </w:r>
      <w:r>
        <w:rPr>
          <w:rFonts w:eastAsia="仿宋_GB2312"/>
          <w:sz w:val="32"/>
          <w:szCs w:val="32"/>
          <w:lang w:eastAsia="zh-Hans"/>
        </w:rPr>
        <w:t>城中村改造项目位于昆明市西山区人民政府棕树营街道办事处</w:t>
      </w:r>
      <w:r>
        <w:rPr>
          <w:rFonts w:eastAsia="仿宋_GB2312"/>
          <w:sz w:val="32"/>
          <w:szCs w:val="32"/>
        </w:rPr>
        <w:t>土堆</w:t>
      </w:r>
      <w:r>
        <w:rPr>
          <w:rFonts w:eastAsia="仿宋_GB2312"/>
          <w:sz w:val="32"/>
          <w:szCs w:val="32"/>
          <w:lang w:eastAsia="zh-Hans"/>
        </w:rPr>
        <w:t>社区，是</w:t>
      </w:r>
      <w:r>
        <w:rPr>
          <w:rFonts w:hint="eastAsia" w:eastAsia="仿宋_GB2312"/>
          <w:sz w:val="32"/>
          <w:szCs w:val="32"/>
          <w:lang w:eastAsia="zh-CN"/>
        </w:rPr>
        <w:t>昆明</w:t>
      </w:r>
      <w:r>
        <w:rPr>
          <w:rFonts w:eastAsia="仿宋_GB2312"/>
          <w:sz w:val="32"/>
          <w:szCs w:val="32"/>
          <w:lang w:eastAsia="zh-Hans"/>
        </w:rPr>
        <w:t>市推进城乡一体化建设城中村改造的最早重点工程。为促进片区经济发展，完善地区功能及城市基础配套设施，改善居住环境及居住条件，提升地区形象，</w:t>
      </w:r>
      <w:r>
        <w:rPr>
          <w:rFonts w:eastAsia="仿宋_GB2312"/>
          <w:sz w:val="32"/>
          <w:szCs w:val="32"/>
        </w:rPr>
        <w:t>结合烂尾楼项目清理整治工作要求</w:t>
      </w:r>
      <w:r>
        <w:rPr>
          <w:rFonts w:eastAsia="仿宋_GB2312"/>
          <w:sz w:val="32"/>
          <w:szCs w:val="32"/>
          <w:lang w:eastAsia="zh-Hans"/>
        </w:rPr>
        <w:t>，</w:t>
      </w:r>
      <w:r>
        <w:rPr>
          <w:rFonts w:hint="eastAsia" w:eastAsia="仿宋_GB2312"/>
          <w:sz w:val="32"/>
          <w:szCs w:val="32"/>
          <w:lang w:val="en-US" w:eastAsia="zh-CN"/>
        </w:rPr>
        <w:t>加快回迁安置房建设，</w:t>
      </w:r>
      <w:r>
        <w:rPr>
          <w:rFonts w:eastAsia="仿宋_GB2312"/>
          <w:sz w:val="32"/>
          <w:szCs w:val="32"/>
          <w:lang w:eastAsia="zh-Hans"/>
        </w:rPr>
        <w:t>同时保护征收当事人的合法权益，保障西山区</w:t>
      </w:r>
      <w:r>
        <w:rPr>
          <w:rFonts w:hint="eastAsia" w:eastAsia="仿宋_GB2312"/>
          <w:sz w:val="32"/>
          <w:szCs w:val="32"/>
          <w:lang w:eastAsia="zh-CN"/>
        </w:rPr>
        <w:t>棕树营街道土堆村（</w:t>
      </w:r>
      <w:r>
        <w:rPr>
          <w:rFonts w:hint="eastAsia" w:eastAsia="仿宋_GB2312"/>
          <w:sz w:val="32"/>
          <w:szCs w:val="32"/>
          <w:lang w:val="en-US" w:eastAsia="zh-CN"/>
        </w:rPr>
        <w:t>4号片区三期</w:t>
      </w:r>
      <w:r>
        <w:rPr>
          <w:rFonts w:hint="eastAsia" w:eastAsia="仿宋_GB2312"/>
          <w:sz w:val="32"/>
          <w:szCs w:val="32"/>
          <w:lang w:eastAsia="zh-CN"/>
        </w:rPr>
        <w:t>）</w:t>
      </w:r>
      <w:r>
        <w:rPr>
          <w:rFonts w:eastAsia="仿宋_GB2312"/>
          <w:sz w:val="32"/>
          <w:szCs w:val="32"/>
          <w:lang w:eastAsia="zh-Hans"/>
        </w:rPr>
        <w:t>城中村改造项目国有土地上房屋征收补偿工作的顺利推进，根据《中华人民共和国城乡规划法》</w:t>
      </w:r>
      <w:r>
        <w:rPr>
          <w:rFonts w:hint="eastAsia" w:eastAsia="仿宋_GB2312"/>
          <w:sz w:val="32"/>
          <w:szCs w:val="32"/>
          <w:lang w:eastAsia="zh-CN"/>
        </w:rPr>
        <w:t>、</w:t>
      </w:r>
      <w:r>
        <w:rPr>
          <w:rFonts w:eastAsia="仿宋_GB2312"/>
          <w:sz w:val="32"/>
          <w:szCs w:val="32"/>
          <w:lang w:eastAsia="zh-Hans"/>
        </w:rPr>
        <w:t>《中华人民共和国土地管理法》</w:t>
      </w:r>
      <w:r>
        <w:rPr>
          <w:rFonts w:hint="eastAsia" w:eastAsia="仿宋_GB2312"/>
          <w:sz w:val="32"/>
          <w:szCs w:val="32"/>
          <w:lang w:eastAsia="zh-CN"/>
        </w:rPr>
        <w:t>、</w:t>
      </w:r>
      <w:r>
        <w:rPr>
          <w:rFonts w:eastAsia="仿宋_GB2312"/>
          <w:sz w:val="32"/>
          <w:szCs w:val="32"/>
          <w:lang w:eastAsia="zh-Hans"/>
        </w:rPr>
        <w:t>《中华人民共和国民法典》</w:t>
      </w:r>
      <w:r>
        <w:rPr>
          <w:rFonts w:hint="eastAsia" w:eastAsia="仿宋_GB2312"/>
          <w:sz w:val="32"/>
          <w:szCs w:val="32"/>
          <w:lang w:eastAsia="zh-CN"/>
        </w:rPr>
        <w:t>、</w:t>
      </w:r>
      <w:r>
        <w:rPr>
          <w:rFonts w:eastAsia="仿宋_GB2312"/>
          <w:sz w:val="32"/>
          <w:szCs w:val="32"/>
          <w:lang w:eastAsia="zh-Hans"/>
        </w:rPr>
        <w:t>《国有土地上房屋征收与补偿条例》（国务院令第590号）、《住房和城乡建设部关于印发&lt;国有土地上房屋征收评估办法&gt;的通知》（建房〔2011〕77号）、《云南省国有土地上房屋征收与补偿办法》（云南省人民政府令第195号）、《昆明市人民政府办公厅关于印发昆明市国有土地上房屋征收与补偿指导意见的通知》（昆政办〔2015〕104号）等相关法律、法规、规章和政策的规定，结合西山区</w:t>
      </w:r>
      <w:r>
        <w:rPr>
          <w:rFonts w:hint="eastAsia" w:eastAsia="仿宋_GB2312"/>
          <w:sz w:val="32"/>
          <w:szCs w:val="32"/>
          <w:lang w:eastAsia="zh-CN"/>
        </w:rPr>
        <w:t>棕树营街道土堆村（</w:t>
      </w:r>
      <w:r>
        <w:rPr>
          <w:rFonts w:hint="eastAsia" w:eastAsia="仿宋_GB2312"/>
          <w:sz w:val="32"/>
          <w:szCs w:val="32"/>
          <w:lang w:val="en-US" w:eastAsia="zh-CN"/>
        </w:rPr>
        <w:t>4号片区三期</w:t>
      </w:r>
      <w:r>
        <w:rPr>
          <w:rFonts w:hint="eastAsia" w:eastAsia="仿宋_GB2312"/>
          <w:sz w:val="32"/>
          <w:szCs w:val="32"/>
          <w:lang w:eastAsia="zh-CN"/>
        </w:rPr>
        <w:t>）</w:t>
      </w:r>
      <w:r>
        <w:rPr>
          <w:rFonts w:eastAsia="仿宋_GB2312"/>
          <w:sz w:val="32"/>
          <w:szCs w:val="32"/>
          <w:lang w:eastAsia="zh-Hans"/>
        </w:rPr>
        <w:t>城中村改造项目国有土地上房屋的实际情况，经昆明市西山区人民政府研究决定，对西山区</w:t>
      </w:r>
      <w:r>
        <w:rPr>
          <w:rFonts w:hint="eastAsia" w:eastAsia="仿宋_GB2312"/>
          <w:sz w:val="32"/>
          <w:szCs w:val="32"/>
          <w:lang w:eastAsia="zh-CN"/>
        </w:rPr>
        <w:t>棕树营街道土堆村（</w:t>
      </w:r>
      <w:r>
        <w:rPr>
          <w:rFonts w:hint="eastAsia" w:eastAsia="仿宋_GB2312"/>
          <w:sz w:val="32"/>
          <w:szCs w:val="32"/>
          <w:lang w:val="en-US" w:eastAsia="zh-CN"/>
        </w:rPr>
        <w:t>4号片区三期</w:t>
      </w:r>
      <w:r>
        <w:rPr>
          <w:rFonts w:hint="eastAsia" w:eastAsia="仿宋_GB2312"/>
          <w:sz w:val="32"/>
          <w:szCs w:val="32"/>
          <w:lang w:eastAsia="zh-CN"/>
        </w:rPr>
        <w:t>）</w:t>
      </w:r>
      <w:r>
        <w:rPr>
          <w:rFonts w:eastAsia="仿宋_GB2312"/>
          <w:sz w:val="32"/>
          <w:szCs w:val="32"/>
          <w:lang w:eastAsia="zh-Hans"/>
        </w:rPr>
        <w:t>城中村改造项目国有土地上房屋实施征收，国有土地使用权收回并给予补偿。现结合项目实际情况，制定本征收补偿实施方案。</w:t>
      </w:r>
    </w:p>
    <w:p>
      <w:pPr>
        <w:spacing w:line="582" w:lineRule="exact"/>
        <w:ind w:firstLine="640" w:firstLineChars="200"/>
        <w:rPr>
          <w:rFonts w:eastAsia="黑体"/>
          <w:bCs/>
          <w:sz w:val="32"/>
          <w:szCs w:val="32"/>
        </w:rPr>
      </w:pPr>
      <w:r>
        <w:rPr>
          <w:rFonts w:eastAsia="黑体"/>
          <w:bCs/>
          <w:sz w:val="32"/>
          <w:szCs w:val="32"/>
        </w:rPr>
        <w:t>一、征收目的、原则及批准文件</w:t>
      </w:r>
    </w:p>
    <w:p>
      <w:pPr>
        <w:spacing w:line="582" w:lineRule="exact"/>
        <w:ind w:firstLine="640" w:firstLineChars="200"/>
        <w:rPr>
          <w:rFonts w:eastAsia="楷体_GB2312"/>
          <w:kern w:val="1"/>
          <w:sz w:val="32"/>
          <w:szCs w:val="32"/>
        </w:rPr>
      </w:pPr>
      <w:r>
        <w:rPr>
          <w:rFonts w:eastAsia="楷体_GB2312"/>
          <w:kern w:val="1"/>
          <w:sz w:val="32"/>
          <w:szCs w:val="32"/>
        </w:rPr>
        <w:t>（一）征收目的</w:t>
      </w:r>
    </w:p>
    <w:p>
      <w:pPr>
        <w:spacing w:line="582" w:lineRule="exact"/>
        <w:ind w:firstLine="640" w:firstLineChars="200"/>
        <w:rPr>
          <w:rFonts w:eastAsia="仿宋_GB2312"/>
          <w:kern w:val="1"/>
          <w:sz w:val="32"/>
          <w:szCs w:val="32"/>
        </w:rPr>
      </w:pPr>
      <w:r>
        <w:rPr>
          <w:rFonts w:ascii="Times New Roman" w:hAnsi="Times New Roman" w:eastAsia="仿宋_GB2312" w:cs="Times New Roman"/>
          <w:color w:val="auto"/>
          <w:sz w:val="32"/>
          <w:szCs w:val="32"/>
          <w:highlight w:val="none"/>
          <w:lang w:eastAsia="zh-Hans"/>
        </w:rPr>
        <w:t>西山区</w:t>
      </w:r>
      <w:r>
        <w:rPr>
          <w:rFonts w:hint="eastAsia" w:ascii="Times New Roman" w:hAnsi="Times New Roman" w:eastAsia="仿宋_GB2312" w:cs="Times New Roman"/>
          <w:color w:val="auto"/>
          <w:sz w:val="32"/>
          <w:szCs w:val="32"/>
          <w:highlight w:val="none"/>
          <w:lang w:eastAsia="zh-CN"/>
        </w:rPr>
        <w:t>棕树营街道土堆村（</w:t>
      </w:r>
      <w:r>
        <w:rPr>
          <w:rFonts w:hint="eastAsia" w:ascii="Times New Roman" w:hAnsi="Times New Roman" w:eastAsia="仿宋_GB2312" w:cs="Times New Roman"/>
          <w:color w:val="auto"/>
          <w:sz w:val="32"/>
          <w:szCs w:val="32"/>
          <w:highlight w:val="none"/>
          <w:lang w:val="en-US" w:eastAsia="zh-CN"/>
        </w:rPr>
        <w:t>4号片区三期</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eastAsia="zh-Hans"/>
        </w:rPr>
        <w:t>城中村改造项目</w:t>
      </w:r>
      <w:r>
        <w:rPr>
          <w:rFonts w:ascii="Times New Roman" w:hAnsi="Times New Roman" w:eastAsia="仿宋_GB2312"/>
          <w:color w:val="auto"/>
          <w:kern w:val="1"/>
          <w:sz w:val="32"/>
          <w:szCs w:val="32"/>
          <w:highlight w:val="none"/>
        </w:rPr>
        <w:t>是</w:t>
      </w:r>
      <w:r>
        <w:rPr>
          <w:rFonts w:ascii="Times New Roman" w:hAnsi="Times New Roman" w:eastAsia="仿宋_GB2312"/>
          <w:color w:val="auto"/>
          <w:kern w:val="1"/>
          <w:sz w:val="32"/>
          <w:szCs w:val="32"/>
          <w:highlight w:val="none"/>
          <w:lang w:eastAsia="zh-Hans"/>
        </w:rPr>
        <w:t>昆明</w:t>
      </w:r>
      <w:r>
        <w:rPr>
          <w:rFonts w:ascii="Times New Roman" w:hAnsi="Times New Roman" w:eastAsia="仿宋_GB2312"/>
          <w:color w:val="auto"/>
          <w:kern w:val="1"/>
          <w:sz w:val="32"/>
          <w:szCs w:val="32"/>
          <w:highlight w:val="none"/>
        </w:rPr>
        <w:t>市推进城乡一体化建设城中村改造的最早重点工程</w:t>
      </w:r>
      <w:r>
        <w:rPr>
          <w:rFonts w:ascii="Times New Roman" w:hAnsi="Times New Roman" w:eastAsia="仿宋_GB2312"/>
          <w:color w:val="auto"/>
          <w:kern w:val="1"/>
          <w:sz w:val="32"/>
          <w:szCs w:val="32"/>
          <w:highlight w:val="none"/>
          <w:lang w:eastAsia="zh-Hans"/>
        </w:rPr>
        <w:t>，</w:t>
      </w:r>
      <w:r>
        <w:rPr>
          <w:rFonts w:ascii="Times New Roman" w:hAnsi="Times New Roman" w:eastAsia="仿宋_GB2312"/>
          <w:color w:val="auto"/>
          <w:kern w:val="1"/>
          <w:sz w:val="32"/>
          <w:szCs w:val="32"/>
          <w:highlight w:val="none"/>
        </w:rPr>
        <w:t>为促进片区经济发展，完善地区功能及城市基础配套设施，改善居住环境及居住条件，提升地区形象，确保202</w:t>
      </w:r>
      <w:r>
        <w:rPr>
          <w:rFonts w:hint="eastAsia" w:ascii="Times New Roman" w:hAnsi="Times New Roman" w:eastAsia="仿宋_GB2312"/>
          <w:color w:val="auto"/>
          <w:kern w:val="1"/>
          <w:sz w:val="32"/>
          <w:szCs w:val="32"/>
          <w:highlight w:val="none"/>
          <w:lang w:val="en-US" w:eastAsia="zh-CN"/>
        </w:rPr>
        <w:t>4</w:t>
      </w:r>
      <w:r>
        <w:rPr>
          <w:rFonts w:ascii="Times New Roman" w:hAnsi="Times New Roman" w:eastAsia="仿宋_GB2312"/>
          <w:color w:val="auto"/>
          <w:kern w:val="1"/>
          <w:sz w:val="32"/>
          <w:szCs w:val="32"/>
          <w:highlight w:val="none"/>
          <w:lang w:eastAsia="zh-Hans"/>
        </w:rPr>
        <w:t>年</w:t>
      </w:r>
      <w:r>
        <w:rPr>
          <w:rFonts w:ascii="Times New Roman" w:hAnsi="Times New Roman" w:eastAsia="仿宋_GB2312"/>
          <w:color w:val="auto"/>
          <w:kern w:val="1"/>
          <w:sz w:val="32"/>
          <w:szCs w:val="32"/>
          <w:highlight w:val="none"/>
        </w:rPr>
        <w:t>6月底前实现烂尾楼项目复工复产任务清零</w:t>
      </w:r>
      <w:r>
        <w:rPr>
          <w:rFonts w:ascii="Times New Roman" w:hAnsi="Times New Roman" w:eastAsia="仿宋_GB2312"/>
          <w:color w:val="auto"/>
          <w:kern w:val="1"/>
          <w:sz w:val="32"/>
          <w:szCs w:val="32"/>
          <w:highlight w:val="none"/>
          <w:lang w:eastAsia="zh-Hans"/>
        </w:rPr>
        <w:t>，</w:t>
      </w:r>
      <w:r>
        <w:rPr>
          <w:rFonts w:ascii="Times New Roman" w:hAnsi="Times New Roman" w:eastAsia="仿宋_GB2312"/>
          <w:color w:val="auto"/>
          <w:kern w:val="1"/>
          <w:sz w:val="32"/>
          <w:szCs w:val="32"/>
          <w:highlight w:val="none"/>
        </w:rPr>
        <w:t>需对</w:t>
      </w:r>
      <w:r>
        <w:rPr>
          <w:rFonts w:ascii="Times New Roman" w:hAnsi="Times New Roman" w:eastAsia="仿宋_GB2312" w:cs="Times New Roman"/>
          <w:color w:val="auto"/>
          <w:sz w:val="32"/>
          <w:szCs w:val="32"/>
          <w:highlight w:val="none"/>
          <w:lang w:eastAsia="zh-Hans"/>
        </w:rPr>
        <w:t>西山区</w:t>
      </w:r>
      <w:r>
        <w:rPr>
          <w:rFonts w:hint="eastAsia" w:ascii="Times New Roman" w:hAnsi="Times New Roman" w:eastAsia="仿宋_GB2312" w:cs="Times New Roman"/>
          <w:color w:val="auto"/>
          <w:sz w:val="32"/>
          <w:szCs w:val="32"/>
          <w:highlight w:val="none"/>
          <w:lang w:eastAsia="zh-CN"/>
        </w:rPr>
        <w:t>棕树营街道土堆村（</w:t>
      </w:r>
      <w:r>
        <w:rPr>
          <w:rFonts w:hint="eastAsia" w:ascii="Times New Roman" w:hAnsi="Times New Roman" w:eastAsia="仿宋_GB2312" w:cs="Times New Roman"/>
          <w:color w:val="auto"/>
          <w:sz w:val="32"/>
          <w:szCs w:val="32"/>
          <w:highlight w:val="none"/>
          <w:lang w:val="en-US" w:eastAsia="zh-CN"/>
        </w:rPr>
        <w:t>4号片区三期</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eastAsia="zh-Hans"/>
        </w:rPr>
        <w:t>城中村改造项目</w:t>
      </w:r>
      <w:r>
        <w:rPr>
          <w:rFonts w:ascii="Times New Roman" w:hAnsi="Times New Roman" w:eastAsia="仿宋_GB2312"/>
          <w:color w:val="auto"/>
          <w:kern w:val="1"/>
          <w:sz w:val="32"/>
          <w:szCs w:val="32"/>
          <w:highlight w:val="none"/>
        </w:rPr>
        <w:t>范围内的国有土地上房屋进行征收、国有土地使用权同时予以收回。</w:t>
      </w:r>
    </w:p>
    <w:p>
      <w:pPr>
        <w:spacing w:line="582" w:lineRule="exact"/>
        <w:ind w:firstLine="640" w:firstLineChars="200"/>
        <w:rPr>
          <w:rFonts w:eastAsia="楷体_GB2312"/>
          <w:kern w:val="1"/>
          <w:sz w:val="32"/>
          <w:szCs w:val="32"/>
        </w:rPr>
      </w:pPr>
      <w:r>
        <w:rPr>
          <w:rFonts w:eastAsia="楷体_GB2312"/>
          <w:kern w:val="1"/>
          <w:sz w:val="32"/>
          <w:szCs w:val="32"/>
        </w:rPr>
        <w:t>（二）征收原则</w:t>
      </w:r>
    </w:p>
    <w:p>
      <w:pPr>
        <w:spacing w:line="582" w:lineRule="exact"/>
        <w:ind w:firstLine="640" w:firstLineChars="200"/>
        <w:rPr>
          <w:rFonts w:eastAsia="仿宋_GB2312"/>
          <w:kern w:val="1"/>
          <w:sz w:val="32"/>
          <w:szCs w:val="32"/>
        </w:rPr>
      </w:pPr>
      <w:r>
        <w:rPr>
          <w:rFonts w:eastAsia="仿宋_GB2312"/>
          <w:kern w:val="1"/>
          <w:sz w:val="32"/>
          <w:szCs w:val="32"/>
        </w:rPr>
        <w:t>本次征收遵循</w:t>
      </w:r>
      <w:r>
        <w:rPr>
          <w:rFonts w:hint="eastAsia" w:ascii="仿宋_GB2312" w:eastAsia="仿宋_GB2312"/>
          <w:kern w:val="1"/>
          <w:sz w:val="32"/>
          <w:szCs w:val="32"/>
        </w:rPr>
        <w:t>“</w:t>
      </w:r>
      <w:r>
        <w:rPr>
          <w:rFonts w:eastAsia="仿宋_GB2312"/>
          <w:kern w:val="1"/>
          <w:sz w:val="32"/>
          <w:szCs w:val="32"/>
        </w:rPr>
        <w:t>公平补偿、决策民主、程序正当、结果公开</w:t>
      </w:r>
      <w:r>
        <w:rPr>
          <w:rFonts w:hint="eastAsia" w:ascii="仿宋_GB2312" w:eastAsia="仿宋_GB2312"/>
          <w:kern w:val="1"/>
          <w:sz w:val="32"/>
          <w:szCs w:val="32"/>
        </w:rPr>
        <w:t>”</w:t>
      </w:r>
      <w:r>
        <w:rPr>
          <w:rFonts w:eastAsia="仿宋_GB2312"/>
          <w:kern w:val="1"/>
          <w:sz w:val="32"/>
          <w:szCs w:val="32"/>
        </w:rPr>
        <w:t>的原则。</w:t>
      </w:r>
    </w:p>
    <w:p>
      <w:pPr>
        <w:spacing w:line="582" w:lineRule="exact"/>
        <w:ind w:firstLine="640" w:firstLineChars="200"/>
        <w:rPr>
          <w:rFonts w:eastAsia="楷体_GB2312"/>
          <w:kern w:val="1"/>
          <w:sz w:val="32"/>
          <w:szCs w:val="32"/>
        </w:rPr>
      </w:pPr>
      <w:r>
        <w:rPr>
          <w:rFonts w:eastAsia="楷体_GB2312"/>
          <w:kern w:val="1"/>
          <w:sz w:val="32"/>
          <w:szCs w:val="32"/>
        </w:rPr>
        <w:t>（三）批准文件</w:t>
      </w:r>
    </w:p>
    <w:p>
      <w:pPr>
        <w:spacing w:line="582" w:lineRule="exact"/>
        <w:ind w:firstLine="640" w:firstLineChars="200"/>
        <w:rPr>
          <w:rFonts w:eastAsia="仿宋_GB2312"/>
          <w:sz w:val="32"/>
          <w:szCs w:val="32"/>
        </w:rPr>
      </w:pPr>
      <w:r>
        <w:rPr>
          <w:rFonts w:eastAsia="仿宋_GB2312"/>
          <w:kern w:val="1"/>
          <w:sz w:val="32"/>
          <w:szCs w:val="32"/>
        </w:rPr>
        <w:t>本项目征收符合《国有土地上房屋征收与补偿条例》（国务院令第590号）、《云南省国有土地上房屋征收与补偿办法》（云南省人民政府令第195号）》的相关规定，符合公共利益需要，符合国民经济和社会发展规划、土地利用总体规划、城乡规划和专项规划，纳入国民经济和社会发展年度计划。</w:t>
      </w:r>
    </w:p>
    <w:p>
      <w:pPr>
        <w:spacing w:line="582" w:lineRule="exact"/>
        <w:ind w:firstLine="640" w:firstLineChars="200"/>
        <w:rPr>
          <w:rFonts w:eastAsia="黑体"/>
          <w:bCs/>
          <w:sz w:val="32"/>
          <w:szCs w:val="32"/>
        </w:rPr>
      </w:pPr>
      <w:r>
        <w:rPr>
          <w:rFonts w:eastAsia="黑体"/>
          <w:bCs/>
          <w:sz w:val="32"/>
          <w:szCs w:val="32"/>
        </w:rPr>
        <w:t>二、征收范围及期限</w:t>
      </w:r>
    </w:p>
    <w:p>
      <w:pPr>
        <w:spacing w:line="582" w:lineRule="exact"/>
        <w:ind w:firstLine="640" w:firstLineChars="200"/>
        <w:rPr>
          <w:rFonts w:eastAsia="楷体_GB2312"/>
          <w:bCs/>
          <w:sz w:val="32"/>
          <w:szCs w:val="32"/>
        </w:rPr>
      </w:pPr>
      <w:r>
        <w:rPr>
          <w:rFonts w:eastAsia="楷体_GB2312"/>
          <w:bCs/>
          <w:sz w:val="32"/>
          <w:szCs w:val="32"/>
        </w:rPr>
        <w:t>（一）征收范围</w:t>
      </w:r>
    </w:p>
    <w:p>
      <w:pPr>
        <w:spacing w:line="582" w:lineRule="exact"/>
        <w:ind w:firstLine="640" w:firstLineChars="200"/>
        <w:rPr>
          <w:rFonts w:eastAsia="仿宋_GB2312"/>
          <w:bCs/>
          <w:sz w:val="32"/>
          <w:szCs w:val="32"/>
        </w:rPr>
      </w:pPr>
      <w:r>
        <w:rPr>
          <w:rFonts w:eastAsia="仿宋_GB2312"/>
          <w:sz w:val="32"/>
          <w:szCs w:val="32"/>
        </w:rPr>
        <w:t>西山区棕树营街道土堆村（4号片区三期）城中村改造项目</w:t>
      </w:r>
      <w:r>
        <w:rPr>
          <w:rFonts w:eastAsia="仿宋_GB2312"/>
          <w:kern w:val="1"/>
          <w:sz w:val="32"/>
          <w:szCs w:val="32"/>
        </w:rPr>
        <w:t>位于昆明市西山区人民政府棕树营街道办事处土堆社区城中村改造三期范围内的国有土地地上房屋（四至和用地面积最终以规划审批和土地勘测定界为准）。</w:t>
      </w:r>
    </w:p>
    <w:p>
      <w:pPr>
        <w:spacing w:line="582" w:lineRule="exact"/>
        <w:ind w:firstLine="640" w:firstLineChars="200"/>
        <w:rPr>
          <w:rFonts w:eastAsia="楷体_GB2312"/>
          <w:bCs/>
          <w:sz w:val="32"/>
          <w:szCs w:val="32"/>
        </w:rPr>
      </w:pPr>
      <w:r>
        <w:rPr>
          <w:rFonts w:eastAsia="楷体_GB2312"/>
          <w:bCs/>
          <w:sz w:val="32"/>
          <w:szCs w:val="32"/>
        </w:rPr>
        <w:t>（二）征收期限和奖励时段</w:t>
      </w:r>
    </w:p>
    <w:p>
      <w:pPr>
        <w:spacing w:line="582" w:lineRule="exact"/>
        <w:ind w:firstLine="640" w:firstLineChars="200"/>
        <w:rPr>
          <w:rFonts w:eastAsia="仿宋_GB2312"/>
          <w:kern w:val="1"/>
          <w:sz w:val="32"/>
          <w:szCs w:val="32"/>
        </w:rPr>
      </w:pPr>
      <w:r>
        <w:rPr>
          <w:rFonts w:eastAsia="仿宋_GB2312"/>
          <w:kern w:val="1"/>
          <w:sz w:val="32"/>
          <w:szCs w:val="32"/>
        </w:rPr>
        <w:t>1</w:t>
      </w:r>
      <w:r>
        <w:rPr>
          <w:rFonts w:hint="eastAsia" w:eastAsia="仿宋_GB2312"/>
          <w:kern w:val="1"/>
          <w:sz w:val="32"/>
          <w:szCs w:val="32"/>
        </w:rPr>
        <w:t>．</w:t>
      </w:r>
      <w:r>
        <w:rPr>
          <w:rFonts w:eastAsia="仿宋_GB2312"/>
          <w:kern w:val="1"/>
          <w:sz w:val="32"/>
          <w:szCs w:val="32"/>
        </w:rPr>
        <w:t>征收期限</w:t>
      </w:r>
    </w:p>
    <w:p>
      <w:pPr>
        <w:spacing w:line="582" w:lineRule="exact"/>
        <w:ind w:firstLine="640" w:firstLineChars="200"/>
        <w:rPr>
          <w:rFonts w:hint="eastAsia" w:eastAsia="仿宋_GB2312"/>
          <w:kern w:val="1"/>
          <w:sz w:val="32"/>
          <w:szCs w:val="32"/>
          <w:lang w:eastAsia="zh-CN"/>
        </w:rPr>
      </w:pPr>
      <w:r>
        <w:rPr>
          <w:rFonts w:eastAsia="仿宋_GB2312"/>
          <w:kern w:val="1"/>
          <w:sz w:val="32"/>
          <w:szCs w:val="32"/>
        </w:rPr>
        <w:t>自本项目房屋征收决定（以下简称</w:t>
      </w:r>
      <w:r>
        <w:rPr>
          <w:rFonts w:hint="eastAsia" w:ascii="仿宋_GB2312" w:eastAsia="仿宋_GB2312"/>
          <w:kern w:val="1"/>
          <w:sz w:val="32"/>
          <w:szCs w:val="32"/>
        </w:rPr>
        <w:t>“</w:t>
      </w:r>
      <w:r>
        <w:rPr>
          <w:rFonts w:eastAsia="仿宋_GB2312"/>
          <w:kern w:val="1"/>
          <w:sz w:val="32"/>
          <w:szCs w:val="32"/>
        </w:rPr>
        <w:t>房屋征收决定</w:t>
      </w:r>
      <w:r>
        <w:rPr>
          <w:rFonts w:hint="eastAsia" w:ascii="仿宋_GB2312" w:eastAsia="仿宋_GB2312"/>
          <w:kern w:val="1"/>
          <w:sz w:val="32"/>
          <w:szCs w:val="32"/>
        </w:rPr>
        <w:t>”</w:t>
      </w:r>
      <w:r>
        <w:rPr>
          <w:rFonts w:eastAsia="仿宋_GB2312"/>
          <w:kern w:val="1"/>
          <w:sz w:val="32"/>
          <w:szCs w:val="32"/>
        </w:rPr>
        <w:t>）公告之日起至</w:t>
      </w:r>
      <w:r>
        <w:rPr>
          <w:rFonts w:hint="eastAsia" w:eastAsia="仿宋_GB2312"/>
          <w:kern w:val="1"/>
          <w:sz w:val="32"/>
          <w:szCs w:val="32"/>
          <w:lang w:eastAsia="zh-CN"/>
        </w:rPr>
        <w:t>项目征收完成之日止。</w:t>
      </w:r>
    </w:p>
    <w:p>
      <w:pPr>
        <w:spacing w:line="582" w:lineRule="exact"/>
        <w:ind w:firstLine="640" w:firstLineChars="200"/>
        <w:rPr>
          <w:rFonts w:eastAsia="仿宋_GB2312"/>
          <w:kern w:val="1"/>
          <w:sz w:val="32"/>
          <w:szCs w:val="32"/>
        </w:rPr>
      </w:pPr>
      <w:r>
        <w:rPr>
          <w:rFonts w:eastAsia="仿宋_GB2312"/>
          <w:kern w:val="1"/>
          <w:sz w:val="32"/>
          <w:szCs w:val="32"/>
        </w:rPr>
        <w:t>2</w:t>
      </w:r>
      <w:r>
        <w:rPr>
          <w:rFonts w:hint="eastAsia" w:eastAsia="仿宋_GB2312"/>
          <w:kern w:val="1"/>
          <w:sz w:val="32"/>
          <w:szCs w:val="32"/>
        </w:rPr>
        <w:t>．</w:t>
      </w:r>
      <w:r>
        <w:rPr>
          <w:rFonts w:eastAsia="仿宋_GB2312"/>
          <w:kern w:val="1"/>
          <w:sz w:val="32"/>
          <w:szCs w:val="32"/>
        </w:rPr>
        <w:t>奖励时段</w:t>
      </w:r>
    </w:p>
    <w:p>
      <w:pPr>
        <w:spacing w:line="582" w:lineRule="exact"/>
        <w:ind w:firstLine="640" w:firstLineChars="200"/>
        <w:rPr>
          <w:rFonts w:eastAsia="仿宋_GB2312"/>
          <w:kern w:val="1"/>
          <w:sz w:val="32"/>
          <w:szCs w:val="32"/>
        </w:rPr>
      </w:pPr>
      <w:r>
        <w:rPr>
          <w:rFonts w:eastAsia="仿宋_GB2312"/>
          <w:kern w:val="1"/>
          <w:sz w:val="32"/>
          <w:szCs w:val="32"/>
        </w:rPr>
        <w:t>在征收期限内设置两个奖励时段，在不同的奖励时段内签订征收补偿安置协议并完成搬迁的给予不同标准的奖励、优惠，具体奖励时段为:</w:t>
      </w:r>
    </w:p>
    <w:p>
      <w:pPr>
        <w:spacing w:line="582" w:lineRule="exact"/>
        <w:ind w:firstLine="640" w:firstLineChars="200"/>
        <w:rPr>
          <w:rFonts w:eastAsia="仿宋_GB2312"/>
          <w:kern w:val="1"/>
          <w:sz w:val="32"/>
          <w:szCs w:val="32"/>
        </w:rPr>
      </w:pPr>
      <w:r>
        <w:rPr>
          <w:rFonts w:eastAsia="仿宋_GB2312"/>
          <w:kern w:val="1"/>
          <w:sz w:val="32"/>
          <w:szCs w:val="32"/>
        </w:rPr>
        <w:t>第一奖励时段：自房屋征收决定公告发布之日起第1日至第15日，共15日；</w:t>
      </w:r>
    </w:p>
    <w:p>
      <w:pPr>
        <w:spacing w:line="582" w:lineRule="exact"/>
        <w:ind w:firstLine="640" w:firstLineChars="200"/>
        <w:rPr>
          <w:rFonts w:eastAsia="仿宋_GB2312"/>
          <w:kern w:val="1"/>
          <w:sz w:val="32"/>
          <w:szCs w:val="32"/>
        </w:rPr>
      </w:pPr>
      <w:r>
        <w:rPr>
          <w:rFonts w:eastAsia="仿宋_GB2312"/>
          <w:kern w:val="1"/>
          <w:sz w:val="32"/>
          <w:szCs w:val="32"/>
        </w:rPr>
        <w:t>第二奖励时段：自房屋征收决定公告发布之日起第16日至第30日，共15日；</w:t>
      </w:r>
    </w:p>
    <w:p>
      <w:pPr>
        <w:spacing w:line="582" w:lineRule="exact"/>
        <w:ind w:firstLine="640" w:firstLineChars="200"/>
        <w:rPr>
          <w:rFonts w:eastAsia="仿宋_GB2312"/>
          <w:kern w:val="1"/>
          <w:sz w:val="32"/>
          <w:szCs w:val="32"/>
        </w:rPr>
      </w:pPr>
      <w:r>
        <w:rPr>
          <w:rFonts w:eastAsia="仿宋_GB2312"/>
          <w:kern w:val="1"/>
          <w:sz w:val="32"/>
          <w:szCs w:val="32"/>
        </w:rPr>
        <w:t>奖励时段届满未签订征收补偿安置协议完成签约并搬迁的不予以奖励、补贴和优惠。</w:t>
      </w:r>
    </w:p>
    <w:p>
      <w:pPr>
        <w:spacing w:line="582" w:lineRule="exact"/>
        <w:ind w:firstLine="640" w:firstLineChars="200"/>
        <w:rPr>
          <w:rFonts w:eastAsia="黑体"/>
          <w:bCs/>
          <w:sz w:val="32"/>
          <w:szCs w:val="32"/>
        </w:rPr>
      </w:pPr>
      <w:r>
        <w:rPr>
          <w:rFonts w:eastAsia="黑体"/>
          <w:bCs/>
          <w:sz w:val="32"/>
          <w:szCs w:val="32"/>
        </w:rPr>
        <w:t>三、征收主体、征收部门、征收实施单位</w:t>
      </w:r>
    </w:p>
    <w:p>
      <w:pPr>
        <w:spacing w:line="582" w:lineRule="exact"/>
        <w:ind w:firstLine="640" w:firstLineChars="200"/>
        <w:rPr>
          <w:rFonts w:eastAsia="仿宋_GB2312"/>
          <w:sz w:val="32"/>
          <w:szCs w:val="32"/>
        </w:rPr>
      </w:pPr>
      <w:r>
        <w:rPr>
          <w:rFonts w:eastAsia="仿宋_GB2312"/>
          <w:sz w:val="32"/>
          <w:szCs w:val="32"/>
        </w:rPr>
        <w:t>房屋征收主体为昆明市西山区人民政府，房屋征收部门为昆明市西山区城市更新改造局、昆明市西山区自然资源局，西山区自然资源局负责办理征收范围内国有土地使用权收回、权证注销工作，征收实施单位为西山区人民政府棕树营街道办事处。</w:t>
      </w:r>
    </w:p>
    <w:p>
      <w:pPr>
        <w:spacing w:line="582" w:lineRule="exact"/>
        <w:ind w:firstLine="640" w:firstLineChars="200"/>
        <w:jc w:val="left"/>
        <w:rPr>
          <w:rFonts w:eastAsia="黑体"/>
          <w:bCs/>
          <w:sz w:val="32"/>
          <w:szCs w:val="32"/>
        </w:rPr>
      </w:pPr>
      <w:r>
        <w:rPr>
          <w:rFonts w:eastAsia="黑体"/>
          <w:bCs/>
          <w:sz w:val="32"/>
          <w:szCs w:val="32"/>
        </w:rPr>
        <w:t>四、凡属西山区棕树营街道土堆村（4号片区三期）城中村改造项目国有土地上房屋征收工作实施范围内的单位和个人，自房屋征收范围确定之日起不得在征收范围内实施下列行为：</w:t>
      </w:r>
    </w:p>
    <w:p>
      <w:pPr>
        <w:spacing w:line="582" w:lineRule="exact"/>
        <w:ind w:firstLine="640" w:firstLineChars="200"/>
        <w:rPr>
          <w:rFonts w:eastAsia="仿宋_GB2312"/>
          <w:sz w:val="32"/>
          <w:szCs w:val="32"/>
        </w:rPr>
      </w:pPr>
      <w:r>
        <w:rPr>
          <w:rFonts w:hAnsi="仿宋_GB2312" w:eastAsia="仿宋_GB2312"/>
          <w:sz w:val="32"/>
          <w:szCs w:val="32"/>
        </w:rPr>
        <w:t>（一）新建、扩建、改建房屋；</w:t>
      </w:r>
    </w:p>
    <w:p>
      <w:pPr>
        <w:spacing w:line="582" w:lineRule="exact"/>
        <w:ind w:firstLine="640" w:firstLineChars="200"/>
        <w:rPr>
          <w:rFonts w:eastAsia="仿宋_GB2312"/>
          <w:sz w:val="32"/>
          <w:szCs w:val="32"/>
        </w:rPr>
      </w:pPr>
      <w:r>
        <w:rPr>
          <w:rFonts w:hAnsi="仿宋_GB2312" w:eastAsia="仿宋_GB2312"/>
          <w:sz w:val="32"/>
          <w:szCs w:val="32"/>
        </w:rPr>
        <w:t>（二）改变房屋、土地用途；</w:t>
      </w:r>
    </w:p>
    <w:p>
      <w:pPr>
        <w:spacing w:line="582" w:lineRule="exact"/>
        <w:ind w:firstLine="640" w:firstLineChars="200"/>
        <w:rPr>
          <w:rFonts w:eastAsia="仿宋_GB2312"/>
          <w:sz w:val="32"/>
          <w:szCs w:val="32"/>
        </w:rPr>
      </w:pPr>
      <w:r>
        <w:rPr>
          <w:rFonts w:hAnsi="仿宋_GB2312" w:eastAsia="仿宋_GB2312"/>
          <w:sz w:val="32"/>
          <w:szCs w:val="32"/>
        </w:rPr>
        <w:t>（三）国</w:t>
      </w:r>
      <w:r>
        <w:rPr>
          <w:rFonts w:hAnsi="仿宋_GB2312" w:eastAsia="仿宋_GB2312"/>
          <w:spacing w:val="-10"/>
          <w:sz w:val="32"/>
          <w:szCs w:val="32"/>
        </w:rPr>
        <w:t>有土地使用权的出让、转让、抵押、转租、登记发证；</w:t>
      </w:r>
    </w:p>
    <w:p>
      <w:pPr>
        <w:spacing w:line="582" w:lineRule="exact"/>
        <w:ind w:firstLine="640" w:firstLineChars="200"/>
        <w:rPr>
          <w:rFonts w:eastAsia="仿宋_GB2312"/>
          <w:sz w:val="32"/>
          <w:szCs w:val="32"/>
        </w:rPr>
      </w:pPr>
      <w:r>
        <w:rPr>
          <w:rFonts w:hAnsi="仿宋_GB2312" w:eastAsia="仿宋_GB2312"/>
          <w:sz w:val="32"/>
          <w:szCs w:val="32"/>
        </w:rPr>
        <w:t>（四）以被征收房屋为注册地址办理工商注册登记手续；</w:t>
      </w:r>
    </w:p>
    <w:p>
      <w:pPr>
        <w:spacing w:line="582" w:lineRule="exact"/>
        <w:ind w:firstLine="640" w:firstLineChars="200"/>
        <w:rPr>
          <w:rFonts w:eastAsia="仿宋_GB2312"/>
          <w:sz w:val="32"/>
          <w:szCs w:val="32"/>
        </w:rPr>
      </w:pPr>
      <w:r>
        <w:rPr>
          <w:rFonts w:hAnsi="仿宋_GB2312" w:eastAsia="仿宋_GB2312"/>
          <w:sz w:val="32"/>
          <w:szCs w:val="32"/>
        </w:rPr>
        <w:t>（五）房屋的转让、租赁、转租和抵押；</w:t>
      </w:r>
    </w:p>
    <w:p>
      <w:pPr>
        <w:spacing w:line="582" w:lineRule="exact"/>
        <w:ind w:firstLine="640" w:firstLineChars="200"/>
        <w:rPr>
          <w:rFonts w:eastAsia="仿宋_GB2312"/>
          <w:sz w:val="32"/>
          <w:szCs w:val="32"/>
        </w:rPr>
      </w:pPr>
      <w:r>
        <w:rPr>
          <w:rFonts w:hAnsi="仿宋_GB2312" w:eastAsia="仿宋_GB2312"/>
          <w:sz w:val="32"/>
          <w:szCs w:val="32"/>
        </w:rPr>
        <w:t>（六）已依</w:t>
      </w:r>
      <w:r>
        <w:rPr>
          <w:rFonts w:hAnsi="仿宋_GB2312" w:eastAsia="仿宋_GB2312"/>
          <w:spacing w:val="-10"/>
          <w:sz w:val="32"/>
          <w:szCs w:val="32"/>
        </w:rPr>
        <w:t>法取得建房批准文件但尚未建造完毕房屋的续建；</w:t>
      </w:r>
    </w:p>
    <w:p>
      <w:pPr>
        <w:spacing w:line="582" w:lineRule="exact"/>
        <w:ind w:firstLine="640" w:firstLineChars="200"/>
        <w:rPr>
          <w:rFonts w:eastAsia="仿宋_GB2312"/>
          <w:sz w:val="32"/>
          <w:szCs w:val="32"/>
        </w:rPr>
      </w:pPr>
      <w:r>
        <w:rPr>
          <w:rFonts w:hAnsi="仿宋_GB2312" w:eastAsia="仿宋_GB2312"/>
          <w:sz w:val="32"/>
          <w:szCs w:val="32"/>
        </w:rPr>
        <w:t>（七）其它不当增加补偿费的行为。</w:t>
      </w:r>
    </w:p>
    <w:p>
      <w:pPr>
        <w:spacing w:line="582" w:lineRule="exact"/>
        <w:ind w:firstLine="640" w:firstLineChars="200"/>
        <w:rPr>
          <w:rFonts w:eastAsia="仿宋_GB2312"/>
          <w:sz w:val="32"/>
          <w:szCs w:val="32"/>
        </w:rPr>
      </w:pPr>
      <w:r>
        <w:rPr>
          <w:rFonts w:eastAsia="仿宋_GB2312"/>
          <w:sz w:val="32"/>
          <w:szCs w:val="32"/>
        </w:rPr>
        <w:t>违反上述规定的，对新增部分在征收补偿过程中将不予补偿，所产生的损失和后果由行为人自行承担。相关行政管理部门不再对征收范围内的上述事项进行审批，对擅自批准的单位和个人，将依法追究责任。</w:t>
      </w:r>
    </w:p>
    <w:p>
      <w:pPr>
        <w:spacing w:line="582" w:lineRule="exact"/>
        <w:ind w:firstLine="640" w:firstLineChars="200"/>
        <w:rPr>
          <w:rFonts w:eastAsia="仿宋"/>
          <w:sz w:val="32"/>
          <w:szCs w:val="32"/>
        </w:rPr>
      </w:pPr>
      <w:r>
        <w:rPr>
          <w:rFonts w:eastAsia="黑体"/>
          <w:bCs/>
          <w:sz w:val="32"/>
          <w:szCs w:val="32"/>
        </w:rPr>
        <w:t>五、征收补偿原则</w:t>
      </w:r>
    </w:p>
    <w:p>
      <w:pPr>
        <w:spacing w:line="582" w:lineRule="exact"/>
        <w:ind w:firstLine="640" w:firstLineChars="200"/>
        <w:rPr>
          <w:rFonts w:eastAsia="楷体_GB2312"/>
          <w:bCs/>
          <w:sz w:val="32"/>
          <w:szCs w:val="32"/>
        </w:rPr>
      </w:pPr>
      <w:r>
        <w:rPr>
          <w:rFonts w:eastAsia="楷体_GB2312"/>
          <w:bCs/>
          <w:sz w:val="32"/>
          <w:szCs w:val="32"/>
        </w:rPr>
        <w:t>（一）在符合国家法律法规和省、市有关规定前提下，坚持</w:t>
      </w:r>
      <w:r>
        <w:rPr>
          <w:rFonts w:hint="eastAsia" w:ascii="仿宋_GB2312" w:eastAsia="仿宋_GB2312"/>
          <w:bCs/>
          <w:sz w:val="32"/>
          <w:szCs w:val="32"/>
        </w:rPr>
        <w:t>“</w:t>
      </w:r>
      <w:r>
        <w:rPr>
          <w:rFonts w:eastAsia="楷体_GB2312"/>
          <w:bCs/>
          <w:sz w:val="32"/>
          <w:szCs w:val="32"/>
        </w:rPr>
        <w:t>尊重历史、依据现实、以人为本、依法征收</w:t>
      </w:r>
      <w:r>
        <w:rPr>
          <w:rFonts w:hint="eastAsia" w:ascii="仿宋_GB2312" w:eastAsia="仿宋_GB2312"/>
          <w:bCs/>
          <w:sz w:val="32"/>
          <w:szCs w:val="32"/>
        </w:rPr>
        <w:t>”</w:t>
      </w:r>
      <w:r>
        <w:rPr>
          <w:rFonts w:eastAsia="楷体_GB2312"/>
          <w:bCs/>
          <w:sz w:val="32"/>
          <w:szCs w:val="32"/>
        </w:rPr>
        <w:t>的原则，站在尊重历史的角度解决现实问题，站在统筹全局的高度解决个案问题，做到依法征收，文明征收。</w:t>
      </w:r>
    </w:p>
    <w:p>
      <w:pPr>
        <w:spacing w:line="582" w:lineRule="exact"/>
        <w:ind w:firstLine="640" w:firstLineChars="200"/>
        <w:rPr>
          <w:rFonts w:eastAsia="楷体_GB2312"/>
          <w:bCs/>
          <w:sz w:val="32"/>
          <w:szCs w:val="32"/>
        </w:rPr>
      </w:pPr>
      <w:r>
        <w:rPr>
          <w:rFonts w:eastAsia="楷体_GB2312"/>
          <w:bCs/>
          <w:sz w:val="32"/>
          <w:szCs w:val="32"/>
        </w:rPr>
        <w:t>（二）征收期限以西山区棕树营街道土堆村（4号片区三期）城中村改造项目国有土地上房屋征收决定公告的时间为准。评估时点为房屋征收决定公告之日。</w:t>
      </w:r>
    </w:p>
    <w:p>
      <w:pPr>
        <w:spacing w:line="582" w:lineRule="exact"/>
        <w:ind w:firstLine="640" w:firstLineChars="200"/>
        <w:rPr>
          <w:rFonts w:eastAsia="楷体_GB2312"/>
          <w:bCs/>
          <w:sz w:val="32"/>
          <w:szCs w:val="32"/>
        </w:rPr>
      </w:pPr>
      <w:r>
        <w:rPr>
          <w:rFonts w:eastAsia="楷体_GB2312"/>
          <w:bCs/>
          <w:sz w:val="32"/>
          <w:szCs w:val="32"/>
        </w:rPr>
        <w:t>（三）国有土地上房屋及其他建（构）筑物补偿原则</w:t>
      </w:r>
    </w:p>
    <w:p>
      <w:pPr>
        <w:spacing w:line="582"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具有《国有土地使用证》和《房屋所有权证》（或《不动产证》）的被征收房屋，由具有相应资质的房地产价格评估机构，根据房屋的实际情况，按照房屋征收评估办法规定，以</w:t>
      </w:r>
      <w:r>
        <w:rPr>
          <w:rFonts w:hint="eastAsia" w:ascii="仿宋_GB2312" w:eastAsia="仿宋_GB2312"/>
          <w:sz w:val="32"/>
          <w:szCs w:val="32"/>
        </w:rPr>
        <w:t>“</w:t>
      </w:r>
      <w:r>
        <w:rPr>
          <w:rFonts w:eastAsia="仿宋_GB2312"/>
          <w:sz w:val="32"/>
          <w:szCs w:val="32"/>
        </w:rPr>
        <w:t>房地合一</w:t>
      </w:r>
      <w:r>
        <w:rPr>
          <w:rFonts w:hint="eastAsia" w:ascii="仿宋_GB2312" w:eastAsia="仿宋_GB2312"/>
          <w:sz w:val="32"/>
          <w:szCs w:val="32"/>
        </w:rPr>
        <w:t>”</w:t>
      </w:r>
      <w:r>
        <w:rPr>
          <w:rFonts w:eastAsia="仿宋_GB2312"/>
          <w:sz w:val="32"/>
          <w:szCs w:val="32"/>
        </w:rPr>
        <w:t>的原则选用相应的评估方法对被征收房屋价值进行评估。被征收房屋的价值，包括被征收房屋及其占用范围内的国有土地使用权的价值和房屋装饰装修价值。</w:t>
      </w:r>
    </w:p>
    <w:p>
      <w:pPr>
        <w:spacing w:line="582"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仅具有《国有土地使用证》的房屋，实行</w:t>
      </w:r>
      <w:r>
        <w:rPr>
          <w:rFonts w:hint="eastAsia" w:ascii="仿宋_GB2312" w:eastAsia="仿宋_GB2312"/>
          <w:sz w:val="32"/>
          <w:szCs w:val="32"/>
        </w:rPr>
        <w:t>“</w:t>
      </w:r>
      <w:r>
        <w:rPr>
          <w:rFonts w:eastAsia="仿宋_GB2312"/>
          <w:sz w:val="32"/>
          <w:szCs w:val="32"/>
        </w:rPr>
        <w:t>房地分离</w:t>
      </w:r>
      <w:r>
        <w:rPr>
          <w:rFonts w:hint="eastAsia" w:ascii="仿宋_GB2312" w:eastAsia="仿宋_GB2312"/>
          <w:sz w:val="32"/>
          <w:szCs w:val="32"/>
        </w:rPr>
        <w:t>”</w:t>
      </w:r>
      <w:r>
        <w:rPr>
          <w:rFonts w:eastAsia="仿宋_GB2312"/>
          <w:sz w:val="32"/>
          <w:szCs w:val="32"/>
        </w:rPr>
        <w:t>原则，土地按下文</w:t>
      </w:r>
      <w:r>
        <w:rPr>
          <w:rFonts w:hint="eastAsia" w:ascii="仿宋_GB2312" w:eastAsia="仿宋_GB2312"/>
          <w:sz w:val="32"/>
          <w:szCs w:val="32"/>
        </w:rPr>
        <w:t>“</w:t>
      </w:r>
      <w:r>
        <w:rPr>
          <w:rFonts w:eastAsia="仿宋_GB2312"/>
          <w:sz w:val="32"/>
          <w:szCs w:val="32"/>
        </w:rPr>
        <w:t>国有土地补偿原则</w:t>
      </w:r>
      <w:r>
        <w:rPr>
          <w:rFonts w:hint="eastAsia" w:ascii="仿宋_GB2312" w:eastAsia="仿宋_GB2312"/>
          <w:sz w:val="32"/>
          <w:szCs w:val="32"/>
        </w:rPr>
        <w:t>”</w:t>
      </w:r>
      <w:r>
        <w:rPr>
          <w:rFonts w:eastAsia="仿宋_GB2312"/>
          <w:sz w:val="32"/>
          <w:szCs w:val="32"/>
        </w:rPr>
        <w:t>补偿后予以收回，地上各类建（构）筑物由造价公司及评估公司按照</w:t>
      </w:r>
      <w:r>
        <w:rPr>
          <w:rFonts w:hint="eastAsia" w:eastAsia="仿宋_GB2312"/>
          <w:sz w:val="32"/>
          <w:szCs w:val="32"/>
          <w:lang w:eastAsia="zh-CN"/>
        </w:rPr>
        <w:t>“</w:t>
      </w:r>
      <w:r>
        <w:rPr>
          <w:rFonts w:eastAsia="仿宋_GB2312"/>
          <w:sz w:val="32"/>
          <w:szCs w:val="32"/>
        </w:rPr>
        <w:t>重置成本法</w:t>
      </w:r>
      <w:r>
        <w:rPr>
          <w:rFonts w:hint="eastAsia" w:eastAsia="仿宋_GB2312"/>
          <w:sz w:val="32"/>
          <w:szCs w:val="32"/>
          <w:lang w:eastAsia="zh-CN"/>
        </w:rPr>
        <w:t>”</w:t>
      </w:r>
      <w:r>
        <w:rPr>
          <w:rFonts w:eastAsia="仿宋_GB2312"/>
          <w:sz w:val="32"/>
          <w:szCs w:val="32"/>
        </w:rPr>
        <w:t>进行造价评估后补偿。</w:t>
      </w:r>
    </w:p>
    <w:p>
      <w:pPr>
        <w:spacing w:line="582"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涉及8.31土地上的房屋，已完善土地手续的，应当根据不同的土地使用性质，采用相应的评估方法进行评估后补偿；未完善土地手续的房屋，按照</w:t>
      </w:r>
      <w:r>
        <w:rPr>
          <w:rFonts w:hint="eastAsia" w:ascii="仿宋_GB2312" w:eastAsia="仿宋_GB2312"/>
          <w:sz w:val="32"/>
          <w:szCs w:val="32"/>
        </w:rPr>
        <w:t>“</w:t>
      </w:r>
      <w:r>
        <w:rPr>
          <w:rFonts w:eastAsia="仿宋_GB2312"/>
          <w:sz w:val="32"/>
          <w:szCs w:val="32"/>
        </w:rPr>
        <w:t>房地分离</w:t>
      </w:r>
      <w:r>
        <w:rPr>
          <w:rFonts w:hint="eastAsia" w:ascii="仿宋_GB2312" w:eastAsia="仿宋_GB2312"/>
          <w:sz w:val="32"/>
          <w:szCs w:val="32"/>
        </w:rPr>
        <w:t>”</w:t>
      </w:r>
      <w:r>
        <w:rPr>
          <w:rFonts w:eastAsia="仿宋_GB2312"/>
          <w:sz w:val="32"/>
          <w:szCs w:val="32"/>
        </w:rPr>
        <w:t>的原则执行。</w:t>
      </w:r>
    </w:p>
    <w:p>
      <w:pPr>
        <w:spacing w:line="582"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具有《国有土地使用证》和《房屋所有权证》（或《不动产证》）的被征收住宅房屋（以下简称</w:t>
      </w:r>
      <w:r>
        <w:rPr>
          <w:rFonts w:hint="eastAsia" w:ascii="仿宋_GB2312" w:eastAsia="仿宋_GB2312"/>
          <w:sz w:val="32"/>
          <w:szCs w:val="32"/>
        </w:rPr>
        <w:t>“</w:t>
      </w:r>
      <w:r>
        <w:rPr>
          <w:rFonts w:eastAsia="仿宋_GB2312"/>
          <w:sz w:val="32"/>
          <w:szCs w:val="32"/>
        </w:rPr>
        <w:t>被征收房屋</w:t>
      </w:r>
      <w:r>
        <w:rPr>
          <w:rFonts w:hint="eastAsia" w:ascii="仿宋_GB2312" w:eastAsia="仿宋_GB2312"/>
          <w:sz w:val="32"/>
          <w:szCs w:val="32"/>
        </w:rPr>
        <w:t>”</w:t>
      </w:r>
      <w:r>
        <w:rPr>
          <w:rFonts w:eastAsia="仿宋_GB2312"/>
          <w:sz w:val="32"/>
          <w:szCs w:val="32"/>
        </w:rPr>
        <w:t>），被征收人可以选择货币补偿、房屋产权调换、选择货币补偿加房屋产权调换三种补偿方式中任意一种补偿方式进行补偿。</w:t>
      </w:r>
    </w:p>
    <w:p>
      <w:pPr>
        <w:spacing w:line="582" w:lineRule="exact"/>
        <w:ind w:firstLine="640" w:firstLineChars="200"/>
        <w:rPr>
          <w:rFonts w:eastAsia="仿宋_GB2312"/>
          <w:kern w:val="1"/>
          <w:sz w:val="32"/>
          <w:szCs w:val="32"/>
        </w:rPr>
      </w:pPr>
      <w:r>
        <w:rPr>
          <w:rFonts w:eastAsia="仿宋_GB2312"/>
          <w:kern w:val="1"/>
          <w:sz w:val="32"/>
          <w:szCs w:val="32"/>
        </w:rPr>
        <w:t>5</w:t>
      </w:r>
      <w:r>
        <w:rPr>
          <w:rFonts w:hint="eastAsia" w:eastAsia="仿宋_GB2312"/>
          <w:kern w:val="1"/>
          <w:sz w:val="32"/>
          <w:szCs w:val="32"/>
        </w:rPr>
        <w:t>．</w:t>
      </w:r>
      <w:r>
        <w:rPr>
          <w:rFonts w:eastAsia="仿宋_GB2312"/>
          <w:kern w:val="1"/>
          <w:sz w:val="32"/>
          <w:szCs w:val="32"/>
        </w:rPr>
        <w:t>被征收房屋面积的认定。被征收房屋经依法登记并取得《房屋所有权证》（或《不动产权证书》）的，以《房屋所有权证》（或《不动产权证书》）登记面积为准。被征收房屋的《房屋所有权证》（或《不动产权证书》登记面积与实际面积不符的，或者被征收人对面积认定有争议的，由具备房屋测绘资质的专业机构进行测绘，并由测绘机构、征收代理单位、被征收人、征收实施单位等多方签章认可。</w:t>
      </w:r>
    </w:p>
    <w:p>
      <w:pPr>
        <w:spacing w:line="582" w:lineRule="exact"/>
        <w:ind w:firstLine="640" w:firstLineChars="200"/>
        <w:rPr>
          <w:rFonts w:eastAsia="仿宋_GB2312"/>
          <w:kern w:val="1"/>
          <w:sz w:val="32"/>
          <w:szCs w:val="32"/>
        </w:rPr>
      </w:pPr>
      <w:r>
        <w:rPr>
          <w:rFonts w:eastAsia="仿宋_GB2312"/>
          <w:kern w:val="1"/>
          <w:sz w:val="32"/>
          <w:szCs w:val="32"/>
        </w:rPr>
        <w:t>6</w:t>
      </w:r>
      <w:r>
        <w:rPr>
          <w:rFonts w:hint="eastAsia" w:eastAsia="仿宋_GB2312"/>
          <w:kern w:val="1"/>
          <w:sz w:val="32"/>
          <w:szCs w:val="32"/>
        </w:rPr>
        <w:t>．</w:t>
      </w:r>
      <w:r>
        <w:rPr>
          <w:rFonts w:eastAsia="仿宋_GB2312"/>
          <w:kern w:val="1"/>
          <w:sz w:val="32"/>
          <w:szCs w:val="32"/>
        </w:rPr>
        <w:t>被征收房屋用途的认定。以自然资源部门（原国土部门）核发的《国有土地使用证》、《建设工程规划许可证》、房产管理部门核发的《房屋所有权证》或不动产登记部门核发的《不动产权证书》载明的用途为准。如三证认定的用途有差异，以自然资源部门（原国土部门）核发的《建设工程规划许可证》载明的用途为准。《中华人民共和国城市规划法》实施前建成的合法房屋，不能提供《建设工程规划许可证》的，以自然资源部门（原国土部门）核发的《国有土地使用证》载明的用途为准。</w:t>
      </w:r>
    </w:p>
    <w:p>
      <w:pPr>
        <w:spacing w:line="582" w:lineRule="exact"/>
        <w:ind w:firstLine="640" w:firstLineChars="200"/>
        <w:rPr>
          <w:rFonts w:eastAsia="仿宋_GB2312"/>
          <w:kern w:val="1"/>
          <w:sz w:val="32"/>
          <w:szCs w:val="32"/>
        </w:rPr>
      </w:pPr>
      <w:r>
        <w:rPr>
          <w:rFonts w:eastAsia="仿宋_GB2312"/>
          <w:kern w:val="1"/>
          <w:sz w:val="32"/>
          <w:szCs w:val="32"/>
        </w:rPr>
        <w:t>7</w:t>
      </w:r>
      <w:r>
        <w:rPr>
          <w:rFonts w:hint="eastAsia" w:eastAsia="仿宋_GB2312"/>
          <w:kern w:val="1"/>
          <w:sz w:val="32"/>
          <w:szCs w:val="32"/>
        </w:rPr>
        <w:t>．</w:t>
      </w:r>
      <w:r>
        <w:rPr>
          <w:rFonts w:eastAsia="仿宋_GB2312"/>
          <w:kern w:val="1"/>
          <w:sz w:val="32"/>
          <w:szCs w:val="32"/>
        </w:rPr>
        <w:t>住宅性质房屋的奖励户数认定。住宅性质房屋，按一本《房屋所有权证》（或《不动产权证书》）为一户产权人进行补偿，但《房屋所有权证》（或《不动产权证书》）上表明有多套房屋的，在计发搬迁费、奖励费以及临时安置费（以下简称</w:t>
      </w:r>
      <w:r>
        <w:rPr>
          <w:rFonts w:hint="eastAsia" w:ascii="仿宋_GB2312" w:eastAsia="仿宋_GB2312"/>
          <w:kern w:val="1"/>
          <w:sz w:val="32"/>
          <w:szCs w:val="32"/>
        </w:rPr>
        <w:t>“</w:t>
      </w:r>
      <w:r>
        <w:rPr>
          <w:rFonts w:eastAsia="仿宋_GB2312"/>
          <w:kern w:val="1"/>
          <w:sz w:val="32"/>
          <w:szCs w:val="32"/>
        </w:rPr>
        <w:t>三项费用</w:t>
      </w:r>
      <w:r>
        <w:rPr>
          <w:rFonts w:hint="eastAsia" w:ascii="仿宋_GB2312" w:eastAsia="仿宋_GB2312"/>
          <w:kern w:val="1"/>
          <w:sz w:val="32"/>
          <w:szCs w:val="32"/>
        </w:rPr>
        <w:t>”</w:t>
      </w:r>
      <w:r>
        <w:rPr>
          <w:rFonts w:eastAsia="仿宋_GB2312"/>
          <w:kern w:val="1"/>
          <w:sz w:val="32"/>
          <w:szCs w:val="32"/>
        </w:rPr>
        <w:t>）时，在规定的搬迁奖励期限（时段）内，可以以套为户数进行相应奖励，分别计发</w:t>
      </w:r>
      <w:r>
        <w:rPr>
          <w:rFonts w:hint="eastAsia" w:ascii="仿宋_GB2312" w:eastAsia="仿宋_GB2312"/>
          <w:kern w:val="1"/>
          <w:sz w:val="32"/>
          <w:szCs w:val="32"/>
        </w:rPr>
        <w:t>“</w:t>
      </w:r>
      <w:r>
        <w:rPr>
          <w:rFonts w:eastAsia="仿宋_GB2312"/>
          <w:kern w:val="1"/>
          <w:sz w:val="32"/>
          <w:szCs w:val="32"/>
        </w:rPr>
        <w:t>三项费用</w:t>
      </w:r>
      <w:r>
        <w:rPr>
          <w:rFonts w:hint="eastAsia" w:ascii="仿宋_GB2312" w:eastAsia="仿宋_GB2312"/>
          <w:kern w:val="1"/>
          <w:sz w:val="32"/>
          <w:szCs w:val="32"/>
        </w:rPr>
        <w:t>”</w:t>
      </w:r>
      <w:r>
        <w:rPr>
          <w:rFonts w:eastAsia="仿宋_GB2312"/>
          <w:kern w:val="1"/>
          <w:sz w:val="32"/>
          <w:szCs w:val="32"/>
        </w:rPr>
        <w:t>。除</w:t>
      </w:r>
      <w:r>
        <w:rPr>
          <w:rFonts w:hint="eastAsia" w:ascii="仿宋_GB2312" w:eastAsia="仿宋_GB2312"/>
          <w:kern w:val="1"/>
          <w:sz w:val="32"/>
          <w:szCs w:val="32"/>
        </w:rPr>
        <w:t>“</w:t>
      </w:r>
      <w:r>
        <w:rPr>
          <w:rFonts w:eastAsia="仿宋_GB2312"/>
          <w:kern w:val="1"/>
          <w:sz w:val="32"/>
          <w:szCs w:val="32"/>
        </w:rPr>
        <w:t>三项费用</w:t>
      </w:r>
      <w:r>
        <w:rPr>
          <w:rFonts w:hint="eastAsia" w:ascii="仿宋_GB2312" w:eastAsia="仿宋_GB2312"/>
          <w:kern w:val="1"/>
          <w:sz w:val="32"/>
          <w:szCs w:val="32"/>
        </w:rPr>
        <w:t>”</w:t>
      </w:r>
      <w:r>
        <w:rPr>
          <w:rFonts w:eastAsia="仿宋_GB2312"/>
          <w:kern w:val="1"/>
          <w:sz w:val="32"/>
          <w:szCs w:val="32"/>
        </w:rPr>
        <w:t>外的其他补偿、奖励，一律按一本《房屋所有权证》（或《不动产权证书》）为一户产权人计算。</w:t>
      </w:r>
    </w:p>
    <w:p>
      <w:pPr>
        <w:spacing w:line="582" w:lineRule="exact"/>
        <w:ind w:firstLine="640" w:firstLineChars="200"/>
        <w:rPr>
          <w:rFonts w:eastAsia="仿宋_GB2312"/>
          <w:kern w:val="1"/>
          <w:sz w:val="32"/>
          <w:szCs w:val="32"/>
        </w:rPr>
      </w:pPr>
      <w:r>
        <w:rPr>
          <w:rFonts w:eastAsia="仿宋_GB2312"/>
          <w:kern w:val="1"/>
          <w:sz w:val="32"/>
          <w:szCs w:val="32"/>
        </w:rPr>
        <w:t>8</w:t>
      </w:r>
      <w:r>
        <w:rPr>
          <w:rFonts w:hint="eastAsia" w:eastAsia="仿宋_GB2312"/>
          <w:kern w:val="1"/>
          <w:sz w:val="32"/>
          <w:szCs w:val="32"/>
        </w:rPr>
        <w:t>．</w:t>
      </w:r>
      <w:r>
        <w:rPr>
          <w:rFonts w:eastAsia="仿宋_GB2312"/>
          <w:kern w:val="1"/>
          <w:sz w:val="32"/>
          <w:szCs w:val="32"/>
        </w:rPr>
        <w:t>改变建设用地性质和规划用途，现用途为经营性性质，但未变更房屋所有权证、土地证的，应当按原批准建设用地性质</w:t>
      </w:r>
      <w:r>
        <w:rPr>
          <w:rFonts w:eastAsia="仿宋_GB2312"/>
          <w:spacing w:val="-8"/>
          <w:kern w:val="32"/>
          <w:sz w:val="32"/>
          <w:szCs w:val="32"/>
        </w:rPr>
        <w:t>和规划用途并参照使用现状采用相应的评估办法进行评估后补偿。</w:t>
      </w:r>
    </w:p>
    <w:p>
      <w:pPr>
        <w:spacing w:line="582" w:lineRule="exact"/>
        <w:ind w:firstLine="640" w:firstLineChars="200"/>
        <w:rPr>
          <w:rFonts w:eastAsia="仿宋_GB2312"/>
          <w:kern w:val="1"/>
          <w:sz w:val="32"/>
          <w:szCs w:val="32"/>
        </w:rPr>
      </w:pPr>
      <w:r>
        <w:rPr>
          <w:rFonts w:eastAsia="仿宋_GB2312"/>
          <w:kern w:val="1"/>
          <w:sz w:val="32"/>
          <w:szCs w:val="32"/>
        </w:rPr>
        <w:t>9</w:t>
      </w:r>
      <w:r>
        <w:rPr>
          <w:rFonts w:hint="eastAsia" w:eastAsia="仿宋_GB2312"/>
          <w:kern w:val="1"/>
          <w:sz w:val="32"/>
          <w:szCs w:val="32"/>
        </w:rPr>
        <w:t>．</w:t>
      </w:r>
      <w:r>
        <w:rPr>
          <w:rFonts w:eastAsia="仿宋_GB2312"/>
          <w:kern w:val="1"/>
          <w:sz w:val="32"/>
          <w:szCs w:val="32"/>
        </w:rPr>
        <w:t>违法建筑和超过批准期限的临时建筑，一律不予补偿。征收有审批手续且未超过批准期限的临时建筑，依照《中华人民共和国城乡规划法》规定，政府一旦建设须无条件拆除，拆除后可采用成本法评估其建筑物残值予以补偿；征收有审批手续且到期的临时建筑，不积极主动配合拆除的，无条件强制拆除；没有审批手续的临时建筑应当无条件拆除。</w:t>
      </w:r>
    </w:p>
    <w:p>
      <w:pPr>
        <w:spacing w:line="582" w:lineRule="exact"/>
        <w:ind w:firstLine="640" w:firstLineChars="200"/>
        <w:rPr>
          <w:rFonts w:eastAsia="仿宋_GB2312"/>
          <w:sz w:val="32"/>
          <w:szCs w:val="32"/>
        </w:rPr>
      </w:pPr>
      <w:r>
        <w:rPr>
          <w:rFonts w:eastAsia="仿宋_GB2312"/>
          <w:kern w:val="1"/>
          <w:sz w:val="32"/>
          <w:szCs w:val="32"/>
        </w:rPr>
        <w:t>10</w:t>
      </w:r>
      <w:r>
        <w:rPr>
          <w:rFonts w:hint="eastAsia" w:eastAsia="仿宋_GB2312"/>
          <w:kern w:val="1"/>
          <w:sz w:val="32"/>
          <w:szCs w:val="32"/>
        </w:rPr>
        <w:t>．</w:t>
      </w:r>
      <w:r>
        <w:rPr>
          <w:rFonts w:eastAsia="仿宋_GB2312"/>
          <w:kern w:val="1"/>
          <w:sz w:val="32"/>
          <w:szCs w:val="32"/>
        </w:rPr>
        <w:t>未办理产权登记或有部分手续的房屋，由被征收人提出申请后，房屋征收部门会同自然资源、住建、监察、审计等部门对房屋合法性、面积和用途进行认定。</w:t>
      </w:r>
    </w:p>
    <w:p>
      <w:pPr>
        <w:spacing w:line="582" w:lineRule="exact"/>
        <w:ind w:firstLine="640" w:firstLineChars="200"/>
        <w:rPr>
          <w:rFonts w:eastAsia="楷体_GB2312"/>
          <w:sz w:val="32"/>
          <w:szCs w:val="32"/>
        </w:rPr>
      </w:pPr>
      <w:r>
        <w:rPr>
          <w:rFonts w:eastAsia="楷体_GB2312"/>
          <w:sz w:val="32"/>
          <w:szCs w:val="32"/>
        </w:rPr>
        <w:t>（四）国有土地补偿原则</w:t>
      </w:r>
    </w:p>
    <w:p>
      <w:pPr>
        <w:spacing w:line="582"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划拨土地</w:t>
      </w:r>
    </w:p>
    <w:p>
      <w:pPr>
        <w:spacing w:line="582" w:lineRule="exact"/>
        <w:ind w:firstLine="640" w:firstLineChars="200"/>
        <w:rPr>
          <w:rFonts w:eastAsia="仿宋_GB2312"/>
          <w:sz w:val="32"/>
          <w:szCs w:val="32"/>
        </w:rPr>
      </w:pPr>
      <w:r>
        <w:rPr>
          <w:rFonts w:eastAsia="仿宋_GB2312"/>
          <w:sz w:val="32"/>
          <w:szCs w:val="32"/>
        </w:rPr>
        <w:t>依法通过行政划拨方式取得《国有土地使用证》的划拨土地，按原国有划拨土地使用权取得时的成本进行补偿。若原取得成本不足25万元/亩的，按25万元/亩进行补偿。</w:t>
      </w:r>
    </w:p>
    <w:p>
      <w:pPr>
        <w:spacing w:line="582"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出让土地</w:t>
      </w:r>
    </w:p>
    <w:p>
      <w:pPr>
        <w:spacing w:line="582" w:lineRule="exact"/>
        <w:ind w:firstLine="640" w:firstLineChars="200"/>
        <w:rPr>
          <w:rFonts w:eastAsia="仿宋_GB2312"/>
          <w:sz w:val="32"/>
          <w:szCs w:val="32"/>
        </w:rPr>
      </w:pPr>
      <w:r>
        <w:rPr>
          <w:rFonts w:eastAsia="仿宋_GB2312"/>
          <w:sz w:val="32"/>
          <w:szCs w:val="32"/>
        </w:rPr>
        <w:t>（1）原通过招标、拍卖、挂牌方式取得的国有土地使用权，由具有资质的评估机构按照土地批准用途进行评估后补偿。</w:t>
      </w:r>
    </w:p>
    <w:p>
      <w:pPr>
        <w:spacing w:line="582" w:lineRule="exact"/>
        <w:ind w:firstLine="640" w:firstLineChars="200"/>
        <w:rPr>
          <w:rFonts w:eastAsia="仿宋_GB2312"/>
          <w:sz w:val="32"/>
          <w:szCs w:val="32"/>
        </w:rPr>
      </w:pPr>
      <w:r>
        <w:rPr>
          <w:rFonts w:eastAsia="仿宋_GB2312"/>
          <w:sz w:val="32"/>
          <w:szCs w:val="32"/>
        </w:rPr>
        <w:t>（2）属于协议出让取得的土地，按原土地使用权取得成本扣减使用年限后给予补偿。若补偿费低25万元/亩，按25万元/亩进行补偿。</w:t>
      </w:r>
    </w:p>
    <w:p>
      <w:pPr>
        <w:spacing w:line="582" w:lineRule="exact"/>
        <w:ind w:firstLine="640" w:firstLineChars="200"/>
        <w:rPr>
          <w:rFonts w:eastAsia="仿宋_GB2312"/>
          <w:sz w:val="32"/>
          <w:szCs w:val="32"/>
        </w:rPr>
      </w:pPr>
      <w:r>
        <w:rPr>
          <w:rFonts w:eastAsia="仿宋_GB2312"/>
          <w:sz w:val="32"/>
          <w:szCs w:val="32"/>
        </w:rPr>
        <w:t>（3）属于</w:t>
      </w:r>
      <w:r>
        <w:rPr>
          <w:rFonts w:hint="eastAsia" w:ascii="仿宋_GB2312" w:eastAsia="仿宋_GB2312"/>
          <w:sz w:val="32"/>
          <w:szCs w:val="32"/>
        </w:rPr>
        <w:t>“</w:t>
      </w:r>
      <w:r>
        <w:rPr>
          <w:rFonts w:eastAsia="仿宋_GB2312"/>
          <w:sz w:val="32"/>
          <w:szCs w:val="32"/>
        </w:rPr>
        <w:t>8.31</w:t>
      </w:r>
      <w:r>
        <w:rPr>
          <w:rFonts w:hint="eastAsia" w:ascii="仿宋_GB2312" w:eastAsia="仿宋_GB2312"/>
          <w:sz w:val="32"/>
          <w:szCs w:val="32"/>
        </w:rPr>
        <w:t>”</w:t>
      </w:r>
      <w:r>
        <w:rPr>
          <w:rFonts w:eastAsia="仿宋_GB2312"/>
          <w:sz w:val="32"/>
          <w:szCs w:val="32"/>
        </w:rPr>
        <w:t>完善用地的，按《昆明市人民政府办公厅关于</w:t>
      </w:r>
      <w:r>
        <w:rPr>
          <w:rFonts w:hint="eastAsia" w:ascii="仿宋_GB2312" w:eastAsia="仿宋_GB2312"/>
          <w:sz w:val="32"/>
          <w:szCs w:val="32"/>
        </w:rPr>
        <w:t>“</w:t>
      </w:r>
      <w:r>
        <w:rPr>
          <w:rFonts w:eastAsia="仿宋_GB2312"/>
          <w:sz w:val="32"/>
          <w:szCs w:val="32"/>
        </w:rPr>
        <w:t>8.31</w:t>
      </w:r>
      <w:r>
        <w:rPr>
          <w:rFonts w:hint="eastAsia" w:ascii="仿宋_GB2312" w:eastAsia="仿宋_GB2312"/>
          <w:sz w:val="32"/>
          <w:szCs w:val="32"/>
        </w:rPr>
        <w:t>”</w:t>
      </w:r>
      <w:r>
        <w:rPr>
          <w:rFonts w:eastAsia="仿宋_GB2312"/>
          <w:sz w:val="32"/>
          <w:szCs w:val="32"/>
        </w:rPr>
        <w:t>清非用地收储标准的通知》（昆政办〔2023〕35号）及市、区有关规定进行补偿。</w:t>
      </w:r>
    </w:p>
    <w:p>
      <w:pPr>
        <w:spacing w:line="582" w:lineRule="exact"/>
        <w:ind w:firstLine="640" w:firstLineChars="200"/>
        <w:rPr>
          <w:rFonts w:eastAsia="楷体_GB2312"/>
          <w:sz w:val="32"/>
          <w:szCs w:val="32"/>
        </w:rPr>
      </w:pPr>
      <w:r>
        <w:rPr>
          <w:rFonts w:eastAsia="楷体_GB2312"/>
          <w:sz w:val="32"/>
          <w:szCs w:val="32"/>
        </w:rPr>
        <w:t>（五）涉及该项目被征收房屋的单位及个人，需收回国有土地使用证并注销。如只征收部分土地，国有土地使用证换证的相关费用一并计入土地房屋征收补偿费。</w:t>
      </w:r>
    </w:p>
    <w:p>
      <w:pPr>
        <w:spacing w:line="582" w:lineRule="exact"/>
        <w:ind w:firstLine="640" w:firstLineChars="200"/>
        <w:rPr>
          <w:rFonts w:eastAsia="黑体"/>
          <w:sz w:val="32"/>
          <w:szCs w:val="32"/>
        </w:rPr>
      </w:pPr>
      <w:r>
        <w:rPr>
          <w:rFonts w:eastAsia="黑体"/>
          <w:sz w:val="32"/>
          <w:szCs w:val="32"/>
        </w:rPr>
        <w:t>六、住宅性质被征收房屋及其他建（构）筑物补偿标准</w:t>
      </w:r>
    </w:p>
    <w:p>
      <w:pPr>
        <w:spacing w:line="582" w:lineRule="exact"/>
        <w:ind w:firstLine="640" w:firstLineChars="200"/>
        <w:rPr>
          <w:rFonts w:eastAsia="楷体_GB2312"/>
          <w:bCs/>
          <w:sz w:val="32"/>
          <w:szCs w:val="32"/>
        </w:rPr>
      </w:pPr>
      <w:r>
        <w:rPr>
          <w:rFonts w:eastAsia="楷体_GB2312"/>
          <w:bCs/>
          <w:sz w:val="32"/>
          <w:szCs w:val="32"/>
        </w:rPr>
        <w:t>（一）货币补偿</w:t>
      </w:r>
    </w:p>
    <w:p>
      <w:pPr>
        <w:spacing w:line="582" w:lineRule="exact"/>
        <w:ind w:firstLine="640" w:firstLineChars="200"/>
        <w:rPr>
          <w:rFonts w:eastAsia="仿宋_GB2312"/>
          <w:bCs/>
          <w:sz w:val="32"/>
          <w:szCs w:val="32"/>
        </w:rPr>
      </w:pPr>
      <w:r>
        <w:rPr>
          <w:rFonts w:eastAsia="仿宋_GB2312"/>
          <w:sz w:val="32"/>
          <w:szCs w:val="32"/>
        </w:rPr>
        <w:t>1</w:t>
      </w:r>
      <w:r>
        <w:rPr>
          <w:rFonts w:hint="eastAsia" w:eastAsia="仿宋_GB2312"/>
          <w:sz w:val="32"/>
          <w:szCs w:val="32"/>
        </w:rPr>
        <w:t>．</w:t>
      </w:r>
      <w:r>
        <w:rPr>
          <w:rFonts w:eastAsia="仿宋_GB2312"/>
          <w:sz w:val="32"/>
          <w:szCs w:val="32"/>
        </w:rPr>
        <w:t>被征收房屋价值补偿。被征收房屋价值评估应当考虑被征收房屋的区位、用途、建筑结构、建筑面积、占地面积、土地性质、使用年限等因素，由具有相应资质的房地产价格评估机构按照国家和云南省房屋征收评估相关规定及办法评估确定。</w:t>
      </w:r>
    </w:p>
    <w:p>
      <w:pPr>
        <w:spacing w:line="582"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lang w:val="zh-CN"/>
        </w:rPr>
        <w:t>临时</w:t>
      </w:r>
      <w:r>
        <w:rPr>
          <w:rFonts w:eastAsia="仿宋_GB2312"/>
          <w:sz w:val="32"/>
          <w:szCs w:val="32"/>
        </w:rPr>
        <w:t>安置费</w:t>
      </w:r>
    </w:p>
    <w:p>
      <w:pPr>
        <w:spacing w:line="582" w:lineRule="exact"/>
        <w:ind w:firstLine="640" w:firstLineChars="200"/>
        <w:rPr>
          <w:rFonts w:eastAsia="仿宋_GB2312"/>
          <w:sz w:val="32"/>
          <w:szCs w:val="32"/>
        </w:rPr>
      </w:pPr>
      <w:r>
        <w:rPr>
          <w:rFonts w:eastAsia="仿宋_GB2312"/>
          <w:sz w:val="32"/>
          <w:szCs w:val="32"/>
        </w:rPr>
        <w:t>（1）临时安置费为25元/平方米/月，自交验房屋之日起，</w:t>
      </w:r>
      <w:r>
        <w:rPr>
          <w:rFonts w:eastAsia="仿宋_GB2312"/>
          <w:spacing w:val="-6"/>
          <w:sz w:val="32"/>
          <w:szCs w:val="32"/>
        </w:rPr>
        <w:t>以认定的被征收房屋建筑面积为基数，按3个月计算，一次性支付。</w:t>
      </w:r>
    </w:p>
    <w:p>
      <w:pPr>
        <w:spacing w:line="582" w:lineRule="exact"/>
        <w:ind w:firstLine="640" w:firstLineChars="200"/>
        <w:rPr>
          <w:rFonts w:eastAsia="仿宋_GB2312"/>
          <w:sz w:val="32"/>
          <w:szCs w:val="32"/>
        </w:rPr>
      </w:pPr>
      <w:r>
        <w:rPr>
          <w:rFonts w:eastAsia="仿宋_GB2312"/>
          <w:sz w:val="32"/>
          <w:szCs w:val="32"/>
        </w:rPr>
        <w:t>（2）《房屋所有权证》（或《不动产权证书》）载明的住宅建筑面积低于55平方米的，按55平方米计发临时安置费。</w:t>
      </w:r>
    </w:p>
    <w:p>
      <w:pPr>
        <w:spacing w:line="582" w:lineRule="exact"/>
        <w:ind w:firstLine="640" w:firstLineChars="200"/>
        <w:rPr>
          <w:rFonts w:eastAsia="仿宋_GB2312"/>
          <w:sz w:val="32"/>
          <w:szCs w:val="32"/>
        </w:rPr>
      </w:pPr>
      <w:r>
        <w:rPr>
          <w:rFonts w:eastAsia="仿宋_GB2312"/>
          <w:sz w:val="32"/>
          <w:szCs w:val="32"/>
        </w:rPr>
        <w:t>（3）被征收房屋的房屋所有人户籍内户主、直系亲属是残疾人的，临时安置补助费每户上浮20%。</w:t>
      </w:r>
    </w:p>
    <w:p>
      <w:pPr>
        <w:spacing w:line="582"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搬迁费</w:t>
      </w:r>
    </w:p>
    <w:p>
      <w:pPr>
        <w:spacing w:line="582" w:lineRule="exact"/>
        <w:ind w:firstLine="640" w:firstLineChars="200"/>
        <w:rPr>
          <w:rFonts w:eastAsia="仿宋_GB2312"/>
          <w:sz w:val="32"/>
          <w:szCs w:val="32"/>
        </w:rPr>
      </w:pPr>
      <w:r>
        <w:rPr>
          <w:rFonts w:eastAsia="仿宋_GB2312"/>
          <w:sz w:val="32"/>
          <w:szCs w:val="32"/>
        </w:rPr>
        <w:t>采取货币补偿方式的给予每户2000元。</w:t>
      </w:r>
    </w:p>
    <w:p>
      <w:pPr>
        <w:spacing w:line="582"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房屋装饰装修价值补偿</w:t>
      </w:r>
    </w:p>
    <w:p>
      <w:pPr>
        <w:spacing w:line="582" w:lineRule="exact"/>
        <w:ind w:firstLine="640" w:firstLineChars="200"/>
        <w:rPr>
          <w:rFonts w:eastAsia="仿宋_GB2312"/>
          <w:sz w:val="32"/>
          <w:szCs w:val="32"/>
        </w:rPr>
      </w:pPr>
      <w:r>
        <w:rPr>
          <w:rFonts w:eastAsia="仿宋_GB2312"/>
          <w:sz w:val="32"/>
          <w:szCs w:val="32"/>
        </w:rPr>
        <w:t>被征收住宅房屋的房屋装饰装修价值由评估机构进行评估后，依据具有相应资质的房地产价格评估机构按照国家和云南省房屋征收评估相关规定及办法评估确定的价值进行货币补偿。</w:t>
      </w:r>
    </w:p>
    <w:p>
      <w:pPr>
        <w:spacing w:line="582"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货币补偿奖励费</w:t>
      </w:r>
    </w:p>
    <w:p>
      <w:pPr>
        <w:spacing w:line="582" w:lineRule="exact"/>
        <w:ind w:firstLine="640" w:firstLineChars="200"/>
        <w:rPr>
          <w:rFonts w:eastAsia="仿宋_GB2312"/>
          <w:sz w:val="32"/>
          <w:szCs w:val="32"/>
        </w:rPr>
      </w:pPr>
      <w:r>
        <w:rPr>
          <w:rFonts w:eastAsia="仿宋_GB2312"/>
          <w:sz w:val="32"/>
          <w:szCs w:val="32"/>
        </w:rPr>
        <w:t>（1）签约奖励</w:t>
      </w:r>
    </w:p>
    <w:p>
      <w:pPr>
        <w:spacing w:line="582" w:lineRule="exact"/>
        <w:ind w:firstLine="640" w:firstLineChars="200"/>
        <w:rPr>
          <w:rFonts w:eastAsia="仿宋_GB2312"/>
          <w:sz w:val="32"/>
          <w:szCs w:val="32"/>
        </w:rPr>
      </w:pPr>
      <w:r>
        <w:rPr>
          <w:rFonts w:eastAsia="仿宋_GB2312"/>
          <w:sz w:val="32"/>
          <w:szCs w:val="32"/>
        </w:rPr>
        <w:t>被征收人在方案规定的奖励时段内签订征收补偿安置协议，且房屋交验合格的，每户按奖励时段给予相应奖励，如超出规定时限则不予奖励。奖励办法如表一：</w:t>
      </w:r>
    </w:p>
    <w:p>
      <w:pPr>
        <w:spacing w:line="582" w:lineRule="exact"/>
        <w:ind w:firstLine="640" w:firstLineChars="200"/>
        <w:jc w:val="center"/>
        <w:rPr>
          <w:rFonts w:eastAsia="仿宋_GB2312"/>
          <w:bCs/>
          <w:sz w:val="32"/>
          <w:szCs w:val="32"/>
        </w:rPr>
      </w:pPr>
      <w:r>
        <w:rPr>
          <w:rFonts w:eastAsia="仿宋_GB2312"/>
          <w:bCs/>
          <w:sz w:val="32"/>
          <w:szCs w:val="32"/>
        </w:rPr>
        <w:t>表一（适用于住宅货币补偿）</w:t>
      </w:r>
    </w:p>
    <w:tbl>
      <w:tblPr>
        <w:tblStyle w:val="30"/>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3"/>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03" w:type="dxa"/>
            <w:vAlign w:val="center"/>
          </w:tcPr>
          <w:p>
            <w:pPr>
              <w:pStyle w:val="25"/>
              <w:shd w:val="clear" w:color="auto" w:fill="FFFFFF"/>
              <w:spacing w:line="582" w:lineRule="exact"/>
              <w:ind w:firstLine="643" w:firstLineChars="200"/>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奖励时段</w:t>
            </w:r>
          </w:p>
        </w:tc>
        <w:tc>
          <w:tcPr>
            <w:tcW w:w="2155" w:type="dxa"/>
            <w:vAlign w:val="center"/>
          </w:tcPr>
          <w:p>
            <w:pPr>
              <w:pStyle w:val="25"/>
              <w:shd w:val="clear" w:color="auto" w:fill="FFFFFF"/>
              <w:spacing w:line="582"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签约奖励（元）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03" w:type="dxa"/>
            <w:vAlign w:val="center"/>
          </w:tcPr>
          <w:p>
            <w:pPr>
              <w:pStyle w:val="25"/>
              <w:shd w:val="clear" w:color="auto" w:fill="FFFFFF"/>
              <w:spacing w:line="582"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第一奖励时段（自房屋征收决定公告发布之日起第1日至第15日）</w:t>
            </w:r>
          </w:p>
        </w:tc>
        <w:tc>
          <w:tcPr>
            <w:tcW w:w="2155" w:type="dxa"/>
            <w:vAlign w:val="center"/>
          </w:tcPr>
          <w:p>
            <w:pPr>
              <w:pStyle w:val="25"/>
              <w:shd w:val="clear" w:color="auto" w:fill="FFFFFF"/>
              <w:spacing w:line="582"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3" w:type="dxa"/>
            <w:vAlign w:val="center"/>
          </w:tcPr>
          <w:p>
            <w:pPr>
              <w:pStyle w:val="25"/>
              <w:shd w:val="clear" w:color="auto" w:fill="FFFFFF"/>
              <w:spacing w:line="582"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第二奖励时段（自房屋征收决定公告发布之日起第16日至第30日）</w:t>
            </w:r>
          </w:p>
        </w:tc>
        <w:tc>
          <w:tcPr>
            <w:tcW w:w="2155" w:type="dxa"/>
            <w:vAlign w:val="center"/>
          </w:tcPr>
          <w:p>
            <w:pPr>
              <w:pStyle w:val="25"/>
              <w:shd w:val="clear" w:color="auto" w:fill="FFFFFF"/>
              <w:spacing w:line="582"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58" w:type="dxa"/>
            <w:gridSpan w:val="2"/>
            <w:vAlign w:val="center"/>
          </w:tcPr>
          <w:p>
            <w:pPr>
              <w:pStyle w:val="25"/>
              <w:shd w:val="clear" w:color="auto" w:fill="FFFFFF"/>
              <w:spacing w:line="582" w:lineRule="exact"/>
              <w:jc w:val="both"/>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奖励时段届满未完成签约并搬迁的不予以奖励、补贴和优惠</w:t>
            </w:r>
            <w:r>
              <w:rPr>
                <w:rFonts w:ascii="Times New Roman" w:hAnsi="Times New Roman" w:eastAsia="仿宋_GB2312" w:cs="Times New Roman"/>
                <w:sz w:val="32"/>
                <w:szCs w:val="32"/>
              </w:rPr>
              <w:t>。</w:t>
            </w:r>
          </w:p>
        </w:tc>
      </w:tr>
    </w:tbl>
    <w:p>
      <w:pPr>
        <w:spacing w:line="582" w:lineRule="exact"/>
        <w:ind w:firstLine="640" w:firstLineChars="200"/>
        <w:jc w:val="left"/>
        <w:rPr>
          <w:rFonts w:eastAsia="仿宋_GB2312"/>
          <w:sz w:val="32"/>
          <w:szCs w:val="32"/>
        </w:rPr>
      </w:pPr>
      <w:r>
        <w:rPr>
          <w:rFonts w:eastAsia="仿宋_GB2312"/>
          <w:sz w:val="32"/>
          <w:szCs w:val="32"/>
        </w:rPr>
        <w:t>（2）面积奖励</w:t>
      </w:r>
    </w:p>
    <w:p>
      <w:pPr>
        <w:spacing w:line="582" w:lineRule="exact"/>
        <w:ind w:firstLine="640" w:firstLineChars="200"/>
        <w:jc w:val="left"/>
        <w:rPr>
          <w:rFonts w:eastAsia="仿宋_GB2312"/>
          <w:sz w:val="32"/>
          <w:szCs w:val="32"/>
        </w:rPr>
      </w:pPr>
      <w:r>
        <w:rPr>
          <w:rFonts w:eastAsia="仿宋_GB2312"/>
          <w:sz w:val="32"/>
          <w:szCs w:val="32"/>
        </w:rPr>
        <w:t>被征收人在本方案规定的</w:t>
      </w:r>
      <w:r>
        <w:rPr>
          <w:rFonts w:hint="eastAsia" w:eastAsia="仿宋_GB2312"/>
          <w:sz w:val="32"/>
          <w:szCs w:val="32"/>
          <w:lang w:eastAsia="zh-CN"/>
        </w:rPr>
        <w:t>第一奖励时段</w:t>
      </w:r>
      <w:r>
        <w:rPr>
          <w:rFonts w:eastAsia="仿宋_GB2312"/>
          <w:sz w:val="32"/>
          <w:szCs w:val="32"/>
        </w:rPr>
        <w:t>内签订征收补偿安置协议，完成搬迁并交付被征收住宅房屋的，每户奖励5平方米的套内建筑面积，以5500元/平方米折算为货币进行补偿（适用于住宅货币补偿）。</w:t>
      </w:r>
    </w:p>
    <w:p>
      <w:pPr>
        <w:numPr>
          <w:ilvl w:val="0"/>
          <w:numId w:val="1"/>
        </w:numPr>
        <w:spacing w:line="582" w:lineRule="exact"/>
        <w:ind w:firstLine="640" w:firstLineChars="200"/>
        <w:rPr>
          <w:rFonts w:eastAsia="楷体_GB2312"/>
          <w:bCs/>
          <w:sz w:val="32"/>
          <w:szCs w:val="32"/>
        </w:rPr>
      </w:pPr>
      <w:r>
        <w:rPr>
          <w:rFonts w:eastAsia="楷体_GB2312"/>
          <w:bCs/>
          <w:sz w:val="32"/>
          <w:szCs w:val="32"/>
        </w:rPr>
        <w:t>房屋产权调换</w:t>
      </w:r>
    </w:p>
    <w:p>
      <w:pPr>
        <w:spacing w:line="582"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房屋产权调换标准：被征收人选择房屋产权调换的，其可享受的房屋产权调换面积标准为：认定的套内建筑面积加上面积奖励的套内建筑面积后按照1:1标准进行房屋产权调换。被征收房屋为住宅（含政府直管公房）原证载建筑面积低于55平方米的，统一按建筑面积55平方米进行就近安置，不再结算55平方米内（含55平方米）被征收房屋价值与用于产权调换房屋价值的差价，且不再享受本条第6项第（2）目规定的面积奖励。</w:t>
      </w:r>
    </w:p>
    <w:p>
      <w:pPr>
        <w:spacing w:line="582"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面积互补政策</w:t>
      </w:r>
    </w:p>
    <w:p>
      <w:pPr>
        <w:spacing w:line="582" w:lineRule="exact"/>
        <w:ind w:firstLine="640" w:firstLineChars="200"/>
        <w:rPr>
          <w:rFonts w:eastAsia="仿宋_GB2312"/>
          <w:sz w:val="32"/>
          <w:szCs w:val="32"/>
        </w:rPr>
      </w:pPr>
      <w:r>
        <w:rPr>
          <w:rFonts w:eastAsia="仿宋_GB2312"/>
          <w:sz w:val="32"/>
          <w:szCs w:val="32"/>
        </w:rPr>
        <w:t>自回迁安置时，因本项目规划部门审批的房源户型与回迁安置所选户型建筑面积存在差异的，按照下述方式执行：</w:t>
      </w:r>
    </w:p>
    <w:p>
      <w:pPr>
        <w:spacing w:line="582" w:lineRule="exact"/>
        <w:ind w:firstLine="640" w:firstLineChars="200"/>
        <w:rPr>
          <w:rFonts w:eastAsia="仿宋_GB2312"/>
          <w:sz w:val="32"/>
          <w:szCs w:val="32"/>
        </w:rPr>
      </w:pPr>
      <w:r>
        <w:rPr>
          <w:rFonts w:eastAsia="仿宋_GB2312"/>
          <w:sz w:val="32"/>
          <w:szCs w:val="32"/>
        </w:rPr>
        <w:t>（1）所选回迁安置房源户型套内</w:t>
      </w:r>
      <w:r>
        <w:rPr>
          <w:rFonts w:hint="eastAsia" w:eastAsia="仿宋_GB2312"/>
          <w:sz w:val="32"/>
          <w:szCs w:val="32"/>
          <w:lang w:eastAsia="zh-CN"/>
        </w:rPr>
        <w:t>建筑</w:t>
      </w:r>
      <w:r>
        <w:rPr>
          <w:rFonts w:eastAsia="仿宋_GB2312"/>
          <w:sz w:val="32"/>
          <w:szCs w:val="32"/>
        </w:rPr>
        <w:t>面积小于被征收人可享受的房屋产权调换套内建筑面积的（含在签约时段签订协议的面积奖励），由征收人按照以下标准向被征收人进行面积补差：小于套内建筑面积在5平方米（含5平方米）以内的，按照5500元/平方米进行面积补差；小于套内建筑面积超过5平方米（不含5平方米）的，按照本项目《征收决定》发布之日被征收房屋的评估单价对被征收人进行补差。</w:t>
      </w:r>
    </w:p>
    <w:p>
      <w:pPr>
        <w:spacing w:line="582" w:lineRule="exact"/>
        <w:ind w:firstLine="640" w:firstLineChars="200"/>
        <w:rPr>
          <w:rFonts w:eastAsia="仿宋_GB2312"/>
          <w:sz w:val="32"/>
          <w:szCs w:val="32"/>
        </w:rPr>
      </w:pPr>
      <w:r>
        <w:rPr>
          <w:rFonts w:eastAsia="仿宋_GB2312"/>
          <w:sz w:val="32"/>
          <w:szCs w:val="32"/>
        </w:rPr>
        <w:t>（2）所选回迁安置房源户型套内</w:t>
      </w:r>
      <w:r>
        <w:rPr>
          <w:rFonts w:hint="eastAsia" w:ascii="Times New Roman" w:hAnsi="Times New Roman" w:eastAsia="仿宋_GB2312"/>
          <w:color w:val="auto"/>
          <w:sz w:val="32"/>
          <w:szCs w:val="32"/>
          <w:highlight w:val="none"/>
          <w:lang w:eastAsia="zh-CN"/>
        </w:rPr>
        <w:t>建筑</w:t>
      </w:r>
      <w:r>
        <w:rPr>
          <w:rFonts w:eastAsia="仿宋_GB2312"/>
          <w:sz w:val="32"/>
          <w:szCs w:val="32"/>
        </w:rPr>
        <w:t>面积超出</w:t>
      </w:r>
      <w:r>
        <w:rPr>
          <w:rFonts w:hint="eastAsia" w:ascii="Times New Roman" w:hAnsi="Times New Roman" w:eastAsia="仿宋_GB2312"/>
          <w:color w:val="auto"/>
          <w:sz w:val="32"/>
          <w:szCs w:val="32"/>
          <w:highlight w:val="none"/>
          <w:lang w:eastAsia="zh-CN"/>
        </w:rPr>
        <w:t>被征收人</w:t>
      </w:r>
      <w:r>
        <w:rPr>
          <w:rFonts w:eastAsia="仿宋_GB2312"/>
          <w:sz w:val="32"/>
          <w:szCs w:val="32"/>
        </w:rPr>
        <w:t>可享受的房屋产权调换套内建筑面积的（含在签约时段签订协议的面积奖励），由</w:t>
      </w:r>
      <w:r>
        <w:rPr>
          <w:rFonts w:hint="eastAsia" w:ascii="Times New Roman" w:hAnsi="Times New Roman" w:eastAsia="仿宋_GB2312"/>
          <w:color w:val="auto"/>
          <w:sz w:val="32"/>
          <w:szCs w:val="32"/>
          <w:highlight w:val="none"/>
          <w:lang w:eastAsia="zh-CN"/>
        </w:rPr>
        <w:t>被征收人</w:t>
      </w:r>
      <w:r>
        <w:rPr>
          <w:rFonts w:eastAsia="仿宋_GB2312"/>
          <w:sz w:val="32"/>
          <w:szCs w:val="32"/>
        </w:rPr>
        <w:t>按照以下标准向</w:t>
      </w:r>
      <w:r>
        <w:rPr>
          <w:rFonts w:hint="eastAsia" w:ascii="Times New Roman" w:hAnsi="Times New Roman" w:eastAsia="仿宋_GB2312"/>
          <w:color w:val="auto"/>
          <w:sz w:val="32"/>
          <w:szCs w:val="32"/>
          <w:highlight w:val="none"/>
          <w:lang w:eastAsia="zh-CN"/>
        </w:rPr>
        <w:t>征收人</w:t>
      </w:r>
      <w:r>
        <w:rPr>
          <w:rFonts w:eastAsia="仿宋_GB2312"/>
          <w:sz w:val="32"/>
          <w:szCs w:val="32"/>
        </w:rPr>
        <w:t>进行面积补差：超出套内建筑面积在5平方米（含5平方米）以内的，按照5500元/平方米进行面积补差；超出套内建筑面积超过5平方米（不含5平方米）的，按照本项目市场价进行面积补差。</w:t>
      </w:r>
    </w:p>
    <w:p>
      <w:pPr>
        <w:spacing w:line="582"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临时安置费</w:t>
      </w:r>
    </w:p>
    <w:p>
      <w:pPr>
        <w:spacing w:line="582" w:lineRule="exact"/>
        <w:ind w:firstLine="640" w:firstLineChars="200"/>
        <w:rPr>
          <w:rFonts w:eastAsia="仿宋_GB2312"/>
          <w:spacing w:val="-8"/>
          <w:sz w:val="32"/>
          <w:szCs w:val="32"/>
        </w:rPr>
      </w:pPr>
      <w:r>
        <w:rPr>
          <w:rFonts w:eastAsia="仿宋_GB2312"/>
          <w:sz w:val="32"/>
          <w:szCs w:val="32"/>
        </w:rPr>
        <w:t>（1）临时安置费为25元/平方米/月，以房屋交验之日起，</w:t>
      </w:r>
      <w:r>
        <w:rPr>
          <w:rFonts w:eastAsia="仿宋_GB2312"/>
          <w:spacing w:val="-8"/>
          <w:sz w:val="32"/>
          <w:szCs w:val="32"/>
        </w:rPr>
        <w:t>按照认定被征收房屋建筑面积计发临时安置费，每3个月计发一次。</w:t>
      </w:r>
    </w:p>
    <w:p>
      <w:pPr>
        <w:spacing w:line="582" w:lineRule="exact"/>
        <w:ind w:firstLine="640" w:firstLineChars="200"/>
        <w:rPr>
          <w:rFonts w:eastAsia="仿宋_GB2312"/>
          <w:sz w:val="32"/>
          <w:szCs w:val="32"/>
        </w:rPr>
      </w:pPr>
      <w:r>
        <w:rPr>
          <w:rFonts w:eastAsia="仿宋_GB2312"/>
          <w:sz w:val="32"/>
          <w:szCs w:val="32"/>
        </w:rPr>
        <w:t>（2）过渡期限为36个月，自被征收人签订补偿协议并交验房屋之日起算。若回迁安置房在协议约定过渡期限内未能按时交付的，临时安置费从第37个月起至产权调换房屋交付后三个月止，临时安置费按照原协议约定标准的2倍向被征收人支付。</w:t>
      </w:r>
    </w:p>
    <w:p>
      <w:pPr>
        <w:spacing w:line="582" w:lineRule="exact"/>
        <w:ind w:firstLine="640" w:firstLineChars="200"/>
        <w:rPr>
          <w:rFonts w:eastAsia="仿宋_GB2312"/>
          <w:sz w:val="32"/>
          <w:szCs w:val="32"/>
        </w:rPr>
      </w:pPr>
      <w:r>
        <w:rPr>
          <w:rFonts w:eastAsia="仿宋_GB2312"/>
          <w:sz w:val="32"/>
          <w:szCs w:val="32"/>
        </w:rPr>
        <w:t>（3）被征收房屋的《房屋所有权证》（或《不动产权证书》）载明的住宅建筑面积低于55平方米的，按55平方米计发临时安置费。</w:t>
      </w:r>
    </w:p>
    <w:p>
      <w:pPr>
        <w:spacing w:line="582" w:lineRule="exact"/>
        <w:ind w:firstLine="640" w:firstLineChars="200"/>
        <w:rPr>
          <w:rFonts w:eastAsia="仿宋_GB2312"/>
          <w:sz w:val="32"/>
          <w:szCs w:val="32"/>
        </w:rPr>
      </w:pPr>
      <w:r>
        <w:rPr>
          <w:rFonts w:eastAsia="仿宋_GB2312"/>
          <w:sz w:val="32"/>
          <w:szCs w:val="32"/>
        </w:rPr>
        <w:t>（4）被征收房屋的房屋所有人户籍内户主、直系亲属是残疾人的，临时安置补助费每户上浮20%。</w:t>
      </w:r>
    </w:p>
    <w:p>
      <w:pPr>
        <w:spacing w:line="582"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搬迁费：产权调换或者货币补偿加产权调换方式的给予每户3000元。</w:t>
      </w:r>
    </w:p>
    <w:p>
      <w:pPr>
        <w:spacing w:line="582" w:lineRule="exact"/>
        <w:ind w:firstLine="640" w:firstLineChars="200"/>
        <w:jc w:val="left"/>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房屋装饰装修价值补偿</w:t>
      </w:r>
    </w:p>
    <w:p>
      <w:pPr>
        <w:spacing w:line="582" w:lineRule="exact"/>
        <w:ind w:firstLine="640" w:firstLineChars="200"/>
        <w:rPr>
          <w:rFonts w:eastAsia="仿宋_GB2312"/>
          <w:sz w:val="32"/>
          <w:szCs w:val="32"/>
        </w:rPr>
      </w:pPr>
      <w:r>
        <w:rPr>
          <w:rFonts w:eastAsia="仿宋_GB2312"/>
          <w:sz w:val="32"/>
          <w:szCs w:val="32"/>
        </w:rPr>
        <w:t>被征收住宅房屋的房屋装饰装修价值由评估机构进行评估后，依据具有相应资质的房地产价格评估机构按照国家和云南省房屋征收评估相关规定及办法评估确定的价值进行货币补偿。</w:t>
      </w:r>
    </w:p>
    <w:p>
      <w:pPr>
        <w:spacing w:line="582"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房屋产权调换奖励费</w:t>
      </w:r>
    </w:p>
    <w:p>
      <w:pPr>
        <w:spacing w:line="582" w:lineRule="exact"/>
        <w:ind w:firstLine="640" w:firstLineChars="200"/>
        <w:rPr>
          <w:rFonts w:eastAsia="仿宋_GB2312"/>
          <w:sz w:val="32"/>
          <w:szCs w:val="32"/>
        </w:rPr>
      </w:pPr>
      <w:r>
        <w:rPr>
          <w:rFonts w:eastAsia="仿宋_GB2312"/>
          <w:sz w:val="32"/>
          <w:szCs w:val="32"/>
        </w:rPr>
        <w:t>（1）签约奖励</w:t>
      </w:r>
    </w:p>
    <w:p>
      <w:pPr>
        <w:spacing w:line="582" w:lineRule="exact"/>
        <w:ind w:firstLine="640" w:firstLineChars="200"/>
        <w:rPr>
          <w:rFonts w:eastAsia="仿宋_GB2312"/>
          <w:bCs/>
          <w:sz w:val="32"/>
          <w:szCs w:val="32"/>
        </w:rPr>
      </w:pPr>
      <w:r>
        <w:rPr>
          <w:rFonts w:eastAsia="仿宋_GB2312"/>
          <w:sz w:val="32"/>
          <w:szCs w:val="32"/>
        </w:rPr>
        <w:t>被征收人在方案规定的奖励时段内签订征收补偿安置协议，且房屋交验合格的，每户按奖励时段给予相应奖励，如超出规定时限则不予奖励。奖励办法如表二：</w:t>
      </w:r>
    </w:p>
    <w:p>
      <w:pPr>
        <w:spacing w:line="582" w:lineRule="exact"/>
        <w:ind w:firstLine="640" w:firstLineChars="200"/>
        <w:jc w:val="center"/>
        <w:rPr>
          <w:rFonts w:eastAsia="仿宋_GB2312"/>
          <w:bCs/>
          <w:sz w:val="32"/>
          <w:szCs w:val="32"/>
        </w:rPr>
      </w:pPr>
    </w:p>
    <w:p>
      <w:pPr>
        <w:spacing w:line="582" w:lineRule="exact"/>
        <w:ind w:firstLine="640" w:firstLineChars="200"/>
        <w:jc w:val="center"/>
        <w:rPr>
          <w:rFonts w:eastAsia="仿宋_GB2312"/>
          <w:bCs/>
          <w:sz w:val="32"/>
          <w:szCs w:val="32"/>
        </w:rPr>
      </w:pPr>
      <w:r>
        <w:rPr>
          <w:rFonts w:eastAsia="仿宋_GB2312"/>
          <w:bCs/>
          <w:sz w:val="32"/>
          <w:szCs w:val="32"/>
        </w:rPr>
        <w:t>表二（适用于住宅产权调换）</w:t>
      </w:r>
    </w:p>
    <w:tbl>
      <w:tblPr>
        <w:tblStyle w:val="30"/>
        <w:tblW w:w="8834"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5" w:type="dxa"/>
            <w:vAlign w:val="center"/>
          </w:tcPr>
          <w:p>
            <w:pPr>
              <w:pStyle w:val="25"/>
              <w:shd w:val="clear" w:color="auto" w:fill="FFFFFF"/>
              <w:spacing w:line="582" w:lineRule="exact"/>
              <w:ind w:firstLine="562" w:firstLineChars="20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奖励时段</w:t>
            </w:r>
          </w:p>
        </w:tc>
        <w:tc>
          <w:tcPr>
            <w:tcW w:w="2489" w:type="dxa"/>
            <w:vAlign w:val="center"/>
          </w:tcPr>
          <w:p>
            <w:pPr>
              <w:pStyle w:val="25"/>
              <w:shd w:val="clear" w:color="auto" w:fill="FFFFFF"/>
              <w:spacing w:line="582" w:lineRule="exact"/>
              <w:jc w:val="both"/>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签约奖励（元）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345" w:type="dxa"/>
            <w:vAlign w:val="center"/>
          </w:tcPr>
          <w:p>
            <w:pPr>
              <w:pStyle w:val="25"/>
              <w:shd w:val="clear" w:color="auto" w:fill="FFFFFF"/>
              <w:spacing w:line="582" w:lineRule="exact"/>
              <w:ind w:firstLine="560" w:firstLineChars="2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第一奖励时段</w:t>
            </w:r>
          </w:p>
          <w:p>
            <w:pPr>
              <w:pStyle w:val="25"/>
              <w:shd w:val="clear" w:color="auto" w:fill="FFFFFF"/>
              <w:spacing w:line="582" w:lineRule="exact"/>
              <w:jc w:val="both"/>
              <w:rPr>
                <w:rFonts w:ascii="Times New Roman" w:hAnsi="Times New Roman" w:eastAsia="仿宋_GB2312" w:cs="Times New Roman"/>
                <w:sz w:val="28"/>
                <w:szCs w:val="28"/>
              </w:rPr>
            </w:pPr>
            <w:r>
              <w:rPr>
                <w:rFonts w:ascii="Times New Roman" w:hAnsi="Times New Roman" w:eastAsia="仿宋_GB2312" w:cs="Times New Roman"/>
                <w:spacing w:val="-8"/>
                <w:sz w:val="28"/>
                <w:szCs w:val="28"/>
              </w:rPr>
              <w:t>（自房屋征收决定公告发布之日起第1日至第15日）</w:t>
            </w:r>
          </w:p>
        </w:tc>
        <w:tc>
          <w:tcPr>
            <w:tcW w:w="2489" w:type="dxa"/>
            <w:vAlign w:val="center"/>
          </w:tcPr>
          <w:p>
            <w:pPr>
              <w:pStyle w:val="25"/>
              <w:shd w:val="clear" w:color="auto" w:fill="FFFFFF"/>
              <w:spacing w:line="582" w:lineRule="exact"/>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345" w:type="dxa"/>
            <w:vAlign w:val="center"/>
          </w:tcPr>
          <w:p>
            <w:pPr>
              <w:pStyle w:val="25"/>
              <w:shd w:val="clear" w:color="auto" w:fill="FFFFFF"/>
              <w:spacing w:line="582" w:lineRule="exact"/>
              <w:ind w:firstLine="560" w:firstLineChars="2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第二奖励时段</w:t>
            </w:r>
          </w:p>
          <w:p>
            <w:pPr>
              <w:pStyle w:val="25"/>
              <w:shd w:val="clear" w:color="auto" w:fill="FFFFFF"/>
              <w:spacing w:line="582" w:lineRule="exact"/>
              <w:jc w:val="both"/>
              <w:rPr>
                <w:rFonts w:ascii="Times New Roman" w:hAnsi="Times New Roman" w:eastAsia="仿宋_GB2312" w:cs="Times New Roman"/>
                <w:sz w:val="28"/>
                <w:szCs w:val="28"/>
              </w:rPr>
            </w:pPr>
            <w:r>
              <w:rPr>
                <w:rFonts w:ascii="Times New Roman" w:hAnsi="Times New Roman" w:eastAsia="仿宋_GB2312" w:cs="Times New Roman"/>
                <w:spacing w:val="-8"/>
                <w:sz w:val="28"/>
                <w:szCs w:val="28"/>
              </w:rPr>
              <w:t>（自房屋征收决定公告发布之日起第16日至第30日）</w:t>
            </w:r>
          </w:p>
        </w:tc>
        <w:tc>
          <w:tcPr>
            <w:tcW w:w="2489" w:type="dxa"/>
            <w:vAlign w:val="center"/>
          </w:tcPr>
          <w:p>
            <w:pPr>
              <w:pStyle w:val="25"/>
              <w:shd w:val="clear" w:color="auto" w:fill="FFFFFF"/>
              <w:spacing w:line="582" w:lineRule="exact"/>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834" w:type="dxa"/>
            <w:gridSpan w:val="2"/>
            <w:vAlign w:val="center"/>
          </w:tcPr>
          <w:p>
            <w:pPr>
              <w:pStyle w:val="25"/>
              <w:shd w:val="clear" w:color="auto" w:fill="FFFFFF"/>
              <w:spacing w:line="582" w:lineRule="exact"/>
              <w:ind w:firstLine="560" w:firstLineChars="2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奖励时段届满未完成签约并搬迁的不予以奖励、补贴和优惠。</w:t>
            </w:r>
          </w:p>
        </w:tc>
      </w:tr>
    </w:tbl>
    <w:p>
      <w:pPr>
        <w:numPr>
          <w:ilvl w:val="0"/>
          <w:numId w:val="2"/>
        </w:numPr>
        <w:spacing w:line="582" w:lineRule="exact"/>
        <w:ind w:firstLine="640" w:firstLineChars="200"/>
        <w:jc w:val="left"/>
        <w:rPr>
          <w:rFonts w:eastAsia="仿宋_GB2312"/>
          <w:sz w:val="32"/>
          <w:szCs w:val="32"/>
        </w:rPr>
      </w:pPr>
      <w:r>
        <w:rPr>
          <w:rFonts w:eastAsia="仿宋_GB2312"/>
          <w:sz w:val="32"/>
          <w:szCs w:val="32"/>
        </w:rPr>
        <w:t>面积奖励</w:t>
      </w:r>
    </w:p>
    <w:p>
      <w:pPr>
        <w:spacing w:line="582" w:lineRule="exact"/>
        <w:ind w:firstLine="640" w:firstLineChars="200"/>
        <w:jc w:val="both"/>
        <w:rPr>
          <w:rFonts w:eastAsia="仿宋_GB2312"/>
          <w:sz w:val="32"/>
          <w:szCs w:val="32"/>
        </w:rPr>
      </w:pPr>
      <w:r>
        <w:rPr>
          <w:rFonts w:eastAsia="仿宋_GB2312"/>
          <w:sz w:val="32"/>
          <w:szCs w:val="32"/>
        </w:rPr>
        <w:t>被征收人在本方案规定的</w:t>
      </w:r>
      <w:r>
        <w:rPr>
          <w:rFonts w:hint="eastAsia" w:ascii="Times New Roman" w:hAnsi="Times New Roman" w:eastAsia="仿宋_GB2312"/>
          <w:color w:val="auto"/>
          <w:sz w:val="32"/>
          <w:szCs w:val="32"/>
          <w:highlight w:val="none"/>
          <w:lang w:eastAsia="zh-Hans"/>
        </w:rPr>
        <w:t>第一奖励时段</w:t>
      </w:r>
      <w:r>
        <w:rPr>
          <w:rFonts w:eastAsia="仿宋_GB2312"/>
          <w:sz w:val="32"/>
          <w:szCs w:val="32"/>
        </w:rPr>
        <w:t>内签订征收补偿安置协议，完成搬迁并交付被征收住宅房屋的，每户奖励5平方米的套内建筑面积（适用于住宅产权调换）。</w:t>
      </w:r>
    </w:p>
    <w:p>
      <w:pPr>
        <w:spacing w:line="582"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w:t>
      </w:r>
      <w:r>
        <w:rPr>
          <w:rFonts w:eastAsia="仿宋_GB2312"/>
          <w:sz w:val="32"/>
          <w:szCs w:val="32"/>
        </w:rPr>
        <w:t>回迁安置房相关规定</w:t>
      </w:r>
    </w:p>
    <w:p>
      <w:pPr>
        <w:spacing w:line="582" w:lineRule="exact"/>
        <w:ind w:firstLine="640" w:firstLineChars="200"/>
        <w:rPr>
          <w:rFonts w:eastAsia="仿宋_GB2312"/>
          <w:sz w:val="32"/>
          <w:szCs w:val="32"/>
        </w:rPr>
      </w:pPr>
      <w:r>
        <w:rPr>
          <w:rFonts w:eastAsia="仿宋_GB2312"/>
          <w:sz w:val="32"/>
          <w:szCs w:val="32"/>
        </w:rPr>
        <w:t>（1）选择产权调换的，回迁地点为就近安置，如后续根据</w:t>
      </w:r>
      <w:r>
        <w:rPr>
          <w:rFonts w:eastAsia="仿宋_GB2312"/>
          <w:spacing w:val="-6"/>
          <w:sz w:val="32"/>
          <w:szCs w:val="32"/>
        </w:rPr>
        <w:t>昆明市相关规定采用房票方式安置的，按房票安置相关办法实施。</w:t>
      </w:r>
    </w:p>
    <w:p>
      <w:pPr>
        <w:spacing w:line="582" w:lineRule="exact"/>
        <w:ind w:firstLine="640" w:firstLineChars="200"/>
        <w:rPr>
          <w:rFonts w:eastAsia="仿宋_GB2312"/>
          <w:sz w:val="32"/>
          <w:szCs w:val="32"/>
        </w:rPr>
      </w:pPr>
      <w:r>
        <w:rPr>
          <w:rFonts w:eastAsia="仿宋_GB2312"/>
          <w:sz w:val="32"/>
          <w:szCs w:val="32"/>
        </w:rPr>
        <w:t>（2）回迁安置房选房顺序按照</w:t>
      </w:r>
      <w:r>
        <w:rPr>
          <w:rFonts w:hint="eastAsia" w:ascii="仿宋_GB2312" w:eastAsia="仿宋_GB2312"/>
          <w:sz w:val="32"/>
          <w:szCs w:val="32"/>
        </w:rPr>
        <w:t>“</w:t>
      </w:r>
      <w:r>
        <w:rPr>
          <w:rFonts w:eastAsia="仿宋_GB2312"/>
          <w:sz w:val="32"/>
          <w:szCs w:val="32"/>
        </w:rPr>
        <w:t>先签协议先选房</w:t>
      </w:r>
      <w:r>
        <w:rPr>
          <w:rFonts w:hint="eastAsia" w:ascii="仿宋_GB2312" w:eastAsia="仿宋_GB2312"/>
          <w:sz w:val="32"/>
          <w:szCs w:val="32"/>
        </w:rPr>
        <w:t>”</w:t>
      </w:r>
      <w:r>
        <w:rPr>
          <w:rFonts w:eastAsia="仿宋_GB2312"/>
          <w:sz w:val="32"/>
          <w:szCs w:val="32"/>
        </w:rPr>
        <w:t>原则，以协议签订时确定的协议号先后顺序进行选房。</w:t>
      </w:r>
    </w:p>
    <w:p>
      <w:pPr>
        <w:spacing w:line="582" w:lineRule="exact"/>
        <w:ind w:firstLine="640" w:firstLineChars="200"/>
        <w:jc w:val="left"/>
        <w:rPr>
          <w:rFonts w:eastAsia="仿宋_GB2312"/>
          <w:sz w:val="32"/>
          <w:szCs w:val="32"/>
        </w:rPr>
      </w:pPr>
      <w:r>
        <w:rPr>
          <w:rFonts w:eastAsia="仿宋_GB2312"/>
          <w:sz w:val="32"/>
          <w:szCs w:val="32"/>
        </w:rPr>
        <w:t>（3）在回迁安置房完成竣工验收并达到交付条件后交房。</w:t>
      </w:r>
    </w:p>
    <w:p>
      <w:pPr>
        <w:spacing w:line="582" w:lineRule="exact"/>
        <w:ind w:firstLine="640" w:firstLineChars="200"/>
        <w:jc w:val="left"/>
        <w:rPr>
          <w:rFonts w:eastAsia="楷体_GB2312"/>
          <w:bCs/>
          <w:sz w:val="32"/>
          <w:szCs w:val="32"/>
        </w:rPr>
      </w:pPr>
      <w:r>
        <w:rPr>
          <w:rFonts w:eastAsia="楷体_GB2312"/>
          <w:bCs/>
          <w:sz w:val="32"/>
          <w:szCs w:val="32"/>
        </w:rPr>
        <w:t>（三）货币补偿加房屋产权调换</w:t>
      </w:r>
    </w:p>
    <w:p>
      <w:pPr>
        <w:spacing w:line="582" w:lineRule="exact"/>
        <w:ind w:firstLine="640" w:firstLineChars="200"/>
        <w:rPr>
          <w:rFonts w:eastAsia="仿宋_GB2312"/>
          <w:sz w:val="32"/>
          <w:szCs w:val="32"/>
        </w:rPr>
      </w:pPr>
      <w:r>
        <w:rPr>
          <w:rFonts w:eastAsia="仿宋_GB2312"/>
          <w:sz w:val="32"/>
          <w:szCs w:val="32"/>
        </w:rPr>
        <w:t>被征收人可选择货币补偿和产权调换相结合的方式进行补偿，按照住宅货币补偿及产权调换的相应标准执行。</w:t>
      </w:r>
    </w:p>
    <w:p>
      <w:pPr>
        <w:spacing w:line="582" w:lineRule="exact"/>
        <w:ind w:firstLine="640" w:firstLineChars="200"/>
        <w:rPr>
          <w:rFonts w:eastAsia="黑体"/>
          <w:sz w:val="32"/>
          <w:szCs w:val="32"/>
        </w:rPr>
      </w:pPr>
      <w:r>
        <w:rPr>
          <w:rFonts w:eastAsia="黑体"/>
          <w:sz w:val="32"/>
          <w:szCs w:val="32"/>
        </w:rPr>
        <w:t>七、非住宅性质被征收房屋及其他建（构）筑物补偿标准</w:t>
      </w:r>
    </w:p>
    <w:p>
      <w:pPr>
        <w:spacing w:line="582" w:lineRule="exact"/>
        <w:ind w:firstLine="640" w:firstLineChars="200"/>
        <w:rPr>
          <w:rFonts w:eastAsia="黑体"/>
          <w:sz w:val="32"/>
          <w:szCs w:val="32"/>
        </w:rPr>
      </w:pPr>
      <w:r>
        <w:rPr>
          <w:rFonts w:eastAsia="楷体_GB2312"/>
          <w:bCs/>
          <w:sz w:val="32"/>
          <w:szCs w:val="32"/>
        </w:rPr>
        <w:t>（一）货币补偿</w:t>
      </w:r>
    </w:p>
    <w:p>
      <w:pPr>
        <w:widowControl/>
        <w:spacing w:line="582" w:lineRule="exact"/>
        <w:ind w:firstLine="640" w:firstLineChars="200"/>
        <w:jc w:val="both"/>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被征收房屋价值（含装修）补偿。按照被征收房屋的造价由评估机构进行评估后，依据具有相应资质的房地产价格评估机构按照国家和云南省房屋征收评估相关规定及办法评估确定的价值实行一次性货币补偿。</w:t>
      </w:r>
    </w:p>
    <w:p>
      <w:pPr>
        <w:widowControl/>
        <w:spacing w:line="582"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搬迁费：机器设备、物资等搬迁、安装费用，由征收当事人协商确定，协商不成的，由具有相应资质的评估机构通过评估确定。</w:t>
      </w:r>
    </w:p>
    <w:p>
      <w:pPr>
        <w:spacing w:line="582"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停产停业损失费：</w:t>
      </w:r>
    </w:p>
    <w:p>
      <w:pPr>
        <w:widowControl/>
        <w:spacing w:line="582" w:lineRule="exact"/>
        <w:ind w:firstLine="640" w:firstLineChars="200"/>
        <w:jc w:val="left"/>
        <w:rPr>
          <w:rFonts w:eastAsia="仿宋_GB2312"/>
          <w:sz w:val="32"/>
          <w:szCs w:val="32"/>
        </w:rPr>
      </w:pPr>
      <w:r>
        <w:rPr>
          <w:rFonts w:eastAsia="仿宋_GB2312"/>
          <w:sz w:val="32"/>
          <w:szCs w:val="32"/>
        </w:rPr>
        <w:t>（1）国有土地上企业的停业补偿费，由征收当事人双方协商确定；协商不成的，由具有相应资质的评估机构评估确定。</w:t>
      </w:r>
    </w:p>
    <w:p>
      <w:pPr>
        <w:widowControl/>
        <w:spacing w:line="582" w:lineRule="exact"/>
        <w:ind w:firstLine="640" w:firstLineChars="200"/>
        <w:jc w:val="left"/>
        <w:rPr>
          <w:rFonts w:eastAsia="仿宋_GB2312"/>
          <w:sz w:val="32"/>
          <w:szCs w:val="32"/>
        </w:rPr>
      </w:pPr>
      <w:r>
        <w:rPr>
          <w:rFonts w:eastAsia="仿宋_GB2312"/>
          <w:sz w:val="32"/>
          <w:szCs w:val="32"/>
        </w:rPr>
        <w:t>（2）实行货币补偿的，商业、服务性行业停产停业损失费按3个月计算，工业生产行业停产停业损失费按6个月计算，一次性支付。</w:t>
      </w:r>
    </w:p>
    <w:p>
      <w:pPr>
        <w:widowControl/>
        <w:spacing w:line="582" w:lineRule="exact"/>
        <w:ind w:firstLine="640" w:firstLineChars="200"/>
        <w:jc w:val="left"/>
        <w:rPr>
          <w:rFonts w:eastAsia="仿宋_GB2312"/>
          <w:sz w:val="32"/>
          <w:szCs w:val="32"/>
        </w:rPr>
      </w:pPr>
      <w:r>
        <w:rPr>
          <w:rFonts w:eastAsia="仿宋_GB2312"/>
          <w:sz w:val="32"/>
          <w:szCs w:val="32"/>
        </w:rPr>
        <w:t>（3）给予停产停业损失补偿的被征收非住宅房屋应当具备下列条件：</w:t>
      </w:r>
    </w:p>
    <w:p>
      <w:pPr>
        <w:widowControl/>
        <w:spacing w:line="582" w:lineRule="exact"/>
        <w:ind w:firstLine="640" w:firstLineChars="200"/>
        <w:jc w:val="left"/>
        <w:rPr>
          <w:rFonts w:eastAsia="仿宋_GB2312"/>
          <w:sz w:val="32"/>
          <w:szCs w:val="32"/>
        </w:rPr>
      </w:pPr>
      <w:r>
        <w:rPr>
          <w:rFonts w:eastAsia="仿宋_GB2312"/>
          <w:sz w:val="32"/>
          <w:szCs w:val="32"/>
        </w:rPr>
        <w:t>①被征收人应当提供合法、有效的土地、房屋权属证明及营业执照、税务登记证以及其他相关许可证件；</w:t>
      </w:r>
    </w:p>
    <w:p>
      <w:pPr>
        <w:widowControl/>
        <w:spacing w:line="582" w:lineRule="exact"/>
        <w:ind w:firstLine="640" w:firstLineChars="200"/>
        <w:jc w:val="left"/>
        <w:rPr>
          <w:rFonts w:eastAsia="仿宋_GB2312"/>
          <w:sz w:val="32"/>
          <w:szCs w:val="32"/>
        </w:rPr>
      </w:pPr>
      <w:r>
        <w:rPr>
          <w:rFonts w:eastAsia="仿宋_GB2312"/>
          <w:sz w:val="32"/>
          <w:szCs w:val="32"/>
        </w:rPr>
        <w:t>②房屋征收公告发布前持续生产（经营）；</w:t>
      </w:r>
    </w:p>
    <w:p>
      <w:pPr>
        <w:widowControl/>
        <w:spacing w:line="582" w:lineRule="exact"/>
        <w:ind w:firstLine="640" w:firstLineChars="200"/>
        <w:jc w:val="left"/>
        <w:rPr>
          <w:rFonts w:eastAsia="仿宋_GB2312"/>
          <w:sz w:val="32"/>
          <w:szCs w:val="32"/>
        </w:rPr>
      </w:pPr>
      <w:r>
        <w:rPr>
          <w:rFonts w:eastAsia="仿宋_GB2312"/>
          <w:sz w:val="32"/>
          <w:szCs w:val="32"/>
        </w:rPr>
        <w:t>③因征收房屋造成停产停业损失。</w:t>
      </w:r>
    </w:p>
    <w:p>
      <w:pPr>
        <w:spacing w:line="582" w:lineRule="exact"/>
        <w:ind w:firstLine="480" w:firstLineChars="15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搬迁奖励</w:t>
      </w:r>
    </w:p>
    <w:p>
      <w:pPr>
        <w:spacing w:line="582" w:lineRule="exact"/>
        <w:rPr>
          <w:rFonts w:eastAsia="仿宋_GB2312"/>
          <w:sz w:val="32"/>
          <w:szCs w:val="32"/>
        </w:rPr>
      </w:pPr>
    </w:p>
    <w:tbl>
      <w:tblPr>
        <w:tblStyle w:val="123"/>
        <w:tblW w:w="893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86"/>
        <w:gridCol w:w="3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486" w:type="dxa"/>
            <w:tcBorders>
              <w:bottom w:val="single" w:color="auto" w:sz="4" w:space="0"/>
            </w:tcBorders>
          </w:tcPr>
          <w:p>
            <w:pPr>
              <w:autoSpaceDE w:val="0"/>
              <w:autoSpaceDN w:val="0"/>
              <w:spacing w:line="582" w:lineRule="exact"/>
              <w:ind w:firstLine="560" w:firstLineChars="200"/>
              <w:rPr>
                <w:rFonts w:eastAsia="仿宋_GB2312"/>
                <w:sz w:val="28"/>
                <w:szCs w:val="28"/>
                <w:lang w:eastAsia="zh-CN"/>
              </w:rPr>
            </w:pPr>
            <w:r>
              <w:rPr>
                <w:rFonts w:eastAsia="仿宋_GB2312"/>
                <w:sz w:val="28"/>
                <w:szCs w:val="28"/>
                <w:lang w:eastAsia="zh-CN"/>
              </w:rPr>
              <w:t>奖励时段</w:t>
            </w:r>
          </w:p>
        </w:tc>
        <w:tc>
          <w:tcPr>
            <w:tcW w:w="3444" w:type="dxa"/>
            <w:tcBorders>
              <w:bottom w:val="single" w:color="auto" w:sz="4" w:space="0"/>
            </w:tcBorders>
          </w:tcPr>
          <w:p>
            <w:pPr>
              <w:autoSpaceDE w:val="0"/>
              <w:autoSpaceDN w:val="0"/>
              <w:spacing w:line="582" w:lineRule="exact"/>
              <w:jc w:val="center"/>
              <w:rPr>
                <w:rFonts w:eastAsia="仿宋_GB2312"/>
                <w:sz w:val="28"/>
                <w:szCs w:val="28"/>
                <w:lang w:eastAsia="en-US"/>
              </w:rPr>
            </w:pPr>
            <w:r>
              <w:rPr>
                <w:rFonts w:eastAsia="仿宋_GB2312"/>
                <w:sz w:val="28"/>
                <w:szCs w:val="28"/>
                <w:lang w:eastAsia="en-US"/>
              </w:rPr>
              <w:t>奖励比例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5486" w:type="dxa"/>
            <w:tcBorders>
              <w:top w:val="single" w:color="auto" w:sz="4" w:space="0"/>
              <w:left w:val="single" w:color="auto" w:sz="4" w:space="0"/>
              <w:bottom w:val="single" w:color="auto" w:sz="4" w:space="0"/>
            </w:tcBorders>
            <w:vAlign w:val="center"/>
          </w:tcPr>
          <w:p>
            <w:pPr>
              <w:pStyle w:val="25"/>
              <w:shd w:val="clear" w:color="auto" w:fill="FFFFFF"/>
              <w:autoSpaceDE/>
              <w:autoSpaceDN/>
              <w:spacing w:line="582" w:lineRule="exact"/>
              <w:ind w:firstLine="480" w:firstLineChars="200"/>
              <w:jc w:val="center"/>
              <w:rPr>
                <w:rFonts w:ascii="Times New Roman" w:hAnsi="Times New Roman" w:eastAsia="仿宋_GB2312" w:cs="Times New Roman"/>
                <w:lang w:eastAsia="zh-CN"/>
              </w:rPr>
            </w:pPr>
            <w:r>
              <w:rPr>
                <w:rFonts w:ascii="Times New Roman" w:hAnsi="Times New Roman" w:eastAsia="仿宋_GB2312" w:cs="Times New Roman"/>
                <w:lang w:eastAsia="zh-CN"/>
              </w:rPr>
              <w:t>第一奖励时段</w:t>
            </w:r>
          </w:p>
          <w:p>
            <w:pPr>
              <w:pStyle w:val="25"/>
              <w:shd w:val="clear" w:color="auto" w:fill="FFFFFF"/>
              <w:autoSpaceDE/>
              <w:autoSpaceDN/>
              <w:spacing w:line="582" w:lineRule="exact"/>
              <w:jc w:val="center"/>
              <w:rPr>
                <w:rFonts w:ascii="Times New Roman" w:hAnsi="Times New Roman" w:eastAsia="仿宋_GB2312" w:cs="Times New Roman"/>
                <w:lang w:eastAsia="zh-CN"/>
              </w:rPr>
            </w:pPr>
            <w:r>
              <w:rPr>
                <w:rFonts w:ascii="Times New Roman" w:hAnsi="Times New Roman" w:eastAsia="仿宋_GB2312" w:cs="Times New Roman"/>
                <w:lang w:eastAsia="zh-CN"/>
              </w:rPr>
              <w:t>（自房屋征收决定公告发布之日起第1日至第15日）</w:t>
            </w:r>
          </w:p>
        </w:tc>
        <w:tc>
          <w:tcPr>
            <w:tcW w:w="3444" w:type="dxa"/>
            <w:tcBorders>
              <w:top w:val="single" w:color="auto" w:sz="4" w:space="0"/>
              <w:bottom w:val="single" w:color="auto" w:sz="4" w:space="0"/>
              <w:right w:val="single" w:color="auto" w:sz="4" w:space="0"/>
            </w:tcBorders>
            <w:vAlign w:val="center"/>
          </w:tcPr>
          <w:p>
            <w:pPr>
              <w:pStyle w:val="25"/>
              <w:shd w:val="clear" w:color="auto" w:fill="FFFFFF"/>
              <w:autoSpaceDE/>
              <w:autoSpaceDN/>
              <w:spacing w:line="582" w:lineRule="exact"/>
              <w:ind w:firstLine="480" w:firstLineChars="200"/>
              <w:jc w:val="center"/>
              <w:rPr>
                <w:rFonts w:ascii="Times New Roman" w:hAnsi="Times New Roman" w:eastAsia="仿宋_GB2312" w:cs="Times New Roman"/>
                <w:lang w:eastAsia="zh-CN"/>
              </w:rPr>
            </w:pPr>
            <w:r>
              <w:rPr>
                <w:rFonts w:ascii="Times New Roman" w:hAnsi="Times New Roman" w:eastAsia="仿宋_GB2312" w:cs="Times New Roman"/>
                <w:lang w:eastAsia="zh-CN"/>
              </w:rPr>
              <w:t>按主体建筑物（不含构筑物和附属物）补偿金额的4%。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5486" w:type="dxa"/>
            <w:tcBorders>
              <w:top w:val="single" w:color="auto" w:sz="4" w:space="0"/>
            </w:tcBorders>
            <w:vAlign w:val="center"/>
          </w:tcPr>
          <w:p>
            <w:pPr>
              <w:pStyle w:val="25"/>
              <w:shd w:val="clear" w:color="auto" w:fill="FFFFFF"/>
              <w:autoSpaceDE/>
              <w:autoSpaceDN/>
              <w:spacing w:line="582" w:lineRule="exact"/>
              <w:ind w:firstLine="480" w:firstLineChars="200"/>
              <w:jc w:val="center"/>
              <w:rPr>
                <w:rFonts w:ascii="Times New Roman" w:hAnsi="Times New Roman" w:eastAsia="仿宋_GB2312" w:cs="Times New Roman"/>
                <w:lang w:eastAsia="zh-CN"/>
              </w:rPr>
            </w:pPr>
            <w:r>
              <w:rPr>
                <w:rFonts w:ascii="Times New Roman" w:hAnsi="Times New Roman" w:eastAsia="仿宋_GB2312" w:cs="Times New Roman"/>
                <w:lang w:eastAsia="zh-CN"/>
              </w:rPr>
              <w:t>第二奖励时段</w:t>
            </w:r>
          </w:p>
          <w:p>
            <w:pPr>
              <w:pStyle w:val="25"/>
              <w:shd w:val="clear" w:color="auto" w:fill="FFFFFF"/>
              <w:autoSpaceDE/>
              <w:autoSpaceDN/>
              <w:spacing w:line="582" w:lineRule="exact"/>
              <w:jc w:val="both"/>
              <w:rPr>
                <w:rFonts w:ascii="Times New Roman" w:hAnsi="Times New Roman" w:eastAsia="仿宋_GB2312" w:cs="Times New Roman"/>
                <w:lang w:eastAsia="zh-CN"/>
              </w:rPr>
            </w:pPr>
            <w:r>
              <w:rPr>
                <w:rFonts w:ascii="Times New Roman" w:hAnsi="Times New Roman" w:eastAsia="仿宋_GB2312" w:cs="Times New Roman"/>
                <w:spacing w:val="-6"/>
                <w:lang w:eastAsia="zh-CN"/>
              </w:rPr>
              <w:t>（自房屋征收决定公告发布之日起第16日至第30日）</w:t>
            </w:r>
          </w:p>
        </w:tc>
        <w:tc>
          <w:tcPr>
            <w:tcW w:w="3444" w:type="dxa"/>
            <w:tcBorders>
              <w:top w:val="single" w:color="auto" w:sz="4" w:space="0"/>
            </w:tcBorders>
          </w:tcPr>
          <w:p>
            <w:pPr>
              <w:pStyle w:val="25"/>
              <w:shd w:val="clear" w:color="auto" w:fill="FFFFFF"/>
              <w:autoSpaceDE/>
              <w:autoSpaceDN/>
              <w:spacing w:line="582" w:lineRule="exact"/>
              <w:ind w:firstLine="480" w:firstLineChars="200"/>
              <w:jc w:val="center"/>
              <w:rPr>
                <w:rFonts w:ascii="Times New Roman" w:hAnsi="Times New Roman" w:eastAsia="仿宋_GB2312" w:cs="Times New Roman"/>
                <w:lang w:eastAsia="zh-CN"/>
              </w:rPr>
            </w:pPr>
          </w:p>
          <w:p>
            <w:pPr>
              <w:pStyle w:val="25"/>
              <w:shd w:val="clear" w:color="auto" w:fill="FFFFFF"/>
              <w:autoSpaceDE/>
              <w:autoSpaceDN/>
              <w:spacing w:line="582" w:lineRule="exact"/>
              <w:ind w:firstLine="480" w:firstLineChars="200"/>
              <w:jc w:val="center"/>
              <w:rPr>
                <w:rFonts w:ascii="Times New Roman" w:hAnsi="Times New Roman" w:eastAsia="仿宋_GB2312" w:cs="Times New Roman"/>
                <w:lang w:eastAsia="en-US"/>
              </w:rPr>
            </w:pPr>
            <w:r>
              <w:rPr>
                <w:rFonts w:ascii="Times New Roman" w:hAnsi="Times New Roman" w:eastAsia="仿宋_GB2312" w:cs="Times New Roman"/>
                <w:lang w:eastAsia="en-US"/>
              </w:rPr>
              <w:t>0</w:t>
            </w:r>
            <w:r>
              <w:rPr>
                <w:rFonts w:ascii="Times New Roman" w:hAnsi="Times New Roman" w:eastAsia="仿宋_GB2312" w:cs="Times New Roman"/>
                <w:lang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930" w:type="dxa"/>
            <w:gridSpan w:val="2"/>
            <w:vAlign w:val="center"/>
          </w:tcPr>
          <w:p>
            <w:pPr>
              <w:pStyle w:val="25"/>
              <w:shd w:val="clear" w:color="auto" w:fill="FFFFFF"/>
              <w:autoSpaceDE/>
              <w:autoSpaceDN/>
              <w:spacing w:line="582" w:lineRule="exact"/>
              <w:ind w:firstLine="560" w:firstLineChars="200"/>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第一奖励时段届满后不给予搬迁奖励</w:t>
            </w:r>
          </w:p>
        </w:tc>
      </w:tr>
    </w:tbl>
    <w:p>
      <w:pPr>
        <w:spacing w:line="582" w:lineRule="exact"/>
        <w:ind w:firstLine="640" w:firstLineChars="200"/>
        <w:rPr>
          <w:rFonts w:eastAsia="黑体"/>
          <w:bCs/>
          <w:sz w:val="32"/>
          <w:szCs w:val="32"/>
        </w:rPr>
      </w:pPr>
      <w:r>
        <w:rPr>
          <w:rFonts w:eastAsia="黑体"/>
          <w:bCs/>
          <w:sz w:val="32"/>
          <w:szCs w:val="32"/>
        </w:rPr>
        <w:t>八、特困补助费</w:t>
      </w:r>
    </w:p>
    <w:p>
      <w:pPr>
        <w:spacing w:line="582" w:lineRule="exact"/>
        <w:ind w:firstLine="640" w:firstLineChars="200"/>
        <w:rPr>
          <w:rFonts w:eastAsia="仿宋_GB2312"/>
          <w:sz w:val="32"/>
          <w:szCs w:val="32"/>
        </w:rPr>
      </w:pPr>
      <w:r>
        <w:rPr>
          <w:rFonts w:eastAsia="仿宋_GB2312"/>
          <w:sz w:val="32"/>
          <w:szCs w:val="32"/>
        </w:rPr>
        <w:t>本项目征收决定公告前，被征收人户籍内户主、直系亲属有下列情况之一的，提供相应有效证件、证明，每户可以享受一次性不超过5000元的特困补助费：</w:t>
      </w:r>
    </w:p>
    <w:p>
      <w:pPr>
        <w:spacing w:line="582"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五保户；</w:t>
      </w:r>
    </w:p>
    <w:p>
      <w:pPr>
        <w:spacing w:line="582"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民政部门抚养的孤寡老人；</w:t>
      </w:r>
    </w:p>
    <w:p>
      <w:pPr>
        <w:spacing w:line="582"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烈士家属；</w:t>
      </w:r>
    </w:p>
    <w:p>
      <w:pPr>
        <w:spacing w:line="582"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城乡低保户；</w:t>
      </w:r>
    </w:p>
    <w:p>
      <w:pPr>
        <w:spacing w:line="582"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残疾人。</w:t>
      </w:r>
    </w:p>
    <w:p>
      <w:pPr>
        <w:spacing w:line="582" w:lineRule="exact"/>
        <w:ind w:firstLine="640" w:firstLineChars="200"/>
        <w:rPr>
          <w:rFonts w:eastAsia="黑体"/>
          <w:bCs/>
          <w:sz w:val="32"/>
          <w:szCs w:val="32"/>
        </w:rPr>
      </w:pPr>
      <w:r>
        <w:rPr>
          <w:rFonts w:eastAsia="黑体"/>
          <w:bCs/>
          <w:sz w:val="32"/>
          <w:szCs w:val="32"/>
        </w:rPr>
        <w:t>九、房屋征收评估原则</w:t>
      </w:r>
    </w:p>
    <w:p>
      <w:pPr>
        <w:spacing w:line="582" w:lineRule="exact"/>
        <w:ind w:firstLine="640" w:firstLineChars="200"/>
        <w:rPr>
          <w:rFonts w:eastAsia="仿宋_GB2312"/>
          <w:sz w:val="32"/>
          <w:szCs w:val="32"/>
          <w:lang w:eastAsia="zh-Hans"/>
        </w:rPr>
      </w:pPr>
      <w:r>
        <w:rPr>
          <w:rFonts w:eastAsia="仿宋_GB2312"/>
          <w:sz w:val="32"/>
          <w:szCs w:val="32"/>
        </w:rPr>
        <w:t>（一）</w:t>
      </w:r>
      <w:r>
        <w:rPr>
          <w:rFonts w:eastAsia="仿宋_GB2312"/>
          <w:sz w:val="32"/>
          <w:szCs w:val="32"/>
          <w:lang w:eastAsia="zh-Hans"/>
        </w:rPr>
        <w:t>房地产价格评估机构由被征收人协商选定；协商不成的，由房屋征收部门（房屋征收实施单位）组织被征收人按照少数服从多数的原则投票决定，也可以由房屋征收部门（房屋征收实施单位）或者被征收人采取摇号、抽签等随机方式确定。</w:t>
      </w:r>
    </w:p>
    <w:p>
      <w:pPr>
        <w:spacing w:line="582" w:lineRule="exact"/>
        <w:ind w:firstLine="640" w:firstLineChars="200"/>
        <w:rPr>
          <w:rFonts w:eastAsia="仿宋_GB2312"/>
          <w:sz w:val="32"/>
          <w:szCs w:val="32"/>
          <w:lang w:eastAsia="zh-Hans"/>
        </w:rPr>
      </w:pPr>
      <w:r>
        <w:rPr>
          <w:rFonts w:eastAsia="仿宋_GB2312"/>
          <w:sz w:val="32"/>
          <w:szCs w:val="32"/>
          <w:lang w:eastAsia="zh-Hans"/>
        </w:rPr>
        <w:t>（二）房屋征收部门</w:t>
      </w:r>
      <w:r>
        <w:rPr>
          <w:rFonts w:eastAsia="仿宋_GB2312"/>
          <w:sz w:val="32"/>
          <w:szCs w:val="32"/>
        </w:rPr>
        <w:t>（房屋征收实施单位）</w:t>
      </w:r>
      <w:r>
        <w:rPr>
          <w:rFonts w:eastAsia="仿宋_GB2312"/>
          <w:sz w:val="32"/>
          <w:szCs w:val="32"/>
          <w:lang w:eastAsia="zh-Hans"/>
        </w:rPr>
        <w:t>应当将分户的初步评估结果在征收范围内向被征收人公示，公示期不少于5日。被征收人对分户评估初步结果有异议的，房地产价格评估机构应当进行说明。存在错误的，应当予以修正。</w:t>
      </w:r>
    </w:p>
    <w:p>
      <w:pPr>
        <w:spacing w:line="582" w:lineRule="exact"/>
        <w:ind w:firstLine="640" w:firstLineChars="200"/>
        <w:rPr>
          <w:rFonts w:eastAsia="仿宋_GB2312"/>
          <w:sz w:val="32"/>
          <w:szCs w:val="32"/>
        </w:rPr>
      </w:pPr>
      <w:r>
        <w:rPr>
          <w:rFonts w:eastAsia="仿宋_GB2312"/>
          <w:sz w:val="32"/>
          <w:szCs w:val="32"/>
          <w:lang w:eastAsia="zh-Hans"/>
        </w:rPr>
        <w:t>（三）公示期满后，房屋征收部门（房屋征收实施单位）应当将分户评估报告及时送达被征收人。房屋征收部门（房屋征收实施单位）或被征收人对评估结果有异议的，可以自收到评估报告之日起10日内，向房地产价格评估机构申请复核，房地产价格评估机构应当及时进行复核，复核不得收取费用。被征收人或者房屋征收部门（房屋征收实施单位）对复核结果有异议的，应当自收到复核结果之日起10日内，向云南省房地产评估专家委员会申请鉴定。房屋征收评估、鉴定费用由委托人或者申请人承担。但鉴定改变原评估结果的，由原房地产价格评估机构承担。经云南省房地产评估专家委员会鉴定后，被征收人对补偿仍有异议的，按照《国有土地上房屋征收与补偿条例》（国务院令第590号）第二十六条规定处理。</w:t>
      </w:r>
    </w:p>
    <w:p>
      <w:pPr>
        <w:spacing w:line="582" w:lineRule="exact"/>
        <w:ind w:firstLine="640" w:firstLineChars="200"/>
        <w:rPr>
          <w:rFonts w:eastAsia="黑体"/>
          <w:bCs/>
          <w:sz w:val="32"/>
          <w:szCs w:val="32"/>
        </w:rPr>
      </w:pPr>
      <w:r>
        <w:rPr>
          <w:rFonts w:eastAsia="黑体"/>
          <w:bCs/>
          <w:sz w:val="32"/>
          <w:szCs w:val="32"/>
        </w:rPr>
        <w:t>十、办理征收补偿协议时，被征收人需移交如下相关证明文件，被征收人出具的下述证照及相关证件必须是具有法律效力或行政效力的文件，方可办理征收补偿手续：</w:t>
      </w:r>
    </w:p>
    <w:p>
      <w:pPr>
        <w:spacing w:line="582" w:lineRule="exact"/>
        <w:ind w:firstLine="640" w:firstLineChars="200"/>
        <w:rPr>
          <w:rFonts w:eastAsia="仿宋_GB2312"/>
          <w:sz w:val="32"/>
          <w:szCs w:val="32"/>
          <w:lang w:eastAsia="zh-Hans"/>
        </w:rPr>
      </w:pPr>
      <w:r>
        <w:rPr>
          <w:rFonts w:eastAsia="仿宋_GB2312"/>
          <w:sz w:val="32"/>
          <w:szCs w:val="32"/>
        </w:rPr>
        <w:t>（一）</w:t>
      </w:r>
      <w:r>
        <w:rPr>
          <w:rFonts w:eastAsia="仿宋_GB2312"/>
          <w:sz w:val="32"/>
          <w:szCs w:val="32"/>
          <w:lang w:eastAsia="zh-Hans"/>
        </w:rPr>
        <w:t>《房屋所有权证》或《不动产权证书》《房屋共有权证》（原件）；</w:t>
      </w:r>
    </w:p>
    <w:p>
      <w:pPr>
        <w:spacing w:line="582" w:lineRule="exact"/>
        <w:ind w:firstLine="640" w:firstLineChars="200"/>
        <w:rPr>
          <w:rFonts w:eastAsia="仿宋_GB2312"/>
          <w:sz w:val="32"/>
          <w:szCs w:val="32"/>
          <w:lang w:eastAsia="zh-Hans"/>
        </w:rPr>
      </w:pPr>
      <w:r>
        <w:rPr>
          <w:rFonts w:eastAsia="仿宋_GB2312"/>
          <w:sz w:val="32"/>
          <w:szCs w:val="32"/>
          <w:lang w:eastAsia="zh-Hans"/>
        </w:rPr>
        <w:t>（二）《国有土地使用证》（原件），按办理国有土地使用权证收回注销手续的要求提交收回申请、个人（或法人)身份证明、委托书等相关资料；</w:t>
      </w:r>
    </w:p>
    <w:p>
      <w:pPr>
        <w:spacing w:line="582" w:lineRule="exact"/>
        <w:ind w:firstLine="640" w:firstLineChars="200"/>
        <w:rPr>
          <w:rFonts w:eastAsia="仿宋_GB2312"/>
          <w:sz w:val="32"/>
          <w:szCs w:val="32"/>
          <w:lang w:eastAsia="zh-Hans"/>
        </w:rPr>
      </w:pPr>
      <w:r>
        <w:rPr>
          <w:rFonts w:eastAsia="仿宋_GB2312"/>
          <w:sz w:val="32"/>
          <w:szCs w:val="32"/>
          <w:lang w:eastAsia="zh-Hans"/>
        </w:rPr>
        <w:t>（三）其他办理征收补偿事宜需提交的相关材料；</w:t>
      </w:r>
    </w:p>
    <w:p>
      <w:pPr>
        <w:spacing w:line="582" w:lineRule="exact"/>
        <w:ind w:firstLine="640" w:firstLineChars="200"/>
        <w:rPr>
          <w:rFonts w:eastAsia="仿宋_GB2312"/>
          <w:sz w:val="32"/>
          <w:szCs w:val="32"/>
        </w:rPr>
      </w:pPr>
      <w:r>
        <w:rPr>
          <w:rFonts w:eastAsia="仿宋_GB2312"/>
          <w:sz w:val="32"/>
          <w:szCs w:val="32"/>
          <w:lang w:eastAsia="zh-Hans"/>
        </w:rPr>
        <w:t>（四）签订房屋征收补偿协议后，由房屋征收实施单位持本条上述权证、征收补偿协议及被征收人的书面委托及时向不动产登记管理部门办理注销登记手续。被征收人应无条件配合房屋征收实施单位完成被征收房屋及土地等相关证件的注销工作。</w:t>
      </w:r>
    </w:p>
    <w:p>
      <w:pPr>
        <w:spacing w:line="582" w:lineRule="exact"/>
        <w:ind w:firstLine="640" w:firstLineChars="200"/>
        <w:rPr>
          <w:rFonts w:eastAsia="黑体"/>
          <w:bCs/>
          <w:sz w:val="32"/>
          <w:szCs w:val="32"/>
        </w:rPr>
      </w:pPr>
      <w:r>
        <w:rPr>
          <w:rFonts w:eastAsia="黑体"/>
          <w:bCs/>
          <w:sz w:val="32"/>
          <w:szCs w:val="32"/>
        </w:rPr>
        <w:t>十一、征收补偿款的支付</w:t>
      </w:r>
    </w:p>
    <w:p>
      <w:pPr>
        <w:spacing w:line="582" w:lineRule="exact"/>
        <w:ind w:firstLine="640" w:firstLineChars="200"/>
        <w:rPr>
          <w:rFonts w:eastAsia="仿宋_GB2312"/>
          <w:sz w:val="32"/>
          <w:szCs w:val="32"/>
        </w:rPr>
      </w:pPr>
      <w:r>
        <w:rPr>
          <w:rFonts w:eastAsia="仿宋_GB2312"/>
          <w:sz w:val="32"/>
          <w:szCs w:val="32"/>
          <w:lang w:eastAsia="zh-Hans"/>
        </w:rPr>
        <w:t>征收实施单位在与被征收人签订相关补偿协议前，须对被征收土地、房屋的担保、抵押、查封等情况进行查询核实，在确保无影响《土地使用证》</w:t>
      </w:r>
      <w:r>
        <w:rPr>
          <w:rFonts w:hint="eastAsia" w:eastAsia="仿宋_GB2312"/>
          <w:sz w:val="32"/>
          <w:szCs w:val="32"/>
          <w:lang w:eastAsia="zh-CN"/>
        </w:rPr>
        <w:t>、</w:t>
      </w:r>
      <w:r>
        <w:rPr>
          <w:rFonts w:eastAsia="仿宋_GB2312"/>
          <w:sz w:val="32"/>
          <w:szCs w:val="32"/>
          <w:lang w:eastAsia="zh-Hans"/>
        </w:rPr>
        <w:t>《房屋所有权证》（或《不动产权证书》）收回注销的情况下签订补偿协议；补偿协议签订后十五个工作日内，再次查询确定无影响《土地使用证》</w:t>
      </w:r>
      <w:r>
        <w:rPr>
          <w:rFonts w:hint="eastAsia" w:eastAsia="仿宋_GB2312"/>
          <w:sz w:val="32"/>
          <w:szCs w:val="32"/>
          <w:lang w:eastAsia="zh-CN"/>
        </w:rPr>
        <w:t>、</w:t>
      </w:r>
      <w:r>
        <w:rPr>
          <w:rFonts w:eastAsia="仿宋_GB2312"/>
          <w:sz w:val="32"/>
          <w:szCs w:val="32"/>
          <w:lang w:eastAsia="zh-Hans"/>
        </w:rPr>
        <w:t>《房屋所有权证》（或《不动产权证书》）收回注销情况后，拨付补偿协议约定补偿款的50%；被征收人腾空房屋交验合格（水、电等相关费用由被征收人自行结清），且被征收人协助征收人完成《土地使用证》</w:t>
      </w:r>
      <w:r>
        <w:rPr>
          <w:rFonts w:hint="eastAsia" w:eastAsia="仿宋_GB2312"/>
          <w:sz w:val="32"/>
          <w:szCs w:val="32"/>
          <w:lang w:eastAsia="zh-CN"/>
        </w:rPr>
        <w:t>、</w:t>
      </w:r>
      <w:r>
        <w:rPr>
          <w:rFonts w:eastAsia="仿宋_GB2312"/>
          <w:sz w:val="32"/>
          <w:szCs w:val="32"/>
          <w:lang w:eastAsia="zh-Hans"/>
        </w:rPr>
        <w:t>《房屋所有权证》（或《不动产权证书》）收回、注销工作，同时在征收补偿协议经跟踪评审单位初审完成后，于十五个工作日内拨付剩余征收补偿款，最终补偿金额以评审认定的金额为准。</w:t>
      </w:r>
    </w:p>
    <w:p>
      <w:pPr>
        <w:spacing w:line="582" w:lineRule="exact"/>
        <w:ind w:firstLine="640" w:firstLineChars="200"/>
        <w:rPr>
          <w:rFonts w:eastAsia="黑体"/>
          <w:bCs/>
          <w:sz w:val="32"/>
          <w:szCs w:val="32"/>
        </w:rPr>
      </w:pPr>
      <w:r>
        <w:rPr>
          <w:rFonts w:eastAsia="黑体"/>
          <w:bCs/>
          <w:sz w:val="32"/>
          <w:szCs w:val="32"/>
        </w:rPr>
        <w:t>十二、附则</w:t>
      </w:r>
    </w:p>
    <w:p>
      <w:pPr>
        <w:spacing w:line="582" w:lineRule="exact"/>
        <w:ind w:firstLine="640" w:firstLineChars="200"/>
        <w:rPr>
          <w:rFonts w:eastAsia="仿宋_GB2312"/>
          <w:sz w:val="32"/>
          <w:szCs w:val="32"/>
          <w:lang w:eastAsia="zh-Hans"/>
        </w:rPr>
      </w:pPr>
      <w:r>
        <w:rPr>
          <w:rFonts w:eastAsia="仿宋_GB2312"/>
          <w:sz w:val="32"/>
          <w:szCs w:val="32"/>
        </w:rPr>
        <w:t>（一）</w:t>
      </w:r>
      <w:r>
        <w:rPr>
          <w:rFonts w:eastAsia="仿宋_GB2312"/>
          <w:sz w:val="32"/>
          <w:szCs w:val="32"/>
          <w:lang w:eastAsia="zh-Hans"/>
        </w:rPr>
        <w:t>房屋征收部门（房屋征收实施单位）与被征收人在征收补偿方案确定的签约期限内达不成补偿协议，或者被征收房屋所有权人不明确、房屋所有权人下落不明的，由房屋征收部门（房屋征收实施单位）报请作出房屋征收决定的辖区政府按照征收补偿方案作出补偿决定，并在房屋征收范围内予以公告，公告期限不得少于30天。房屋征收实施单位在辖区政府作出补偿决定前，就被征收房屋的有关事项委托公证机关办理证据保全。</w:t>
      </w:r>
    </w:p>
    <w:p>
      <w:pPr>
        <w:spacing w:line="582" w:lineRule="exact"/>
        <w:ind w:firstLine="640" w:firstLineChars="200"/>
        <w:rPr>
          <w:rFonts w:eastAsia="仿宋_GB2312"/>
          <w:sz w:val="32"/>
          <w:szCs w:val="32"/>
          <w:lang w:eastAsia="zh-Hans"/>
        </w:rPr>
      </w:pPr>
      <w:r>
        <w:rPr>
          <w:rFonts w:eastAsia="仿宋_GB2312"/>
          <w:sz w:val="32"/>
          <w:szCs w:val="32"/>
          <w:lang w:eastAsia="zh-Hans"/>
        </w:rPr>
        <w:t>被征收人对补偿决定不服的，可以在法定期限内依法申请行政复议，也可以依法提起行政诉讼。被征收人在法定期限内不申请行政复议或不提起行政诉讼，在补偿决定规定的期限内又不搬</w:t>
      </w:r>
      <w:r>
        <w:rPr>
          <w:rFonts w:eastAsia="仿宋_GB2312"/>
          <w:spacing w:val="-8"/>
          <w:sz w:val="32"/>
          <w:szCs w:val="32"/>
          <w:lang w:eastAsia="zh-Hans"/>
        </w:rPr>
        <w:t>迁的，由作出房屋征收决定的人民政府依法申请人民法院强制执行。</w:t>
      </w:r>
    </w:p>
    <w:p>
      <w:pPr>
        <w:spacing w:line="582" w:lineRule="exact"/>
        <w:ind w:firstLine="640" w:firstLineChars="200"/>
        <w:rPr>
          <w:rFonts w:eastAsia="仿宋_GB2312"/>
          <w:sz w:val="32"/>
          <w:szCs w:val="32"/>
          <w:lang w:eastAsia="zh-Hans"/>
        </w:rPr>
      </w:pPr>
      <w:r>
        <w:rPr>
          <w:rFonts w:eastAsia="仿宋_GB2312"/>
          <w:sz w:val="32"/>
          <w:szCs w:val="32"/>
          <w:lang w:eastAsia="zh-Hans"/>
        </w:rPr>
        <w:t>（二）被征收房屋及土地设定有担保、抵押、查封的，依照国家相关担保、抵押、查封的法律规定执行。房屋征收实施单位在确定被征收人房屋及土地没有查封、抵押等情况或虽有前述情况但各方就解除查封、抵押情况等协商一致的，可签订征收补偿协议，但征收补偿款项严格按照相关法律法规规定及征收补偿协议约定进行拨付。</w:t>
      </w:r>
    </w:p>
    <w:p>
      <w:pPr>
        <w:spacing w:line="582" w:lineRule="exact"/>
        <w:ind w:firstLine="640" w:firstLineChars="200"/>
        <w:rPr>
          <w:rFonts w:eastAsia="仿宋_GB2312"/>
          <w:sz w:val="32"/>
          <w:szCs w:val="32"/>
          <w:lang w:eastAsia="zh-Hans"/>
        </w:rPr>
      </w:pPr>
      <w:r>
        <w:rPr>
          <w:rFonts w:eastAsia="仿宋_GB2312"/>
          <w:sz w:val="32"/>
          <w:szCs w:val="32"/>
          <w:lang w:eastAsia="zh-Hans"/>
        </w:rPr>
        <w:t>（三）被征收人搬迁时不得擅自拆除原房屋内的门、窗、水、电、煤气表等附属设施。</w:t>
      </w:r>
    </w:p>
    <w:p>
      <w:pPr>
        <w:spacing w:line="582" w:lineRule="exact"/>
        <w:ind w:firstLine="640" w:firstLineChars="200"/>
        <w:rPr>
          <w:rFonts w:eastAsia="仿宋_GB2312"/>
          <w:sz w:val="32"/>
          <w:szCs w:val="32"/>
          <w:lang w:eastAsia="zh-Hans"/>
        </w:rPr>
      </w:pPr>
      <w:r>
        <w:rPr>
          <w:rFonts w:eastAsia="仿宋_GB2312"/>
          <w:sz w:val="32"/>
          <w:szCs w:val="32"/>
          <w:lang w:eastAsia="zh-Hans"/>
        </w:rPr>
        <w:t>（四）被征收人须自行结清搬迁前所使用的水、电、煤气、有线电视、电话费等费用，并自行完成相关销户手续。</w:t>
      </w:r>
    </w:p>
    <w:p>
      <w:pPr>
        <w:spacing w:line="582" w:lineRule="exact"/>
        <w:ind w:firstLine="640" w:firstLineChars="200"/>
        <w:rPr>
          <w:rFonts w:eastAsia="仿宋_GB2312"/>
          <w:sz w:val="32"/>
          <w:szCs w:val="32"/>
          <w:lang w:eastAsia="zh-Hans"/>
        </w:rPr>
      </w:pPr>
      <w:r>
        <w:rPr>
          <w:rFonts w:eastAsia="仿宋_GB2312"/>
          <w:sz w:val="32"/>
          <w:szCs w:val="32"/>
          <w:lang w:eastAsia="zh-Hans"/>
        </w:rPr>
        <w:t>（五）凡在本次征收范围内的被征收人应积极支持、配合征收工作。</w:t>
      </w:r>
    </w:p>
    <w:p>
      <w:pPr>
        <w:spacing w:line="582" w:lineRule="exact"/>
        <w:ind w:firstLine="640" w:firstLineChars="200"/>
        <w:rPr>
          <w:rFonts w:eastAsia="仿宋_GB2312"/>
          <w:sz w:val="32"/>
          <w:szCs w:val="32"/>
          <w:lang w:eastAsia="zh-Hans"/>
        </w:rPr>
      </w:pPr>
      <w:r>
        <w:rPr>
          <w:rFonts w:eastAsia="仿宋_GB2312"/>
          <w:sz w:val="32"/>
          <w:szCs w:val="32"/>
          <w:lang w:eastAsia="zh-Hans"/>
        </w:rPr>
        <w:t>（六）房屋征收实施单位应当依照本方案的规定，对被征收人给予补偿，被征收人应当在搬迁期限内完成搬迁。若在搬迁期限内拒不搬迁的，将根据国家相关法律、法规规定执行。</w:t>
      </w:r>
    </w:p>
    <w:p>
      <w:pPr>
        <w:spacing w:line="582" w:lineRule="exact"/>
        <w:ind w:firstLine="640" w:firstLineChars="200"/>
        <w:rPr>
          <w:rFonts w:eastAsia="仿宋_GB2312"/>
          <w:sz w:val="32"/>
          <w:szCs w:val="32"/>
          <w:lang w:eastAsia="zh-Hans"/>
        </w:rPr>
      </w:pPr>
      <w:r>
        <w:rPr>
          <w:rFonts w:eastAsia="仿宋_GB2312"/>
          <w:sz w:val="32"/>
          <w:szCs w:val="32"/>
          <w:lang w:eastAsia="zh-Hans"/>
        </w:rPr>
        <w:t>（七）辱骂、殴打房屋征收工作人员、阻碍房屋征收工作的，由公安机关根据《中华人民共和国治安管理处罚法》的规定给予处罚，构成犯罪的由司法机关依法追究其刑事责任。</w:t>
      </w:r>
    </w:p>
    <w:p>
      <w:pPr>
        <w:spacing w:line="582" w:lineRule="exact"/>
        <w:ind w:firstLine="640" w:firstLineChars="200"/>
        <w:rPr>
          <w:rFonts w:eastAsia="仿宋_GB2312"/>
          <w:sz w:val="32"/>
          <w:szCs w:val="32"/>
          <w:lang w:eastAsia="zh-Hans"/>
        </w:rPr>
      </w:pPr>
      <w:r>
        <w:rPr>
          <w:rFonts w:eastAsia="仿宋_GB2312"/>
          <w:sz w:val="32"/>
          <w:szCs w:val="32"/>
          <w:lang w:eastAsia="zh-Hans"/>
        </w:rPr>
        <w:t>（八）涉及征收租赁房屋，被征收人与房屋承租人自行解除租赁关系。</w:t>
      </w:r>
    </w:p>
    <w:p>
      <w:pPr>
        <w:spacing w:line="582" w:lineRule="exact"/>
        <w:ind w:firstLine="640" w:firstLineChars="200"/>
        <w:rPr>
          <w:rFonts w:eastAsia="仿宋_GB2312"/>
          <w:sz w:val="32"/>
          <w:szCs w:val="32"/>
          <w:lang w:eastAsia="zh-Hans"/>
        </w:rPr>
      </w:pPr>
      <w:r>
        <w:rPr>
          <w:rFonts w:eastAsia="仿宋_GB2312"/>
          <w:sz w:val="32"/>
          <w:szCs w:val="32"/>
          <w:lang w:eastAsia="zh-Hans"/>
        </w:rPr>
        <w:t>（九）对产权不明晰的房屋及设有抵押权的房屋，依照国家相关法律法规执行。</w:t>
      </w:r>
    </w:p>
    <w:p>
      <w:pPr>
        <w:spacing w:line="582" w:lineRule="exact"/>
        <w:ind w:firstLine="640" w:firstLineChars="200"/>
        <w:rPr>
          <w:rFonts w:eastAsia="仿宋_GB2312"/>
          <w:sz w:val="32"/>
          <w:szCs w:val="32"/>
          <w:lang w:eastAsia="zh-Hans"/>
        </w:rPr>
      </w:pPr>
      <w:r>
        <w:rPr>
          <w:rFonts w:eastAsia="仿宋_GB2312"/>
          <w:sz w:val="32"/>
          <w:szCs w:val="32"/>
          <w:lang w:eastAsia="zh-Hans"/>
        </w:rPr>
        <w:t>（十）本征收补偿实施方案仅适用于西山区</w:t>
      </w:r>
      <w:r>
        <w:rPr>
          <w:rFonts w:hint="eastAsia" w:eastAsia="仿宋_GB2312"/>
          <w:sz w:val="32"/>
          <w:szCs w:val="32"/>
          <w:lang w:eastAsia="zh-CN"/>
        </w:rPr>
        <w:t>棕树营街道土堆村（</w:t>
      </w:r>
      <w:r>
        <w:rPr>
          <w:rFonts w:hint="eastAsia" w:eastAsia="仿宋_GB2312"/>
          <w:sz w:val="32"/>
          <w:szCs w:val="32"/>
          <w:lang w:val="en-US" w:eastAsia="zh-CN"/>
        </w:rPr>
        <w:t>4号片区三期</w:t>
      </w:r>
      <w:r>
        <w:rPr>
          <w:rFonts w:hint="eastAsia" w:eastAsia="仿宋_GB2312"/>
          <w:sz w:val="32"/>
          <w:szCs w:val="32"/>
          <w:lang w:eastAsia="zh-CN"/>
        </w:rPr>
        <w:t>）</w:t>
      </w:r>
      <w:r>
        <w:rPr>
          <w:rFonts w:eastAsia="仿宋_GB2312"/>
          <w:sz w:val="32"/>
          <w:szCs w:val="32"/>
          <w:lang w:eastAsia="zh-Hans"/>
        </w:rPr>
        <w:t>城中村改造项目国有土地上房屋的征收补偿。</w:t>
      </w:r>
    </w:p>
    <w:p>
      <w:pPr>
        <w:spacing w:line="582" w:lineRule="exact"/>
        <w:ind w:firstLine="640" w:firstLineChars="200"/>
        <w:rPr>
          <w:rFonts w:eastAsia="仿宋_GB2312"/>
          <w:sz w:val="32"/>
          <w:szCs w:val="32"/>
          <w:lang w:eastAsia="zh-Hans"/>
        </w:rPr>
      </w:pPr>
      <w:r>
        <w:rPr>
          <w:rFonts w:eastAsia="仿宋_GB2312"/>
          <w:sz w:val="32"/>
          <w:szCs w:val="32"/>
          <w:lang w:eastAsia="zh-Hans"/>
        </w:rPr>
        <w:t>（十一）本实施方案由征收实施单位负责组织实施并解释。</w:t>
      </w:r>
    </w:p>
    <w:p>
      <w:pPr>
        <w:spacing w:line="582" w:lineRule="exact"/>
        <w:ind w:firstLine="640" w:firstLineChars="200"/>
        <w:rPr>
          <w:rFonts w:eastAsia="仿宋"/>
          <w:sz w:val="32"/>
          <w:szCs w:val="32"/>
        </w:rPr>
      </w:pPr>
      <w:r>
        <w:rPr>
          <w:rFonts w:eastAsia="仿宋_GB2312"/>
          <w:sz w:val="32"/>
          <w:szCs w:val="32"/>
          <w:lang w:eastAsia="zh-Hans"/>
        </w:rPr>
        <w:t>（十二）本方案未尽事宜由征收实施单位召集相关部门专题研究，按会议纪要执行。如有需要，报请区政府及相关职能部门研究决定。</w:t>
      </w:r>
    </w:p>
    <w:p>
      <w:pPr>
        <w:spacing w:line="582" w:lineRule="exact"/>
        <w:rPr>
          <w:rFonts w:eastAsia="黑体"/>
          <w:sz w:val="32"/>
          <w:szCs w:val="32"/>
        </w:rPr>
      </w:pPr>
      <w:r>
        <w:rPr>
          <w:rFonts w:hAnsi="黑体" w:eastAsia="黑体"/>
          <w:sz w:val="32"/>
          <w:szCs w:val="32"/>
        </w:rPr>
        <w:t>附表</w:t>
      </w:r>
      <w:r>
        <w:rPr>
          <w:rFonts w:eastAsia="黑体"/>
          <w:sz w:val="32"/>
          <w:szCs w:val="32"/>
        </w:rPr>
        <w:t>:</w:t>
      </w:r>
    </w:p>
    <w:p>
      <w:pPr>
        <w:spacing w:line="582" w:lineRule="exact"/>
        <w:jc w:val="center"/>
        <w:rPr>
          <w:rFonts w:hint="eastAsia" w:eastAsia="仿宋_GB2312"/>
          <w:sz w:val="32"/>
          <w:szCs w:val="32"/>
        </w:rPr>
      </w:pPr>
    </w:p>
    <w:p>
      <w:pPr>
        <w:spacing w:line="582" w:lineRule="exact"/>
        <w:jc w:val="center"/>
        <w:rPr>
          <w:rFonts w:eastAsia="仿宋_GB2312"/>
          <w:sz w:val="32"/>
          <w:szCs w:val="32"/>
        </w:rPr>
      </w:pPr>
      <w:r>
        <w:rPr>
          <w:rFonts w:eastAsia="仿宋_GB2312"/>
          <w:sz w:val="32"/>
          <w:szCs w:val="32"/>
        </w:rPr>
        <w:t>西山区棕树营街道土堆村（4号片区三期）城中村改造项目相关设施、设备补偿标准</w:t>
      </w:r>
    </w:p>
    <w:tbl>
      <w:tblPr>
        <w:tblStyle w:val="30"/>
        <w:tblpPr w:leftFromText="180" w:rightFromText="180" w:vertAnchor="text" w:horzAnchor="page" w:tblpX="1500" w:tblpY="390"/>
        <w:tblOverlap w:val="never"/>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163"/>
        <w:gridCol w:w="1243"/>
        <w:gridCol w:w="1364"/>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68" w:type="dxa"/>
            <w:vAlign w:val="center"/>
          </w:tcPr>
          <w:p>
            <w:pPr>
              <w:spacing w:line="582" w:lineRule="exact"/>
              <w:jc w:val="center"/>
              <w:rPr>
                <w:rFonts w:eastAsia="仿宋_GB2312"/>
                <w:sz w:val="28"/>
                <w:szCs w:val="28"/>
              </w:rPr>
            </w:pPr>
            <w:r>
              <w:rPr>
                <w:rFonts w:eastAsia="仿宋_GB2312"/>
                <w:sz w:val="28"/>
                <w:szCs w:val="28"/>
              </w:rPr>
              <w:t>序号</w:t>
            </w:r>
          </w:p>
        </w:tc>
        <w:tc>
          <w:tcPr>
            <w:tcW w:w="3163" w:type="dxa"/>
            <w:vAlign w:val="center"/>
          </w:tcPr>
          <w:p>
            <w:pPr>
              <w:spacing w:line="582" w:lineRule="exact"/>
              <w:jc w:val="center"/>
              <w:rPr>
                <w:rFonts w:eastAsia="仿宋_GB2312"/>
                <w:sz w:val="28"/>
                <w:szCs w:val="28"/>
              </w:rPr>
            </w:pPr>
            <w:r>
              <w:rPr>
                <w:rFonts w:eastAsia="仿宋_GB2312"/>
                <w:sz w:val="28"/>
                <w:szCs w:val="28"/>
              </w:rPr>
              <w:t>类别</w:t>
            </w:r>
          </w:p>
        </w:tc>
        <w:tc>
          <w:tcPr>
            <w:tcW w:w="1243" w:type="dxa"/>
            <w:vAlign w:val="center"/>
          </w:tcPr>
          <w:p>
            <w:pPr>
              <w:spacing w:line="582" w:lineRule="exact"/>
              <w:jc w:val="center"/>
              <w:rPr>
                <w:rFonts w:eastAsia="仿宋_GB2312"/>
                <w:sz w:val="28"/>
                <w:szCs w:val="28"/>
              </w:rPr>
            </w:pPr>
            <w:r>
              <w:rPr>
                <w:rFonts w:eastAsia="仿宋_GB2312"/>
                <w:sz w:val="28"/>
                <w:szCs w:val="28"/>
              </w:rPr>
              <w:t>单位</w:t>
            </w:r>
          </w:p>
        </w:tc>
        <w:tc>
          <w:tcPr>
            <w:tcW w:w="1364" w:type="dxa"/>
            <w:vAlign w:val="center"/>
          </w:tcPr>
          <w:p>
            <w:pPr>
              <w:spacing w:line="582" w:lineRule="exact"/>
              <w:jc w:val="center"/>
              <w:rPr>
                <w:rFonts w:eastAsia="仿宋_GB2312"/>
                <w:sz w:val="28"/>
                <w:szCs w:val="28"/>
              </w:rPr>
            </w:pPr>
            <w:r>
              <w:rPr>
                <w:rFonts w:eastAsia="仿宋_GB2312"/>
                <w:sz w:val="28"/>
                <w:szCs w:val="28"/>
              </w:rPr>
              <w:t>补偿标准</w:t>
            </w:r>
          </w:p>
        </w:tc>
        <w:tc>
          <w:tcPr>
            <w:tcW w:w="2198" w:type="dxa"/>
            <w:vAlign w:val="center"/>
          </w:tcPr>
          <w:p>
            <w:pPr>
              <w:spacing w:line="582" w:lineRule="exact"/>
              <w:jc w:val="center"/>
              <w:rPr>
                <w:rFonts w:eastAsia="仿宋_GB2312"/>
                <w:sz w:val="28"/>
                <w:szCs w:val="28"/>
              </w:rPr>
            </w:pPr>
            <w:r>
              <w:rPr>
                <w:rFonts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82" w:lineRule="exact"/>
              <w:jc w:val="center"/>
              <w:rPr>
                <w:rFonts w:eastAsia="仿宋_GB2312"/>
                <w:sz w:val="28"/>
                <w:szCs w:val="28"/>
              </w:rPr>
            </w:pPr>
            <w:r>
              <w:rPr>
                <w:rFonts w:eastAsia="仿宋_GB2312"/>
                <w:sz w:val="28"/>
                <w:szCs w:val="28"/>
              </w:rPr>
              <w:t>1</w:t>
            </w:r>
          </w:p>
        </w:tc>
        <w:tc>
          <w:tcPr>
            <w:tcW w:w="3163" w:type="dxa"/>
            <w:vAlign w:val="center"/>
          </w:tcPr>
          <w:p>
            <w:pPr>
              <w:spacing w:line="582" w:lineRule="exact"/>
              <w:jc w:val="center"/>
              <w:rPr>
                <w:rFonts w:eastAsia="仿宋_GB2312"/>
                <w:sz w:val="28"/>
                <w:szCs w:val="28"/>
              </w:rPr>
            </w:pPr>
            <w:r>
              <w:rPr>
                <w:rFonts w:eastAsia="仿宋_GB2312"/>
                <w:sz w:val="28"/>
                <w:szCs w:val="28"/>
              </w:rPr>
              <w:t>有线电视迁改</w:t>
            </w:r>
          </w:p>
        </w:tc>
        <w:tc>
          <w:tcPr>
            <w:tcW w:w="1243" w:type="dxa"/>
            <w:vAlign w:val="center"/>
          </w:tcPr>
          <w:p>
            <w:pPr>
              <w:spacing w:line="582" w:lineRule="exact"/>
              <w:jc w:val="center"/>
              <w:rPr>
                <w:rFonts w:eastAsia="仿宋_GB2312"/>
                <w:sz w:val="28"/>
                <w:szCs w:val="28"/>
              </w:rPr>
            </w:pPr>
            <w:r>
              <w:rPr>
                <w:rFonts w:eastAsia="仿宋_GB2312"/>
                <w:sz w:val="28"/>
                <w:szCs w:val="28"/>
              </w:rPr>
              <w:t>户</w:t>
            </w:r>
          </w:p>
        </w:tc>
        <w:tc>
          <w:tcPr>
            <w:tcW w:w="1364" w:type="dxa"/>
            <w:vAlign w:val="center"/>
          </w:tcPr>
          <w:p>
            <w:pPr>
              <w:spacing w:line="582" w:lineRule="exact"/>
              <w:jc w:val="center"/>
              <w:rPr>
                <w:rFonts w:eastAsia="仿宋_GB2312"/>
                <w:sz w:val="28"/>
                <w:szCs w:val="28"/>
              </w:rPr>
            </w:pPr>
            <w:r>
              <w:rPr>
                <w:rFonts w:eastAsia="仿宋_GB2312"/>
                <w:sz w:val="28"/>
                <w:szCs w:val="28"/>
              </w:rPr>
              <w:t>250</w:t>
            </w:r>
          </w:p>
        </w:tc>
        <w:tc>
          <w:tcPr>
            <w:tcW w:w="2198" w:type="dxa"/>
            <w:vAlign w:val="center"/>
          </w:tcPr>
          <w:p>
            <w:pPr>
              <w:spacing w:line="582"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spacing w:line="582" w:lineRule="exact"/>
              <w:jc w:val="center"/>
              <w:rPr>
                <w:rFonts w:eastAsia="仿宋_GB2312"/>
                <w:sz w:val="28"/>
                <w:szCs w:val="28"/>
              </w:rPr>
            </w:pPr>
            <w:r>
              <w:rPr>
                <w:rFonts w:eastAsia="仿宋_GB2312"/>
                <w:sz w:val="28"/>
                <w:szCs w:val="28"/>
              </w:rPr>
              <w:t>2</w:t>
            </w:r>
          </w:p>
        </w:tc>
        <w:tc>
          <w:tcPr>
            <w:tcW w:w="3163" w:type="dxa"/>
            <w:vAlign w:val="center"/>
          </w:tcPr>
          <w:p>
            <w:pPr>
              <w:spacing w:line="582" w:lineRule="exact"/>
              <w:jc w:val="center"/>
              <w:rPr>
                <w:rFonts w:eastAsia="仿宋_GB2312"/>
                <w:sz w:val="28"/>
                <w:szCs w:val="28"/>
              </w:rPr>
            </w:pPr>
            <w:r>
              <w:rPr>
                <w:rFonts w:eastAsia="仿宋_GB2312"/>
                <w:sz w:val="28"/>
                <w:szCs w:val="28"/>
              </w:rPr>
              <w:t>电话、宽带移机</w:t>
            </w:r>
          </w:p>
        </w:tc>
        <w:tc>
          <w:tcPr>
            <w:tcW w:w="1243" w:type="dxa"/>
            <w:vAlign w:val="center"/>
          </w:tcPr>
          <w:p>
            <w:pPr>
              <w:spacing w:line="582" w:lineRule="exact"/>
              <w:jc w:val="center"/>
              <w:rPr>
                <w:rFonts w:eastAsia="仿宋_GB2312"/>
                <w:sz w:val="28"/>
                <w:szCs w:val="28"/>
              </w:rPr>
            </w:pPr>
            <w:r>
              <w:rPr>
                <w:rFonts w:eastAsia="仿宋_GB2312"/>
                <w:sz w:val="28"/>
                <w:szCs w:val="28"/>
              </w:rPr>
              <w:t>户</w:t>
            </w:r>
          </w:p>
        </w:tc>
        <w:tc>
          <w:tcPr>
            <w:tcW w:w="1364" w:type="dxa"/>
            <w:vAlign w:val="center"/>
          </w:tcPr>
          <w:p>
            <w:pPr>
              <w:spacing w:line="582" w:lineRule="exact"/>
              <w:jc w:val="center"/>
              <w:rPr>
                <w:rFonts w:eastAsia="仿宋_GB2312"/>
                <w:sz w:val="28"/>
                <w:szCs w:val="28"/>
              </w:rPr>
            </w:pPr>
            <w:r>
              <w:rPr>
                <w:rFonts w:eastAsia="仿宋_GB2312"/>
                <w:sz w:val="28"/>
                <w:szCs w:val="28"/>
              </w:rPr>
              <w:t>108</w:t>
            </w:r>
          </w:p>
        </w:tc>
        <w:tc>
          <w:tcPr>
            <w:tcW w:w="2198" w:type="dxa"/>
            <w:vAlign w:val="center"/>
          </w:tcPr>
          <w:p>
            <w:pPr>
              <w:spacing w:line="582"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68" w:type="dxa"/>
            <w:vMerge w:val="restart"/>
            <w:vAlign w:val="center"/>
          </w:tcPr>
          <w:p>
            <w:pPr>
              <w:spacing w:line="582" w:lineRule="exact"/>
              <w:jc w:val="center"/>
              <w:rPr>
                <w:rFonts w:eastAsia="仿宋_GB2312"/>
                <w:sz w:val="28"/>
                <w:szCs w:val="28"/>
              </w:rPr>
            </w:pPr>
            <w:r>
              <w:rPr>
                <w:rFonts w:eastAsia="仿宋_GB2312"/>
                <w:sz w:val="28"/>
                <w:szCs w:val="28"/>
              </w:rPr>
              <w:t>3</w:t>
            </w:r>
          </w:p>
        </w:tc>
        <w:tc>
          <w:tcPr>
            <w:tcW w:w="3163" w:type="dxa"/>
            <w:vMerge w:val="restart"/>
            <w:vAlign w:val="center"/>
          </w:tcPr>
          <w:p>
            <w:pPr>
              <w:spacing w:line="582" w:lineRule="exact"/>
              <w:jc w:val="center"/>
              <w:rPr>
                <w:rFonts w:eastAsia="仿宋_GB2312"/>
                <w:sz w:val="32"/>
                <w:szCs w:val="32"/>
              </w:rPr>
            </w:pPr>
            <w:r>
              <w:rPr>
                <w:rFonts w:eastAsia="仿宋_GB2312"/>
                <w:sz w:val="32"/>
                <w:szCs w:val="32"/>
              </w:rPr>
              <w:t>太阳能（套）</w:t>
            </w:r>
          </w:p>
          <w:p>
            <w:pPr>
              <w:spacing w:line="582" w:lineRule="exact"/>
              <w:jc w:val="center"/>
              <w:rPr>
                <w:rFonts w:eastAsia="仿宋_GB2312"/>
                <w:sz w:val="28"/>
                <w:szCs w:val="28"/>
              </w:rPr>
            </w:pPr>
            <w:r>
              <w:rPr>
                <w:rFonts w:eastAsia="仿宋_GB2312"/>
                <w:sz w:val="32"/>
                <w:szCs w:val="32"/>
              </w:rPr>
              <w:t>（最高认定每户50管或10平方米）</w:t>
            </w:r>
          </w:p>
        </w:tc>
        <w:tc>
          <w:tcPr>
            <w:tcW w:w="1243" w:type="dxa"/>
            <w:vAlign w:val="center"/>
          </w:tcPr>
          <w:p>
            <w:pPr>
              <w:spacing w:line="582" w:lineRule="exact"/>
              <w:jc w:val="center"/>
              <w:rPr>
                <w:rFonts w:eastAsia="仿宋_GB2312"/>
                <w:sz w:val="28"/>
                <w:szCs w:val="28"/>
              </w:rPr>
            </w:pPr>
            <w:r>
              <w:rPr>
                <w:rFonts w:eastAsia="仿宋_GB2312"/>
                <w:sz w:val="28"/>
                <w:szCs w:val="28"/>
              </w:rPr>
              <w:t>管</w:t>
            </w:r>
          </w:p>
        </w:tc>
        <w:tc>
          <w:tcPr>
            <w:tcW w:w="1364" w:type="dxa"/>
            <w:vAlign w:val="center"/>
          </w:tcPr>
          <w:p>
            <w:pPr>
              <w:spacing w:line="582" w:lineRule="exact"/>
              <w:jc w:val="center"/>
              <w:rPr>
                <w:rFonts w:eastAsia="仿宋_GB2312"/>
                <w:sz w:val="28"/>
                <w:szCs w:val="28"/>
              </w:rPr>
            </w:pPr>
            <w:r>
              <w:rPr>
                <w:rFonts w:eastAsia="仿宋_GB2312"/>
                <w:sz w:val="28"/>
                <w:szCs w:val="28"/>
              </w:rPr>
              <w:t>70</w:t>
            </w:r>
          </w:p>
        </w:tc>
        <w:tc>
          <w:tcPr>
            <w:tcW w:w="2198" w:type="dxa"/>
            <w:vAlign w:val="center"/>
          </w:tcPr>
          <w:p>
            <w:pPr>
              <w:spacing w:line="582"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68" w:type="dxa"/>
            <w:vMerge w:val="continue"/>
            <w:vAlign w:val="center"/>
          </w:tcPr>
          <w:p>
            <w:pPr>
              <w:spacing w:line="582" w:lineRule="exact"/>
              <w:jc w:val="center"/>
              <w:rPr>
                <w:rFonts w:eastAsia="仿宋_GB2312"/>
                <w:sz w:val="28"/>
                <w:szCs w:val="28"/>
              </w:rPr>
            </w:pPr>
          </w:p>
        </w:tc>
        <w:tc>
          <w:tcPr>
            <w:tcW w:w="3163" w:type="dxa"/>
            <w:vMerge w:val="continue"/>
            <w:vAlign w:val="center"/>
          </w:tcPr>
          <w:p>
            <w:pPr>
              <w:spacing w:line="582" w:lineRule="exact"/>
              <w:jc w:val="center"/>
              <w:rPr>
                <w:rFonts w:eastAsia="仿宋_GB2312"/>
                <w:sz w:val="28"/>
                <w:szCs w:val="28"/>
              </w:rPr>
            </w:pPr>
          </w:p>
        </w:tc>
        <w:tc>
          <w:tcPr>
            <w:tcW w:w="1243" w:type="dxa"/>
            <w:vAlign w:val="center"/>
          </w:tcPr>
          <w:p>
            <w:pPr>
              <w:spacing w:line="582" w:lineRule="exact"/>
              <w:jc w:val="center"/>
              <w:rPr>
                <w:rFonts w:eastAsia="仿宋_GB2312"/>
                <w:sz w:val="28"/>
                <w:szCs w:val="28"/>
              </w:rPr>
            </w:pPr>
            <w:r>
              <w:rPr>
                <w:rFonts w:eastAsia="仿宋_GB2312"/>
                <w:sz w:val="32"/>
                <w:szCs w:val="32"/>
              </w:rPr>
              <w:t>平方米</w:t>
            </w:r>
          </w:p>
        </w:tc>
        <w:tc>
          <w:tcPr>
            <w:tcW w:w="1364" w:type="dxa"/>
            <w:vAlign w:val="center"/>
          </w:tcPr>
          <w:p>
            <w:pPr>
              <w:spacing w:line="582" w:lineRule="exact"/>
              <w:jc w:val="center"/>
              <w:rPr>
                <w:rFonts w:eastAsia="仿宋_GB2312"/>
                <w:sz w:val="28"/>
                <w:szCs w:val="28"/>
              </w:rPr>
            </w:pPr>
            <w:r>
              <w:rPr>
                <w:rFonts w:eastAsia="仿宋_GB2312"/>
                <w:sz w:val="28"/>
                <w:szCs w:val="28"/>
              </w:rPr>
              <w:t>300</w:t>
            </w:r>
          </w:p>
        </w:tc>
        <w:tc>
          <w:tcPr>
            <w:tcW w:w="2198" w:type="dxa"/>
            <w:vAlign w:val="center"/>
          </w:tcPr>
          <w:p>
            <w:pPr>
              <w:spacing w:line="582" w:lineRule="exact"/>
              <w:jc w:val="center"/>
              <w:rPr>
                <w:rFonts w:eastAsia="仿宋_GB2312"/>
                <w:sz w:val="28"/>
                <w:szCs w:val="28"/>
              </w:rPr>
            </w:pPr>
          </w:p>
        </w:tc>
      </w:tr>
    </w:tbl>
    <w:p>
      <w:pPr>
        <w:spacing w:line="582" w:lineRule="exact"/>
        <w:ind w:firstLine="640" w:firstLineChars="200"/>
        <w:rPr>
          <w:rFonts w:eastAsia="黑体"/>
          <w:sz w:val="36"/>
          <w:szCs w:val="36"/>
        </w:rPr>
      </w:pPr>
      <w:r>
        <w:rPr>
          <w:rFonts w:eastAsia="仿宋_GB2312"/>
          <w:sz w:val="32"/>
          <w:szCs w:val="32"/>
        </w:rPr>
        <w:t>若有缺漏未列入以上项目的，按造价、评估公司出具的造价、评估报告进行补偿。</w:t>
      </w:r>
    </w:p>
    <w:p>
      <w:pPr>
        <w:spacing w:line="582" w:lineRule="exact"/>
        <w:rPr>
          <w:rFonts w:ascii="Calibri" w:hAnsi="Calibri"/>
        </w:rPr>
      </w:pPr>
    </w:p>
    <w:p>
      <w:pPr>
        <w:spacing w:line="440" w:lineRule="exact"/>
        <w:rPr>
          <w:rFonts w:eastAsia="仿宋_GB2312"/>
          <w:color w:val="FF0000"/>
          <w:sz w:val="32"/>
        </w:rPr>
      </w:pPr>
    </w:p>
    <w:p>
      <w:pPr>
        <w:spacing w:line="440" w:lineRule="exact"/>
        <w:rPr>
          <w:rFonts w:eastAsia="仿宋_GB2312"/>
          <w:color w:val="FF0000"/>
          <w:sz w:val="32"/>
        </w:rPr>
      </w:pPr>
    </w:p>
    <w:p>
      <w:pPr>
        <w:spacing w:line="440" w:lineRule="exact"/>
        <w:rPr>
          <w:rFonts w:eastAsia="仿宋_GB2312"/>
          <w:color w:val="FF0000"/>
          <w:sz w:val="32"/>
        </w:rPr>
      </w:pPr>
    </w:p>
    <w:p>
      <w:pPr>
        <w:spacing w:line="440" w:lineRule="exact"/>
        <w:rPr>
          <w:rFonts w:eastAsia="仿宋_GB2312"/>
          <w:color w:val="FF0000"/>
          <w:sz w:val="32"/>
        </w:rPr>
      </w:pPr>
    </w:p>
    <w:p>
      <w:pPr>
        <w:spacing w:line="440" w:lineRule="exact"/>
        <w:rPr>
          <w:rFonts w:eastAsia="仿宋_GB2312"/>
          <w:color w:val="FF0000"/>
          <w:sz w:val="32"/>
        </w:rPr>
      </w:pPr>
    </w:p>
    <w:p>
      <w:pPr>
        <w:spacing w:line="440" w:lineRule="exact"/>
        <w:rPr>
          <w:rFonts w:eastAsia="仿宋_GB2312"/>
          <w:color w:val="FF0000"/>
          <w:sz w:val="32"/>
        </w:rPr>
      </w:pPr>
    </w:p>
    <w:p>
      <w:pPr>
        <w:spacing w:line="440" w:lineRule="exact"/>
        <w:rPr>
          <w:rFonts w:eastAsia="仿宋_GB2312"/>
          <w:color w:val="FF0000"/>
          <w:sz w:val="32"/>
        </w:rPr>
      </w:pPr>
    </w:p>
    <w:p>
      <w:pPr>
        <w:spacing w:line="440" w:lineRule="exact"/>
        <w:rPr>
          <w:rFonts w:eastAsia="仿宋_GB2312"/>
          <w:color w:val="FF0000"/>
          <w:sz w:val="32"/>
        </w:rPr>
      </w:pPr>
    </w:p>
    <w:p>
      <w:pPr>
        <w:spacing w:line="440" w:lineRule="exact"/>
        <w:rPr>
          <w:rFonts w:eastAsia="仿宋_GB2312"/>
          <w:color w:val="FF0000"/>
          <w:sz w:val="32"/>
        </w:rPr>
      </w:pPr>
    </w:p>
    <w:p>
      <w:pPr>
        <w:spacing w:line="440" w:lineRule="exact"/>
        <w:rPr>
          <w:rFonts w:eastAsia="仿宋_GB2312"/>
          <w:color w:val="FF0000"/>
          <w:sz w:val="32"/>
        </w:rPr>
      </w:pPr>
    </w:p>
    <w:p>
      <w:pPr>
        <w:spacing w:line="440" w:lineRule="exact"/>
        <w:rPr>
          <w:rFonts w:hint="eastAsia" w:eastAsia="仿宋_GB2312"/>
          <w:color w:val="FF0000"/>
          <w:sz w:val="32"/>
        </w:rPr>
      </w:pPr>
    </w:p>
    <w:p>
      <w:pPr>
        <w:spacing w:line="440" w:lineRule="exact"/>
        <w:rPr>
          <w:rFonts w:hint="eastAsia" w:eastAsia="仿宋_GB2312"/>
          <w:color w:val="FF0000"/>
          <w:sz w:val="32"/>
        </w:rPr>
      </w:pPr>
    </w:p>
    <w:p>
      <w:pPr>
        <w:spacing w:line="440" w:lineRule="exact"/>
        <w:rPr>
          <w:rFonts w:hint="eastAsia" w:eastAsia="仿宋_GB2312"/>
          <w:color w:val="FF0000"/>
          <w:sz w:val="32"/>
        </w:rPr>
      </w:pPr>
    </w:p>
    <w:p>
      <w:pPr>
        <w:spacing w:line="440" w:lineRule="exact"/>
        <w:rPr>
          <w:rFonts w:hint="eastAsia" w:eastAsia="仿宋_GB2312"/>
          <w:color w:val="FF0000"/>
          <w:sz w:val="32"/>
        </w:rPr>
      </w:pPr>
    </w:p>
    <w:p>
      <w:pPr>
        <w:spacing w:line="440" w:lineRule="exact"/>
        <w:rPr>
          <w:rFonts w:hint="eastAsia" w:eastAsia="仿宋_GB2312"/>
          <w:color w:val="FF0000"/>
          <w:sz w:val="32"/>
        </w:rPr>
      </w:pPr>
    </w:p>
    <w:p>
      <w:pPr>
        <w:spacing w:line="440" w:lineRule="exact"/>
        <w:rPr>
          <w:rFonts w:hint="eastAsia" w:eastAsia="仿宋_GB2312"/>
          <w:color w:val="FF0000"/>
          <w:sz w:val="32"/>
        </w:rPr>
      </w:pPr>
    </w:p>
    <w:p>
      <w:pPr>
        <w:spacing w:line="440" w:lineRule="exact"/>
        <w:rPr>
          <w:rFonts w:eastAsia="仿宋_GB2312"/>
          <w:color w:val="FF0000"/>
          <w:sz w:val="32"/>
        </w:rPr>
      </w:pPr>
    </w:p>
    <w:p>
      <w:pPr>
        <w:spacing w:line="620" w:lineRule="exact"/>
        <w:jc w:val="center"/>
        <w:rPr>
          <w:rFonts w:eastAsia="仿宋_GB2312"/>
          <w:sz w:val="32"/>
          <w:szCs w:val="32"/>
        </w:rPr>
      </w:pPr>
    </w:p>
    <w:tbl>
      <w:tblPr>
        <w:tblStyle w:val="30"/>
        <w:tblpPr w:leftFromText="180" w:rightFromText="180" w:vertAnchor="text" w:horzAnchor="page" w:tblpXSpec="center" w:tblpY="9279"/>
        <w:tblOverlap w:val="never"/>
        <w:tblW w:w="8748" w:type="dxa"/>
        <w:tblInd w:w="0" w:type="dxa"/>
        <w:tblLayout w:type="autofit"/>
        <w:tblCellMar>
          <w:top w:w="0" w:type="dxa"/>
          <w:left w:w="108" w:type="dxa"/>
          <w:bottom w:w="0" w:type="dxa"/>
          <w:right w:w="108" w:type="dxa"/>
        </w:tblCellMar>
      </w:tblPr>
      <w:tblGrid>
        <w:gridCol w:w="8748"/>
      </w:tblGrid>
      <w:tr>
        <w:tblPrEx>
          <w:tblCellMar>
            <w:top w:w="0" w:type="dxa"/>
            <w:left w:w="108" w:type="dxa"/>
            <w:bottom w:w="0" w:type="dxa"/>
            <w:right w:w="108" w:type="dxa"/>
          </w:tblCellMar>
        </w:tblPrEx>
        <w:trPr>
          <w:trHeight w:val="617" w:hRule="atLeast"/>
        </w:trPr>
        <w:tc>
          <w:tcPr>
            <w:tcW w:w="8748" w:type="dxa"/>
            <w:tcBorders>
              <w:top w:val="single" w:color="auto" w:sz="8" w:space="0"/>
              <w:left w:val="nil"/>
              <w:bottom w:val="single" w:color="auto" w:sz="6" w:space="0"/>
              <w:right w:val="nil"/>
            </w:tcBorders>
            <w:vAlign w:val="center"/>
          </w:tcPr>
          <w:p>
            <w:pPr>
              <w:spacing w:line="540" w:lineRule="exact"/>
              <w:ind w:firstLine="260" w:firstLineChars="100"/>
              <w:jc w:val="center"/>
              <w:rPr>
                <w:rFonts w:eastAsia="仿宋_GB2312"/>
                <w:spacing w:val="-10"/>
                <w:sz w:val="28"/>
                <w:szCs w:val="28"/>
              </w:rPr>
            </w:pPr>
            <w:r>
              <w:rPr>
                <w:rFonts w:eastAsia="仿宋_GB2312"/>
                <w:spacing w:val="-10"/>
                <w:sz w:val="28"/>
                <w:szCs w:val="28"/>
              </w:rPr>
              <w:t>抄送：区委办公室，区人大常委会办公室，区政协办公室，区纪委办公室。</w:t>
            </w:r>
          </w:p>
        </w:tc>
      </w:tr>
      <w:tr>
        <w:tblPrEx>
          <w:tblCellMar>
            <w:top w:w="0" w:type="dxa"/>
            <w:left w:w="108" w:type="dxa"/>
            <w:bottom w:w="0" w:type="dxa"/>
            <w:right w:w="108" w:type="dxa"/>
          </w:tblCellMar>
        </w:tblPrEx>
        <w:trPr>
          <w:trHeight w:val="617" w:hRule="atLeast"/>
        </w:trPr>
        <w:tc>
          <w:tcPr>
            <w:tcW w:w="8748" w:type="dxa"/>
            <w:tcBorders>
              <w:top w:val="single" w:color="auto" w:sz="6" w:space="0"/>
              <w:left w:val="nil"/>
              <w:bottom w:val="single" w:color="auto" w:sz="8" w:space="0"/>
              <w:right w:val="nil"/>
            </w:tcBorders>
            <w:vAlign w:val="bottom"/>
          </w:tcPr>
          <w:p>
            <w:pPr>
              <w:tabs>
                <w:tab w:val="left" w:pos="8505"/>
              </w:tabs>
              <w:adjustRightInd w:val="0"/>
              <w:snapToGrid w:val="0"/>
              <w:spacing w:afterLines="30" w:line="540" w:lineRule="exact"/>
              <w:ind w:firstLine="280" w:firstLineChars="100"/>
              <w:rPr>
                <w:rFonts w:eastAsia="仿宋_GB2312"/>
                <w:sz w:val="28"/>
                <w:szCs w:val="28"/>
              </w:rPr>
            </w:pPr>
            <w:r>
              <w:rPr>
                <w:rFonts w:eastAsia="仿宋_GB2312"/>
                <w:sz w:val="28"/>
                <w:szCs w:val="28"/>
              </w:rPr>
              <w:t xml:space="preserve">昆明市西山区人民政府办公室            </w:t>
            </w:r>
            <w:r>
              <w:rPr>
                <w:rFonts w:hint="eastAsia" w:eastAsia="仿宋_GB2312"/>
                <w:sz w:val="28"/>
                <w:szCs w:val="28"/>
                <w:lang w:val="en-US" w:eastAsia="zh-CN"/>
              </w:rPr>
              <w:t xml:space="preserve">                </w:t>
            </w:r>
            <w:bookmarkStart w:id="0" w:name="_GoBack"/>
            <w:bookmarkEnd w:id="0"/>
            <w:r>
              <w:rPr>
                <w:rFonts w:eastAsia="仿宋_GB2312"/>
                <w:sz w:val="28"/>
                <w:szCs w:val="28"/>
              </w:rPr>
              <w:t xml:space="preserve">印发 </w:t>
            </w:r>
          </w:p>
        </w:tc>
      </w:tr>
    </w:tbl>
    <w:p>
      <w:pPr>
        <w:widowControl/>
        <w:jc w:val="left"/>
        <w:rPr>
          <w:rFonts w:eastAsia="仿宋_GB2312"/>
          <w:sz w:val="32"/>
          <w:szCs w:val="32"/>
        </w:rPr>
      </w:pPr>
    </w:p>
    <w:sectPr>
      <w:footerReference r:id="rId5" w:type="first"/>
      <w:footerReference r:id="rId3" w:type="default"/>
      <w:footerReference r:id="rId4" w:type="even"/>
      <w:pgSz w:w="11906" w:h="16838"/>
      <w:pgMar w:top="2041" w:right="1474" w:bottom="1361"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金山简标宋">
    <w:altName w:val="宋体"/>
    <w:panose1 w:val="00000000000000000000"/>
    <w:charset w:val="00"/>
    <w:family w:val="roman"/>
    <w:pitch w:val="default"/>
    <w:sig w:usb0="00000000" w:usb1="00000000" w:usb2="00000000" w:usb3="00000000" w:csb0="00040001" w:csb1="00000000"/>
  </w:font>
  <w:font w:name="FZ Extra BSK">
    <w:altName w:val="宋体"/>
    <w:panose1 w:val="00000000000000000000"/>
    <w:charset w:val="86"/>
    <w:family w:val="swiss"/>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简体">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Times #20New #20Roman">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8851" w:y="90"/>
      <w:rPr>
        <w:rStyle w:val="34"/>
        <w:rFonts w:ascii="宋体" w:hAnsi="宋体"/>
        <w:color w:val="FFFFFF"/>
        <w:sz w:val="28"/>
        <w:szCs w:val="28"/>
      </w:rPr>
    </w:pPr>
    <w:r>
      <w:rPr>
        <w:rStyle w:val="34"/>
        <w:rFonts w:hint="eastAsia" w:ascii="宋体" w:hAnsi="宋体"/>
        <w:color w:val="FFFFFF"/>
        <w:sz w:val="28"/>
        <w:szCs w:val="28"/>
      </w:rPr>
      <w:t>—</w:t>
    </w:r>
    <w:r>
      <w:rPr>
        <w:rStyle w:val="34"/>
        <w:rFonts w:hint="eastAsia" w:ascii="宋体" w:hAnsi="宋体"/>
        <w:sz w:val="28"/>
        <w:szCs w:val="28"/>
      </w:rPr>
      <w:t xml:space="preserve">— </w:t>
    </w:r>
    <w:r>
      <w:rPr>
        <w:rStyle w:val="34"/>
        <w:rFonts w:ascii="宋体" w:hAnsi="宋体"/>
        <w:sz w:val="28"/>
        <w:szCs w:val="28"/>
      </w:rPr>
      <w:fldChar w:fldCharType="begin"/>
    </w:r>
    <w:r>
      <w:rPr>
        <w:rStyle w:val="34"/>
        <w:rFonts w:ascii="宋体" w:hAnsi="宋体"/>
        <w:sz w:val="28"/>
        <w:szCs w:val="28"/>
      </w:rPr>
      <w:instrText xml:space="preserve">PAGE  </w:instrText>
    </w:r>
    <w:r>
      <w:rPr>
        <w:rStyle w:val="34"/>
        <w:rFonts w:ascii="宋体" w:hAnsi="宋体"/>
        <w:sz w:val="28"/>
        <w:szCs w:val="28"/>
      </w:rPr>
      <w:fldChar w:fldCharType="separate"/>
    </w:r>
    <w:r>
      <w:rPr>
        <w:rStyle w:val="34"/>
        <w:rFonts w:ascii="宋体" w:hAnsi="宋体"/>
        <w:sz w:val="28"/>
        <w:szCs w:val="28"/>
      </w:rPr>
      <w:t>19</w:t>
    </w:r>
    <w:r>
      <w:rPr>
        <w:rStyle w:val="34"/>
        <w:rFonts w:ascii="宋体" w:hAnsi="宋体"/>
        <w:sz w:val="28"/>
        <w:szCs w:val="28"/>
      </w:rPr>
      <w:fldChar w:fldCharType="end"/>
    </w:r>
    <w:r>
      <w:rPr>
        <w:rStyle w:val="34"/>
        <w:rFonts w:hint="eastAsia" w:ascii="宋体" w:hAnsi="宋体"/>
        <w:sz w:val="28"/>
        <w:szCs w:val="28"/>
      </w:rPr>
      <w:t xml:space="preserve"> —</w:t>
    </w:r>
    <w:r>
      <w:rPr>
        <w:rStyle w:val="34"/>
        <w:rFonts w:hint="eastAsia" w:ascii="宋体" w:hAnsi="宋体"/>
        <w:color w:val="FFFFFF"/>
        <w:sz w:val="28"/>
        <w:szCs w:val="28"/>
      </w:rPr>
      <w:t>—</w:t>
    </w:r>
  </w:p>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1553" w:y="71"/>
      <w:rPr>
        <w:rStyle w:val="34"/>
        <w:rFonts w:ascii="宋体" w:hAnsi="宋体"/>
        <w:sz w:val="28"/>
        <w:szCs w:val="28"/>
      </w:rPr>
    </w:pPr>
    <w:r>
      <w:rPr>
        <w:rStyle w:val="34"/>
        <w:rFonts w:hint="eastAsia" w:ascii="宋体" w:hAnsi="宋体"/>
        <w:color w:val="FFFFFF"/>
        <w:sz w:val="28"/>
        <w:szCs w:val="28"/>
      </w:rPr>
      <w:t>—</w:t>
    </w:r>
    <w:r>
      <w:rPr>
        <w:rStyle w:val="34"/>
        <w:rFonts w:hint="eastAsia" w:ascii="宋体" w:hAnsi="宋体"/>
        <w:sz w:val="28"/>
        <w:szCs w:val="28"/>
      </w:rPr>
      <w:t xml:space="preserve">— </w:t>
    </w:r>
    <w:r>
      <w:rPr>
        <w:rFonts w:hint="eastAsia" w:ascii="宋体" w:hAnsi="宋体"/>
        <w:sz w:val="28"/>
        <w:szCs w:val="28"/>
      </w:rPr>
      <w:fldChar w:fldCharType="begin"/>
    </w:r>
    <w:r>
      <w:rPr>
        <w:rStyle w:val="34"/>
        <w:rFonts w:hint="eastAsia" w:ascii="宋体" w:hAnsi="宋体"/>
        <w:sz w:val="28"/>
        <w:szCs w:val="28"/>
      </w:rPr>
      <w:instrText xml:space="preserve">PAGE  </w:instrText>
    </w:r>
    <w:r>
      <w:rPr>
        <w:rFonts w:hint="eastAsia" w:ascii="宋体" w:hAnsi="宋体"/>
        <w:sz w:val="28"/>
        <w:szCs w:val="28"/>
      </w:rPr>
      <w:fldChar w:fldCharType="separate"/>
    </w:r>
    <w:r>
      <w:rPr>
        <w:rStyle w:val="34"/>
        <w:rFonts w:ascii="宋体" w:hAnsi="宋体"/>
        <w:sz w:val="28"/>
        <w:szCs w:val="28"/>
      </w:rPr>
      <w:t>20</w:t>
    </w:r>
    <w:r>
      <w:rPr>
        <w:rFonts w:hint="eastAsia" w:ascii="宋体" w:hAnsi="宋体"/>
        <w:sz w:val="28"/>
        <w:szCs w:val="28"/>
      </w:rPr>
      <w:fldChar w:fldCharType="end"/>
    </w:r>
    <w:r>
      <w:rPr>
        <w:rStyle w:val="34"/>
        <w:rFonts w:hint="eastAsia" w:ascii="宋体" w:hAnsi="宋体"/>
        <w:sz w:val="28"/>
        <w:szCs w:val="28"/>
      </w:rPr>
      <w:t xml:space="preserve"> —</w:t>
    </w:r>
    <w:r>
      <w:rPr>
        <w:rStyle w:val="34"/>
        <w:rFonts w:hint="eastAsia" w:ascii="宋体" w:hAnsi="宋体"/>
        <w:color w:val="FFFFFF"/>
        <w:sz w:val="28"/>
        <w:szCs w:val="28"/>
      </w:rPr>
      <w:t>—</w:t>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8958" w:y="127"/>
      <w:rPr>
        <w:rStyle w:val="34"/>
        <w:rFonts w:ascii="宋体" w:hAnsi="宋体"/>
        <w:sz w:val="28"/>
        <w:szCs w:val="28"/>
      </w:rPr>
    </w:pPr>
    <w:r>
      <w:rPr>
        <w:rStyle w:val="34"/>
        <w:rFonts w:hint="eastAsia" w:ascii="宋体" w:hAnsi="宋体"/>
        <w:color w:val="FFFFFF"/>
        <w:sz w:val="28"/>
        <w:szCs w:val="28"/>
      </w:rPr>
      <w:t>—</w:t>
    </w:r>
    <w:r>
      <w:rPr>
        <w:rStyle w:val="34"/>
        <w:rFonts w:hint="eastAsia" w:ascii="宋体" w:hAnsi="宋体"/>
        <w:sz w:val="28"/>
        <w:szCs w:val="28"/>
      </w:rPr>
      <w:t xml:space="preserve">— </w:t>
    </w:r>
    <w:r>
      <w:rPr>
        <w:rFonts w:hint="eastAsia" w:ascii="宋体" w:hAnsi="宋体"/>
        <w:sz w:val="28"/>
        <w:szCs w:val="28"/>
      </w:rPr>
      <w:fldChar w:fldCharType="begin"/>
    </w:r>
    <w:r>
      <w:rPr>
        <w:rStyle w:val="34"/>
        <w:rFonts w:hint="eastAsia" w:ascii="宋体" w:hAnsi="宋体"/>
        <w:sz w:val="28"/>
        <w:szCs w:val="28"/>
      </w:rPr>
      <w:instrText xml:space="preserve">PAGE  </w:instrText>
    </w:r>
    <w:r>
      <w:rPr>
        <w:rFonts w:hint="eastAsia" w:ascii="宋体" w:hAnsi="宋体"/>
        <w:sz w:val="28"/>
        <w:szCs w:val="28"/>
      </w:rPr>
      <w:fldChar w:fldCharType="separate"/>
    </w:r>
    <w:r>
      <w:rPr>
        <w:rStyle w:val="34"/>
        <w:rFonts w:ascii="宋体" w:hAnsi="宋体"/>
        <w:sz w:val="28"/>
        <w:szCs w:val="28"/>
      </w:rPr>
      <w:t>1</w:t>
    </w:r>
    <w:r>
      <w:rPr>
        <w:rFonts w:hint="eastAsia" w:ascii="宋体" w:hAnsi="宋体"/>
        <w:sz w:val="28"/>
        <w:szCs w:val="28"/>
      </w:rPr>
      <w:fldChar w:fldCharType="end"/>
    </w:r>
    <w:r>
      <w:rPr>
        <w:rStyle w:val="34"/>
        <w:rFonts w:hint="eastAsia" w:ascii="宋体" w:hAnsi="宋体"/>
        <w:sz w:val="28"/>
        <w:szCs w:val="28"/>
      </w:rPr>
      <w:t xml:space="preserve"> —</w:t>
    </w:r>
    <w:r>
      <w:rPr>
        <w:rStyle w:val="34"/>
        <w:rFonts w:hint="eastAsia" w:ascii="宋体" w:hAnsi="宋体"/>
        <w:color w:val="FFFFFF"/>
        <w:sz w:val="28"/>
        <w:szCs w:val="28"/>
      </w:rPr>
      <w:t>—</w:t>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73970"/>
    <w:multiLevelType w:val="singleLevel"/>
    <w:tmpl w:val="A4073970"/>
    <w:lvl w:ilvl="0" w:tentative="0">
      <w:start w:val="2"/>
      <w:numFmt w:val="decimal"/>
      <w:suff w:val="nothing"/>
      <w:lvlText w:val="（%1）"/>
      <w:lvlJc w:val="left"/>
    </w:lvl>
  </w:abstractNum>
  <w:abstractNum w:abstractNumId="1">
    <w:nsid w:val="7E8860E8"/>
    <w:multiLevelType w:val="singleLevel"/>
    <w:tmpl w:val="7E8860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MTU2YWUxNGE2Y2U5MjhmM2YzMmE2NzhjNjU4YmYifQ=="/>
  </w:docVars>
  <w:rsids>
    <w:rsidRoot w:val="00D86D20"/>
    <w:rsid w:val="0000236D"/>
    <w:rsid w:val="00003CF4"/>
    <w:rsid w:val="0000563F"/>
    <w:rsid w:val="00005C45"/>
    <w:rsid w:val="00010385"/>
    <w:rsid w:val="0001051B"/>
    <w:rsid w:val="0001198C"/>
    <w:rsid w:val="000142FF"/>
    <w:rsid w:val="00014CB9"/>
    <w:rsid w:val="00021E70"/>
    <w:rsid w:val="00022156"/>
    <w:rsid w:val="000307A7"/>
    <w:rsid w:val="000322F5"/>
    <w:rsid w:val="00041C30"/>
    <w:rsid w:val="0004319E"/>
    <w:rsid w:val="00050B39"/>
    <w:rsid w:val="00050D81"/>
    <w:rsid w:val="00051173"/>
    <w:rsid w:val="00054322"/>
    <w:rsid w:val="000555DD"/>
    <w:rsid w:val="00057D8C"/>
    <w:rsid w:val="00061CAF"/>
    <w:rsid w:val="00064C1D"/>
    <w:rsid w:val="0007362E"/>
    <w:rsid w:val="00075ECE"/>
    <w:rsid w:val="000840A4"/>
    <w:rsid w:val="000870B1"/>
    <w:rsid w:val="000910E9"/>
    <w:rsid w:val="00091316"/>
    <w:rsid w:val="000927E4"/>
    <w:rsid w:val="00093236"/>
    <w:rsid w:val="000932A9"/>
    <w:rsid w:val="0009637B"/>
    <w:rsid w:val="000966A8"/>
    <w:rsid w:val="000976FA"/>
    <w:rsid w:val="00097A2D"/>
    <w:rsid w:val="00097CA8"/>
    <w:rsid w:val="000A170E"/>
    <w:rsid w:val="000A1727"/>
    <w:rsid w:val="000A4975"/>
    <w:rsid w:val="000A5E9E"/>
    <w:rsid w:val="000B05F9"/>
    <w:rsid w:val="000B112D"/>
    <w:rsid w:val="000B2792"/>
    <w:rsid w:val="000B2C90"/>
    <w:rsid w:val="000C0AC6"/>
    <w:rsid w:val="000D1AB5"/>
    <w:rsid w:val="000D1D82"/>
    <w:rsid w:val="000D6C91"/>
    <w:rsid w:val="000E0B27"/>
    <w:rsid w:val="000E37A1"/>
    <w:rsid w:val="000E5592"/>
    <w:rsid w:val="000E61A9"/>
    <w:rsid w:val="000E651E"/>
    <w:rsid w:val="000F1397"/>
    <w:rsid w:val="000F2978"/>
    <w:rsid w:val="000F2A1B"/>
    <w:rsid w:val="000F5F17"/>
    <w:rsid w:val="0010176D"/>
    <w:rsid w:val="001038E3"/>
    <w:rsid w:val="001045B9"/>
    <w:rsid w:val="00107106"/>
    <w:rsid w:val="001146CC"/>
    <w:rsid w:val="00122336"/>
    <w:rsid w:val="0012424C"/>
    <w:rsid w:val="00124353"/>
    <w:rsid w:val="00124415"/>
    <w:rsid w:val="00126279"/>
    <w:rsid w:val="00126A3B"/>
    <w:rsid w:val="00131E41"/>
    <w:rsid w:val="00135B65"/>
    <w:rsid w:val="00135BE0"/>
    <w:rsid w:val="00137CAB"/>
    <w:rsid w:val="00140B32"/>
    <w:rsid w:val="00141D77"/>
    <w:rsid w:val="00142012"/>
    <w:rsid w:val="001444F8"/>
    <w:rsid w:val="00145367"/>
    <w:rsid w:val="00145CAC"/>
    <w:rsid w:val="00145DD1"/>
    <w:rsid w:val="00147540"/>
    <w:rsid w:val="0014766A"/>
    <w:rsid w:val="001520A1"/>
    <w:rsid w:val="001526AF"/>
    <w:rsid w:val="00152D3E"/>
    <w:rsid w:val="001541B8"/>
    <w:rsid w:val="001555DC"/>
    <w:rsid w:val="00156CEE"/>
    <w:rsid w:val="0016049A"/>
    <w:rsid w:val="0016125F"/>
    <w:rsid w:val="00166FE9"/>
    <w:rsid w:val="00171E1D"/>
    <w:rsid w:val="0017547B"/>
    <w:rsid w:val="00176A44"/>
    <w:rsid w:val="001777FC"/>
    <w:rsid w:val="00182745"/>
    <w:rsid w:val="00182B74"/>
    <w:rsid w:val="00182E63"/>
    <w:rsid w:val="00186702"/>
    <w:rsid w:val="00186C54"/>
    <w:rsid w:val="00192C7A"/>
    <w:rsid w:val="00192E01"/>
    <w:rsid w:val="00193C97"/>
    <w:rsid w:val="00194994"/>
    <w:rsid w:val="00194B1B"/>
    <w:rsid w:val="00195FEB"/>
    <w:rsid w:val="001A12D7"/>
    <w:rsid w:val="001A1D1D"/>
    <w:rsid w:val="001A38D7"/>
    <w:rsid w:val="001A3D2F"/>
    <w:rsid w:val="001A4CDD"/>
    <w:rsid w:val="001A5A0B"/>
    <w:rsid w:val="001A6283"/>
    <w:rsid w:val="001B0752"/>
    <w:rsid w:val="001B0799"/>
    <w:rsid w:val="001B0E37"/>
    <w:rsid w:val="001B1B41"/>
    <w:rsid w:val="001B2F08"/>
    <w:rsid w:val="001B4519"/>
    <w:rsid w:val="001B45D0"/>
    <w:rsid w:val="001B53CB"/>
    <w:rsid w:val="001B5AC0"/>
    <w:rsid w:val="001B7C14"/>
    <w:rsid w:val="001C4A44"/>
    <w:rsid w:val="001C6247"/>
    <w:rsid w:val="001D434F"/>
    <w:rsid w:val="001D45E7"/>
    <w:rsid w:val="001D66E1"/>
    <w:rsid w:val="001D6BBB"/>
    <w:rsid w:val="001E2D16"/>
    <w:rsid w:val="001E6682"/>
    <w:rsid w:val="001F0A23"/>
    <w:rsid w:val="001F1CAB"/>
    <w:rsid w:val="001F2D87"/>
    <w:rsid w:val="001F3122"/>
    <w:rsid w:val="001F68AD"/>
    <w:rsid w:val="002012BB"/>
    <w:rsid w:val="00202988"/>
    <w:rsid w:val="00204BAB"/>
    <w:rsid w:val="00210320"/>
    <w:rsid w:val="002103AA"/>
    <w:rsid w:val="002128CC"/>
    <w:rsid w:val="00212A15"/>
    <w:rsid w:val="00215BE6"/>
    <w:rsid w:val="00215EB9"/>
    <w:rsid w:val="00220FBD"/>
    <w:rsid w:val="00221D19"/>
    <w:rsid w:val="002252A1"/>
    <w:rsid w:val="002306FC"/>
    <w:rsid w:val="002344E1"/>
    <w:rsid w:val="00235924"/>
    <w:rsid w:val="00236845"/>
    <w:rsid w:val="00240826"/>
    <w:rsid w:val="00241FE3"/>
    <w:rsid w:val="00244238"/>
    <w:rsid w:val="00246C97"/>
    <w:rsid w:val="002477FB"/>
    <w:rsid w:val="00250461"/>
    <w:rsid w:val="00250C04"/>
    <w:rsid w:val="00251CF6"/>
    <w:rsid w:val="00252AA6"/>
    <w:rsid w:val="002553DD"/>
    <w:rsid w:val="0025557D"/>
    <w:rsid w:val="00260B47"/>
    <w:rsid w:val="002628FC"/>
    <w:rsid w:val="002637CD"/>
    <w:rsid w:val="0026533C"/>
    <w:rsid w:val="002655D0"/>
    <w:rsid w:val="002705C1"/>
    <w:rsid w:val="002705FF"/>
    <w:rsid w:val="00270DE0"/>
    <w:rsid w:val="0027175E"/>
    <w:rsid w:val="0027354A"/>
    <w:rsid w:val="00274092"/>
    <w:rsid w:val="00276232"/>
    <w:rsid w:val="002764FB"/>
    <w:rsid w:val="00276772"/>
    <w:rsid w:val="00280E09"/>
    <w:rsid w:val="0028561A"/>
    <w:rsid w:val="00285882"/>
    <w:rsid w:val="00285D0A"/>
    <w:rsid w:val="00286941"/>
    <w:rsid w:val="00286A9A"/>
    <w:rsid w:val="00293C4E"/>
    <w:rsid w:val="00294B60"/>
    <w:rsid w:val="002A51BD"/>
    <w:rsid w:val="002B005F"/>
    <w:rsid w:val="002B2854"/>
    <w:rsid w:val="002B4588"/>
    <w:rsid w:val="002B4965"/>
    <w:rsid w:val="002B58BE"/>
    <w:rsid w:val="002B688A"/>
    <w:rsid w:val="002B6EED"/>
    <w:rsid w:val="002C033C"/>
    <w:rsid w:val="002C0806"/>
    <w:rsid w:val="002C0C14"/>
    <w:rsid w:val="002C593E"/>
    <w:rsid w:val="002D0708"/>
    <w:rsid w:val="002D14B4"/>
    <w:rsid w:val="002D2DC2"/>
    <w:rsid w:val="002D3A61"/>
    <w:rsid w:val="002E37EC"/>
    <w:rsid w:val="002E4A8C"/>
    <w:rsid w:val="002E763C"/>
    <w:rsid w:val="002F26A1"/>
    <w:rsid w:val="002F63FC"/>
    <w:rsid w:val="002F6952"/>
    <w:rsid w:val="0030119A"/>
    <w:rsid w:val="0030270D"/>
    <w:rsid w:val="003037D1"/>
    <w:rsid w:val="00303E22"/>
    <w:rsid w:val="00307105"/>
    <w:rsid w:val="003107BE"/>
    <w:rsid w:val="00310B9E"/>
    <w:rsid w:val="00310ED8"/>
    <w:rsid w:val="00310EE1"/>
    <w:rsid w:val="00314432"/>
    <w:rsid w:val="003166D7"/>
    <w:rsid w:val="00320179"/>
    <w:rsid w:val="00320694"/>
    <w:rsid w:val="00321FF2"/>
    <w:rsid w:val="0032728D"/>
    <w:rsid w:val="00330F88"/>
    <w:rsid w:val="00331F0C"/>
    <w:rsid w:val="00331F5E"/>
    <w:rsid w:val="003328A5"/>
    <w:rsid w:val="00335284"/>
    <w:rsid w:val="0034749E"/>
    <w:rsid w:val="0034752B"/>
    <w:rsid w:val="00347728"/>
    <w:rsid w:val="003511A6"/>
    <w:rsid w:val="00352240"/>
    <w:rsid w:val="003530BF"/>
    <w:rsid w:val="00354120"/>
    <w:rsid w:val="00355A0C"/>
    <w:rsid w:val="00355C42"/>
    <w:rsid w:val="00364F34"/>
    <w:rsid w:val="003659CF"/>
    <w:rsid w:val="00365C51"/>
    <w:rsid w:val="00366029"/>
    <w:rsid w:val="003701B5"/>
    <w:rsid w:val="00372ED6"/>
    <w:rsid w:val="00373145"/>
    <w:rsid w:val="00373671"/>
    <w:rsid w:val="0037539E"/>
    <w:rsid w:val="003756B8"/>
    <w:rsid w:val="00377617"/>
    <w:rsid w:val="00377EBB"/>
    <w:rsid w:val="00381E58"/>
    <w:rsid w:val="00387FD7"/>
    <w:rsid w:val="00390FD0"/>
    <w:rsid w:val="00391FCD"/>
    <w:rsid w:val="00393424"/>
    <w:rsid w:val="00395D0F"/>
    <w:rsid w:val="003A1EC1"/>
    <w:rsid w:val="003A36FD"/>
    <w:rsid w:val="003A51FC"/>
    <w:rsid w:val="003A6FE9"/>
    <w:rsid w:val="003B459C"/>
    <w:rsid w:val="003B5900"/>
    <w:rsid w:val="003C19CD"/>
    <w:rsid w:val="003C1D17"/>
    <w:rsid w:val="003C2D45"/>
    <w:rsid w:val="003C3086"/>
    <w:rsid w:val="003C441A"/>
    <w:rsid w:val="003C45DC"/>
    <w:rsid w:val="003C47C5"/>
    <w:rsid w:val="003C5ABB"/>
    <w:rsid w:val="003C5D1D"/>
    <w:rsid w:val="003C6341"/>
    <w:rsid w:val="003C7378"/>
    <w:rsid w:val="003D2743"/>
    <w:rsid w:val="003D2D87"/>
    <w:rsid w:val="003D6491"/>
    <w:rsid w:val="003D6799"/>
    <w:rsid w:val="003D68BA"/>
    <w:rsid w:val="003D7D3A"/>
    <w:rsid w:val="003E0307"/>
    <w:rsid w:val="003E09A9"/>
    <w:rsid w:val="003E5542"/>
    <w:rsid w:val="003E5B87"/>
    <w:rsid w:val="003E73B1"/>
    <w:rsid w:val="003E7885"/>
    <w:rsid w:val="003E7BBF"/>
    <w:rsid w:val="003F387F"/>
    <w:rsid w:val="00400682"/>
    <w:rsid w:val="00401892"/>
    <w:rsid w:val="004037B0"/>
    <w:rsid w:val="00404150"/>
    <w:rsid w:val="004046BC"/>
    <w:rsid w:val="00406BCE"/>
    <w:rsid w:val="0040768D"/>
    <w:rsid w:val="00407AFB"/>
    <w:rsid w:val="00407CDC"/>
    <w:rsid w:val="0041029B"/>
    <w:rsid w:val="00411FD9"/>
    <w:rsid w:val="00412420"/>
    <w:rsid w:val="0041302B"/>
    <w:rsid w:val="00413A88"/>
    <w:rsid w:val="00414289"/>
    <w:rsid w:val="00415148"/>
    <w:rsid w:val="004160EF"/>
    <w:rsid w:val="00420BA0"/>
    <w:rsid w:val="00422779"/>
    <w:rsid w:val="00423829"/>
    <w:rsid w:val="004261C3"/>
    <w:rsid w:val="0042764B"/>
    <w:rsid w:val="0043074D"/>
    <w:rsid w:val="00432011"/>
    <w:rsid w:val="00433A39"/>
    <w:rsid w:val="00434ABF"/>
    <w:rsid w:val="00436646"/>
    <w:rsid w:val="00437CC5"/>
    <w:rsid w:val="004431AD"/>
    <w:rsid w:val="004441D6"/>
    <w:rsid w:val="0044609A"/>
    <w:rsid w:val="004503B0"/>
    <w:rsid w:val="00453886"/>
    <w:rsid w:val="00454C8B"/>
    <w:rsid w:val="00455DE3"/>
    <w:rsid w:val="00455F9C"/>
    <w:rsid w:val="004602B0"/>
    <w:rsid w:val="00461553"/>
    <w:rsid w:val="00462E31"/>
    <w:rsid w:val="004666DC"/>
    <w:rsid w:val="00466785"/>
    <w:rsid w:val="00467786"/>
    <w:rsid w:val="00475416"/>
    <w:rsid w:val="00480F2B"/>
    <w:rsid w:val="00497780"/>
    <w:rsid w:val="004A02F6"/>
    <w:rsid w:val="004A1281"/>
    <w:rsid w:val="004A217C"/>
    <w:rsid w:val="004A7500"/>
    <w:rsid w:val="004A7887"/>
    <w:rsid w:val="004B0AAF"/>
    <w:rsid w:val="004B1084"/>
    <w:rsid w:val="004B1555"/>
    <w:rsid w:val="004B1874"/>
    <w:rsid w:val="004B3A7F"/>
    <w:rsid w:val="004B4814"/>
    <w:rsid w:val="004B5D8F"/>
    <w:rsid w:val="004B5F7B"/>
    <w:rsid w:val="004B77F9"/>
    <w:rsid w:val="004C26E4"/>
    <w:rsid w:val="004C4B46"/>
    <w:rsid w:val="004C54BD"/>
    <w:rsid w:val="004C6625"/>
    <w:rsid w:val="004D081B"/>
    <w:rsid w:val="004D0DC8"/>
    <w:rsid w:val="004D24D7"/>
    <w:rsid w:val="004D4173"/>
    <w:rsid w:val="004E3454"/>
    <w:rsid w:val="004E35A4"/>
    <w:rsid w:val="004E39C1"/>
    <w:rsid w:val="004E65F2"/>
    <w:rsid w:val="004F000E"/>
    <w:rsid w:val="004F0D80"/>
    <w:rsid w:val="004F160A"/>
    <w:rsid w:val="004F3B84"/>
    <w:rsid w:val="004F4768"/>
    <w:rsid w:val="00501EF9"/>
    <w:rsid w:val="005051C2"/>
    <w:rsid w:val="00505F04"/>
    <w:rsid w:val="00507C10"/>
    <w:rsid w:val="00510D2A"/>
    <w:rsid w:val="00512319"/>
    <w:rsid w:val="00512643"/>
    <w:rsid w:val="005136E5"/>
    <w:rsid w:val="00513AA2"/>
    <w:rsid w:val="005154C5"/>
    <w:rsid w:val="005230F5"/>
    <w:rsid w:val="005301F8"/>
    <w:rsid w:val="00530B01"/>
    <w:rsid w:val="00534F7B"/>
    <w:rsid w:val="00535767"/>
    <w:rsid w:val="0053583E"/>
    <w:rsid w:val="00535BE8"/>
    <w:rsid w:val="00537BE0"/>
    <w:rsid w:val="00540441"/>
    <w:rsid w:val="00540F24"/>
    <w:rsid w:val="0054335B"/>
    <w:rsid w:val="00546991"/>
    <w:rsid w:val="005505B3"/>
    <w:rsid w:val="00556844"/>
    <w:rsid w:val="005608C6"/>
    <w:rsid w:val="0056139F"/>
    <w:rsid w:val="00562159"/>
    <w:rsid w:val="005624D3"/>
    <w:rsid w:val="00563114"/>
    <w:rsid w:val="0056497D"/>
    <w:rsid w:val="00565B4C"/>
    <w:rsid w:val="00565DDB"/>
    <w:rsid w:val="005669DF"/>
    <w:rsid w:val="00566D24"/>
    <w:rsid w:val="00573E37"/>
    <w:rsid w:val="00575E61"/>
    <w:rsid w:val="00580877"/>
    <w:rsid w:val="005814A3"/>
    <w:rsid w:val="005828F2"/>
    <w:rsid w:val="0058472A"/>
    <w:rsid w:val="005858EB"/>
    <w:rsid w:val="00591B76"/>
    <w:rsid w:val="005927E0"/>
    <w:rsid w:val="00593959"/>
    <w:rsid w:val="00595CF7"/>
    <w:rsid w:val="0059606D"/>
    <w:rsid w:val="005966D9"/>
    <w:rsid w:val="005A0FCC"/>
    <w:rsid w:val="005A130D"/>
    <w:rsid w:val="005A1DA3"/>
    <w:rsid w:val="005A4815"/>
    <w:rsid w:val="005B24C5"/>
    <w:rsid w:val="005B3342"/>
    <w:rsid w:val="005C06C6"/>
    <w:rsid w:val="005C2F64"/>
    <w:rsid w:val="005C7306"/>
    <w:rsid w:val="005C7F2F"/>
    <w:rsid w:val="005D0FF0"/>
    <w:rsid w:val="005D1D5C"/>
    <w:rsid w:val="005D2EEA"/>
    <w:rsid w:val="005D306D"/>
    <w:rsid w:val="005D3F3F"/>
    <w:rsid w:val="005D4D45"/>
    <w:rsid w:val="005E3C4E"/>
    <w:rsid w:val="005E4A55"/>
    <w:rsid w:val="005E75E5"/>
    <w:rsid w:val="005E7F3A"/>
    <w:rsid w:val="005F3AB7"/>
    <w:rsid w:val="005F414F"/>
    <w:rsid w:val="005F4309"/>
    <w:rsid w:val="005F4D24"/>
    <w:rsid w:val="005F6F59"/>
    <w:rsid w:val="00600BE3"/>
    <w:rsid w:val="00602AAF"/>
    <w:rsid w:val="00603806"/>
    <w:rsid w:val="00604317"/>
    <w:rsid w:val="00604679"/>
    <w:rsid w:val="006053D2"/>
    <w:rsid w:val="00607677"/>
    <w:rsid w:val="00607C7D"/>
    <w:rsid w:val="006103E2"/>
    <w:rsid w:val="00610BE4"/>
    <w:rsid w:val="00613FF6"/>
    <w:rsid w:val="00616B9C"/>
    <w:rsid w:val="0062015A"/>
    <w:rsid w:val="0062135C"/>
    <w:rsid w:val="00621D1C"/>
    <w:rsid w:val="00622A9C"/>
    <w:rsid w:val="00624BC4"/>
    <w:rsid w:val="0062518D"/>
    <w:rsid w:val="006253ED"/>
    <w:rsid w:val="006306AF"/>
    <w:rsid w:val="006318FE"/>
    <w:rsid w:val="006326D9"/>
    <w:rsid w:val="00632C08"/>
    <w:rsid w:val="00633161"/>
    <w:rsid w:val="00635DFD"/>
    <w:rsid w:val="00637A79"/>
    <w:rsid w:val="00637B54"/>
    <w:rsid w:val="00642072"/>
    <w:rsid w:val="00643B93"/>
    <w:rsid w:val="00644FA1"/>
    <w:rsid w:val="0065030A"/>
    <w:rsid w:val="00651EA6"/>
    <w:rsid w:val="0065206F"/>
    <w:rsid w:val="00652A3A"/>
    <w:rsid w:val="006535A6"/>
    <w:rsid w:val="00655C93"/>
    <w:rsid w:val="00662DC7"/>
    <w:rsid w:val="0066460A"/>
    <w:rsid w:val="006646DA"/>
    <w:rsid w:val="00666F4A"/>
    <w:rsid w:val="006679FE"/>
    <w:rsid w:val="00677915"/>
    <w:rsid w:val="00681D9D"/>
    <w:rsid w:val="0068530D"/>
    <w:rsid w:val="0069253B"/>
    <w:rsid w:val="00692953"/>
    <w:rsid w:val="0069346F"/>
    <w:rsid w:val="006949A6"/>
    <w:rsid w:val="006959FC"/>
    <w:rsid w:val="00695F6C"/>
    <w:rsid w:val="006A0191"/>
    <w:rsid w:val="006A0226"/>
    <w:rsid w:val="006A1B88"/>
    <w:rsid w:val="006A5B2D"/>
    <w:rsid w:val="006A7CCD"/>
    <w:rsid w:val="006A7E09"/>
    <w:rsid w:val="006B157E"/>
    <w:rsid w:val="006B35C8"/>
    <w:rsid w:val="006B512C"/>
    <w:rsid w:val="006C07AE"/>
    <w:rsid w:val="006C3004"/>
    <w:rsid w:val="006C3B39"/>
    <w:rsid w:val="006C3C01"/>
    <w:rsid w:val="006C63EC"/>
    <w:rsid w:val="006C7839"/>
    <w:rsid w:val="006D1466"/>
    <w:rsid w:val="006D159B"/>
    <w:rsid w:val="006D7A71"/>
    <w:rsid w:val="006E091D"/>
    <w:rsid w:val="006E2013"/>
    <w:rsid w:val="006E4613"/>
    <w:rsid w:val="006F47EF"/>
    <w:rsid w:val="006F54EB"/>
    <w:rsid w:val="006F6536"/>
    <w:rsid w:val="00700964"/>
    <w:rsid w:val="00702AEA"/>
    <w:rsid w:val="00704FBE"/>
    <w:rsid w:val="00707A30"/>
    <w:rsid w:val="00710DC4"/>
    <w:rsid w:val="00710F8D"/>
    <w:rsid w:val="00711482"/>
    <w:rsid w:val="007214EC"/>
    <w:rsid w:val="0072258A"/>
    <w:rsid w:val="00723DA7"/>
    <w:rsid w:val="007253FC"/>
    <w:rsid w:val="007264E0"/>
    <w:rsid w:val="00726DCA"/>
    <w:rsid w:val="00730B11"/>
    <w:rsid w:val="00732FDD"/>
    <w:rsid w:val="0073311C"/>
    <w:rsid w:val="00737367"/>
    <w:rsid w:val="00740383"/>
    <w:rsid w:val="007431F2"/>
    <w:rsid w:val="00750905"/>
    <w:rsid w:val="00756731"/>
    <w:rsid w:val="007567CB"/>
    <w:rsid w:val="00757173"/>
    <w:rsid w:val="00762855"/>
    <w:rsid w:val="00765AA7"/>
    <w:rsid w:val="007704E3"/>
    <w:rsid w:val="007714B4"/>
    <w:rsid w:val="0077188E"/>
    <w:rsid w:val="0077191A"/>
    <w:rsid w:val="00771E7B"/>
    <w:rsid w:val="007734B0"/>
    <w:rsid w:val="00773FE5"/>
    <w:rsid w:val="00784326"/>
    <w:rsid w:val="00786257"/>
    <w:rsid w:val="00793BEA"/>
    <w:rsid w:val="0079610B"/>
    <w:rsid w:val="007969F2"/>
    <w:rsid w:val="0079746D"/>
    <w:rsid w:val="00797C41"/>
    <w:rsid w:val="007A281A"/>
    <w:rsid w:val="007A3E4A"/>
    <w:rsid w:val="007A4862"/>
    <w:rsid w:val="007A7674"/>
    <w:rsid w:val="007A79C2"/>
    <w:rsid w:val="007B3386"/>
    <w:rsid w:val="007B383A"/>
    <w:rsid w:val="007B48F6"/>
    <w:rsid w:val="007B5203"/>
    <w:rsid w:val="007B5278"/>
    <w:rsid w:val="007B586A"/>
    <w:rsid w:val="007B70AB"/>
    <w:rsid w:val="007B7EDE"/>
    <w:rsid w:val="007C3129"/>
    <w:rsid w:val="007C55BB"/>
    <w:rsid w:val="007D152C"/>
    <w:rsid w:val="007D5775"/>
    <w:rsid w:val="007D5908"/>
    <w:rsid w:val="007D64CB"/>
    <w:rsid w:val="007D66CD"/>
    <w:rsid w:val="007E1192"/>
    <w:rsid w:val="007E2CDF"/>
    <w:rsid w:val="007E355E"/>
    <w:rsid w:val="007E4229"/>
    <w:rsid w:val="007E477D"/>
    <w:rsid w:val="007E4C57"/>
    <w:rsid w:val="007F0BF6"/>
    <w:rsid w:val="007F3026"/>
    <w:rsid w:val="007F340E"/>
    <w:rsid w:val="007F51A1"/>
    <w:rsid w:val="007F62D8"/>
    <w:rsid w:val="007F74F9"/>
    <w:rsid w:val="007F76A4"/>
    <w:rsid w:val="007F7A9B"/>
    <w:rsid w:val="008006C3"/>
    <w:rsid w:val="008009BD"/>
    <w:rsid w:val="0080431A"/>
    <w:rsid w:val="008057A1"/>
    <w:rsid w:val="008058AD"/>
    <w:rsid w:val="00806052"/>
    <w:rsid w:val="00811154"/>
    <w:rsid w:val="00813700"/>
    <w:rsid w:val="008148F8"/>
    <w:rsid w:val="008152B0"/>
    <w:rsid w:val="008152C5"/>
    <w:rsid w:val="00815A8F"/>
    <w:rsid w:val="00816EFC"/>
    <w:rsid w:val="00821FCA"/>
    <w:rsid w:val="00822B07"/>
    <w:rsid w:val="00825B14"/>
    <w:rsid w:val="00825F3B"/>
    <w:rsid w:val="008267A4"/>
    <w:rsid w:val="008269A4"/>
    <w:rsid w:val="00831385"/>
    <w:rsid w:val="008342CC"/>
    <w:rsid w:val="00834816"/>
    <w:rsid w:val="00834E07"/>
    <w:rsid w:val="0083700A"/>
    <w:rsid w:val="0083798D"/>
    <w:rsid w:val="00837ADF"/>
    <w:rsid w:val="00840E34"/>
    <w:rsid w:val="00841664"/>
    <w:rsid w:val="00842FF0"/>
    <w:rsid w:val="008435B3"/>
    <w:rsid w:val="00843663"/>
    <w:rsid w:val="00850691"/>
    <w:rsid w:val="0085198D"/>
    <w:rsid w:val="008524CF"/>
    <w:rsid w:val="0085251D"/>
    <w:rsid w:val="0085348A"/>
    <w:rsid w:val="008555E9"/>
    <w:rsid w:val="008572BB"/>
    <w:rsid w:val="00861406"/>
    <w:rsid w:val="008649FA"/>
    <w:rsid w:val="00866000"/>
    <w:rsid w:val="00867784"/>
    <w:rsid w:val="008710BE"/>
    <w:rsid w:val="008737BB"/>
    <w:rsid w:val="00875CE8"/>
    <w:rsid w:val="008779E9"/>
    <w:rsid w:val="00880FB8"/>
    <w:rsid w:val="00882CB2"/>
    <w:rsid w:val="00891130"/>
    <w:rsid w:val="00892400"/>
    <w:rsid w:val="00892AD0"/>
    <w:rsid w:val="00894BAC"/>
    <w:rsid w:val="00895EFF"/>
    <w:rsid w:val="00895FA5"/>
    <w:rsid w:val="0089692C"/>
    <w:rsid w:val="008A07AE"/>
    <w:rsid w:val="008A1200"/>
    <w:rsid w:val="008A2371"/>
    <w:rsid w:val="008A38F1"/>
    <w:rsid w:val="008A62D6"/>
    <w:rsid w:val="008A7715"/>
    <w:rsid w:val="008B10A5"/>
    <w:rsid w:val="008B2EEE"/>
    <w:rsid w:val="008B48B6"/>
    <w:rsid w:val="008B5621"/>
    <w:rsid w:val="008B673A"/>
    <w:rsid w:val="008B6B7B"/>
    <w:rsid w:val="008B7190"/>
    <w:rsid w:val="008B7890"/>
    <w:rsid w:val="008C1D51"/>
    <w:rsid w:val="008C202F"/>
    <w:rsid w:val="008C247B"/>
    <w:rsid w:val="008C3469"/>
    <w:rsid w:val="008C3A0B"/>
    <w:rsid w:val="008C4ABD"/>
    <w:rsid w:val="008C574E"/>
    <w:rsid w:val="008C57FC"/>
    <w:rsid w:val="008C7957"/>
    <w:rsid w:val="008D34C5"/>
    <w:rsid w:val="008E118C"/>
    <w:rsid w:val="008E33C4"/>
    <w:rsid w:val="008E5079"/>
    <w:rsid w:val="008E5136"/>
    <w:rsid w:val="008E5851"/>
    <w:rsid w:val="008E7668"/>
    <w:rsid w:val="008E7748"/>
    <w:rsid w:val="008E7AD3"/>
    <w:rsid w:val="008F0364"/>
    <w:rsid w:val="008F1B5C"/>
    <w:rsid w:val="008F4045"/>
    <w:rsid w:val="008F42E3"/>
    <w:rsid w:val="008F4A6C"/>
    <w:rsid w:val="008F4E4E"/>
    <w:rsid w:val="008F5771"/>
    <w:rsid w:val="008F6DCA"/>
    <w:rsid w:val="00900907"/>
    <w:rsid w:val="00900945"/>
    <w:rsid w:val="00901B55"/>
    <w:rsid w:val="00902260"/>
    <w:rsid w:val="0090458B"/>
    <w:rsid w:val="00904D86"/>
    <w:rsid w:val="00910084"/>
    <w:rsid w:val="00910721"/>
    <w:rsid w:val="0091418A"/>
    <w:rsid w:val="009178B2"/>
    <w:rsid w:val="00920104"/>
    <w:rsid w:val="009225AC"/>
    <w:rsid w:val="0092788F"/>
    <w:rsid w:val="00927B72"/>
    <w:rsid w:val="00930B62"/>
    <w:rsid w:val="00935A39"/>
    <w:rsid w:val="00935E75"/>
    <w:rsid w:val="00940333"/>
    <w:rsid w:val="00947A81"/>
    <w:rsid w:val="00950F84"/>
    <w:rsid w:val="00954D68"/>
    <w:rsid w:val="009554BC"/>
    <w:rsid w:val="009557E8"/>
    <w:rsid w:val="00955BF5"/>
    <w:rsid w:val="0095714E"/>
    <w:rsid w:val="00957B1E"/>
    <w:rsid w:val="00960FB9"/>
    <w:rsid w:val="0096191F"/>
    <w:rsid w:val="009623BB"/>
    <w:rsid w:val="00963374"/>
    <w:rsid w:val="00964857"/>
    <w:rsid w:val="0096599C"/>
    <w:rsid w:val="00966AFA"/>
    <w:rsid w:val="009701F6"/>
    <w:rsid w:val="00970C8A"/>
    <w:rsid w:val="00972B24"/>
    <w:rsid w:val="00972F4C"/>
    <w:rsid w:val="00974A13"/>
    <w:rsid w:val="00974DC3"/>
    <w:rsid w:val="0097583F"/>
    <w:rsid w:val="009834A4"/>
    <w:rsid w:val="00983559"/>
    <w:rsid w:val="00985738"/>
    <w:rsid w:val="009908A1"/>
    <w:rsid w:val="009923A5"/>
    <w:rsid w:val="009940FD"/>
    <w:rsid w:val="00994D24"/>
    <w:rsid w:val="0099719C"/>
    <w:rsid w:val="009A5269"/>
    <w:rsid w:val="009A62F9"/>
    <w:rsid w:val="009A6A07"/>
    <w:rsid w:val="009B1060"/>
    <w:rsid w:val="009B7F0F"/>
    <w:rsid w:val="009C05DB"/>
    <w:rsid w:val="009C65B5"/>
    <w:rsid w:val="009C7213"/>
    <w:rsid w:val="009C78CD"/>
    <w:rsid w:val="009D06F8"/>
    <w:rsid w:val="009D08BE"/>
    <w:rsid w:val="009D115C"/>
    <w:rsid w:val="009D3757"/>
    <w:rsid w:val="009D5FF1"/>
    <w:rsid w:val="009D69C4"/>
    <w:rsid w:val="009D6EB0"/>
    <w:rsid w:val="009E1A6D"/>
    <w:rsid w:val="009E4AD2"/>
    <w:rsid w:val="009F023E"/>
    <w:rsid w:val="009F0795"/>
    <w:rsid w:val="009F0F72"/>
    <w:rsid w:val="009F19C9"/>
    <w:rsid w:val="009F1B99"/>
    <w:rsid w:val="009F30AD"/>
    <w:rsid w:val="009F33BF"/>
    <w:rsid w:val="00A006AB"/>
    <w:rsid w:val="00A01CB1"/>
    <w:rsid w:val="00A049AE"/>
    <w:rsid w:val="00A05D44"/>
    <w:rsid w:val="00A05D47"/>
    <w:rsid w:val="00A065C8"/>
    <w:rsid w:val="00A10B39"/>
    <w:rsid w:val="00A118B7"/>
    <w:rsid w:val="00A119E7"/>
    <w:rsid w:val="00A128DB"/>
    <w:rsid w:val="00A20745"/>
    <w:rsid w:val="00A23560"/>
    <w:rsid w:val="00A237D5"/>
    <w:rsid w:val="00A3273C"/>
    <w:rsid w:val="00A37253"/>
    <w:rsid w:val="00A4178C"/>
    <w:rsid w:val="00A42335"/>
    <w:rsid w:val="00A43B82"/>
    <w:rsid w:val="00A443A2"/>
    <w:rsid w:val="00A44ED1"/>
    <w:rsid w:val="00A46DA3"/>
    <w:rsid w:val="00A51224"/>
    <w:rsid w:val="00A56FD1"/>
    <w:rsid w:val="00A57A42"/>
    <w:rsid w:val="00A65697"/>
    <w:rsid w:val="00A6646E"/>
    <w:rsid w:val="00A67CC5"/>
    <w:rsid w:val="00A70E3B"/>
    <w:rsid w:val="00A7320E"/>
    <w:rsid w:val="00A75AF6"/>
    <w:rsid w:val="00A77455"/>
    <w:rsid w:val="00A84710"/>
    <w:rsid w:val="00A84F9B"/>
    <w:rsid w:val="00A862E1"/>
    <w:rsid w:val="00A86F14"/>
    <w:rsid w:val="00A90480"/>
    <w:rsid w:val="00A959D6"/>
    <w:rsid w:val="00AA12D2"/>
    <w:rsid w:val="00AA16E4"/>
    <w:rsid w:val="00AA269E"/>
    <w:rsid w:val="00AA28D9"/>
    <w:rsid w:val="00AA4644"/>
    <w:rsid w:val="00AA50EA"/>
    <w:rsid w:val="00AA67AD"/>
    <w:rsid w:val="00AB29F0"/>
    <w:rsid w:val="00AB2B30"/>
    <w:rsid w:val="00AB3063"/>
    <w:rsid w:val="00AB4BAB"/>
    <w:rsid w:val="00AB4F9A"/>
    <w:rsid w:val="00AB6E2E"/>
    <w:rsid w:val="00AC1AC9"/>
    <w:rsid w:val="00AC2D51"/>
    <w:rsid w:val="00AC4E52"/>
    <w:rsid w:val="00AC52C3"/>
    <w:rsid w:val="00AC5843"/>
    <w:rsid w:val="00AC6A0A"/>
    <w:rsid w:val="00AC6E23"/>
    <w:rsid w:val="00AD1633"/>
    <w:rsid w:val="00AD40C6"/>
    <w:rsid w:val="00AD4662"/>
    <w:rsid w:val="00AD4684"/>
    <w:rsid w:val="00AD7A93"/>
    <w:rsid w:val="00AE1188"/>
    <w:rsid w:val="00AE310D"/>
    <w:rsid w:val="00AE5572"/>
    <w:rsid w:val="00AF04E3"/>
    <w:rsid w:val="00AF247A"/>
    <w:rsid w:val="00AF5935"/>
    <w:rsid w:val="00AF6923"/>
    <w:rsid w:val="00B00983"/>
    <w:rsid w:val="00B02F42"/>
    <w:rsid w:val="00B04582"/>
    <w:rsid w:val="00B06557"/>
    <w:rsid w:val="00B07A24"/>
    <w:rsid w:val="00B143C7"/>
    <w:rsid w:val="00B14AF8"/>
    <w:rsid w:val="00B16FAB"/>
    <w:rsid w:val="00B216C4"/>
    <w:rsid w:val="00B21812"/>
    <w:rsid w:val="00B2595D"/>
    <w:rsid w:val="00B30922"/>
    <w:rsid w:val="00B31C8A"/>
    <w:rsid w:val="00B3331C"/>
    <w:rsid w:val="00B35397"/>
    <w:rsid w:val="00B3722B"/>
    <w:rsid w:val="00B40181"/>
    <w:rsid w:val="00B40DA7"/>
    <w:rsid w:val="00B43F0E"/>
    <w:rsid w:val="00B45604"/>
    <w:rsid w:val="00B50374"/>
    <w:rsid w:val="00B54B32"/>
    <w:rsid w:val="00B56578"/>
    <w:rsid w:val="00B6290C"/>
    <w:rsid w:val="00B64304"/>
    <w:rsid w:val="00B65E6B"/>
    <w:rsid w:val="00B66C97"/>
    <w:rsid w:val="00B707F0"/>
    <w:rsid w:val="00B714E3"/>
    <w:rsid w:val="00B7210C"/>
    <w:rsid w:val="00B73B4D"/>
    <w:rsid w:val="00B75685"/>
    <w:rsid w:val="00B80CE9"/>
    <w:rsid w:val="00B824CE"/>
    <w:rsid w:val="00B833E5"/>
    <w:rsid w:val="00B8376A"/>
    <w:rsid w:val="00B84B83"/>
    <w:rsid w:val="00B85960"/>
    <w:rsid w:val="00B85C68"/>
    <w:rsid w:val="00B90ADA"/>
    <w:rsid w:val="00B90FE2"/>
    <w:rsid w:val="00B91FC4"/>
    <w:rsid w:val="00B9414F"/>
    <w:rsid w:val="00B94E14"/>
    <w:rsid w:val="00B951F0"/>
    <w:rsid w:val="00BA1C34"/>
    <w:rsid w:val="00BA2443"/>
    <w:rsid w:val="00BA413B"/>
    <w:rsid w:val="00BA4DEF"/>
    <w:rsid w:val="00BA647C"/>
    <w:rsid w:val="00BA7401"/>
    <w:rsid w:val="00BB14D9"/>
    <w:rsid w:val="00BB1730"/>
    <w:rsid w:val="00BB38EC"/>
    <w:rsid w:val="00BB412F"/>
    <w:rsid w:val="00BB5A3F"/>
    <w:rsid w:val="00BB6DBC"/>
    <w:rsid w:val="00BB749A"/>
    <w:rsid w:val="00BC1249"/>
    <w:rsid w:val="00BC171D"/>
    <w:rsid w:val="00BC5012"/>
    <w:rsid w:val="00BC5D4D"/>
    <w:rsid w:val="00BC60F7"/>
    <w:rsid w:val="00BD07AA"/>
    <w:rsid w:val="00BD535B"/>
    <w:rsid w:val="00BE06BE"/>
    <w:rsid w:val="00BE1FF1"/>
    <w:rsid w:val="00BE244C"/>
    <w:rsid w:val="00BE2D8B"/>
    <w:rsid w:val="00BE4F52"/>
    <w:rsid w:val="00BE5925"/>
    <w:rsid w:val="00BE6056"/>
    <w:rsid w:val="00BF55DD"/>
    <w:rsid w:val="00BF61E6"/>
    <w:rsid w:val="00BF75F4"/>
    <w:rsid w:val="00BF7EF5"/>
    <w:rsid w:val="00C0071A"/>
    <w:rsid w:val="00C01373"/>
    <w:rsid w:val="00C01C42"/>
    <w:rsid w:val="00C07D7B"/>
    <w:rsid w:val="00C103F8"/>
    <w:rsid w:val="00C10489"/>
    <w:rsid w:val="00C10E6A"/>
    <w:rsid w:val="00C12FDC"/>
    <w:rsid w:val="00C13491"/>
    <w:rsid w:val="00C136AF"/>
    <w:rsid w:val="00C13917"/>
    <w:rsid w:val="00C14503"/>
    <w:rsid w:val="00C15B30"/>
    <w:rsid w:val="00C162FD"/>
    <w:rsid w:val="00C17717"/>
    <w:rsid w:val="00C2033C"/>
    <w:rsid w:val="00C20891"/>
    <w:rsid w:val="00C20FFE"/>
    <w:rsid w:val="00C21A51"/>
    <w:rsid w:val="00C247CD"/>
    <w:rsid w:val="00C25D71"/>
    <w:rsid w:val="00C2677B"/>
    <w:rsid w:val="00C27F16"/>
    <w:rsid w:val="00C338C1"/>
    <w:rsid w:val="00C34333"/>
    <w:rsid w:val="00C3513D"/>
    <w:rsid w:val="00C3798A"/>
    <w:rsid w:val="00C40969"/>
    <w:rsid w:val="00C41F21"/>
    <w:rsid w:val="00C45A49"/>
    <w:rsid w:val="00C47872"/>
    <w:rsid w:val="00C47EF9"/>
    <w:rsid w:val="00C504F7"/>
    <w:rsid w:val="00C51111"/>
    <w:rsid w:val="00C517F6"/>
    <w:rsid w:val="00C52E6F"/>
    <w:rsid w:val="00C555A6"/>
    <w:rsid w:val="00C573E9"/>
    <w:rsid w:val="00C574BB"/>
    <w:rsid w:val="00C6055F"/>
    <w:rsid w:val="00C65376"/>
    <w:rsid w:val="00C65995"/>
    <w:rsid w:val="00C7356B"/>
    <w:rsid w:val="00C73BD1"/>
    <w:rsid w:val="00C74BCF"/>
    <w:rsid w:val="00C84296"/>
    <w:rsid w:val="00C852DC"/>
    <w:rsid w:val="00C85F8E"/>
    <w:rsid w:val="00C860D2"/>
    <w:rsid w:val="00C86584"/>
    <w:rsid w:val="00C86A7E"/>
    <w:rsid w:val="00C877AA"/>
    <w:rsid w:val="00C87A11"/>
    <w:rsid w:val="00C91BEA"/>
    <w:rsid w:val="00C93FD7"/>
    <w:rsid w:val="00C94170"/>
    <w:rsid w:val="00C945F0"/>
    <w:rsid w:val="00C9555C"/>
    <w:rsid w:val="00CA0B60"/>
    <w:rsid w:val="00CA1CE5"/>
    <w:rsid w:val="00CA5360"/>
    <w:rsid w:val="00CA69FA"/>
    <w:rsid w:val="00CA7F02"/>
    <w:rsid w:val="00CB147E"/>
    <w:rsid w:val="00CB2565"/>
    <w:rsid w:val="00CB2CFA"/>
    <w:rsid w:val="00CB3D90"/>
    <w:rsid w:val="00CB5141"/>
    <w:rsid w:val="00CB65C4"/>
    <w:rsid w:val="00CC18BE"/>
    <w:rsid w:val="00CC1F8F"/>
    <w:rsid w:val="00CC3C8E"/>
    <w:rsid w:val="00CC3DC4"/>
    <w:rsid w:val="00CD27F8"/>
    <w:rsid w:val="00CD2BC7"/>
    <w:rsid w:val="00CD350F"/>
    <w:rsid w:val="00CD3E18"/>
    <w:rsid w:val="00CD40A5"/>
    <w:rsid w:val="00CE0A8B"/>
    <w:rsid w:val="00CE16E9"/>
    <w:rsid w:val="00CE182A"/>
    <w:rsid w:val="00CE3635"/>
    <w:rsid w:val="00CE4D5A"/>
    <w:rsid w:val="00CE57C3"/>
    <w:rsid w:val="00CE6226"/>
    <w:rsid w:val="00CE7670"/>
    <w:rsid w:val="00CF154D"/>
    <w:rsid w:val="00CF1690"/>
    <w:rsid w:val="00CF17F7"/>
    <w:rsid w:val="00CF1C06"/>
    <w:rsid w:val="00CF37E1"/>
    <w:rsid w:val="00CF39E0"/>
    <w:rsid w:val="00CF4181"/>
    <w:rsid w:val="00CF4B7F"/>
    <w:rsid w:val="00D0242B"/>
    <w:rsid w:val="00D035C7"/>
    <w:rsid w:val="00D07CD8"/>
    <w:rsid w:val="00D150E7"/>
    <w:rsid w:val="00D162D5"/>
    <w:rsid w:val="00D1660F"/>
    <w:rsid w:val="00D23F34"/>
    <w:rsid w:val="00D2790C"/>
    <w:rsid w:val="00D32386"/>
    <w:rsid w:val="00D32587"/>
    <w:rsid w:val="00D3325D"/>
    <w:rsid w:val="00D345F2"/>
    <w:rsid w:val="00D349A1"/>
    <w:rsid w:val="00D36371"/>
    <w:rsid w:val="00D404F6"/>
    <w:rsid w:val="00D4173C"/>
    <w:rsid w:val="00D436BD"/>
    <w:rsid w:val="00D43871"/>
    <w:rsid w:val="00D43FAA"/>
    <w:rsid w:val="00D44163"/>
    <w:rsid w:val="00D45705"/>
    <w:rsid w:val="00D50DD2"/>
    <w:rsid w:val="00D5478A"/>
    <w:rsid w:val="00D5540C"/>
    <w:rsid w:val="00D57BBB"/>
    <w:rsid w:val="00D6001B"/>
    <w:rsid w:val="00D60CAB"/>
    <w:rsid w:val="00D62689"/>
    <w:rsid w:val="00D668BD"/>
    <w:rsid w:val="00D70F6F"/>
    <w:rsid w:val="00D7212B"/>
    <w:rsid w:val="00D75A64"/>
    <w:rsid w:val="00D77395"/>
    <w:rsid w:val="00D83968"/>
    <w:rsid w:val="00D8430A"/>
    <w:rsid w:val="00D86114"/>
    <w:rsid w:val="00D86D20"/>
    <w:rsid w:val="00D92456"/>
    <w:rsid w:val="00D95AC2"/>
    <w:rsid w:val="00DA1248"/>
    <w:rsid w:val="00DA53AE"/>
    <w:rsid w:val="00DA6AD8"/>
    <w:rsid w:val="00DB0422"/>
    <w:rsid w:val="00DB044F"/>
    <w:rsid w:val="00DB1F1F"/>
    <w:rsid w:val="00DB2603"/>
    <w:rsid w:val="00DB387B"/>
    <w:rsid w:val="00DB4120"/>
    <w:rsid w:val="00DB66E4"/>
    <w:rsid w:val="00DC12E8"/>
    <w:rsid w:val="00DC287E"/>
    <w:rsid w:val="00DC4A81"/>
    <w:rsid w:val="00DD0002"/>
    <w:rsid w:val="00DD5898"/>
    <w:rsid w:val="00DD639E"/>
    <w:rsid w:val="00DD6A7E"/>
    <w:rsid w:val="00DE0555"/>
    <w:rsid w:val="00DE1293"/>
    <w:rsid w:val="00DE3079"/>
    <w:rsid w:val="00DE3EDE"/>
    <w:rsid w:val="00DE40D7"/>
    <w:rsid w:val="00DE466F"/>
    <w:rsid w:val="00DE6916"/>
    <w:rsid w:val="00DE7C31"/>
    <w:rsid w:val="00DF22AD"/>
    <w:rsid w:val="00DF4725"/>
    <w:rsid w:val="00DF566D"/>
    <w:rsid w:val="00DF7706"/>
    <w:rsid w:val="00E01154"/>
    <w:rsid w:val="00E030C0"/>
    <w:rsid w:val="00E03369"/>
    <w:rsid w:val="00E05FBA"/>
    <w:rsid w:val="00E07706"/>
    <w:rsid w:val="00E07DA1"/>
    <w:rsid w:val="00E12C82"/>
    <w:rsid w:val="00E23E53"/>
    <w:rsid w:val="00E25C89"/>
    <w:rsid w:val="00E25CC2"/>
    <w:rsid w:val="00E27549"/>
    <w:rsid w:val="00E31704"/>
    <w:rsid w:val="00E34370"/>
    <w:rsid w:val="00E34748"/>
    <w:rsid w:val="00E348E9"/>
    <w:rsid w:val="00E35B9C"/>
    <w:rsid w:val="00E408B6"/>
    <w:rsid w:val="00E40CA8"/>
    <w:rsid w:val="00E40F86"/>
    <w:rsid w:val="00E41663"/>
    <w:rsid w:val="00E51021"/>
    <w:rsid w:val="00E5216F"/>
    <w:rsid w:val="00E57C7D"/>
    <w:rsid w:val="00E6038F"/>
    <w:rsid w:val="00E6103F"/>
    <w:rsid w:val="00E64013"/>
    <w:rsid w:val="00E641D2"/>
    <w:rsid w:val="00E70315"/>
    <w:rsid w:val="00E72608"/>
    <w:rsid w:val="00E747A2"/>
    <w:rsid w:val="00E75408"/>
    <w:rsid w:val="00E76B87"/>
    <w:rsid w:val="00E77AA0"/>
    <w:rsid w:val="00E80030"/>
    <w:rsid w:val="00E80FF9"/>
    <w:rsid w:val="00E835C2"/>
    <w:rsid w:val="00E84B9C"/>
    <w:rsid w:val="00E858A4"/>
    <w:rsid w:val="00E87173"/>
    <w:rsid w:val="00E90E0C"/>
    <w:rsid w:val="00E965CF"/>
    <w:rsid w:val="00E969B7"/>
    <w:rsid w:val="00E969D6"/>
    <w:rsid w:val="00EA0ADD"/>
    <w:rsid w:val="00EA1B83"/>
    <w:rsid w:val="00EA1EC1"/>
    <w:rsid w:val="00EA20E6"/>
    <w:rsid w:val="00EA5C25"/>
    <w:rsid w:val="00EA715E"/>
    <w:rsid w:val="00EA7FC0"/>
    <w:rsid w:val="00EB07C1"/>
    <w:rsid w:val="00EB09D6"/>
    <w:rsid w:val="00EB21FE"/>
    <w:rsid w:val="00EB3DDE"/>
    <w:rsid w:val="00EB4032"/>
    <w:rsid w:val="00EC1FE8"/>
    <w:rsid w:val="00EC4C18"/>
    <w:rsid w:val="00EC55FC"/>
    <w:rsid w:val="00EC694E"/>
    <w:rsid w:val="00EC76F8"/>
    <w:rsid w:val="00EC7C53"/>
    <w:rsid w:val="00ED0024"/>
    <w:rsid w:val="00ED05FA"/>
    <w:rsid w:val="00ED2AA4"/>
    <w:rsid w:val="00ED4AD2"/>
    <w:rsid w:val="00ED4D89"/>
    <w:rsid w:val="00EE44CD"/>
    <w:rsid w:val="00EE5142"/>
    <w:rsid w:val="00EE54F0"/>
    <w:rsid w:val="00EE6A9C"/>
    <w:rsid w:val="00EF0A62"/>
    <w:rsid w:val="00EF1647"/>
    <w:rsid w:val="00EF4B5D"/>
    <w:rsid w:val="00EF59A8"/>
    <w:rsid w:val="00EF7311"/>
    <w:rsid w:val="00EF7715"/>
    <w:rsid w:val="00F02D52"/>
    <w:rsid w:val="00F038A4"/>
    <w:rsid w:val="00F05B79"/>
    <w:rsid w:val="00F10C68"/>
    <w:rsid w:val="00F11A49"/>
    <w:rsid w:val="00F12226"/>
    <w:rsid w:val="00F1304A"/>
    <w:rsid w:val="00F131F3"/>
    <w:rsid w:val="00F15879"/>
    <w:rsid w:val="00F161F6"/>
    <w:rsid w:val="00F17362"/>
    <w:rsid w:val="00F2035D"/>
    <w:rsid w:val="00F24D65"/>
    <w:rsid w:val="00F25060"/>
    <w:rsid w:val="00F35109"/>
    <w:rsid w:val="00F35723"/>
    <w:rsid w:val="00F3592B"/>
    <w:rsid w:val="00F36249"/>
    <w:rsid w:val="00F37C34"/>
    <w:rsid w:val="00F42878"/>
    <w:rsid w:val="00F442E2"/>
    <w:rsid w:val="00F44F55"/>
    <w:rsid w:val="00F54DD1"/>
    <w:rsid w:val="00F56B29"/>
    <w:rsid w:val="00F60D68"/>
    <w:rsid w:val="00F61DDD"/>
    <w:rsid w:val="00F6424D"/>
    <w:rsid w:val="00F654B3"/>
    <w:rsid w:val="00F67669"/>
    <w:rsid w:val="00F70E05"/>
    <w:rsid w:val="00F731B9"/>
    <w:rsid w:val="00F737D2"/>
    <w:rsid w:val="00F74CB2"/>
    <w:rsid w:val="00F759E5"/>
    <w:rsid w:val="00F77F06"/>
    <w:rsid w:val="00F80943"/>
    <w:rsid w:val="00F82CDA"/>
    <w:rsid w:val="00F83164"/>
    <w:rsid w:val="00F919CC"/>
    <w:rsid w:val="00F9303E"/>
    <w:rsid w:val="00F94A3F"/>
    <w:rsid w:val="00F95874"/>
    <w:rsid w:val="00F97A8F"/>
    <w:rsid w:val="00FA246F"/>
    <w:rsid w:val="00FA48F9"/>
    <w:rsid w:val="00FA7777"/>
    <w:rsid w:val="00FB4CD8"/>
    <w:rsid w:val="00FC32C7"/>
    <w:rsid w:val="00FC3631"/>
    <w:rsid w:val="00FC3A76"/>
    <w:rsid w:val="00FC4414"/>
    <w:rsid w:val="00FC7060"/>
    <w:rsid w:val="00FD14BF"/>
    <w:rsid w:val="00FD1CBD"/>
    <w:rsid w:val="00FD23BD"/>
    <w:rsid w:val="00FD2E27"/>
    <w:rsid w:val="00FD364E"/>
    <w:rsid w:val="00FD5AC0"/>
    <w:rsid w:val="00FE1563"/>
    <w:rsid w:val="00FE1D83"/>
    <w:rsid w:val="00FF11E0"/>
    <w:rsid w:val="00FF1251"/>
    <w:rsid w:val="00FF4D03"/>
    <w:rsid w:val="00FF6509"/>
    <w:rsid w:val="019E4569"/>
    <w:rsid w:val="024D0E19"/>
    <w:rsid w:val="025B43DF"/>
    <w:rsid w:val="03CD46B4"/>
    <w:rsid w:val="068A4A21"/>
    <w:rsid w:val="0CB22ADF"/>
    <w:rsid w:val="0D4E5DE1"/>
    <w:rsid w:val="0D6B6ADC"/>
    <w:rsid w:val="0D7F7357"/>
    <w:rsid w:val="0DF2470C"/>
    <w:rsid w:val="0EBB6A3A"/>
    <w:rsid w:val="138E488A"/>
    <w:rsid w:val="14AF0A55"/>
    <w:rsid w:val="15BF4F96"/>
    <w:rsid w:val="167E4AE1"/>
    <w:rsid w:val="16E15DB8"/>
    <w:rsid w:val="17463FF2"/>
    <w:rsid w:val="1747423B"/>
    <w:rsid w:val="17CB0B15"/>
    <w:rsid w:val="18924E1E"/>
    <w:rsid w:val="19F41E5C"/>
    <w:rsid w:val="1AA04B3F"/>
    <w:rsid w:val="1B244340"/>
    <w:rsid w:val="1C817A05"/>
    <w:rsid w:val="1DCD2086"/>
    <w:rsid w:val="1EB71F60"/>
    <w:rsid w:val="233F6360"/>
    <w:rsid w:val="23FF583C"/>
    <w:rsid w:val="2539575D"/>
    <w:rsid w:val="27F85A8C"/>
    <w:rsid w:val="28133581"/>
    <w:rsid w:val="289E17B9"/>
    <w:rsid w:val="2A7B7288"/>
    <w:rsid w:val="2A937B9D"/>
    <w:rsid w:val="2C015EDE"/>
    <w:rsid w:val="2C26785A"/>
    <w:rsid w:val="2CE65D5B"/>
    <w:rsid w:val="2D3844A7"/>
    <w:rsid w:val="2DAA2C36"/>
    <w:rsid w:val="2E113BDB"/>
    <w:rsid w:val="2EFD533C"/>
    <w:rsid w:val="2F1D3456"/>
    <w:rsid w:val="30C80E80"/>
    <w:rsid w:val="31871DCA"/>
    <w:rsid w:val="323E2538"/>
    <w:rsid w:val="34DF8FAB"/>
    <w:rsid w:val="34E44E0D"/>
    <w:rsid w:val="35F22CEC"/>
    <w:rsid w:val="3633C0FE"/>
    <w:rsid w:val="36775AEA"/>
    <w:rsid w:val="3697021F"/>
    <w:rsid w:val="37042E6F"/>
    <w:rsid w:val="381D07B5"/>
    <w:rsid w:val="39032942"/>
    <w:rsid w:val="392D7124"/>
    <w:rsid w:val="3A1178FD"/>
    <w:rsid w:val="3B0304D1"/>
    <w:rsid w:val="3B501625"/>
    <w:rsid w:val="3C046A40"/>
    <w:rsid w:val="48A27FAC"/>
    <w:rsid w:val="49066E57"/>
    <w:rsid w:val="49BE4132"/>
    <w:rsid w:val="49E06C75"/>
    <w:rsid w:val="4B290D1F"/>
    <w:rsid w:val="4B2D1BED"/>
    <w:rsid w:val="4BD82993"/>
    <w:rsid w:val="4BDD63C8"/>
    <w:rsid w:val="4C264CCA"/>
    <w:rsid w:val="502B60B7"/>
    <w:rsid w:val="512E78B3"/>
    <w:rsid w:val="52F70C89"/>
    <w:rsid w:val="54854461"/>
    <w:rsid w:val="55305D27"/>
    <w:rsid w:val="560047D7"/>
    <w:rsid w:val="56E54D9C"/>
    <w:rsid w:val="589E76B2"/>
    <w:rsid w:val="5C38745C"/>
    <w:rsid w:val="5D4A4EF6"/>
    <w:rsid w:val="5D8B61C1"/>
    <w:rsid w:val="6016328C"/>
    <w:rsid w:val="60826DF1"/>
    <w:rsid w:val="63BA0B18"/>
    <w:rsid w:val="64807EDA"/>
    <w:rsid w:val="64B71ED9"/>
    <w:rsid w:val="64D253CF"/>
    <w:rsid w:val="6512470B"/>
    <w:rsid w:val="66AA2617"/>
    <w:rsid w:val="68340A3B"/>
    <w:rsid w:val="6A6910EA"/>
    <w:rsid w:val="6B304AC6"/>
    <w:rsid w:val="6B617302"/>
    <w:rsid w:val="6D576174"/>
    <w:rsid w:val="6FBEB442"/>
    <w:rsid w:val="7085724F"/>
    <w:rsid w:val="739DE8D6"/>
    <w:rsid w:val="742B2A04"/>
    <w:rsid w:val="75723714"/>
    <w:rsid w:val="75840728"/>
    <w:rsid w:val="75921C80"/>
    <w:rsid w:val="76AE316A"/>
    <w:rsid w:val="76FB1988"/>
    <w:rsid w:val="77D54DF9"/>
    <w:rsid w:val="78102221"/>
    <w:rsid w:val="7834564D"/>
    <w:rsid w:val="79AF0CF8"/>
    <w:rsid w:val="7C222D80"/>
    <w:rsid w:val="7C416C80"/>
    <w:rsid w:val="7DDBD477"/>
    <w:rsid w:val="7F60616C"/>
    <w:rsid w:val="B57F4CCD"/>
    <w:rsid w:val="B86A54B5"/>
    <w:rsid w:val="FD7FC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9"/>
    <w:qFormat/>
    <w:uiPriority w:val="0"/>
    <w:pPr>
      <w:keepNext/>
      <w:keepLines/>
      <w:spacing w:before="260" w:after="260" w:line="416" w:lineRule="auto"/>
      <w:outlineLvl w:val="1"/>
    </w:pPr>
    <w:rPr>
      <w:rFonts w:ascii="Cambria" w:hAnsi="Cambria"/>
      <w:b/>
      <w:bCs/>
      <w:sz w:val="32"/>
      <w:szCs w:val="32"/>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rPr>
      <w:rFonts w:ascii="Calibri" w:hAnsi="Calibri"/>
      <w:szCs w:val="21"/>
    </w:rPr>
  </w:style>
  <w:style w:type="paragraph" w:styleId="5">
    <w:name w:val="Normal Indent"/>
    <w:basedOn w:val="1"/>
    <w:qFormat/>
    <w:uiPriority w:val="0"/>
    <w:pPr>
      <w:snapToGrid w:val="0"/>
      <w:spacing w:line="300" w:lineRule="auto"/>
      <w:ind w:firstLine="556"/>
    </w:pPr>
    <w:rPr>
      <w:rFonts w:ascii="仿宋_GB2312" w:hAnsi="Calibri" w:eastAsia="仿宋_GB2312"/>
      <w:kern w:val="0"/>
      <w:szCs w:val="20"/>
    </w:rPr>
  </w:style>
  <w:style w:type="paragraph" w:styleId="6">
    <w:name w:val="caption"/>
    <w:basedOn w:val="1"/>
    <w:next w:val="1"/>
    <w:qFormat/>
    <w:uiPriority w:val="0"/>
    <w:rPr>
      <w:rFonts w:ascii="Arial" w:hAnsi="Arial" w:eastAsia="黑体" w:cs="Arial"/>
      <w:sz w:val="20"/>
      <w:szCs w:val="20"/>
    </w:rPr>
  </w:style>
  <w:style w:type="paragraph" w:styleId="7">
    <w:name w:val="toa heading"/>
    <w:basedOn w:val="1"/>
    <w:next w:val="1"/>
    <w:qFormat/>
    <w:uiPriority w:val="99"/>
    <w:pPr>
      <w:spacing w:before="120"/>
    </w:pPr>
    <w:rPr>
      <w:rFonts w:ascii="Cambria" w:hAnsi="Cambria" w:cs="Cambria"/>
      <w:sz w:val="24"/>
    </w:rPr>
  </w:style>
  <w:style w:type="paragraph" w:styleId="8">
    <w:name w:val="annotation text"/>
    <w:basedOn w:val="1"/>
    <w:link w:val="40"/>
    <w:qFormat/>
    <w:uiPriority w:val="0"/>
    <w:pPr>
      <w:jc w:val="left"/>
    </w:pPr>
  </w:style>
  <w:style w:type="paragraph" w:styleId="9">
    <w:name w:val="index 6"/>
    <w:basedOn w:val="1"/>
    <w:next w:val="1"/>
    <w:qFormat/>
    <w:uiPriority w:val="0"/>
    <w:pPr>
      <w:widowControl/>
    </w:pPr>
    <w:rPr>
      <w:rFonts w:eastAsia="仿宋_GB2312"/>
      <w:kern w:val="0"/>
      <w:sz w:val="32"/>
      <w:szCs w:val="20"/>
    </w:rPr>
  </w:style>
  <w:style w:type="paragraph" w:styleId="10">
    <w:name w:val="Body Text"/>
    <w:basedOn w:val="1"/>
    <w:link w:val="41"/>
    <w:qFormat/>
    <w:uiPriority w:val="0"/>
    <w:pPr>
      <w:spacing w:after="120"/>
    </w:pPr>
  </w:style>
  <w:style w:type="paragraph" w:styleId="11">
    <w:name w:val="Body Text Indent"/>
    <w:basedOn w:val="1"/>
    <w:link w:val="42"/>
    <w:qFormat/>
    <w:uiPriority w:val="0"/>
    <w:pPr>
      <w:spacing w:line="600" w:lineRule="exact"/>
      <w:ind w:firstLine="640" w:firstLineChars="200"/>
    </w:pPr>
    <w:rPr>
      <w:rFonts w:eastAsia="仿宋_GB2312"/>
      <w:sz w:val="32"/>
    </w:rPr>
  </w:style>
  <w:style w:type="paragraph" w:styleId="12">
    <w:name w:val="Block Text"/>
    <w:basedOn w:val="1"/>
    <w:qFormat/>
    <w:uiPriority w:val="0"/>
    <w:pPr>
      <w:spacing w:line="480" w:lineRule="exact"/>
      <w:ind w:left="124" w:leftChars="59" w:right="143" w:rightChars="68"/>
    </w:pPr>
    <w:rPr>
      <w:rFonts w:eastAsia="仿宋_GB2312"/>
      <w:sz w:val="32"/>
      <w:szCs w:val="20"/>
    </w:rPr>
  </w:style>
  <w:style w:type="paragraph" w:styleId="13">
    <w:name w:val="toc 5"/>
    <w:basedOn w:val="1"/>
    <w:next w:val="1"/>
    <w:qFormat/>
    <w:uiPriority w:val="99"/>
    <w:pPr>
      <w:widowControl/>
      <w:ind w:left="1680"/>
      <w:textAlignment w:val="baseline"/>
    </w:pPr>
    <w:rPr>
      <w:rFonts w:ascii="Calibri" w:hAnsi="Calibri" w:eastAsia="方正仿宋_GBK"/>
      <w:sz w:val="31"/>
      <w:szCs w:val="22"/>
    </w:rPr>
  </w:style>
  <w:style w:type="paragraph" w:styleId="14">
    <w:name w:val="Plain Text"/>
    <w:basedOn w:val="1"/>
    <w:link w:val="43"/>
    <w:qFormat/>
    <w:uiPriority w:val="0"/>
    <w:rPr>
      <w:rFonts w:ascii="宋体" w:hAnsi="Courier New" w:cs="Courier New"/>
      <w:kern w:val="0"/>
      <w:sz w:val="20"/>
      <w:szCs w:val="21"/>
    </w:rPr>
  </w:style>
  <w:style w:type="paragraph" w:styleId="15">
    <w:name w:val="Date"/>
    <w:basedOn w:val="1"/>
    <w:next w:val="1"/>
    <w:link w:val="44"/>
    <w:qFormat/>
    <w:uiPriority w:val="0"/>
    <w:rPr>
      <w:rFonts w:eastAsia="仿宋_GB2312"/>
      <w:sz w:val="32"/>
      <w:szCs w:val="20"/>
    </w:rPr>
  </w:style>
  <w:style w:type="paragraph" w:styleId="16">
    <w:name w:val="Body Text Indent 2"/>
    <w:basedOn w:val="1"/>
    <w:qFormat/>
    <w:uiPriority w:val="0"/>
    <w:pPr>
      <w:spacing w:after="120" w:line="480" w:lineRule="auto"/>
      <w:ind w:left="420" w:leftChars="200"/>
    </w:pPr>
    <w:rPr>
      <w:szCs w:val="20"/>
    </w:rPr>
  </w:style>
  <w:style w:type="paragraph" w:styleId="17">
    <w:name w:val="Balloon Text"/>
    <w:basedOn w:val="1"/>
    <w:link w:val="45"/>
    <w:semiHidden/>
    <w:qFormat/>
    <w:uiPriority w:val="0"/>
    <w:rPr>
      <w:sz w:val="18"/>
      <w:szCs w:val="18"/>
    </w:rPr>
  </w:style>
  <w:style w:type="paragraph" w:styleId="18">
    <w:name w:val="footer"/>
    <w:basedOn w:val="1"/>
    <w:link w:val="46"/>
    <w:qFormat/>
    <w:uiPriority w:val="99"/>
    <w:pPr>
      <w:tabs>
        <w:tab w:val="center" w:pos="4153"/>
        <w:tab w:val="right" w:pos="8306"/>
      </w:tabs>
      <w:snapToGrid w:val="0"/>
      <w:jc w:val="left"/>
    </w:pPr>
    <w:rPr>
      <w:kern w:val="0"/>
      <w:sz w:val="18"/>
      <w:szCs w:val="18"/>
    </w:rPr>
  </w:style>
  <w:style w:type="paragraph" w:styleId="19">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Subtitle"/>
    <w:basedOn w:val="1"/>
    <w:link w:val="48"/>
    <w:qFormat/>
    <w:uiPriority w:val="0"/>
    <w:pPr>
      <w:adjustRightInd w:val="0"/>
      <w:spacing w:after="60" w:line="312" w:lineRule="atLeast"/>
      <w:jc w:val="center"/>
    </w:pPr>
    <w:rPr>
      <w:rFonts w:ascii="Arial" w:hAnsi="Arial"/>
      <w:i/>
      <w:kern w:val="0"/>
      <w:sz w:val="24"/>
      <w:szCs w:val="20"/>
    </w:rPr>
  </w:style>
  <w:style w:type="paragraph" w:styleId="22">
    <w:name w:val="Body Text Indent 3"/>
    <w:basedOn w:val="1"/>
    <w:link w:val="49"/>
    <w:qFormat/>
    <w:uiPriority w:val="0"/>
    <w:pPr>
      <w:spacing w:after="120"/>
      <w:ind w:left="420" w:leftChars="200"/>
    </w:pPr>
    <w:rPr>
      <w:sz w:val="16"/>
      <w:szCs w:val="16"/>
    </w:rPr>
  </w:style>
  <w:style w:type="paragraph" w:styleId="23">
    <w:name w:val="Body Text 2"/>
    <w:basedOn w:val="1"/>
    <w:qFormat/>
    <w:uiPriority w:val="0"/>
    <w:pPr>
      <w:spacing w:after="120" w:line="480" w:lineRule="auto"/>
    </w:pPr>
  </w:style>
  <w:style w:type="paragraph" w:styleId="24">
    <w:name w:val="HTML Preformatted"/>
    <w:basedOn w:val="1"/>
    <w:link w:val="5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qFormat/>
    <w:uiPriority w:val="0"/>
    <w:pPr>
      <w:widowControl/>
      <w:spacing w:line="360" w:lineRule="atLeast"/>
      <w:jc w:val="left"/>
    </w:pPr>
    <w:rPr>
      <w:rFonts w:ascii="宋体" w:hAnsi="宋体" w:cs="宋体"/>
      <w:kern w:val="0"/>
      <w:sz w:val="24"/>
    </w:rPr>
  </w:style>
  <w:style w:type="paragraph" w:styleId="26">
    <w:name w:val="Title"/>
    <w:basedOn w:val="1"/>
    <w:next w:val="1"/>
    <w:link w:val="51"/>
    <w:qFormat/>
    <w:uiPriority w:val="0"/>
    <w:pPr>
      <w:spacing w:before="240" w:after="60"/>
      <w:jc w:val="center"/>
      <w:outlineLvl w:val="0"/>
    </w:pPr>
    <w:rPr>
      <w:rFonts w:ascii="Cambria" w:hAnsi="Cambria"/>
      <w:b/>
      <w:bCs/>
      <w:sz w:val="32"/>
      <w:szCs w:val="32"/>
    </w:rPr>
  </w:style>
  <w:style w:type="paragraph" w:styleId="27">
    <w:name w:val="annotation subject"/>
    <w:basedOn w:val="8"/>
    <w:next w:val="8"/>
    <w:link w:val="52"/>
    <w:qFormat/>
    <w:uiPriority w:val="0"/>
    <w:rPr>
      <w:b/>
      <w:bCs/>
    </w:rPr>
  </w:style>
  <w:style w:type="paragraph" w:styleId="28">
    <w:name w:val="Body Text First Indent"/>
    <w:basedOn w:val="10"/>
    <w:next w:val="1"/>
    <w:link w:val="53"/>
    <w:qFormat/>
    <w:uiPriority w:val="0"/>
    <w:pPr>
      <w:ind w:firstLine="420" w:firstLineChars="100"/>
    </w:pPr>
  </w:style>
  <w:style w:type="paragraph" w:styleId="29">
    <w:name w:val="Body Text First Indent 2"/>
    <w:basedOn w:val="11"/>
    <w:link w:val="54"/>
    <w:qFormat/>
    <w:uiPriority w:val="0"/>
    <w:pPr>
      <w:spacing w:after="120" w:line="240" w:lineRule="auto"/>
      <w:ind w:left="420" w:leftChars="200" w:firstLine="420"/>
    </w:pPr>
    <w:rPr>
      <w:rFonts w:eastAsia="宋体"/>
      <w:sz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rFonts w:ascii="Times New Roman" w:hAnsi="Times New Roman" w:eastAsia="宋体" w:cs="Times New Roman"/>
      <w:b/>
      <w:bCs/>
      <w:lang w:val="en-US" w:eastAsia="zh-CN" w:bidi="ar-SA"/>
    </w:rPr>
  </w:style>
  <w:style w:type="character" w:styleId="34">
    <w:name w:val="page number"/>
    <w:basedOn w:val="32"/>
    <w:qFormat/>
    <w:uiPriority w:val="0"/>
    <w:rPr>
      <w:rFonts w:ascii="Times New Roman" w:hAnsi="Times New Roman" w:eastAsia="宋体" w:cs="Times New Roman"/>
      <w:lang w:val="en-US" w:eastAsia="zh-CN" w:bidi="ar-SA"/>
    </w:rPr>
  </w:style>
  <w:style w:type="character" w:styleId="35">
    <w:name w:val="Emphasis"/>
    <w:basedOn w:val="32"/>
    <w:qFormat/>
    <w:uiPriority w:val="0"/>
    <w:rPr>
      <w:rFonts w:ascii="Times New Roman" w:hAnsi="Times New Roman" w:eastAsia="宋体" w:cs="Times New Roman"/>
      <w:color w:val="CC0000"/>
      <w:lang w:val="en-US" w:eastAsia="zh-CN" w:bidi="ar-SA"/>
    </w:rPr>
  </w:style>
  <w:style w:type="character" w:styleId="36">
    <w:name w:val="Hyperlink"/>
    <w:basedOn w:val="32"/>
    <w:qFormat/>
    <w:uiPriority w:val="99"/>
    <w:rPr>
      <w:rFonts w:ascii="Times New Roman" w:hAnsi="Times New Roman" w:eastAsia="宋体" w:cs="Times New Roman"/>
      <w:color w:val="0000FF"/>
      <w:u w:val="single"/>
      <w:lang w:val="en-US" w:eastAsia="zh-CN" w:bidi="ar-SA"/>
    </w:rPr>
  </w:style>
  <w:style w:type="character" w:styleId="37">
    <w:name w:val="annotation reference"/>
    <w:basedOn w:val="32"/>
    <w:unhideWhenUsed/>
    <w:qFormat/>
    <w:uiPriority w:val="0"/>
    <w:rPr>
      <w:rFonts w:ascii="Times New Roman" w:hAnsi="Times New Roman" w:eastAsia="宋体" w:cs="Times New Roman"/>
      <w:sz w:val="21"/>
      <w:szCs w:val="21"/>
      <w:lang w:val="en-US" w:eastAsia="zh-CN" w:bidi="ar-SA"/>
    </w:rPr>
  </w:style>
  <w:style w:type="character" w:customStyle="1" w:styleId="38">
    <w:name w:val="标题 1 Char"/>
    <w:basedOn w:val="32"/>
    <w:link w:val="2"/>
    <w:qFormat/>
    <w:uiPriority w:val="0"/>
    <w:rPr>
      <w:rFonts w:ascii="宋体" w:hAnsi="宋体" w:cs="宋体"/>
      <w:b/>
      <w:bCs/>
      <w:kern w:val="36"/>
      <w:sz w:val="48"/>
      <w:szCs w:val="48"/>
    </w:rPr>
  </w:style>
  <w:style w:type="character" w:customStyle="1" w:styleId="39">
    <w:name w:val="标题 2 Char"/>
    <w:basedOn w:val="32"/>
    <w:link w:val="3"/>
    <w:semiHidden/>
    <w:qFormat/>
    <w:uiPriority w:val="0"/>
    <w:rPr>
      <w:rFonts w:ascii="Cambria" w:hAnsi="Cambria"/>
      <w:b/>
      <w:bCs/>
      <w:kern w:val="2"/>
      <w:sz w:val="32"/>
      <w:szCs w:val="32"/>
    </w:rPr>
  </w:style>
  <w:style w:type="character" w:customStyle="1" w:styleId="40">
    <w:name w:val="批注文字 Char"/>
    <w:basedOn w:val="32"/>
    <w:link w:val="8"/>
    <w:qFormat/>
    <w:locked/>
    <w:uiPriority w:val="0"/>
    <w:rPr>
      <w:rFonts w:ascii="Times New Roman" w:hAnsi="Times New Roman" w:eastAsia="宋体" w:cs="Times New Roman"/>
      <w:lang w:val="en-US" w:eastAsia="zh-CN" w:bidi="ar-SA"/>
    </w:rPr>
  </w:style>
  <w:style w:type="character" w:customStyle="1" w:styleId="41">
    <w:name w:val="正文文本 Char"/>
    <w:link w:val="10"/>
    <w:qFormat/>
    <w:uiPriority w:val="0"/>
    <w:rPr>
      <w:rFonts w:ascii="Times New Roman" w:hAnsi="Times New Roman"/>
      <w:kern w:val="2"/>
      <w:sz w:val="21"/>
      <w:szCs w:val="24"/>
    </w:rPr>
  </w:style>
  <w:style w:type="character" w:customStyle="1" w:styleId="42">
    <w:name w:val="正文文本缩进 Char"/>
    <w:basedOn w:val="32"/>
    <w:link w:val="11"/>
    <w:qFormat/>
    <w:uiPriority w:val="0"/>
    <w:rPr>
      <w:rFonts w:ascii="Times New Roman" w:hAnsi="Times New Roman" w:eastAsia="仿宋_GB2312"/>
      <w:kern w:val="2"/>
      <w:sz w:val="32"/>
      <w:szCs w:val="24"/>
    </w:rPr>
  </w:style>
  <w:style w:type="character" w:customStyle="1" w:styleId="43">
    <w:name w:val="纯文本 Char"/>
    <w:link w:val="14"/>
    <w:qFormat/>
    <w:locked/>
    <w:uiPriority w:val="0"/>
    <w:rPr>
      <w:rFonts w:ascii="宋体" w:hAnsi="Courier New" w:eastAsia="宋体" w:cs="Courier New"/>
      <w:szCs w:val="21"/>
      <w:lang w:val="en-US" w:eastAsia="zh-CN" w:bidi="ar-SA"/>
    </w:rPr>
  </w:style>
  <w:style w:type="character" w:customStyle="1" w:styleId="44">
    <w:name w:val="日期 Char"/>
    <w:basedOn w:val="32"/>
    <w:link w:val="15"/>
    <w:qFormat/>
    <w:uiPriority w:val="0"/>
    <w:rPr>
      <w:rFonts w:ascii="Times New Roman" w:hAnsi="Times New Roman" w:eastAsia="仿宋_GB2312" w:cs="Times New Roman"/>
      <w:sz w:val="32"/>
      <w:szCs w:val="20"/>
      <w:lang w:val="en-US" w:eastAsia="zh-CN" w:bidi="ar-SA"/>
    </w:rPr>
  </w:style>
  <w:style w:type="character" w:customStyle="1" w:styleId="45">
    <w:name w:val="批注框文本 Char"/>
    <w:basedOn w:val="32"/>
    <w:link w:val="17"/>
    <w:semiHidden/>
    <w:qFormat/>
    <w:locked/>
    <w:uiPriority w:val="0"/>
    <w:rPr>
      <w:rFonts w:ascii="Times New Roman" w:hAnsi="Times New Roman" w:eastAsia="宋体" w:cs="Times New Roman"/>
      <w:sz w:val="18"/>
      <w:szCs w:val="18"/>
      <w:lang w:val="en-US" w:eastAsia="zh-CN" w:bidi="ar-SA"/>
    </w:rPr>
  </w:style>
  <w:style w:type="character" w:customStyle="1" w:styleId="46">
    <w:name w:val="页脚 Char"/>
    <w:link w:val="18"/>
    <w:qFormat/>
    <w:uiPriority w:val="99"/>
    <w:rPr>
      <w:rFonts w:ascii="Times New Roman" w:hAnsi="Times New Roman" w:eastAsia="宋体" w:cs="Times New Roman"/>
      <w:sz w:val="18"/>
      <w:szCs w:val="18"/>
      <w:lang w:val="en-US" w:eastAsia="zh-CN" w:bidi="ar-SA"/>
    </w:rPr>
  </w:style>
  <w:style w:type="character" w:customStyle="1" w:styleId="47">
    <w:name w:val="页眉 Char"/>
    <w:basedOn w:val="32"/>
    <w:link w:val="19"/>
    <w:qFormat/>
    <w:locked/>
    <w:uiPriority w:val="0"/>
    <w:rPr>
      <w:rFonts w:ascii="Times New Roman" w:hAnsi="Times New Roman" w:eastAsia="宋体" w:cs="Times New Roman"/>
      <w:sz w:val="18"/>
      <w:szCs w:val="18"/>
      <w:lang w:val="en-US" w:eastAsia="zh-CN" w:bidi="ar-SA"/>
    </w:rPr>
  </w:style>
  <w:style w:type="character" w:customStyle="1" w:styleId="48">
    <w:name w:val="副标题 Char"/>
    <w:link w:val="21"/>
    <w:qFormat/>
    <w:locked/>
    <w:uiPriority w:val="0"/>
    <w:rPr>
      <w:rFonts w:ascii="Arial" w:hAnsi="Arial" w:eastAsia="宋体" w:cs="Times New Roman"/>
      <w:i/>
      <w:kern w:val="0"/>
      <w:sz w:val="24"/>
      <w:szCs w:val="20"/>
      <w:lang w:val="en-US" w:eastAsia="zh-CN" w:bidi="ar-SA"/>
    </w:rPr>
  </w:style>
  <w:style w:type="character" w:customStyle="1" w:styleId="49">
    <w:name w:val="正文文本缩进 3 Char"/>
    <w:basedOn w:val="32"/>
    <w:link w:val="22"/>
    <w:qFormat/>
    <w:uiPriority w:val="0"/>
    <w:rPr>
      <w:rFonts w:ascii="Times New Roman" w:hAnsi="Times New Roman"/>
      <w:kern w:val="2"/>
      <w:sz w:val="16"/>
      <w:szCs w:val="16"/>
    </w:rPr>
  </w:style>
  <w:style w:type="character" w:customStyle="1" w:styleId="50">
    <w:name w:val="HTML 预设格式 Char1"/>
    <w:basedOn w:val="32"/>
    <w:link w:val="24"/>
    <w:qFormat/>
    <w:uiPriority w:val="99"/>
    <w:rPr>
      <w:rFonts w:ascii="宋体" w:hAnsi="宋体" w:cs="宋体"/>
      <w:sz w:val="24"/>
      <w:szCs w:val="24"/>
    </w:rPr>
  </w:style>
  <w:style w:type="character" w:customStyle="1" w:styleId="51">
    <w:name w:val="标题 Char1"/>
    <w:basedOn w:val="32"/>
    <w:link w:val="26"/>
    <w:qFormat/>
    <w:uiPriority w:val="0"/>
    <w:rPr>
      <w:rFonts w:ascii="Calibri Light" w:hAnsi="Calibri Light" w:eastAsia="宋体" w:cs="Times New Roman"/>
      <w:b/>
      <w:bCs/>
      <w:kern w:val="2"/>
      <w:sz w:val="32"/>
      <w:szCs w:val="32"/>
      <w:lang w:val="en-US" w:eastAsia="zh-CN" w:bidi="ar-SA"/>
    </w:rPr>
  </w:style>
  <w:style w:type="character" w:customStyle="1" w:styleId="52">
    <w:name w:val="批注主题 Char"/>
    <w:basedOn w:val="40"/>
    <w:link w:val="27"/>
    <w:qFormat/>
    <w:locked/>
    <w:uiPriority w:val="0"/>
    <w:rPr>
      <w:b/>
      <w:bCs/>
    </w:rPr>
  </w:style>
  <w:style w:type="character" w:customStyle="1" w:styleId="53">
    <w:name w:val="正文首行缩进 Char"/>
    <w:basedOn w:val="41"/>
    <w:link w:val="28"/>
    <w:qFormat/>
    <w:uiPriority w:val="0"/>
  </w:style>
  <w:style w:type="character" w:customStyle="1" w:styleId="54">
    <w:name w:val="正文首行缩进 2 Char"/>
    <w:basedOn w:val="42"/>
    <w:link w:val="29"/>
    <w:qFormat/>
    <w:uiPriority w:val="0"/>
    <w:rPr>
      <w:sz w:val="21"/>
    </w:rPr>
  </w:style>
  <w:style w:type="character" w:customStyle="1" w:styleId="55">
    <w:name w:val="HTML 预设格式 Char"/>
    <w:basedOn w:val="32"/>
    <w:link w:val="24"/>
    <w:qFormat/>
    <w:uiPriority w:val="99"/>
    <w:rPr>
      <w:rFonts w:ascii="Courier New" w:hAnsi="Courier New" w:cs="Courier New"/>
      <w:kern w:val="2"/>
    </w:rPr>
  </w:style>
  <w:style w:type="character" w:customStyle="1" w:styleId="56">
    <w:name w:val="Z 字符"/>
    <w:link w:val="57"/>
    <w:qFormat/>
    <w:uiPriority w:val="0"/>
    <w:rPr>
      <w:rFonts w:ascii="方正仿宋_GBK" w:hAnsi="仿宋" w:eastAsia="方正仿宋_GBK" w:cs="Times New Roman"/>
      <w:sz w:val="32"/>
      <w:szCs w:val="32"/>
      <w:lang w:val="en-US" w:eastAsia="zh-CN" w:bidi="ar-SA"/>
    </w:rPr>
  </w:style>
  <w:style w:type="paragraph" w:customStyle="1" w:styleId="57">
    <w:name w:val="Z"/>
    <w:basedOn w:val="1"/>
    <w:link w:val="56"/>
    <w:qFormat/>
    <w:uiPriority w:val="0"/>
    <w:pPr>
      <w:spacing w:line="360" w:lineRule="auto"/>
      <w:ind w:firstLine="648" w:firstLineChars="200"/>
    </w:pPr>
    <w:rPr>
      <w:rFonts w:ascii="方正仿宋_GBK" w:hAnsi="仿宋" w:eastAsia="方正仿宋_GBK"/>
      <w:kern w:val="0"/>
      <w:sz w:val="32"/>
      <w:szCs w:val="32"/>
    </w:rPr>
  </w:style>
  <w:style w:type="character" w:customStyle="1" w:styleId="58">
    <w:name w:val="公文主送"/>
    <w:basedOn w:val="32"/>
    <w:qFormat/>
    <w:uiPriority w:val="0"/>
    <w:rPr>
      <w:rFonts w:hint="eastAsia" w:ascii="仿宋_GB2312" w:hAnsi="Times New Roman" w:eastAsia="仿宋_GB2312" w:cs="Times New Roman"/>
      <w:sz w:val="32"/>
      <w:lang w:val="en-US" w:eastAsia="zh-CN" w:bidi="ar-SA"/>
    </w:rPr>
  </w:style>
  <w:style w:type="character" w:customStyle="1" w:styleId="59">
    <w:name w:val="BG样式1 字符"/>
    <w:link w:val="60"/>
    <w:qFormat/>
    <w:uiPriority w:val="0"/>
    <w:rPr>
      <w:rFonts w:ascii="等线" w:hAnsi="等线" w:eastAsia="仿宋" w:cs="Times New Roman"/>
      <w:kern w:val="0"/>
      <w:sz w:val="24"/>
      <w:szCs w:val="20"/>
      <w:lang w:val="en-US" w:eastAsia="zh-CN" w:bidi="ar-SA"/>
    </w:rPr>
  </w:style>
  <w:style w:type="paragraph" w:customStyle="1" w:styleId="60">
    <w:name w:val="BG样式1"/>
    <w:basedOn w:val="1"/>
    <w:link w:val="59"/>
    <w:qFormat/>
    <w:uiPriority w:val="0"/>
    <w:pPr>
      <w:spacing w:line="300" w:lineRule="exact"/>
    </w:pPr>
    <w:rPr>
      <w:rFonts w:ascii="等线" w:hAnsi="等线" w:eastAsia="仿宋"/>
      <w:kern w:val="0"/>
      <w:sz w:val="24"/>
      <w:szCs w:val="20"/>
    </w:rPr>
  </w:style>
  <w:style w:type="character" w:customStyle="1" w:styleId="61">
    <w:name w:val="1 字符"/>
    <w:link w:val="62"/>
    <w:qFormat/>
    <w:uiPriority w:val="0"/>
    <w:rPr>
      <w:rFonts w:ascii="方正小标宋_GBK" w:hAnsi="黑体" w:eastAsia="方正小标宋_GBK" w:cs="Times New Roman"/>
      <w:bCs/>
      <w:sz w:val="32"/>
      <w:szCs w:val="32"/>
      <w:lang w:val="en-US" w:eastAsia="zh-CN" w:bidi="ar-SA"/>
    </w:rPr>
  </w:style>
  <w:style w:type="paragraph" w:customStyle="1" w:styleId="62">
    <w:name w:val="1"/>
    <w:basedOn w:val="1"/>
    <w:link w:val="61"/>
    <w:qFormat/>
    <w:uiPriority w:val="0"/>
    <w:pPr>
      <w:spacing w:line="360" w:lineRule="auto"/>
      <w:ind w:firstLine="648" w:firstLineChars="200"/>
      <w:outlineLvl w:val="0"/>
    </w:pPr>
    <w:rPr>
      <w:rFonts w:ascii="方正小标宋_GBK" w:hAnsi="黑体" w:eastAsia="方正小标宋_GBK"/>
      <w:bCs/>
      <w:kern w:val="0"/>
      <w:sz w:val="32"/>
      <w:szCs w:val="32"/>
    </w:rPr>
  </w:style>
  <w:style w:type="character" w:customStyle="1" w:styleId="63">
    <w:name w:val="公文标题"/>
    <w:basedOn w:val="32"/>
    <w:qFormat/>
    <w:uiPriority w:val="0"/>
    <w:rPr>
      <w:rFonts w:hint="eastAsia" w:ascii="金山简标宋" w:hAnsi="Times New Roman" w:eastAsia="金山简标宋" w:cs="Times New Roman"/>
      <w:sz w:val="44"/>
      <w:lang w:val="en-US" w:eastAsia="zh-CN" w:bidi="ar-SA"/>
    </w:rPr>
  </w:style>
  <w:style w:type="character" w:customStyle="1" w:styleId="64">
    <w:name w:val="发往单位"/>
    <w:basedOn w:val="32"/>
    <w:qFormat/>
    <w:uiPriority w:val="0"/>
    <w:rPr>
      <w:rFonts w:ascii="仿宋_GB2312" w:hAnsi="Times New Roman" w:eastAsia="宋体" w:cs="Times New Roman"/>
      <w:lang w:val="en-US" w:eastAsia="zh-CN" w:bidi="ar-SA"/>
    </w:rPr>
  </w:style>
  <w:style w:type="character" w:customStyle="1" w:styleId="65">
    <w:name w:val="ca-51"/>
    <w:qFormat/>
    <w:uiPriority w:val="0"/>
    <w:rPr>
      <w:rFonts w:hint="eastAsia" w:ascii="仿宋_GB2312" w:hAnsi="Times New Roman" w:eastAsia="仿宋_GB2312" w:cs="Times New Roman"/>
      <w:sz w:val="32"/>
      <w:szCs w:val="32"/>
      <w:lang w:val="en-US" w:eastAsia="zh-CN" w:bidi="ar-SA"/>
    </w:rPr>
  </w:style>
  <w:style w:type="character" w:customStyle="1" w:styleId="66">
    <w:name w:val="公文签发日期"/>
    <w:basedOn w:val="32"/>
    <w:qFormat/>
    <w:uiPriority w:val="0"/>
    <w:rPr>
      <w:rFonts w:hint="eastAsia" w:ascii="仿宋_GB2312" w:hAnsi="Times New Roman" w:eastAsia="仿宋_GB2312" w:cs="Times New Roman"/>
      <w:sz w:val="32"/>
      <w:lang w:val="en-US" w:eastAsia="zh-CN" w:bidi="ar-SA"/>
    </w:rPr>
  </w:style>
  <w:style w:type="character" w:customStyle="1" w:styleId="67">
    <w:name w:val="公文核稿人"/>
    <w:basedOn w:val="66"/>
    <w:qFormat/>
    <w:uiPriority w:val="0"/>
    <w:rPr>
      <w:sz w:val="28"/>
    </w:rPr>
  </w:style>
  <w:style w:type="character" w:customStyle="1" w:styleId="68">
    <w:name w:val="NormalCharacter"/>
    <w:link w:val="69"/>
    <w:qFormat/>
    <w:uiPriority w:val="0"/>
    <w:rPr>
      <w:rFonts w:ascii="Times New Roman" w:hAnsi="Times New Roman"/>
      <w:kern w:val="2"/>
      <w:sz w:val="21"/>
      <w:szCs w:val="24"/>
      <w:lang w:val="en-US" w:eastAsia="zh-CN" w:bidi="ar-SA"/>
    </w:rPr>
  </w:style>
  <w:style w:type="paragraph" w:customStyle="1" w:styleId="69">
    <w:name w:val="UserStyle_0"/>
    <w:basedOn w:val="1"/>
    <w:link w:val="68"/>
    <w:qFormat/>
    <w:uiPriority w:val="0"/>
    <w:pPr>
      <w:widowControl/>
      <w:jc w:val="left"/>
      <w:textAlignment w:val="baseline"/>
    </w:pPr>
  </w:style>
  <w:style w:type="character" w:customStyle="1" w:styleId="70">
    <w:name w:val="无"/>
    <w:qFormat/>
    <w:uiPriority w:val="0"/>
    <w:rPr>
      <w:rFonts w:ascii="Times New Roman" w:hAnsi="Times New Roman" w:eastAsia="宋体" w:cs="Times New Roman"/>
      <w:lang w:val="en-US" w:eastAsia="zh-CN" w:bidi="ar-SA"/>
    </w:rPr>
  </w:style>
  <w:style w:type="character" w:customStyle="1" w:styleId="71">
    <w:name w:val="公文发出日期"/>
    <w:basedOn w:val="66"/>
    <w:qFormat/>
    <w:uiPriority w:val="0"/>
  </w:style>
  <w:style w:type="character" w:customStyle="1" w:styleId="72">
    <w:name w:val="Char Char5"/>
    <w:basedOn w:val="32"/>
    <w:qFormat/>
    <w:uiPriority w:val="0"/>
    <w:rPr>
      <w:rFonts w:ascii="Times New Roman" w:hAnsi="Times New Roman" w:eastAsia="仿宋_GB2312" w:cs="Times New Roman"/>
      <w:kern w:val="2"/>
      <w:sz w:val="32"/>
      <w:lang w:val="en-US" w:eastAsia="zh-CN" w:bidi="ar-SA"/>
    </w:rPr>
  </w:style>
  <w:style w:type="character" w:customStyle="1" w:styleId="73">
    <w:name w:val="公文日期"/>
    <w:basedOn w:val="32"/>
    <w:qFormat/>
    <w:uiPriority w:val="0"/>
    <w:rPr>
      <w:rFonts w:ascii="Times New Roman" w:hAnsi="Times New Roman" w:eastAsia="宋体" w:cs="Times New Roman"/>
      <w:lang w:val="en-US" w:eastAsia="zh-CN" w:bidi="ar-SA"/>
    </w:rPr>
  </w:style>
  <w:style w:type="character" w:customStyle="1" w:styleId="74">
    <w:name w:val="公文文号"/>
    <w:basedOn w:val="32"/>
    <w:qFormat/>
    <w:uiPriority w:val="0"/>
    <w:rPr>
      <w:rFonts w:ascii="Times New Roman" w:hAnsi="Times New Roman" w:eastAsia="仿宋_GB2312" w:cs="Times New Roman"/>
      <w:sz w:val="32"/>
      <w:lang w:val="en-US" w:eastAsia="zh-CN" w:bidi="ar-SA"/>
    </w:rPr>
  </w:style>
  <w:style w:type="character" w:customStyle="1" w:styleId="75">
    <w:name w:val="fontstyle21"/>
    <w:qFormat/>
    <w:uiPriority w:val="0"/>
    <w:rPr>
      <w:rFonts w:hint="eastAsia" w:ascii="仿宋_GB2312" w:hAnsi="Times New Roman" w:eastAsia="仿宋_GB2312" w:cs="Times New Roman"/>
      <w:color w:val="000000"/>
      <w:sz w:val="32"/>
      <w:szCs w:val="32"/>
      <w:lang w:val="en-US" w:eastAsia="zh-CN" w:bidi="ar-SA"/>
    </w:rPr>
  </w:style>
  <w:style w:type="character" w:customStyle="1" w:styleId="76">
    <w:name w:val="Footer Char"/>
    <w:basedOn w:val="32"/>
    <w:qFormat/>
    <w:locked/>
    <w:uiPriority w:val="0"/>
    <w:rPr>
      <w:rFonts w:ascii="Times New Roman" w:hAnsi="Times New Roman" w:eastAsia="宋体" w:cs="Times New Roman"/>
      <w:sz w:val="18"/>
      <w:szCs w:val="18"/>
      <w:lang w:val="en-US" w:eastAsia="zh-CN" w:bidi="ar-SA"/>
    </w:rPr>
  </w:style>
  <w:style w:type="character" w:customStyle="1" w:styleId="77">
    <w:name w:val="Char Char4"/>
    <w:basedOn w:val="32"/>
    <w:qFormat/>
    <w:uiPriority w:val="0"/>
    <w:rPr>
      <w:rFonts w:ascii="Times New Roman" w:hAnsi="Times New Roman" w:eastAsia="宋体" w:cs="Times New Roman"/>
      <w:kern w:val="2"/>
      <w:sz w:val="18"/>
      <w:szCs w:val="18"/>
      <w:lang w:val="en-US" w:eastAsia="zh-CN" w:bidi="ar-SA"/>
    </w:rPr>
  </w:style>
  <w:style w:type="character" w:customStyle="1" w:styleId="78">
    <w:name w:val="标题 Char"/>
    <w:basedOn w:val="32"/>
    <w:qFormat/>
    <w:uiPriority w:val="0"/>
    <w:rPr>
      <w:rFonts w:ascii="Cambria" w:hAnsi="Cambria" w:eastAsia="宋体" w:cs="Times New Roman"/>
      <w:b/>
      <w:bCs/>
      <w:sz w:val="32"/>
      <w:szCs w:val="32"/>
      <w:lang w:val="en-US" w:eastAsia="zh-CN" w:bidi="ar-SA"/>
    </w:rPr>
  </w:style>
  <w:style w:type="character" w:customStyle="1" w:styleId="79">
    <w:name w:val="Char Char1"/>
    <w:basedOn w:val="32"/>
    <w:qFormat/>
    <w:uiPriority w:val="0"/>
    <w:rPr>
      <w:rFonts w:ascii="Times New Roman" w:hAnsi="Times New Roman" w:eastAsia="宋体" w:cs="Times New Roman"/>
      <w:kern w:val="2"/>
      <w:sz w:val="18"/>
      <w:szCs w:val="18"/>
      <w:lang w:val="en-US" w:eastAsia="zh-CN" w:bidi="ar-SA"/>
    </w:rPr>
  </w:style>
  <w:style w:type="character" w:customStyle="1" w:styleId="80">
    <w:name w:val="公文正文"/>
    <w:basedOn w:val="32"/>
    <w:qFormat/>
    <w:uiPriority w:val="0"/>
    <w:rPr>
      <w:rFonts w:ascii="仿宋_GB2312" w:hAnsi="Times New Roman" w:eastAsia="仿宋_GB2312" w:cs="Times New Roman"/>
      <w:sz w:val="32"/>
      <w:lang w:val="en-US" w:eastAsia="zh-CN" w:bidi="ar-SA"/>
    </w:rPr>
  </w:style>
  <w:style w:type="character" w:customStyle="1" w:styleId="81">
    <w:name w:val="Char Char8"/>
    <w:qFormat/>
    <w:uiPriority w:val="0"/>
    <w:rPr>
      <w:rFonts w:ascii="Times New Roman" w:hAnsi="Times New Roman" w:eastAsia="宋体" w:cs="Times New Roman"/>
      <w:kern w:val="2"/>
      <w:sz w:val="18"/>
      <w:szCs w:val="18"/>
      <w:lang w:val="en-US" w:eastAsia="zh-CN" w:bidi="ar-SA"/>
    </w:rPr>
  </w:style>
  <w:style w:type="character" w:customStyle="1" w:styleId="82">
    <w:name w:val="公文主题词"/>
    <w:basedOn w:val="66"/>
    <w:qFormat/>
    <w:uiPriority w:val="0"/>
    <w:rPr>
      <w:rFonts w:eastAsia="金山简标宋"/>
    </w:rPr>
  </w:style>
  <w:style w:type="character" w:customStyle="1" w:styleId="83">
    <w:name w:val="公文抄送"/>
    <w:basedOn w:val="32"/>
    <w:qFormat/>
    <w:uiPriority w:val="0"/>
    <w:rPr>
      <w:rFonts w:hint="eastAsia" w:ascii="仿宋_GB2312" w:hAnsi="Times New Roman" w:eastAsia="仿宋_GB2312" w:cs="Times New Roman"/>
      <w:sz w:val="32"/>
      <w:lang w:val="en-US" w:eastAsia="zh-CN" w:bidi="ar-SA"/>
    </w:rPr>
  </w:style>
  <w:style w:type="paragraph" w:customStyle="1" w:styleId="84">
    <w:name w:val="CM4"/>
    <w:basedOn w:val="1"/>
    <w:next w:val="1"/>
    <w:unhideWhenUsed/>
    <w:qFormat/>
    <w:uiPriority w:val="0"/>
    <w:pPr>
      <w:autoSpaceDE w:val="0"/>
      <w:autoSpaceDN w:val="0"/>
      <w:adjustRightInd w:val="0"/>
      <w:spacing w:line="588" w:lineRule="atLeast"/>
      <w:jc w:val="left"/>
    </w:pPr>
    <w:rPr>
      <w:rFonts w:ascii="FZ Extra BSK" w:hAnsi="FZ Extra BSK" w:eastAsia="FZ Extra BSK"/>
      <w:color w:val="000000"/>
      <w:kern w:val="0"/>
      <w:sz w:val="24"/>
      <w:szCs w:val="20"/>
    </w:rPr>
  </w:style>
  <w:style w:type="paragraph" w:customStyle="1" w:styleId="85">
    <w:name w:val="Normal Indent1"/>
    <w:basedOn w:val="1"/>
    <w:qFormat/>
    <w:uiPriority w:val="0"/>
    <w:pPr>
      <w:ind w:firstLine="420" w:firstLineChars="200"/>
    </w:pPr>
    <w:rPr>
      <w:rFonts w:ascii="Calibri" w:hAnsi="Calibri" w:cs="宋体"/>
      <w:sz w:val="32"/>
      <w:szCs w:val="21"/>
    </w:rPr>
  </w:style>
  <w:style w:type="paragraph" w:customStyle="1" w:styleId="8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87">
    <w:name w:val="段落"/>
    <w:basedOn w:val="1"/>
    <w:qFormat/>
    <w:uiPriority w:val="0"/>
    <w:pPr>
      <w:autoSpaceDE w:val="0"/>
      <w:autoSpaceDN w:val="0"/>
      <w:adjustRightInd w:val="0"/>
      <w:spacing w:line="560" w:lineRule="exact"/>
      <w:ind w:firstLine="200" w:firstLineChars="200"/>
      <w:jc w:val="left"/>
    </w:pPr>
    <w:rPr>
      <w:rFonts w:eastAsia="仿宋_GB2312"/>
      <w:kern w:val="0"/>
      <w:sz w:val="32"/>
      <w:szCs w:val="32"/>
    </w:rPr>
  </w:style>
  <w:style w:type="paragraph" w:customStyle="1" w:styleId="88">
    <w:name w:val="List Paragraph1"/>
    <w:basedOn w:val="1"/>
    <w:qFormat/>
    <w:uiPriority w:val="0"/>
    <w:pPr>
      <w:spacing w:line="500" w:lineRule="exact"/>
      <w:ind w:firstLine="420" w:firstLineChars="200"/>
    </w:pPr>
    <w:rPr>
      <w:rFonts w:ascii="Calibri" w:hAnsi="Calibri"/>
      <w:szCs w:val="22"/>
    </w:rPr>
  </w:style>
  <w:style w:type="paragraph" w:styleId="89">
    <w:name w:val="List Paragraph"/>
    <w:basedOn w:val="1"/>
    <w:qFormat/>
    <w:uiPriority w:val="0"/>
    <w:pPr>
      <w:ind w:firstLine="420" w:firstLineChars="200"/>
    </w:pPr>
    <w:rPr>
      <w:rFonts w:ascii="Calibri" w:hAnsi="Calibri"/>
      <w:szCs w:val="22"/>
    </w:rPr>
  </w:style>
  <w:style w:type="paragraph" w:customStyle="1" w:styleId="90">
    <w:name w:val="Char Char Char Char Char Char Char"/>
    <w:basedOn w:val="1"/>
    <w:qFormat/>
    <w:uiPriority w:val="0"/>
    <w:pPr>
      <w:spacing w:line="360" w:lineRule="auto"/>
      <w:jc w:val="left"/>
    </w:pPr>
    <w:rPr>
      <w:rFonts w:ascii="宋体" w:hAnsi="宋体" w:cs="宋体"/>
      <w:kern w:val="0"/>
      <w:sz w:val="24"/>
    </w:rPr>
  </w:style>
  <w:style w:type="paragraph" w:customStyle="1" w:styleId="9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Char Char4 Char Char"/>
    <w:basedOn w:val="1"/>
    <w:qFormat/>
    <w:uiPriority w:val="0"/>
    <w:pPr>
      <w:widowControl/>
      <w:spacing w:after="160" w:line="240" w:lineRule="exact"/>
      <w:jc w:val="left"/>
    </w:pPr>
    <w:rPr>
      <w:rFonts w:ascii="Verdana" w:hAnsi="Verdana" w:eastAsia="仿宋_GB2312"/>
      <w:kern w:val="0"/>
      <w:sz w:val="24"/>
      <w:szCs w:val="20"/>
      <w:u w:val="words" w:color="FFFFFF"/>
      <w:lang w:eastAsia="en-US"/>
    </w:rPr>
  </w:style>
  <w:style w:type="paragraph" w:customStyle="1" w:styleId="93">
    <w:name w:val="Char Char"/>
    <w:basedOn w:val="1"/>
    <w:qFormat/>
    <w:uiPriority w:val="0"/>
    <w:pPr>
      <w:widowControl/>
      <w:shd w:val="clear" w:color="auto" w:fill="FFFFFF"/>
      <w:spacing w:beforeLines="50" w:afterLines="50"/>
      <w:jc w:val="left"/>
      <w:outlineLvl w:val="1"/>
    </w:pPr>
    <w:rPr>
      <w:rFonts w:ascii="Verdana" w:hAnsi="Verdana" w:cs="宋体"/>
      <w:color w:val="000000"/>
      <w:kern w:val="0"/>
      <w:sz w:val="18"/>
      <w:szCs w:val="18"/>
    </w:rPr>
  </w:style>
  <w:style w:type="paragraph" w:customStyle="1" w:styleId="94">
    <w:name w:val="Style10"/>
    <w:basedOn w:val="1"/>
    <w:qFormat/>
    <w:uiPriority w:val="0"/>
    <w:pPr>
      <w:adjustRightInd w:val="0"/>
      <w:jc w:val="left"/>
    </w:pPr>
    <w:rPr>
      <w:rFonts w:ascii="Garamond" w:hAnsi="Garamond" w:cs="Garamond"/>
      <w:kern w:val="0"/>
      <w:sz w:val="24"/>
    </w:rPr>
  </w:style>
  <w:style w:type="paragraph" w:customStyle="1" w:styleId="95">
    <w:name w:val="Char"/>
    <w:basedOn w:val="1"/>
    <w:qFormat/>
    <w:uiPriority w:val="0"/>
    <w:pPr>
      <w:widowControl/>
      <w:spacing w:after="160" w:line="240" w:lineRule="exact"/>
      <w:jc w:val="left"/>
    </w:pPr>
    <w:rPr>
      <w:rFonts w:ascii="Verdana" w:hAnsi="Verdana" w:eastAsia="仿宋_GB2312"/>
      <w:kern w:val="0"/>
      <w:sz w:val="24"/>
      <w:szCs w:val="20"/>
      <w:u w:val="words" w:color="FFFFFF"/>
      <w:lang w:eastAsia="en-US"/>
    </w:rPr>
  </w:style>
  <w:style w:type="paragraph" w:customStyle="1" w:styleId="96">
    <w:name w:val="_Style 3"/>
    <w:basedOn w:val="1"/>
    <w:qFormat/>
    <w:uiPriority w:val="0"/>
    <w:pPr>
      <w:widowControl/>
      <w:spacing w:after="160" w:line="240" w:lineRule="exact"/>
      <w:jc w:val="left"/>
    </w:pPr>
  </w:style>
  <w:style w:type="paragraph" w:customStyle="1" w:styleId="97">
    <w:name w:val="Char Char Char Char"/>
    <w:basedOn w:val="1"/>
    <w:qFormat/>
    <w:uiPriority w:val="0"/>
  </w:style>
  <w:style w:type="paragraph" w:customStyle="1" w:styleId="98">
    <w:name w:val="列出段落2"/>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99">
    <w:name w:val="正文 New"/>
    <w:qFormat/>
    <w:uiPriority w:val="0"/>
    <w:pPr>
      <w:widowControl w:val="0"/>
      <w:jc w:val="both"/>
    </w:pPr>
    <w:rPr>
      <w:rFonts w:ascii="Times New Roman" w:hAnsi="Times New Roman" w:eastAsia="仿宋_GB2312" w:cs="Times New Roman"/>
      <w:kern w:val="2"/>
      <w:sz w:val="36"/>
      <w:szCs w:val="36"/>
      <w:lang w:val="en-US" w:eastAsia="zh-CN" w:bidi="ar-SA"/>
    </w:rPr>
  </w:style>
  <w:style w:type="paragraph" w:customStyle="1" w:styleId="100">
    <w:name w:val="_Style 2"/>
    <w:basedOn w:val="1"/>
    <w:qFormat/>
    <w:uiPriority w:val="0"/>
    <w:pPr>
      <w:jc w:val="left"/>
    </w:pPr>
    <w:rPr>
      <w:rFonts w:ascii="Calibri" w:hAnsi="Calibri" w:eastAsia="仿宋_GB2312"/>
      <w:sz w:val="28"/>
      <w:szCs w:val="22"/>
    </w:rPr>
  </w:style>
  <w:style w:type="paragraph" w:customStyle="1" w:styleId="101">
    <w:name w:val="Char Char Char1 Char"/>
    <w:basedOn w:val="1"/>
    <w:semiHidden/>
    <w:qFormat/>
    <w:uiPriority w:val="0"/>
  </w:style>
  <w:style w:type="paragraph" w:customStyle="1" w:styleId="102">
    <w:name w:val="列出段落1"/>
    <w:basedOn w:val="1"/>
    <w:qFormat/>
    <w:uiPriority w:val="0"/>
    <w:pPr>
      <w:ind w:firstLine="420" w:firstLineChars="200"/>
    </w:pPr>
    <w:rPr>
      <w:rFonts w:ascii="Calibri" w:hAnsi="Calibri"/>
      <w:szCs w:val="22"/>
    </w:rPr>
  </w:style>
  <w:style w:type="paragraph" w:customStyle="1" w:styleId="103">
    <w:name w:val="p0"/>
    <w:basedOn w:val="1"/>
    <w:link w:val="104"/>
    <w:qFormat/>
    <w:uiPriority w:val="0"/>
    <w:pPr>
      <w:widowControl/>
    </w:pPr>
    <w:rPr>
      <w:kern w:val="0"/>
      <w:szCs w:val="21"/>
    </w:rPr>
  </w:style>
  <w:style w:type="character" w:customStyle="1" w:styleId="104">
    <w:name w:val="p0 Char"/>
    <w:link w:val="103"/>
    <w:qFormat/>
    <w:uiPriority w:val="0"/>
    <w:rPr>
      <w:rFonts w:ascii="Times New Roman" w:hAnsi="Times New Roman"/>
      <w:sz w:val="21"/>
      <w:szCs w:val="21"/>
    </w:rPr>
  </w:style>
  <w:style w:type="paragraph" w:customStyle="1" w:styleId="105">
    <w:name w:val="默认段落字体 Para Char Char Char Char Char Char Char"/>
    <w:basedOn w:val="1"/>
    <w:qFormat/>
    <w:uiPriority w:val="0"/>
    <w:rPr>
      <w:rFonts w:ascii="Tahoma" w:hAnsi="Tahoma" w:eastAsia="仿宋_GB2312"/>
      <w:sz w:val="24"/>
      <w:szCs w:val="20"/>
    </w:rPr>
  </w:style>
  <w:style w:type="paragraph" w:customStyle="1" w:styleId="106">
    <w:name w:val="Char1"/>
    <w:basedOn w:val="1"/>
    <w:qFormat/>
    <w:uiPriority w:val="0"/>
    <w:pPr>
      <w:widowControl/>
      <w:spacing w:after="160" w:line="240" w:lineRule="exact"/>
      <w:jc w:val="left"/>
    </w:pPr>
    <w:rPr>
      <w:rFonts w:ascii="Verdana" w:hAnsi="Verdana" w:eastAsia="仿宋_GB2312"/>
      <w:kern w:val="0"/>
      <w:sz w:val="24"/>
      <w:szCs w:val="20"/>
      <w:u w:val="words" w:color="FFFFFF"/>
      <w:lang w:eastAsia="en-US"/>
    </w:rPr>
  </w:style>
  <w:style w:type="paragraph" w:customStyle="1" w:styleId="107">
    <w:name w:val="0-总标题"/>
    <w:basedOn w:val="1"/>
    <w:qFormat/>
    <w:uiPriority w:val="0"/>
    <w:pPr>
      <w:overflowPunct w:val="0"/>
      <w:spacing w:line="600" w:lineRule="exact"/>
      <w:jc w:val="center"/>
    </w:pPr>
    <w:rPr>
      <w:rFonts w:eastAsia="方正小标宋简体"/>
      <w:sz w:val="44"/>
      <w:szCs w:val="44"/>
    </w:rPr>
  </w:style>
  <w:style w:type="paragraph" w:customStyle="1" w:styleId="108">
    <w:name w:val="正文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09">
    <w:name w:val="Style2"/>
    <w:basedOn w:val="1"/>
    <w:qFormat/>
    <w:uiPriority w:val="0"/>
    <w:pPr>
      <w:adjustRightInd w:val="0"/>
      <w:spacing w:line="605" w:lineRule="exact"/>
      <w:ind w:hanging="619"/>
      <w:jc w:val="left"/>
    </w:pPr>
    <w:rPr>
      <w:rFonts w:ascii="宋体" w:cs="宋体"/>
      <w:kern w:val="0"/>
      <w:sz w:val="24"/>
    </w:rPr>
  </w:style>
  <w:style w:type="paragraph" w:customStyle="1" w:styleId="110">
    <w:name w:val="article1"/>
    <w:basedOn w:val="1"/>
    <w:qFormat/>
    <w:uiPriority w:val="0"/>
    <w:pPr>
      <w:widowControl/>
      <w:pBdr>
        <w:top w:val="single" w:color="7EB9C9" w:sz="6" w:space="0"/>
        <w:left w:val="single" w:color="7EB9C9" w:sz="6" w:space="0"/>
        <w:bottom w:val="single" w:color="7EB9C9" w:sz="6" w:space="0"/>
        <w:right w:val="single" w:color="7EB9C9" w:sz="6" w:space="0"/>
      </w:pBdr>
      <w:spacing w:before="75"/>
      <w:ind w:left="90" w:right="90"/>
      <w:jc w:val="left"/>
    </w:pPr>
    <w:rPr>
      <w:rFonts w:ascii="宋体" w:hAnsi="宋体" w:cs="宋体"/>
      <w:kern w:val="0"/>
      <w:sz w:val="24"/>
    </w:rPr>
  </w:style>
  <w:style w:type="paragraph" w:customStyle="1" w:styleId="111">
    <w:name w:val="实施方案正文"/>
    <w:basedOn w:val="1"/>
    <w:qFormat/>
    <w:uiPriority w:val="0"/>
    <w:pPr>
      <w:ind w:firstLine="566" w:firstLineChars="202"/>
    </w:pPr>
    <w:rPr>
      <w:szCs w:val="28"/>
    </w:rPr>
  </w:style>
  <w:style w:type="character" w:customStyle="1" w:styleId="112">
    <w:name w:val="font01"/>
    <w:basedOn w:val="32"/>
    <w:qFormat/>
    <w:uiPriority w:val="0"/>
    <w:rPr>
      <w:rFonts w:ascii="Wingdings 2" w:hAnsi="Wingdings 2" w:eastAsia="Wingdings 2" w:cs="Wingdings 2"/>
      <w:b/>
      <w:color w:val="000000"/>
      <w:sz w:val="24"/>
      <w:szCs w:val="24"/>
      <w:u w:val="none"/>
    </w:rPr>
  </w:style>
  <w:style w:type="character" w:customStyle="1" w:styleId="113">
    <w:name w:val="font21"/>
    <w:basedOn w:val="32"/>
    <w:qFormat/>
    <w:uiPriority w:val="0"/>
    <w:rPr>
      <w:rFonts w:hint="eastAsia" w:ascii="仿宋_GB2312" w:eastAsia="仿宋_GB2312" w:cs="仿宋_GB2312"/>
      <w:b/>
      <w:color w:val="000000"/>
      <w:sz w:val="24"/>
      <w:szCs w:val="24"/>
      <w:u w:val="none"/>
    </w:rPr>
  </w:style>
  <w:style w:type="paragraph" w:customStyle="1" w:styleId="114">
    <w:name w:val="BodyText"/>
    <w:basedOn w:val="1"/>
    <w:qFormat/>
    <w:uiPriority w:val="0"/>
    <w:pPr>
      <w:spacing w:after="120"/>
      <w:textAlignment w:val="baseline"/>
    </w:pPr>
  </w:style>
  <w:style w:type="paragraph" w:customStyle="1" w:styleId="115">
    <w:name w:val="Char11"/>
    <w:basedOn w:val="1"/>
    <w:qFormat/>
    <w:uiPriority w:val="0"/>
    <w:pPr>
      <w:widowControl/>
      <w:spacing w:after="160" w:line="240" w:lineRule="exact"/>
      <w:jc w:val="left"/>
    </w:pPr>
    <w:rPr>
      <w:rFonts w:ascii="Verdana" w:hAnsi="Verdana" w:eastAsia="仿宋_GB2312"/>
      <w:kern w:val="0"/>
      <w:sz w:val="24"/>
      <w:szCs w:val="20"/>
      <w:u w:val="words" w:color="FFFFFF"/>
      <w:lang w:eastAsia="en-US"/>
    </w:rPr>
  </w:style>
  <w:style w:type="paragraph" w:customStyle="1" w:styleId="116">
    <w:name w:val="正文小四"/>
    <w:basedOn w:val="1"/>
    <w:qFormat/>
    <w:uiPriority w:val="0"/>
    <w:pPr>
      <w:suppressAutoHyphens/>
      <w:autoSpaceDE w:val="0"/>
      <w:autoSpaceDN w:val="0"/>
      <w:adjustRightInd w:val="0"/>
    </w:pPr>
    <w:rPr>
      <w:rFonts w:ascii="Calibri" w:hAnsi="Calibri" w:cs="Calibri"/>
      <w:szCs w:val="21"/>
    </w:rPr>
  </w:style>
  <w:style w:type="paragraph" w:customStyle="1" w:styleId="117">
    <w:name w:val="列出段落11"/>
    <w:basedOn w:val="1"/>
    <w:qFormat/>
    <w:uiPriority w:val="99"/>
    <w:pPr>
      <w:ind w:firstLine="420" w:firstLineChars="200"/>
    </w:pPr>
    <w:rPr>
      <w:rFonts w:ascii="Calibri" w:hAnsi="Calibri"/>
      <w:szCs w:val="22"/>
    </w:rPr>
  </w:style>
  <w:style w:type="paragraph" w:customStyle="1" w:styleId="118">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z正文"/>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2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21">
    <w:name w:val="Char111"/>
    <w:basedOn w:val="1"/>
    <w:qFormat/>
    <w:uiPriority w:val="0"/>
    <w:pPr>
      <w:widowControl/>
      <w:spacing w:after="160" w:line="240" w:lineRule="exact"/>
      <w:jc w:val="left"/>
    </w:pPr>
    <w:rPr>
      <w:rFonts w:ascii="Verdana" w:hAnsi="Verdana" w:eastAsia="仿宋_GB2312"/>
      <w:kern w:val="0"/>
      <w:sz w:val="24"/>
      <w:szCs w:val="20"/>
      <w:u w:val="words" w:color="FFFFFF"/>
      <w:lang w:eastAsia="en-US"/>
    </w:rPr>
  </w:style>
  <w:style w:type="paragraph" w:customStyle="1" w:styleId="122">
    <w:name w:val="文件标题"/>
    <w:basedOn w:val="1"/>
    <w:qFormat/>
    <w:uiPriority w:val="0"/>
    <w:pPr>
      <w:spacing w:line="700" w:lineRule="exact"/>
      <w:jc w:val="center"/>
    </w:pPr>
    <w:rPr>
      <w:rFonts w:ascii="仿宋_GB2312" w:eastAsia="方正小标宋简体"/>
      <w:sz w:val="44"/>
      <w:szCs w:val="20"/>
    </w:rPr>
  </w:style>
  <w:style w:type="table" w:customStyle="1" w:styleId="123">
    <w:name w:val="Table Normal"/>
    <w:unhideWhenUsed/>
    <w:qFormat/>
    <w:uiPriority w:val="2"/>
    <w:pPr>
      <w:widowControl w:val="0"/>
      <w:autoSpaceDE w:val="0"/>
      <w:autoSpaceDN w:val="0"/>
    </w:pPr>
    <w:rPr>
      <w:rFonts w:ascii="Times New Roman" w:hAnsi="Times New Roman"/>
      <w:sz w:val="22"/>
      <w:lang w:eastAsia="en-US"/>
    </w:rPr>
    <w:tblPr>
      <w:tblCellMar>
        <w:top w:w="0" w:type="dxa"/>
        <w:left w:w="0" w:type="dxa"/>
        <w:bottom w:w="0" w:type="dxa"/>
        <w:right w:w="0" w:type="dxa"/>
      </w:tblCellMar>
    </w:tblPr>
  </w:style>
  <w:style w:type="paragraph" w:customStyle="1" w:styleId="124">
    <w:name w:val="Table Paragraph"/>
    <w:basedOn w:val="1"/>
    <w:qFormat/>
    <w:uiPriority w:val="1"/>
    <w:pPr>
      <w:autoSpaceDE w:val="0"/>
      <w:autoSpaceDN w:val="0"/>
      <w:jc w:val="left"/>
    </w:pPr>
    <w:rPr>
      <w:rFonts w:eastAsia="Times New Roman"/>
      <w:kern w:val="0"/>
      <w:sz w:val="22"/>
      <w:szCs w:val="22"/>
      <w:lang w:val="zh-CN" w:bidi="zh-CN"/>
    </w:rPr>
  </w:style>
  <w:style w:type="character" w:customStyle="1" w:styleId="125">
    <w:name w:val="公文拟稿人"/>
    <w:basedOn w:val="32"/>
    <w:qFormat/>
    <w:uiPriority w:val="0"/>
    <w:rPr>
      <w:rFonts w:ascii="仿宋_GB2312"/>
      <w:sz w:val="32"/>
    </w:rPr>
  </w:style>
  <w:style w:type="paragraph" w:customStyle="1" w:styleId="126">
    <w:name w:val="Char Char Char Char Char Char Char Char Char Char1"/>
    <w:basedOn w:val="1"/>
    <w:qFormat/>
    <w:uiPriority w:val="0"/>
    <w:pPr>
      <w:tabs>
        <w:tab w:val="left" w:pos="425"/>
      </w:tabs>
      <w:ind w:left="425" w:hanging="425"/>
    </w:pPr>
    <w:rPr>
      <w:rFonts w:ascii="Arial" w:hAnsi="Arial" w:eastAsia="黑体" w:cs="宋体"/>
      <w:b/>
      <w:bCs/>
      <w:sz w:val="32"/>
      <w:szCs w:val="32"/>
    </w:rPr>
  </w:style>
  <w:style w:type="paragraph" w:customStyle="1" w:styleId="127">
    <w:name w:val="pa-4"/>
    <w:basedOn w:val="1"/>
    <w:qFormat/>
    <w:uiPriority w:val="0"/>
    <w:pPr>
      <w:widowControl/>
      <w:spacing w:line="360" w:lineRule="atLeast"/>
      <w:ind w:firstLine="640"/>
    </w:pPr>
    <w:rPr>
      <w:rFonts w:ascii="宋体" w:hAnsi="宋体" w:cs="宋体"/>
      <w:kern w:val="0"/>
      <w:sz w:val="24"/>
    </w:rPr>
  </w:style>
  <w:style w:type="character" w:customStyle="1" w:styleId="128">
    <w:name w:val="ca-21"/>
    <w:basedOn w:val="32"/>
    <w:qFormat/>
    <w:uiPriority w:val="0"/>
    <w:rPr>
      <w:rFonts w:hint="eastAsia" w:ascii="仿宋_GB2312" w:eastAsia="仿宋_GB2312"/>
      <w:sz w:val="32"/>
      <w:szCs w:val="32"/>
    </w:rPr>
  </w:style>
  <w:style w:type="paragraph" w:customStyle="1" w:styleId="12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0">
    <w:name w:val="Char Char Char Char Char Char Char Char Char Char Char Char Char Char Char Char Char Char Char Char Char Char Char Char Char Char Char Char Char Char2 Char"/>
    <w:basedOn w:val="1"/>
    <w:qFormat/>
    <w:uiPriority w:val="0"/>
  </w:style>
  <w:style w:type="paragraph" w:customStyle="1" w:styleId="131">
    <w:name w:val="pa-0"/>
    <w:basedOn w:val="1"/>
    <w:qFormat/>
    <w:uiPriority w:val="0"/>
    <w:pPr>
      <w:widowControl/>
      <w:spacing w:before="150" w:after="150"/>
      <w:jc w:val="left"/>
    </w:pPr>
    <w:rPr>
      <w:rFonts w:ascii="宋体" w:hAnsi="宋体" w:cs="宋体"/>
      <w:kern w:val="0"/>
      <w:sz w:val="24"/>
    </w:rPr>
  </w:style>
  <w:style w:type="character" w:customStyle="1" w:styleId="132">
    <w:name w:val="ca-0"/>
    <w:basedOn w:val="32"/>
    <w:qFormat/>
    <w:uiPriority w:val="0"/>
  </w:style>
  <w:style w:type="character" w:customStyle="1" w:styleId="133">
    <w:name w:val="ca-2"/>
    <w:basedOn w:val="32"/>
    <w:qFormat/>
    <w:uiPriority w:val="0"/>
  </w:style>
  <w:style w:type="paragraph" w:customStyle="1" w:styleId="134">
    <w:name w:val="pa-3"/>
    <w:basedOn w:val="1"/>
    <w:qFormat/>
    <w:uiPriority w:val="0"/>
    <w:pPr>
      <w:widowControl/>
      <w:spacing w:before="150" w:after="150"/>
      <w:jc w:val="left"/>
    </w:pPr>
    <w:rPr>
      <w:rFonts w:ascii="宋体" w:hAnsi="宋体" w:cs="宋体"/>
      <w:kern w:val="0"/>
      <w:sz w:val="24"/>
    </w:rPr>
  </w:style>
  <w:style w:type="paragraph" w:customStyle="1" w:styleId="135">
    <w:name w:val="Char2 Char Char Char Char Char Char Char Char1 Char"/>
    <w:basedOn w:val="1"/>
    <w:qFormat/>
    <w:uiPriority w:val="0"/>
    <w:pPr>
      <w:spacing w:line="360" w:lineRule="auto"/>
      <w:ind w:firstLine="200" w:firstLineChars="200"/>
    </w:pPr>
    <w:rPr>
      <w:szCs w:val="20"/>
    </w:rPr>
  </w:style>
  <w:style w:type="paragraph" w:customStyle="1" w:styleId="136">
    <w:name w:val="Char12"/>
    <w:basedOn w:val="1"/>
    <w:qFormat/>
    <w:uiPriority w:val="0"/>
    <w:pPr>
      <w:widowControl/>
      <w:spacing w:after="160" w:line="240" w:lineRule="exact"/>
      <w:jc w:val="left"/>
    </w:pPr>
  </w:style>
  <w:style w:type="paragraph" w:customStyle="1" w:styleId="137">
    <w:name w:val="Char Char Char"/>
    <w:basedOn w:val="1"/>
    <w:qFormat/>
    <w:uiPriority w:val="0"/>
    <w:rPr>
      <w:szCs w:val="20"/>
    </w:rPr>
  </w:style>
  <w:style w:type="paragraph" w:customStyle="1" w:styleId="138">
    <w:name w:val="Char Char Char Char Char Char Char Char Char Char Char1 Char Char Char Char"/>
    <w:basedOn w:val="1"/>
    <w:qFormat/>
    <w:uiPriority w:val="0"/>
    <w:pPr>
      <w:widowControl/>
      <w:spacing w:after="160" w:line="240" w:lineRule="exact"/>
      <w:jc w:val="left"/>
    </w:pPr>
    <w:rPr>
      <w:szCs w:val="20"/>
    </w:rPr>
  </w:style>
  <w:style w:type="paragraph" w:customStyle="1" w:styleId="139">
    <w:name w:val="Char Char Char Char Char Char Char Char Char Char Char Char Char Char Char Char Char Char Char"/>
    <w:basedOn w:val="1"/>
    <w:qFormat/>
    <w:uiPriority w:val="0"/>
    <w:pPr>
      <w:tabs>
        <w:tab w:val="left" w:pos="907"/>
      </w:tabs>
      <w:ind w:left="907" w:hanging="453"/>
    </w:pPr>
  </w:style>
  <w:style w:type="paragraph" w:customStyle="1" w:styleId="14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3">
    <w:name w:val="页脚 Char1"/>
    <w:qFormat/>
    <w:uiPriority w:val="0"/>
    <w:rPr>
      <w:rFonts w:eastAsia="宋体"/>
      <w:kern w:val="2"/>
      <w:sz w:val="18"/>
      <w:szCs w:val="18"/>
      <w:lang w:val="en-US" w:eastAsia="zh-CN" w:bidi="ar-SA"/>
    </w:rPr>
  </w:style>
  <w:style w:type="character" w:customStyle="1" w:styleId="144">
    <w:name w:val="表格标题 Char"/>
    <w:link w:val="145"/>
    <w:qFormat/>
    <w:locked/>
    <w:uiPriority w:val="0"/>
    <w:rPr>
      <w:rFonts w:ascii="黑体" w:hAnsi="黑体" w:eastAsia="黑体" w:cs="宋体"/>
      <w:bCs/>
      <w:color w:val="000000"/>
      <w:sz w:val="28"/>
      <w:szCs w:val="28"/>
    </w:rPr>
  </w:style>
  <w:style w:type="paragraph" w:customStyle="1" w:styleId="145">
    <w:name w:val="表格标题"/>
    <w:basedOn w:val="1"/>
    <w:link w:val="144"/>
    <w:qFormat/>
    <w:uiPriority w:val="0"/>
    <w:pPr>
      <w:jc w:val="center"/>
    </w:pPr>
    <w:rPr>
      <w:rFonts w:ascii="黑体" w:hAnsi="黑体" w:eastAsia="黑体"/>
      <w:bCs/>
      <w:color w:val="000000"/>
      <w:kern w:val="0"/>
      <w:sz w:val="28"/>
      <w:szCs w:val="28"/>
    </w:rPr>
  </w:style>
  <w:style w:type="character" w:customStyle="1" w:styleId="146">
    <w:name w:val="页眉 Char1"/>
    <w:basedOn w:val="32"/>
    <w:qFormat/>
    <w:locked/>
    <w:uiPriority w:val="0"/>
    <w:rPr>
      <w:rFonts w:eastAsia="宋体"/>
      <w:kern w:val="2"/>
      <w:sz w:val="18"/>
      <w:szCs w:val="18"/>
      <w:lang w:val="en-US" w:eastAsia="zh-CN" w:bidi="ar-SA"/>
    </w:rPr>
  </w:style>
  <w:style w:type="paragraph" w:styleId="14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套印头"/>
    <w:basedOn w:val="32"/>
    <w:qFormat/>
    <w:uiPriority w:val="0"/>
    <w:rPr>
      <w:sz w:val="44"/>
    </w:rPr>
  </w:style>
  <w:style w:type="paragraph" w:customStyle="1" w:styleId="149">
    <w:name w:val="p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Char Char Char Char1"/>
    <w:basedOn w:val="1"/>
    <w:qFormat/>
    <w:uiPriority w:val="0"/>
    <w:rPr>
      <w:szCs w:val="20"/>
    </w:rPr>
  </w:style>
  <w:style w:type="paragraph" w:customStyle="1" w:styleId="151">
    <w:name w:val="p16"/>
    <w:basedOn w:val="1"/>
    <w:qFormat/>
    <w:uiPriority w:val="0"/>
    <w:pPr>
      <w:widowControl/>
    </w:pPr>
    <w:rPr>
      <w:rFonts w:ascii="仿宋_GB2312" w:hAnsi="宋体" w:eastAsia="仿宋_GB2312" w:cs="宋体"/>
      <w:kern w:val="0"/>
      <w:sz w:val="32"/>
      <w:szCs w:val="32"/>
    </w:rPr>
  </w:style>
  <w:style w:type="paragraph" w:customStyle="1" w:styleId="15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custom_unionstyle"/>
    <w:basedOn w:val="1"/>
    <w:qFormat/>
    <w:uiPriority w:val="0"/>
    <w:pPr>
      <w:widowControl/>
      <w:jc w:val="left"/>
    </w:pPr>
    <w:rPr>
      <w:rFonts w:ascii="宋体" w:hAnsi="宋体" w:cs="宋体"/>
      <w:kern w:val="0"/>
      <w:sz w:val="24"/>
    </w:rPr>
  </w:style>
  <w:style w:type="paragraph" w:customStyle="1" w:styleId="154">
    <w:name w:val="Normal_1"/>
    <w:qFormat/>
    <w:uiPriority w:val="0"/>
    <w:rPr>
      <w:rFonts w:ascii="Times New Roman" w:hAnsi="Times New Roman" w:eastAsia="宋体" w:cs="Times New Roman"/>
      <w:sz w:val="24"/>
      <w:szCs w:val="24"/>
      <w:lang w:val="en-US" w:eastAsia="zh-CN" w:bidi="ar-SA"/>
    </w:rPr>
  </w:style>
  <w:style w:type="paragraph" w:customStyle="1" w:styleId="155">
    <w:name w:val="Normal_0"/>
    <w:qFormat/>
    <w:uiPriority w:val="0"/>
    <w:rPr>
      <w:rFonts w:ascii="Times New Roman" w:hAnsi="Times New Roman" w:eastAsia="宋体" w:cs="Times New Roman"/>
      <w:sz w:val="24"/>
      <w:szCs w:val="24"/>
      <w:lang w:val="en-US" w:eastAsia="zh-CN" w:bidi="ar-SA"/>
    </w:rPr>
  </w:style>
  <w:style w:type="character" w:customStyle="1" w:styleId="156">
    <w:name w:val="办文来文摘要"/>
    <w:qFormat/>
    <w:uiPriority w:val="0"/>
    <w:rPr>
      <w:rFonts w:hint="eastAsia" w:ascii="仿宋_GB2312" w:eastAsia="仿宋_GB2312"/>
      <w:sz w:val="24"/>
    </w:rPr>
  </w:style>
  <w:style w:type="character" w:customStyle="1" w:styleId="157">
    <w:name w:val="ca-1"/>
    <w:basedOn w:val="32"/>
    <w:qFormat/>
    <w:uiPriority w:val="0"/>
    <w:rPr>
      <w:rFonts w:cs="Times New Roman"/>
    </w:rPr>
  </w:style>
  <w:style w:type="character" w:customStyle="1" w:styleId="158">
    <w:name w:val="font31"/>
    <w:basedOn w:val="32"/>
    <w:qFormat/>
    <w:uiPriority w:val="0"/>
    <w:rPr>
      <w:rFonts w:hint="default" w:ascii="Times New Roman" w:hAnsi="Times New Roman" w:cs="Times New Roman"/>
      <w:color w:val="000000"/>
      <w:sz w:val="21"/>
      <w:szCs w:val="21"/>
      <w:u w:val="none"/>
    </w:rPr>
  </w:style>
  <w:style w:type="character" w:customStyle="1" w:styleId="159">
    <w:name w:val="font11"/>
    <w:basedOn w:val="32"/>
    <w:qFormat/>
    <w:uiPriority w:val="0"/>
    <w:rPr>
      <w:rFonts w:ascii="仿宋_GB2312" w:eastAsia="仿宋_GB2312" w:cs="仿宋_GB2312"/>
      <w:color w:val="000000"/>
      <w:sz w:val="21"/>
      <w:szCs w:val="21"/>
      <w:u w:val="none"/>
    </w:rPr>
  </w:style>
  <w:style w:type="character" w:customStyle="1" w:styleId="160">
    <w:name w:val="15"/>
    <w:basedOn w:val="32"/>
    <w:qFormat/>
    <w:uiPriority w:val="0"/>
    <w:rPr>
      <w:rFonts w:hint="eastAsia" w:ascii="仿宋_GB2312" w:eastAsia="仿宋_GB2312" w:cs="Times New Roman"/>
      <w:sz w:val="32"/>
      <w:szCs w:val="32"/>
    </w:rPr>
  </w:style>
  <w:style w:type="paragraph" w:customStyle="1" w:styleId="161">
    <w:name w:val="Heading 1"/>
    <w:basedOn w:val="1"/>
    <w:qFormat/>
    <w:uiPriority w:val="1"/>
    <w:pPr>
      <w:autoSpaceDE w:val="0"/>
      <w:autoSpaceDN w:val="0"/>
      <w:ind w:left="851" w:hanging="271"/>
      <w:jc w:val="left"/>
      <w:outlineLvl w:val="1"/>
    </w:pPr>
    <w:rPr>
      <w:rFonts w:ascii="仿宋_GB2312" w:hAnsi="仿宋_GB2312" w:eastAsia="仿宋_GB2312" w:cs="仿宋_GB2312"/>
      <w:b/>
      <w:bCs/>
      <w:kern w:val="0"/>
      <w:sz w:val="36"/>
      <w:szCs w:val="36"/>
      <w:lang w:val="ja-JP" w:eastAsia="ja-JP" w:bidi="ja-JP"/>
    </w:rPr>
  </w:style>
  <w:style w:type="paragraph" w:customStyle="1" w:styleId="162">
    <w:name w:val="0-正文"/>
    <w:basedOn w:val="1"/>
    <w:qFormat/>
    <w:uiPriority w:val="0"/>
    <w:pPr>
      <w:overflowPunct w:val="0"/>
      <w:spacing w:line="560" w:lineRule="exact"/>
      <w:ind w:firstLine="200" w:firstLineChars="200"/>
    </w:pPr>
    <w:rPr>
      <w:rFonts w:ascii="Calibri" w:hAnsi="Calibri" w:eastAsia="仿宋"/>
      <w:sz w:val="32"/>
    </w:rPr>
  </w:style>
  <w:style w:type="paragraph" w:customStyle="1" w:styleId="163">
    <w:name w:val="0-二级标题"/>
    <w:basedOn w:val="3"/>
    <w:next w:val="15"/>
    <w:qFormat/>
    <w:uiPriority w:val="0"/>
    <w:pPr>
      <w:keepNext w:val="0"/>
      <w:keepLines w:val="0"/>
      <w:overflowPunct w:val="0"/>
      <w:spacing w:before="0" w:after="0" w:line="560" w:lineRule="exact"/>
      <w:ind w:firstLine="632" w:firstLineChars="200"/>
    </w:pPr>
    <w:rPr>
      <w:rFonts w:ascii="Times New Roman" w:hAnsi="Times New Roman" w:eastAsia="楷体"/>
      <w:b w:val="0"/>
    </w:rPr>
  </w:style>
  <w:style w:type="paragraph" w:customStyle="1" w:styleId="164">
    <w:name w:val="正文 New New New New New New New New New New New New New"/>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5">
    <w:name w:val="正文 New New New New New New New New New New New New New New New New New New New New"/>
    <w:qFormat/>
    <w:uiPriority w:val="0"/>
    <w:pPr>
      <w:widowControl w:val="0"/>
      <w:spacing w:line="560" w:lineRule="exact"/>
      <w:ind w:firstLine="200" w:firstLineChars="200"/>
      <w:jc w:val="both"/>
    </w:pPr>
    <w:rPr>
      <w:rFonts w:ascii="Calibri" w:hAnsi="Calibri" w:eastAsia="宋体" w:cs="宋体"/>
      <w:kern w:val="2"/>
      <w:sz w:val="21"/>
      <w:szCs w:val="24"/>
      <w:lang w:val="en-US" w:eastAsia="zh-CN" w:bidi="ar-SA"/>
    </w:rPr>
  </w:style>
  <w:style w:type="character" w:customStyle="1" w:styleId="166">
    <w:name w:val="Body text|1_"/>
    <w:basedOn w:val="32"/>
    <w:link w:val="167"/>
    <w:qFormat/>
    <w:uiPriority w:val="99"/>
    <w:rPr>
      <w:rFonts w:ascii="宋体" w:hAnsi="宋体" w:cs="宋体"/>
      <w:sz w:val="26"/>
      <w:szCs w:val="26"/>
      <w:lang w:val="zh-TW" w:eastAsia="zh-TW" w:bidi="zh-TW"/>
    </w:rPr>
  </w:style>
  <w:style w:type="paragraph" w:customStyle="1" w:styleId="167">
    <w:name w:val="Body text|1"/>
    <w:basedOn w:val="1"/>
    <w:link w:val="166"/>
    <w:qFormat/>
    <w:uiPriority w:val="0"/>
    <w:pPr>
      <w:spacing w:line="437" w:lineRule="auto"/>
      <w:ind w:firstLine="400"/>
      <w:jc w:val="left"/>
    </w:pPr>
    <w:rPr>
      <w:rFonts w:ascii="宋体" w:hAnsi="宋体" w:cs="宋体"/>
      <w:kern w:val="0"/>
      <w:sz w:val="26"/>
      <w:szCs w:val="26"/>
      <w:lang w:val="zh-TW" w:eastAsia="zh-TW" w:bidi="zh-TW"/>
    </w:rPr>
  </w:style>
  <w:style w:type="paragraph" w:customStyle="1" w:styleId="168">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9">
    <w:name w:val="-0.3 Char"/>
    <w:basedOn w:val="32"/>
    <w:link w:val="170"/>
    <w:qFormat/>
    <w:uiPriority w:val="0"/>
    <w:rPr>
      <w:rFonts w:eastAsia="仿宋_GB2312"/>
      <w:spacing w:val="-6"/>
      <w:sz w:val="32"/>
      <w:szCs w:val="32"/>
    </w:rPr>
  </w:style>
  <w:style w:type="paragraph" w:customStyle="1" w:styleId="170">
    <w:name w:val="-0.3"/>
    <w:basedOn w:val="18"/>
    <w:link w:val="169"/>
    <w:qFormat/>
    <w:uiPriority w:val="0"/>
    <w:pPr>
      <w:spacing w:line="560" w:lineRule="atLeast"/>
      <w:ind w:firstLine="640" w:firstLineChars="200"/>
      <w:jc w:val="both"/>
    </w:pPr>
    <w:rPr>
      <w:rFonts w:ascii="Calibri" w:hAnsi="Calibri" w:eastAsia="仿宋_GB2312"/>
      <w:spacing w:val="-6"/>
      <w:sz w:val="32"/>
      <w:szCs w:val="32"/>
    </w:rPr>
  </w:style>
  <w:style w:type="paragraph" w:customStyle="1" w:styleId="17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2">
    <w:name w:val="办文拟办意见"/>
    <w:qFormat/>
    <w:uiPriority w:val="0"/>
    <w:rPr>
      <w:rFonts w:eastAsia="仿宋_GB2312"/>
      <w:sz w:val="24"/>
    </w:rPr>
  </w:style>
  <w:style w:type="character" w:customStyle="1" w:styleId="173">
    <w:name w:val="纯文本 Char1"/>
    <w:basedOn w:val="32"/>
    <w:semiHidden/>
    <w:qFormat/>
    <w:uiPriority w:val="99"/>
    <w:rPr>
      <w:rFonts w:ascii="宋体" w:hAnsi="Courier New" w:eastAsia="宋体" w:cs="Courier New"/>
      <w:szCs w:val="21"/>
    </w:rPr>
  </w:style>
  <w:style w:type="character" w:customStyle="1" w:styleId="174">
    <w:name w:val="Character Style 5"/>
    <w:qFormat/>
    <w:uiPriority w:val="99"/>
    <w:rPr>
      <w:sz w:val="31"/>
      <w:szCs w:val="31"/>
    </w:rPr>
  </w:style>
  <w:style w:type="paragraph" w:customStyle="1" w:styleId="175">
    <w:name w:val="UserStyle_4"/>
    <w:basedOn w:val="1"/>
    <w:qFormat/>
    <w:uiPriority w:val="0"/>
    <w:pPr>
      <w:widowControl/>
      <w:spacing w:before="100" w:beforeAutospacing="1" w:after="100" w:afterAutospacing="1"/>
      <w:jc w:val="left"/>
      <w:textAlignment w:val="baseline"/>
    </w:pPr>
    <w:rPr>
      <w:rFonts w:ascii="宋体" w:hAnsi="宋体" w:eastAsia="方正仿宋_GBK"/>
      <w:kern w:val="0"/>
      <w:sz w:val="24"/>
      <w:szCs w:val="20"/>
    </w:rPr>
  </w:style>
  <w:style w:type="paragraph" w:customStyle="1" w:styleId="176">
    <w:name w:val="UserStyle_7"/>
    <w:basedOn w:val="1"/>
    <w:qFormat/>
    <w:uiPriority w:val="0"/>
    <w:pPr>
      <w:widowControl/>
      <w:spacing w:after="120" w:line="480" w:lineRule="auto"/>
      <w:ind w:left="420" w:leftChars="200"/>
      <w:textAlignment w:val="baseline"/>
    </w:pPr>
    <w:rPr>
      <w:rFonts w:ascii="宋体" w:hAnsi="宋体" w:eastAsia="方正仿宋_GBK"/>
      <w:sz w:val="31"/>
      <w:szCs w:val="20"/>
    </w:rPr>
  </w:style>
  <w:style w:type="paragraph" w:customStyle="1" w:styleId="17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MSG_EN_FONT_STYLE_NAME_TEMPLATE_ROLE_NUMBER MSG_EN_FONT_STYLE_NAME_BY_ROLE_TEXT 2"/>
    <w:basedOn w:val="1"/>
    <w:qFormat/>
    <w:uiPriority w:val="0"/>
    <w:pPr>
      <w:shd w:val="clear" w:color="auto" w:fill="FFFFFF"/>
      <w:spacing w:before="600" w:line="562" w:lineRule="exact"/>
      <w:jc w:val="distribute"/>
    </w:pPr>
    <w:rPr>
      <w:rFonts w:ascii="宋体" w:hAnsi="宋体" w:cs="宋体"/>
      <w:spacing w:val="20"/>
      <w:sz w:val="30"/>
      <w:szCs w:val="30"/>
    </w:rPr>
  </w:style>
  <w:style w:type="paragraph" w:customStyle="1" w:styleId="179">
    <w:name w:val="W2黑体"/>
    <w:basedOn w:val="1"/>
    <w:next w:val="180"/>
    <w:qFormat/>
    <w:uiPriority w:val="0"/>
    <w:pPr>
      <w:outlineLvl w:val="1"/>
    </w:pPr>
    <w:rPr>
      <w:rFonts w:eastAsia="黑体"/>
      <w:szCs w:val="32"/>
    </w:rPr>
  </w:style>
  <w:style w:type="paragraph" w:customStyle="1" w:styleId="180">
    <w:name w:val="S正文"/>
    <w:basedOn w:val="1"/>
    <w:qFormat/>
    <w:uiPriority w:val="0"/>
    <w:pPr>
      <w:ind w:firstLine="640"/>
    </w:pPr>
  </w:style>
  <w:style w:type="paragraph" w:customStyle="1" w:styleId="181">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2">
    <w:name w:val="图表目录1"/>
    <w:basedOn w:val="99"/>
    <w:next w:val="99"/>
    <w:qFormat/>
    <w:uiPriority w:val="0"/>
    <w:pPr>
      <w:ind w:left="200" w:leftChars="200" w:hanging="200" w:hangingChars="200"/>
    </w:pPr>
  </w:style>
  <w:style w:type="paragraph" w:customStyle="1" w:styleId="1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Heading2"/>
    <w:basedOn w:val="1"/>
    <w:next w:val="1"/>
    <w:qFormat/>
    <w:uiPriority w:val="0"/>
    <w:pPr>
      <w:widowControl/>
      <w:spacing w:before="100" w:beforeAutospacing="1" w:after="100" w:afterAutospacing="1"/>
      <w:jc w:val="left"/>
      <w:textAlignment w:val="baseline"/>
    </w:pPr>
    <w:rPr>
      <w:rFonts w:ascii="宋体"/>
      <w:b/>
      <w:kern w:val="0"/>
      <w:sz w:val="36"/>
      <w:szCs w:val="36"/>
    </w:rPr>
  </w:style>
  <w:style w:type="paragraph" w:customStyle="1" w:styleId="185">
    <w:name w:val="正文文本首行缩进 2"/>
    <w:basedOn w:val="11"/>
    <w:qFormat/>
    <w:uiPriority w:val="0"/>
    <w:pPr>
      <w:suppressAutoHyphens/>
      <w:spacing w:before="100" w:line="560" w:lineRule="exact"/>
      <w:ind w:firstLine="420"/>
    </w:pPr>
    <w:rPr>
      <w:rFonts w:ascii="仿宋_GB2312" w:hAnsi="Calibri"/>
      <w:szCs w:val="32"/>
    </w:rPr>
  </w:style>
  <w:style w:type="paragraph" w:customStyle="1" w:styleId="186">
    <w:name w:val="BodyText1I2"/>
    <w:basedOn w:val="1"/>
    <w:qFormat/>
    <w:uiPriority w:val="0"/>
    <w:pPr>
      <w:suppressAutoHyphens/>
      <w:ind w:firstLine="420" w:firstLineChars="200"/>
      <w:textAlignment w:val="baseline"/>
    </w:pPr>
    <w:rPr>
      <w:rFonts w:ascii="仿宋_GB2312" w:eastAsia="仿宋_GB2312"/>
      <w:sz w:val="32"/>
    </w:rPr>
  </w:style>
  <w:style w:type="character" w:customStyle="1" w:styleId="187">
    <w:name w:val="fontstyle01"/>
    <w:basedOn w:val="32"/>
    <w:qFormat/>
    <w:uiPriority w:val="0"/>
    <w:rPr>
      <w:rFonts w:ascii="仿宋_GB2312" w:eastAsia="仿宋_GB2312" w:cs="仿宋_GB2312"/>
      <w:color w:val="000000"/>
      <w:sz w:val="32"/>
      <w:szCs w:val="32"/>
    </w:rPr>
  </w:style>
  <w:style w:type="character" w:customStyle="1" w:styleId="188">
    <w:name w:val="fontstyle41"/>
    <w:basedOn w:val="32"/>
    <w:qFormat/>
    <w:uiPriority w:val="0"/>
    <w:rPr>
      <w:rFonts w:ascii="仿宋_GB2312" w:eastAsia="仿宋_GB2312" w:cs="仿宋_GB2312"/>
      <w:color w:val="000000"/>
      <w:sz w:val="32"/>
      <w:szCs w:val="32"/>
    </w:rPr>
  </w:style>
  <w:style w:type="character" w:customStyle="1" w:styleId="189">
    <w:name w:val="fontstyle51"/>
    <w:basedOn w:val="32"/>
    <w:qFormat/>
    <w:uiPriority w:val="0"/>
    <w:rPr>
      <w:rFonts w:ascii="Times #20New #20Roman" w:hAnsi="Times #20New #20Roman" w:eastAsia="Times #20New #20Roman" w:cs="Times #20New #20Roman"/>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Unknown</Company>
  <Pages>20</Pages>
  <Words>8960</Words>
  <Characters>9091</Characters>
  <Lines>65</Lines>
  <Paragraphs>18</Paragraphs>
  <TotalTime>26</TotalTime>
  <ScaleCrop>false</ScaleCrop>
  <LinksUpToDate>false</LinksUpToDate>
  <CharactersWithSpaces>9113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2024-03-29T10:25:00Z</dcterms:created>
  <dc:creator>Unknown</dc:creator>
  <cp:lastModifiedBy>Tink</cp:lastModifiedBy>
  <cp:lastPrinted>2024-04-01T02:28:00Z</cp:lastPrinted>
  <dcterms:modified xsi:type="dcterms:W3CDTF">2024-05-15T08:51:34Z</dcterms:modified>
  <dc:title>西政发〔2003〕1号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newsealcount">
    <vt:r8>1</vt:r8>
  </property>
  <property fmtid="{D5CDD505-2E9C-101B-9397-08002B2CF9AE}" pid="4" name="docranid">
    <vt:lpwstr>C65C2859E5BD433E917688DB3ACB6927</vt:lpwstr>
  </property>
  <property fmtid="{D5CDD505-2E9C-101B-9397-08002B2CF9AE}" pid="5" name="VisibleNoSeal">
    <vt:bool>true</vt:bool>
  </property>
  <property fmtid="{D5CDD505-2E9C-101B-9397-08002B2CF9AE}" pid="6" name="HasSaved">
    <vt:bool>true</vt:bool>
  </property>
  <property fmtid="{D5CDD505-2E9C-101B-9397-08002B2CF9AE}" pid="7" name="ICV">
    <vt:lpwstr>FD695E0A7B994C5E94FEDE3D0BA4661E_13</vt:lpwstr>
  </property>
</Properties>
</file>