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药品零售企业许可</w:t>
      </w:r>
      <w:r>
        <w:rPr>
          <w:rFonts w:ascii="黑体" w:hAnsi="黑体" w:eastAsia="黑体"/>
          <w:sz w:val="28"/>
          <w:szCs w:val="28"/>
        </w:rPr>
        <w:t>办事流程示意图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/>
          <w:szCs w:val="21"/>
        </w:rPr>
        <w:drawing>
          <wp:inline distT="0" distB="0" distL="114300" distR="114300">
            <wp:extent cx="5370195" cy="5532755"/>
            <wp:effectExtent l="0" t="0" r="1905" b="1079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55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220" w:lineRule="atLeast"/>
      </w:pPr>
    </w:p>
    <w:sectPr>
      <w:headerReference r:id="rId3" w:type="default"/>
      <w:pgSz w:w="11906" w:h="16838"/>
      <w:pgMar w:top="1418" w:right="1361" w:bottom="1418" w:left="136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6E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2023-11-24T01:58:28Z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