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第三类医疗器械经营</w:t>
      </w:r>
      <w:r>
        <w:rPr>
          <w:rFonts w:ascii="黑体" w:hAnsi="黑体" w:eastAsia="黑体"/>
          <w:sz w:val="28"/>
          <w:szCs w:val="28"/>
        </w:rPr>
        <w:t>许可办事流程示意图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4901565" cy="5057775"/>
            <wp:effectExtent l="0" t="0" r="1333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D6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2023-11-23T03:23:07Z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