
<file path=[Content_Types].xml><?xml version="1.0" encoding="utf-8"?>
<Types xmlns="http://schemas.openxmlformats.org/package/2006/content-types">
  <Default Extension="xml" ContentType="application/xml"/>
  <Default Extension="wmf" ContentType="image/x-wmf"/>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activeX/activeX1.bin" ContentType="application/vnd.ms-office.activeX"/>
  <Override PartName="/word/activeX/activeX1.xml" ContentType="application/vnd.ms-office.activeX+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8E26E40">
      <w:pPr>
        <w:spacing w:line="620" w:lineRule="exact"/>
        <w:rPr>
          <w:rFonts w:eastAsia="仿宋_GB2312"/>
          <w:color w:val="FF0000"/>
          <w:sz w:val="32"/>
          <w:szCs w:val="32"/>
        </w:rPr>
      </w:pPr>
    </w:p>
    <w:p w14:paraId="5FD15693">
      <w:pPr>
        <w:spacing w:line="620" w:lineRule="exact"/>
        <w:rPr>
          <w:rFonts w:eastAsia="仿宋_GB2312"/>
          <w:color w:val="FF0000"/>
          <w:sz w:val="32"/>
          <w:szCs w:val="32"/>
        </w:rPr>
      </w:pPr>
    </w:p>
    <w:p w14:paraId="00CE2590">
      <w:pPr>
        <w:spacing w:line="620" w:lineRule="exact"/>
        <w:rPr>
          <w:rFonts w:eastAsia="仿宋_GB2312"/>
          <w:color w:val="FF0000"/>
          <w:sz w:val="32"/>
          <w:szCs w:val="32"/>
        </w:rPr>
      </w:pPr>
    </w:p>
    <w:p w14:paraId="7900666B">
      <w:pPr>
        <w:tabs>
          <w:tab w:val="left" w:pos="284"/>
          <w:tab w:val="left" w:pos="8364"/>
        </w:tabs>
        <w:spacing w:line="1000" w:lineRule="exact"/>
        <w:jc w:val="center"/>
        <w:rPr>
          <w:rFonts w:eastAsia="方正小标宋简体"/>
          <w:color w:val="FF0000"/>
          <w:w w:val="67"/>
          <w:position w:val="-6"/>
          <w:sz w:val="90"/>
          <w:szCs w:val="90"/>
        </w:rPr>
      </w:pPr>
      <w:r>
        <w:rPr>
          <w:rFonts w:eastAsia="方正小标宋简体"/>
          <w:color w:val="FF0000"/>
          <w:w w:val="75"/>
          <w:position w:val="-6"/>
          <w:sz w:val="90"/>
          <w:szCs w:val="90"/>
        </w:rPr>
        <w:t>昆明市西山区人民政府文件</w:t>
      </w:r>
    </w:p>
    <w:p w14:paraId="5BCC9CDA">
      <w:pPr>
        <w:spacing w:line="240" w:lineRule="exact"/>
        <w:rPr>
          <w:rFonts w:eastAsia="仿宋_GB2312"/>
          <w:color w:val="FF0000"/>
          <w:sz w:val="32"/>
          <w:szCs w:val="32"/>
        </w:rPr>
      </w:pPr>
    </w:p>
    <w:p w14:paraId="4B7D6A15">
      <w:pPr>
        <w:spacing w:line="590" w:lineRule="exact"/>
        <w:rPr>
          <w:rFonts w:eastAsia="仿宋_GB2312"/>
          <w:color w:val="FF0000"/>
          <w:sz w:val="32"/>
          <w:szCs w:val="32"/>
        </w:rPr>
      </w:pPr>
    </w:p>
    <w:p w14:paraId="53DE9483">
      <w:pPr>
        <w:spacing w:line="590" w:lineRule="exact"/>
        <w:jc w:val="center"/>
        <w:rPr>
          <w:rFonts w:eastAsia="楷体_GB2312"/>
          <w:color w:val="000000"/>
          <w:sz w:val="32"/>
        </w:rPr>
      </w:pPr>
      <w:r>
        <w:rPr>
          <w:rFonts w:eastAsia="仿宋_GB2312"/>
          <w:color w:val="000000"/>
          <w:sz w:val="32"/>
        </w:rPr>
        <w:t>西政发〔2021〕</w:t>
      </w:r>
      <w:r>
        <w:rPr>
          <w:rFonts w:hint="eastAsia" w:eastAsia="仿宋_GB2312"/>
          <w:color w:val="000000"/>
          <w:sz w:val="32"/>
        </w:rPr>
        <w:t>5</w:t>
      </w:r>
      <w:r>
        <w:rPr>
          <w:rFonts w:eastAsia="仿宋_GB2312"/>
          <w:color w:val="000000"/>
          <w:sz w:val="32"/>
        </w:rPr>
        <w:t>号</w:t>
      </w:r>
    </w:p>
    <w:p w14:paraId="017EF034">
      <w:pPr>
        <w:tabs>
          <w:tab w:val="left" w:pos="0"/>
        </w:tabs>
        <w:spacing w:line="300" w:lineRule="exact"/>
        <w:ind w:right="-84" w:rightChars="-40"/>
        <w:rPr>
          <w:rFonts w:eastAsia="仿宋_GB2312"/>
          <w:color w:val="FF0000"/>
          <w:sz w:val="32"/>
        </w:rPr>
      </w:pPr>
      <w:r>
        <w:rPr>
          <w:rFonts w:hint="eastAsia" w:ascii="宋体" w:hAnsi="宋体" w:cs="宋体"/>
          <w:color w:val="FF0000"/>
        </w:rPr>
        <w:t>━━━━━━━━━━━━━━━━━━━━━━━━━━━━━━━━━━━━━━━━━━</w:t>
      </w:r>
    </w:p>
    <w:p w14:paraId="22B0DA84">
      <w:pPr>
        <w:spacing w:line="360" w:lineRule="exact"/>
        <w:rPr>
          <w:rFonts w:eastAsia="仿宋_GB2312"/>
          <w:color w:val="FF0000"/>
          <w:sz w:val="32"/>
        </w:rPr>
      </w:pPr>
    </w:p>
    <w:p w14:paraId="541BFF76">
      <w:pPr>
        <w:spacing w:line="360" w:lineRule="exact"/>
        <w:rPr>
          <w:rFonts w:eastAsia="仿宋_GB2312"/>
          <w:color w:val="FF0000"/>
          <w:sz w:val="32"/>
        </w:rPr>
      </w:pPr>
    </w:p>
    <w:p w14:paraId="0CAE9907">
      <w:pPr>
        <w:widowControl/>
        <w:shd w:val="clear" w:color="auto" w:fill="FFFFFF"/>
        <w:spacing w:line="520" w:lineRule="exact"/>
        <w:jc w:val="center"/>
        <w:rPr>
          <w:rFonts w:ascii="方正小标宋简体" w:eastAsia="方正小标宋简体"/>
          <w:kern w:val="0"/>
          <w:sz w:val="44"/>
          <w:szCs w:val="44"/>
        </w:rPr>
      </w:pPr>
      <w:r>
        <w:rPr>
          <w:rFonts w:hint="eastAsia" w:ascii="方正小标宋简体" w:eastAsia="方正小标宋简体"/>
          <w:kern w:val="0"/>
          <w:sz w:val="44"/>
          <w:szCs w:val="44"/>
        </w:rPr>
        <w:t>昆明市西山区人民政府</w:t>
      </w:r>
    </w:p>
    <w:p w14:paraId="21A97B02">
      <w:pPr>
        <w:adjustRightInd w:val="0"/>
        <w:snapToGrid w:val="0"/>
        <w:spacing w:line="520" w:lineRule="exact"/>
        <w:jc w:val="center"/>
        <w:outlineLvl w:val="0"/>
        <w:rPr>
          <w:rFonts w:ascii="方正小标宋简体" w:eastAsia="方正小标宋简体"/>
          <w:sz w:val="44"/>
          <w:szCs w:val="44"/>
        </w:rPr>
      </w:pPr>
      <w:r>
        <w:rPr>
          <w:rFonts w:hint="eastAsia" w:ascii="方正小标宋简体" w:eastAsia="方正小标宋简体"/>
          <w:kern w:val="0"/>
          <w:sz w:val="44"/>
          <w:szCs w:val="44"/>
        </w:rPr>
        <w:t>关于印发《</w:t>
      </w:r>
      <w:r>
        <w:rPr>
          <w:rFonts w:hint="eastAsia" w:ascii="方正小标宋简体" w:eastAsia="方正小标宋简体"/>
          <w:sz w:val="44"/>
          <w:szCs w:val="44"/>
        </w:rPr>
        <w:t>昆明市西山区国民经济和社会发展第十四个五年规划和二</w:t>
      </w:r>
      <w:r>
        <w:rPr>
          <w:rFonts w:hint="eastAsia" w:ascii="方正小标宋简体"/>
          <w:sz w:val="44"/>
          <w:szCs w:val="44"/>
        </w:rPr>
        <w:t>〇</w:t>
      </w:r>
      <w:r>
        <w:rPr>
          <w:rFonts w:hint="eastAsia" w:ascii="方正小标宋简体" w:eastAsia="方正小标宋简体"/>
          <w:sz w:val="44"/>
          <w:szCs w:val="44"/>
        </w:rPr>
        <w:t>三五年</w:t>
      </w:r>
    </w:p>
    <w:p w14:paraId="4B3E709D">
      <w:pPr>
        <w:adjustRightInd w:val="0"/>
        <w:snapToGrid w:val="0"/>
        <w:spacing w:line="520" w:lineRule="exact"/>
        <w:jc w:val="center"/>
        <w:outlineLvl w:val="0"/>
        <w:rPr>
          <w:rFonts w:ascii="方正小标宋简体" w:eastAsia="方正小标宋简体"/>
          <w:sz w:val="44"/>
          <w:szCs w:val="44"/>
        </w:rPr>
      </w:pPr>
      <w:r>
        <w:rPr>
          <w:rFonts w:hint="eastAsia" w:ascii="方正小标宋简体" w:eastAsia="方正小标宋简体"/>
          <w:sz w:val="44"/>
          <w:szCs w:val="44"/>
        </w:rPr>
        <w:t>远景目标纲要</w:t>
      </w:r>
      <w:r>
        <w:rPr>
          <w:rFonts w:hint="eastAsia" w:ascii="方正小标宋简体" w:eastAsia="方正小标宋简体"/>
          <w:kern w:val="0"/>
          <w:sz w:val="44"/>
          <w:szCs w:val="44"/>
        </w:rPr>
        <w:t>》的通知</w:t>
      </w:r>
    </w:p>
    <w:p w14:paraId="00BF44E5">
      <w:pPr>
        <w:shd w:val="clear" w:color="auto" w:fill="FFFFFF"/>
        <w:adjustRightInd w:val="0"/>
        <w:snapToGrid w:val="0"/>
        <w:spacing w:line="520" w:lineRule="exact"/>
        <w:jc w:val="center"/>
        <w:rPr>
          <w:rFonts w:eastAsia="方正小标宋_GBK"/>
          <w:kern w:val="0"/>
          <w:sz w:val="44"/>
          <w:szCs w:val="44"/>
        </w:rPr>
      </w:pPr>
    </w:p>
    <w:p w14:paraId="515CF3E1">
      <w:pPr>
        <w:shd w:val="clear" w:color="auto" w:fill="FFFFFF"/>
        <w:adjustRightInd w:val="0"/>
        <w:snapToGrid w:val="0"/>
        <w:spacing w:line="520" w:lineRule="exact"/>
        <w:rPr>
          <w:rFonts w:eastAsia="仿宋_GB2312"/>
          <w:kern w:val="0"/>
          <w:sz w:val="32"/>
          <w:szCs w:val="32"/>
        </w:rPr>
      </w:pPr>
      <w:r>
        <w:rPr>
          <w:rFonts w:eastAsia="仿宋_GB2312"/>
          <w:kern w:val="0"/>
          <w:sz w:val="32"/>
          <w:szCs w:val="32"/>
        </w:rPr>
        <w:t>各街道办事处，区政府各办局、各直属机构：</w:t>
      </w:r>
    </w:p>
    <w:p w14:paraId="4ABBE9C2">
      <w:pPr>
        <w:shd w:val="clear" w:color="auto" w:fill="FFFFFF"/>
        <w:adjustRightInd w:val="0"/>
        <w:snapToGrid w:val="0"/>
        <w:spacing w:line="520" w:lineRule="exact"/>
        <w:ind w:firstLine="640" w:firstLineChars="200"/>
        <w:rPr>
          <w:rFonts w:eastAsia="仿宋_GB2312"/>
          <w:kern w:val="0"/>
          <w:sz w:val="32"/>
          <w:szCs w:val="32"/>
        </w:rPr>
      </w:pPr>
      <w:r>
        <w:rPr>
          <w:rFonts w:eastAsia="仿宋_GB2312"/>
          <w:snapToGrid w:val="0"/>
          <w:kern w:val="0"/>
          <w:sz w:val="32"/>
          <w:szCs w:val="32"/>
        </w:rPr>
        <w:t>《昆明市西山区国民经济和社会发展第十四个五年规划和二</w:t>
      </w:r>
      <w:r>
        <w:rPr>
          <w:snapToGrid w:val="0"/>
          <w:kern w:val="0"/>
          <w:sz w:val="32"/>
          <w:szCs w:val="32"/>
        </w:rPr>
        <w:t>〇</w:t>
      </w:r>
      <w:r>
        <w:rPr>
          <w:rFonts w:eastAsia="仿宋_GB2312"/>
          <w:snapToGrid w:val="0"/>
          <w:kern w:val="0"/>
          <w:sz w:val="32"/>
          <w:szCs w:val="32"/>
        </w:rPr>
        <w:t>三五年远景目标纲要》已经昆明市西山区第十六届人民代表大会第五次会议审查通过，</w:t>
      </w:r>
      <w:r>
        <w:rPr>
          <w:rFonts w:eastAsia="仿宋_GB2312"/>
          <w:kern w:val="0"/>
          <w:sz w:val="32"/>
          <w:szCs w:val="32"/>
        </w:rPr>
        <w:t>现印发给你们，请认真抓好贯彻落实。</w:t>
      </w:r>
    </w:p>
    <w:p w14:paraId="1E3C4BEC">
      <w:pPr>
        <w:shd w:val="clear" w:color="auto" w:fill="FFFFFF"/>
        <w:adjustRightInd w:val="0"/>
        <w:snapToGrid w:val="0"/>
        <w:spacing w:line="560" w:lineRule="exact"/>
        <w:rPr>
          <w:rFonts w:eastAsia="仿宋_GB2312"/>
          <w:kern w:val="0"/>
          <w:sz w:val="32"/>
          <w:szCs w:val="32"/>
        </w:rPr>
      </w:pPr>
      <w:r>
        <w:rPr>
          <w:rFonts w:eastAsia="仿宋_GB2312"/>
          <w:kern w:val="0"/>
          <w:sz w:val="32"/>
          <w:szCs w:val="32"/>
        </w:rPr>
        <w:pict>
          <v:shape id="_x0000_s1026" o:spid="_x0000_s1026" o:spt="201" type="#_x0000_t201" style="position:absolute;left:0pt;margin-left:227.85pt;margin-top:12.3pt;height:128pt;width:128pt;z-index:251669504;mso-width-relative:page;mso-height-relative:page;" o:ole="t" filled="f" o:preferrelative="t" stroked="f" coordsize="21600,21600">
            <v:path/>
            <v:fill on="f" focussize="0,0"/>
            <v:stroke on="f"/>
            <v:imagedata r:id="rId14" o:title=""/>
            <o:lock v:ext="edit" aspectratio="f"/>
          </v:shape>
          <w:control r:id="rId13" w:name="Cbcsign1" w:shapeid="_x0000_s1026"/>
        </w:pict>
      </w:r>
    </w:p>
    <w:p w14:paraId="27585901">
      <w:pPr>
        <w:shd w:val="clear" w:color="auto" w:fill="FFFFFF"/>
        <w:adjustRightInd w:val="0"/>
        <w:snapToGrid w:val="0"/>
        <w:spacing w:line="560" w:lineRule="exact"/>
        <w:rPr>
          <w:rFonts w:eastAsia="仿宋_GB2312"/>
          <w:kern w:val="0"/>
          <w:sz w:val="32"/>
          <w:szCs w:val="32"/>
        </w:rPr>
      </w:pPr>
    </w:p>
    <w:p w14:paraId="2B38E3A2">
      <w:pPr>
        <w:shd w:val="clear" w:color="auto" w:fill="FFFFFF"/>
        <w:adjustRightInd w:val="0"/>
        <w:snapToGrid w:val="0"/>
        <w:spacing w:line="560" w:lineRule="exact"/>
        <w:rPr>
          <w:rFonts w:eastAsia="仿宋_GB2312"/>
          <w:kern w:val="0"/>
          <w:sz w:val="32"/>
          <w:szCs w:val="32"/>
        </w:rPr>
      </w:pPr>
    </w:p>
    <w:p w14:paraId="3D3FA455">
      <w:pPr>
        <w:shd w:val="clear" w:color="auto" w:fill="FFFFFF"/>
        <w:adjustRightInd w:val="0"/>
        <w:snapToGrid w:val="0"/>
        <w:spacing w:line="560" w:lineRule="exact"/>
        <w:ind w:right="1440"/>
        <w:jc w:val="right"/>
        <w:rPr>
          <w:rFonts w:eastAsia="仿宋_GB2312"/>
          <w:kern w:val="0"/>
          <w:sz w:val="32"/>
          <w:szCs w:val="32"/>
        </w:rPr>
      </w:pPr>
      <w:r>
        <w:rPr>
          <w:rFonts w:eastAsia="仿宋_GB2312"/>
          <w:kern w:val="0"/>
          <w:sz w:val="32"/>
          <w:szCs w:val="32"/>
        </w:rPr>
        <w:t>2021年6月11</w:t>
      </w:r>
      <w:r>
        <w:rPr>
          <w:rFonts w:hint="eastAsia" w:eastAsia="仿宋_GB2312"/>
          <w:kern w:val="0"/>
          <w:sz w:val="32"/>
          <w:szCs w:val="32"/>
        </w:rPr>
        <w:t>日</w:t>
      </w:r>
    </w:p>
    <w:p w14:paraId="48C563D9">
      <w:pPr>
        <w:shd w:val="clear" w:color="auto" w:fill="FFFFFF"/>
        <w:adjustRightInd w:val="0"/>
        <w:snapToGrid w:val="0"/>
        <w:spacing w:line="560" w:lineRule="exact"/>
        <w:ind w:firstLine="640" w:firstLineChars="200"/>
        <w:jc w:val="left"/>
        <w:rPr>
          <w:rFonts w:eastAsia="仿宋_GB2312"/>
          <w:kern w:val="0"/>
          <w:sz w:val="32"/>
          <w:szCs w:val="32"/>
        </w:rPr>
      </w:pPr>
      <w:r>
        <w:rPr>
          <w:rFonts w:eastAsia="仿宋_GB2312"/>
          <w:kern w:val="0"/>
          <w:sz w:val="32"/>
          <w:szCs w:val="32"/>
        </w:rPr>
        <w:t>（此件公开发布）</w:t>
      </w:r>
    </w:p>
    <w:p w14:paraId="491171DE">
      <w:pPr>
        <w:pStyle w:val="64"/>
        <w:spacing w:line="560" w:lineRule="exact"/>
        <w:jc w:val="center"/>
        <w:rPr>
          <w:rFonts w:eastAsia="方正小标宋_GBK"/>
          <w:bCs/>
          <w:color w:val="000000" w:themeColor="text1"/>
          <w:kern w:val="2"/>
          <w:sz w:val="44"/>
          <w:szCs w:val="44"/>
          <w14:textFill>
            <w14:solidFill>
              <w14:schemeClr w14:val="tx1"/>
            </w14:solidFill>
          </w14:textFill>
        </w:rPr>
      </w:pPr>
    </w:p>
    <w:p w14:paraId="536AAA89">
      <w:pPr>
        <w:pStyle w:val="64"/>
        <w:spacing w:line="560" w:lineRule="exact"/>
        <w:jc w:val="center"/>
        <w:rPr>
          <w:rFonts w:eastAsia="方正小标宋_GBK"/>
          <w:bCs/>
          <w:color w:val="000000" w:themeColor="text1"/>
          <w:kern w:val="2"/>
          <w:sz w:val="44"/>
          <w:szCs w:val="44"/>
          <w14:textFill>
            <w14:solidFill>
              <w14:schemeClr w14:val="tx1"/>
            </w14:solidFill>
          </w14:textFill>
        </w:rPr>
      </w:pPr>
    </w:p>
    <w:p w14:paraId="5311AC80">
      <w:pPr>
        <w:pStyle w:val="64"/>
        <w:spacing w:line="560" w:lineRule="exact"/>
        <w:jc w:val="center"/>
        <w:rPr>
          <w:rFonts w:ascii="方正小标宋简体" w:eastAsia="方正小标宋简体"/>
          <w:bCs/>
          <w:color w:val="000000" w:themeColor="text1"/>
          <w:kern w:val="2"/>
          <w:sz w:val="44"/>
          <w:szCs w:val="44"/>
          <w14:textFill>
            <w14:solidFill>
              <w14:schemeClr w14:val="tx1"/>
            </w14:solidFill>
          </w14:textFill>
        </w:rPr>
      </w:pPr>
      <w:r>
        <w:rPr>
          <w:rFonts w:hint="eastAsia" w:ascii="方正小标宋简体" w:eastAsia="方正小标宋简体"/>
          <w:bCs/>
          <w:color w:val="000000" w:themeColor="text1"/>
          <w:kern w:val="2"/>
          <w:sz w:val="44"/>
          <w:szCs w:val="44"/>
          <w14:textFill>
            <w14:solidFill>
              <w14:schemeClr w14:val="tx1"/>
            </w14:solidFill>
          </w14:textFill>
        </w:rPr>
        <w:t>昆明市西山区国民经济和社会发展第十四个</w:t>
      </w:r>
    </w:p>
    <w:p w14:paraId="314D5549">
      <w:pPr>
        <w:pStyle w:val="64"/>
        <w:spacing w:line="560" w:lineRule="exact"/>
        <w:jc w:val="center"/>
        <w:rPr>
          <w:rFonts w:ascii="方正小标宋简体" w:eastAsia="方正小标宋简体"/>
          <w:bCs/>
          <w:color w:val="000000" w:themeColor="text1"/>
          <w:kern w:val="2"/>
          <w:sz w:val="44"/>
          <w:szCs w:val="44"/>
          <w14:textFill>
            <w14:solidFill>
              <w14:schemeClr w14:val="tx1"/>
            </w14:solidFill>
          </w14:textFill>
        </w:rPr>
      </w:pPr>
      <w:r>
        <w:rPr>
          <w:rFonts w:hint="eastAsia" w:ascii="方正小标宋简体" w:eastAsia="方正小标宋简体"/>
          <w:bCs/>
          <w:color w:val="000000" w:themeColor="text1"/>
          <w:kern w:val="2"/>
          <w:sz w:val="44"/>
          <w:szCs w:val="44"/>
          <w14:textFill>
            <w14:solidFill>
              <w14:schemeClr w14:val="tx1"/>
            </w14:solidFill>
          </w14:textFill>
        </w:rPr>
        <w:t>五年规划和二</w:t>
      </w:r>
      <w:r>
        <w:rPr>
          <w:rFonts w:hint="eastAsia" w:ascii="方正小标宋简体"/>
          <w:bCs/>
          <w:color w:val="000000" w:themeColor="text1"/>
          <w:kern w:val="2"/>
          <w:sz w:val="44"/>
          <w:szCs w:val="44"/>
          <w14:textFill>
            <w14:solidFill>
              <w14:schemeClr w14:val="tx1"/>
            </w14:solidFill>
          </w14:textFill>
        </w:rPr>
        <w:t>〇</w:t>
      </w:r>
      <w:r>
        <w:rPr>
          <w:rFonts w:hint="eastAsia" w:ascii="方正小标宋简体" w:eastAsia="方正小标宋简体"/>
          <w:bCs/>
          <w:color w:val="000000" w:themeColor="text1"/>
          <w:kern w:val="2"/>
          <w:sz w:val="44"/>
          <w:szCs w:val="44"/>
          <w14:textFill>
            <w14:solidFill>
              <w14:schemeClr w14:val="tx1"/>
            </w14:solidFill>
          </w14:textFill>
        </w:rPr>
        <w:t>三五年远景目标纲要</w:t>
      </w:r>
    </w:p>
    <w:p w14:paraId="126D706C">
      <w:pPr>
        <w:pStyle w:val="64"/>
        <w:spacing w:line="560" w:lineRule="exact"/>
        <w:jc w:val="center"/>
        <w:rPr>
          <w:rFonts w:eastAsia="楷体_GB2312"/>
          <w:color w:val="000000" w:themeColor="text1"/>
          <w:sz w:val="32"/>
          <w:szCs w:val="32"/>
          <w14:textFill>
            <w14:solidFill>
              <w14:schemeClr w14:val="tx1"/>
            </w14:solidFill>
          </w14:textFill>
        </w:rPr>
      </w:pPr>
    </w:p>
    <w:p w14:paraId="01B0E25F">
      <w:pPr>
        <w:pStyle w:val="64"/>
        <w:spacing w:line="560" w:lineRule="exact"/>
        <w:jc w:val="center"/>
        <w:rPr>
          <w:rFonts w:eastAsia="楷体_GB2312"/>
          <w:color w:val="000000" w:themeColor="text1"/>
          <w:sz w:val="32"/>
          <w:szCs w:val="32"/>
          <w14:textFill>
            <w14:solidFill>
              <w14:schemeClr w14:val="tx1"/>
            </w14:solidFill>
          </w14:textFill>
        </w:rPr>
      </w:pPr>
    </w:p>
    <w:p w14:paraId="14D30DAC">
      <w:pPr>
        <w:pStyle w:val="64"/>
        <w:spacing w:line="560" w:lineRule="exact"/>
        <w:jc w:val="center"/>
        <w:rPr>
          <w:rFonts w:eastAsia="楷体_GB2312"/>
          <w:color w:val="000000" w:themeColor="text1"/>
          <w:sz w:val="32"/>
          <w:szCs w:val="32"/>
          <w14:textFill>
            <w14:solidFill>
              <w14:schemeClr w14:val="tx1"/>
            </w14:solidFill>
          </w14:textFill>
        </w:rPr>
      </w:pPr>
    </w:p>
    <w:p w14:paraId="08914A35">
      <w:pPr>
        <w:pStyle w:val="64"/>
        <w:spacing w:line="560" w:lineRule="exact"/>
        <w:jc w:val="center"/>
        <w:rPr>
          <w:rFonts w:eastAsia="楷体_GB2312"/>
          <w:color w:val="000000" w:themeColor="text1"/>
          <w:sz w:val="32"/>
          <w:szCs w:val="32"/>
          <w14:textFill>
            <w14:solidFill>
              <w14:schemeClr w14:val="tx1"/>
            </w14:solidFill>
          </w14:textFill>
        </w:rPr>
      </w:pPr>
    </w:p>
    <w:p w14:paraId="6ADA648A">
      <w:pPr>
        <w:pStyle w:val="64"/>
        <w:spacing w:line="560" w:lineRule="exact"/>
        <w:jc w:val="center"/>
        <w:rPr>
          <w:rFonts w:eastAsia="楷体_GB2312"/>
          <w:color w:val="000000" w:themeColor="text1"/>
          <w:sz w:val="32"/>
          <w:szCs w:val="32"/>
          <w14:textFill>
            <w14:solidFill>
              <w14:schemeClr w14:val="tx1"/>
            </w14:solidFill>
          </w14:textFill>
        </w:rPr>
      </w:pPr>
    </w:p>
    <w:p w14:paraId="5637D431">
      <w:pPr>
        <w:pStyle w:val="64"/>
        <w:spacing w:line="560" w:lineRule="exact"/>
        <w:jc w:val="center"/>
        <w:rPr>
          <w:rFonts w:eastAsia="楷体_GB2312"/>
          <w:color w:val="000000" w:themeColor="text1"/>
          <w:sz w:val="32"/>
          <w:szCs w:val="32"/>
          <w14:textFill>
            <w14:solidFill>
              <w14:schemeClr w14:val="tx1"/>
            </w14:solidFill>
          </w14:textFill>
        </w:rPr>
      </w:pPr>
    </w:p>
    <w:p w14:paraId="33C85329">
      <w:pPr>
        <w:pStyle w:val="64"/>
        <w:spacing w:line="560" w:lineRule="exact"/>
        <w:jc w:val="center"/>
        <w:rPr>
          <w:rFonts w:eastAsia="楷体_GB2312"/>
          <w:color w:val="000000" w:themeColor="text1"/>
          <w:sz w:val="32"/>
          <w:szCs w:val="32"/>
          <w14:textFill>
            <w14:solidFill>
              <w14:schemeClr w14:val="tx1"/>
            </w14:solidFill>
          </w14:textFill>
        </w:rPr>
      </w:pPr>
    </w:p>
    <w:p w14:paraId="58F28A9D">
      <w:pPr>
        <w:pStyle w:val="64"/>
        <w:spacing w:line="560" w:lineRule="exact"/>
        <w:jc w:val="center"/>
        <w:rPr>
          <w:rFonts w:eastAsia="楷体_GB2312"/>
          <w:color w:val="000000" w:themeColor="text1"/>
          <w:sz w:val="32"/>
          <w:szCs w:val="32"/>
          <w14:textFill>
            <w14:solidFill>
              <w14:schemeClr w14:val="tx1"/>
            </w14:solidFill>
          </w14:textFill>
        </w:rPr>
      </w:pPr>
    </w:p>
    <w:p w14:paraId="42741301">
      <w:pPr>
        <w:pStyle w:val="64"/>
        <w:spacing w:line="560" w:lineRule="exact"/>
        <w:jc w:val="center"/>
        <w:rPr>
          <w:rFonts w:eastAsia="楷体_GB2312"/>
          <w:color w:val="000000" w:themeColor="text1"/>
          <w:sz w:val="32"/>
          <w:szCs w:val="32"/>
          <w14:textFill>
            <w14:solidFill>
              <w14:schemeClr w14:val="tx1"/>
            </w14:solidFill>
          </w14:textFill>
        </w:rPr>
      </w:pPr>
    </w:p>
    <w:p w14:paraId="35F07DCA">
      <w:pPr>
        <w:pStyle w:val="64"/>
        <w:spacing w:line="560" w:lineRule="exact"/>
        <w:jc w:val="center"/>
        <w:rPr>
          <w:rFonts w:eastAsia="楷体_GB2312"/>
          <w:color w:val="000000" w:themeColor="text1"/>
          <w:sz w:val="32"/>
          <w:szCs w:val="32"/>
          <w14:textFill>
            <w14:solidFill>
              <w14:schemeClr w14:val="tx1"/>
            </w14:solidFill>
          </w14:textFill>
        </w:rPr>
      </w:pPr>
    </w:p>
    <w:p w14:paraId="0FB24E82">
      <w:pPr>
        <w:pStyle w:val="64"/>
        <w:spacing w:line="560" w:lineRule="exact"/>
        <w:jc w:val="center"/>
        <w:rPr>
          <w:rFonts w:eastAsia="楷体_GB2312"/>
          <w:color w:val="000000" w:themeColor="text1"/>
          <w:sz w:val="32"/>
          <w:szCs w:val="32"/>
          <w14:textFill>
            <w14:solidFill>
              <w14:schemeClr w14:val="tx1"/>
            </w14:solidFill>
          </w14:textFill>
        </w:rPr>
      </w:pPr>
    </w:p>
    <w:p w14:paraId="57786FB9">
      <w:pPr>
        <w:pStyle w:val="64"/>
        <w:spacing w:line="560" w:lineRule="exact"/>
        <w:jc w:val="center"/>
        <w:rPr>
          <w:rFonts w:eastAsia="楷体_GB2312"/>
          <w:color w:val="000000" w:themeColor="text1"/>
          <w:sz w:val="32"/>
          <w:szCs w:val="32"/>
          <w14:textFill>
            <w14:solidFill>
              <w14:schemeClr w14:val="tx1"/>
            </w14:solidFill>
          </w14:textFill>
        </w:rPr>
      </w:pPr>
    </w:p>
    <w:p w14:paraId="772ABF71">
      <w:pPr>
        <w:pStyle w:val="64"/>
        <w:spacing w:line="560" w:lineRule="exact"/>
        <w:jc w:val="center"/>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2021年6月</w:t>
      </w:r>
    </w:p>
    <w:p w14:paraId="469EC9C3">
      <w:pPr>
        <w:pStyle w:val="64"/>
        <w:spacing w:line="560" w:lineRule="exact"/>
        <w:rPr>
          <w:rFonts w:eastAsia="仿宋"/>
          <w:b/>
          <w:color w:val="000000" w:themeColor="text1"/>
          <w:sz w:val="32"/>
          <w:szCs w:val="32"/>
          <w14:textFill>
            <w14:solidFill>
              <w14:schemeClr w14:val="tx1"/>
            </w14:solidFill>
          </w14:textFill>
        </w:rPr>
        <w:sectPr>
          <w:headerReference r:id="rId3" w:type="first"/>
          <w:footerReference r:id="rId6" w:type="first"/>
          <w:footerReference r:id="rId4" w:type="default"/>
          <w:footerReference r:id="rId5" w:type="even"/>
          <w:pgSz w:w="11906" w:h="16838"/>
          <w:pgMar w:top="2041" w:right="1474" w:bottom="1928" w:left="1587" w:header="851" w:footer="992" w:gutter="0"/>
          <w:cols w:space="425" w:num="1"/>
          <w:docGrid w:type="lines" w:linePitch="312" w:charSpace="0"/>
        </w:sectPr>
      </w:pPr>
    </w:p>
    <w:p w14:paraId="409E8EA8">
      <w:pPr>
        <w:pStyle w:val="27"/>
        <w:tabs>
          <w:tab w:val="right" w:leader="dot" w:pos="8296"/>
        </w:tabs>
        <w:spacing w:line="540" w:lineRule="exact"/>
        <w:ind w:firstLine="640"/>
        <w:jc w:val="center"/>
        <w:rPr>
          <w:rFonts w:eastAsia="黑体"/>
          <w:b w:val="0"/>
          <w:bCs/>
          <w:color w:val="000000" w:themeColor="text1"/>
          <w:sz w:val="44"/>
          <w:szCs w:val="44"/>
          <w14:textFill>
            <w14:solidFill>
              <w14:schemeClr w14:val="tx1"/>
            </w14:solidFill>
          </w14:textFill>
        </w:rPr>
      </w:pPr>
      <w:bookmarkStart w:id="0" w:name="_Toc29166"/>
      <w:bookmarkStart w:id="1" w:name="_Toc28222"/>
      <w:bookmarkStart w:id="2" w:name="_Toc24261"/>
      <w:bookmarkStart w:id="3" w:name="_Toc12956"/>
      <w:bookmarkStart w:id="4" w:name="_Toc4871"/>
      <w:bookmarkStart w:id="5" w:name="_Toc1723"/>
      <w:bookmarkStart w:id="6" w:name="_Toc8782"/>
      <w:bookmarkStart w:id="7" w:name="_Toc28730"/>
      <w:bookmarkStart w:id="8" w:name="_Toc14960"/>
      <w:bookmarkStart w:id="9" w:name="_Toc22922"/>
      <w:bookmarkStart w:id="10" w:name="_Toc7526"/>
      <w:bookmarkStart w:id="11" w:name="_Toc14023"/>
      <w:bookmarkStart w:id="12" w:name="_Toc12641"/>
      <w:r>
        <w:rPr>
          <w:rFonts w:eastAsia="黑体"/>
          <w:b w:val="0"/>
          <w:bCs/>
          <w:color w:val="000000" w:themeColor="text1"/>
          <w:sz w:val="44"/>
          <w:szCs w:val="44"/>
          <w14:textFill>
            <w14:solidFill>
              <w14:schemeClr w14:val="tx1"/>
            </w14:solidFill>
          </w14:textFill>
        </w:rPr>
        <w:t>目  录</w:t>
      </w:r>
    </w:p>
    <w:p w14:paraId="27326D70">
      <w:pPr>
        <w:spacing w:line="540" w:lineRule="exact"/>
        <w:ind w:firstLine="640"/>
      </w:pPr>
    </w:p>
    <w:p w14:paraId="17077D41">
      <w:pPr>
        <w:pStyle w:val="27"/>
        <w:tabs>
          <w:tab w:val="right" w:leader="dot" w:pos="8828"/>
        </w:tabs>
        <w:spacing w:line="540" w:lineRule="exact"/>
        <w:ind w:firstLine="420"/>
        <w:rPr>
          <w:rFonts w:eastAsiaTheme="minorEastAsia"/>
          <w:b w:val="0"/>
          <w:sz w:val="32"/>
          <w:szCs w:val="32"/>
        </w:rPr>
      </w:pPr>
      <w:r>
        <w:rPr>
          <w:b w:val="0"/>
          <w:bCs/>
          <w:color w:val="000000" w:themeColor="text1"/>
          <w:sz w:val="32"/>
          <w:szCs w:val="32"/>
          <w14:textFill>
            <w14:solidFill>
              <w14:schemeClr w14:val="tx1"/>
            </w14:solidFill>
          </w14:textFill>
        </w:rPr>
        <w:fldChar w:fldCharType="begin" w:fldLock="1"/>
      </w:r>
      <w:r>
        <w:rPr>
          <w:b w:val="0"/>
          <w:bCs/>
          <w:color w:val="000000" w:themeColor="text1"/>
          <w:sz w:val="32"/>
          <w:szCs w:val="32"/>
          <w14:textFill>
            <w14:solidFill>
              <w14:schemeClr w14:val="tx1"/>
            </w14:solidFill>
          </w14:textFill>
        </w:rPr>
        <w:instrText xml:space="preserve"> TOC \o "1-2" \h \z \u </w:instrText>
      </w:r>
      <w:r>
        <w:rPr>
          <w:b w:val="0"/>
          <w:bCs/>
          <w:color w:val="000000" w:themeColor="text1"/>
          <w:sz w:val="32"/>
          <w:szCs w:val="32"/>
          <w14:textFill>
            <w14:solidFill>
              <w14:schemeClr w14:val="tx1"/>
            </w14:solidFill>
          </w14:textFill>
        </w:rPr>
        <w:fldChar w:fldCharType="separate"/>
      </w:r>
      <w:r>
        <w:fldChar w:fldCharType="begin"/>
      </w:r>
      <w:r>
        <w:instrText xml:space="preserve"> HYPERLINK \l "_Toc61644767" </w:instrText>
      </w:r>
      <w:r>
        <w:fldChar w:fldCharType="separate"/>
      </w:r>
      <w:r>
        <w:rPr>
          <w:rStyle w:val="49"/>
          <w:rFonts w:eastAsia="黑体"/>
          <w:b w:val="0"/>
          <w:sz w:val="32"/>
          <w:szCs w:val="32"/>
        </w:rPr>
        <w:t>前  言</w:t>
      </w:r>
      <w:r>
        <w:rPr>
          <w:b w:val="0"/>
          <w:sz w:val="32"/>
          <w:szCs w:val="32"/>
        </w:rPr>
        <w:tab/>
      </w:r>
      <w:r>
        <w:rPr>
          <w:b w:val="0"/>
          <w:sz w:val="32"/>
          <w:szCs w:val="32"/>
        </w:rPr>
        <w:fldChar w:fldCharType="begin" w:fldLock="1"/>
      </w:r>
      <w:r>
        <w:rPr>
          <w:b w:val="0"/>
          <w:sz w:val="32"/>
          <w:szCs w:val="32"/>
        </w:rPr>
        <w:instrText xml:space="preserve"> PAGEREF _Toc61644767 \h </w:instrText>
      </w:r>
      <w:r>
        <w:rPr>
          <w:b w:val="0"/>
          <w:sz w:val="32"/>
          <w:szCs w:val="32"/>
        </w:rPr>
        <w:fldChar w:fldCharType="separate"/>
      </w:r>
      <w:r>
        <w:rPr>
          <w:b w:val="0"/>
          <w:sz w:val="32"/>
          <w:szCs w:val="32"/>
        </w:rPr>
        <w:t>7</w:t>
      </w:r>
      <w:r>
        <w:rPr>
          <w:b w:val="0"/>
          <w:sz w:val="32"/>
          <w:szCs w:val="32"/>
        </w:rPr>
        <w:fldChar w:fldCharType="end"/>
      </w:r>
      <w:r>
        <w:rPr>
          <w:b w:val="0"/>
          <w:sz w:val="32"/>
          <w:szCs w:val="32"/>
        </w:rPr>
        <w:fldChar w:fldCharType="end"/>
      </w:r>
    </w:p>
    <w:p w14:paraId="475A982E">
      <w:pPr>
        <w:pStyle w:val="27"/>
        <w:tabs>
          <w:tab w:val="right" w:leader="dot" w:pos="8828"/>
        </w:tabs>
        <w:spacing w:line="540" w:lineRule="exact"/>
        <w:ind w:firstLine="420"/>
        <w:rPr>
          <w:rFonts w:eastAsiaTheme="minorEastAsia"/>
          <w:b w:val="0"/>
          <w:sz w:val="32"/>
          <w:szCs w:val="32"/>
        </w:rPr>
      </w:pPr>
      <w:r>
        <w:fldChar w:fldCharType="begin"/>
      </w:r>
      <w:r>
        <w:instrText xml:space="preserve"> HYPERLINK \l "_Toc61644768" </w:instrText>
      </w:r>
      <w:r>
        <w:fldChar w:fldCharType="separate"/>
      </w:r>
      <w:r>
        <w:rPr>
          <w:rStyle w:val="49"/>
          <w:rFonts w:eastAsia="黑体"/>
          <w:b w:val="0"/>
          <w:sz w:val="32"/>
          <w:szCs w:val="32"/>
        </w:rPr>
        <w:t>第一章 发展基础与发展环境</w:t>
      </w:r>
      <w:r>
        <w:rPr>
          <w:b w:val="0"/>
          <w:sz w:val="32"/>
          <w:szCs w:val="32"/>
        </w:rPr>
        <w:tab/>
      </w:r>
      <w:r>
        <w:rPr>
          <w:b w:val="0"/>
          <w:sz w:val="32"/>
          <w:szCs w:val="32"/>
        </w:rPr>
        <w:fldChar w:fldCharType="begin" w:fldLock="1"/>
      </w:r>
      <w:r>
        <w:rPr>
          <w:b w:val="0"/>
          <w:sz w:val="32"/>
          <w:szCs w:val="32"/>
        </w:rPr>
        <w:instrText xml:space="preserve"> PAGEREF _Toc61644768 \h </w:instrText>
      </w:r>
      <w:r>
        <w:rPr>
          <w:b w:val="0"/>
          <w:sz w:val="32"/>
          <w:szCs w:val="32"/>
        </w:rPr>
        <w:fldChar w:fldCharType="separate"/>
      </w:r>
      <w:r>
        <w:rPr>
          <w:b w:val="0"/>
          <w:sz w:val="32"/>
          <w:szCs w:val="32"/>
        </w:rPr>
        <w:t>8</w:t>
      </w:r>
      <w:r>
        <w:rPr>
          <w:b w:val="0"/>
          <w:sz w:val="32"/>
          <w:szCs w:val="32"/>
        </w:rPr>
        <w:fldChar w:fldCharType="end"/>
      </w:r>
      <w:r>
        <w:rPr>
          <w:b w:val="0"/>
          <w:sz w:val="32"/>
          <w:szCs w:val="32"/>
        </w:rPr>
        <w:fldChar w:fldCharType="end"/>
      </w:r>
    </w:p>
    <w:p w14:paraId="0802529C">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"_Toc61644769" </w:instrText>
      </w:r>
      <w:r>
        <w:fldChar w:fldCharType="separate"/>
      </w:r>
      <w:r>
        <w:rPr>
          <w:rStyle w:val="49"/>
          <w:rFonts w:eastAsia="黑体"/>
          <w:sz w:val="32"/>
          <w:szCs w:val="32"/>
        </w:rPr>
        <w:t>一、“十三五”时期主要成就</w:t>
      </w:r>
      <w:r>
        <w:rPr>
          <w:sz w:val="32"/>
          <w:szCs w:val="32"/>
        </w:rPr>
        <w:tab/>
      </w:r>
      <w:r>
        <w:rPr>
          <w:sz w:val="32"/>
          <w:szCs w:val="32"/>
        </w:rPr>
        <w:fldChar w:fldCharType="begin" w:fldLock="1"/>
      </w:r>
      <w:r>
        <w:rPr>
          <w:sz w:val="32"/>
          <w:szCs w:val="32"/>
        </w:rPr>
        <w:instrText xml:space="preserve"> PAGEREF _Toc61644769 \h </w:instrText>
      </w:r>
      <w:r>
        <w:rPr>
          <w:sz w:val="32"/>
          <w:szCs w:val="32"/>
        </w:rPr>
        <w:fldChar w:fldCharType="separate"/>
      </w:r>
      <w:r>
        <w:rPr>
          <w:sz w:val="32"/>
          <w:szCs w:val="32"/>
        </w:rPr>
        <w:t>8</w:t>
      </w:r>
      <w:r>
        <w:rPr>
          <w:sz w:val="32"/>
          <w:szCs w:val="32"/>
        </w:rPr>
        <w:fldChar w:fldCharType="end"/>
      </w:r>
      <w:r>
        <w:rPr>
          <w:sz w:val="32"/>
          <w:szCs w:val="32"/>
        </w:rPr>
        <w:fldChar w:fldCharType="end"/>
      </w:r>
    </w:p>
    <w:p w14:paraId="364D03EA">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"_Toc61644770" </w:instrText>
      </w:r>
      <w:r>
        <w:fldChar w:fldCharType="separate"/>
      </w:r>
      <w:r>
        <w:rPr>
          <w:rStyle w:val="49"/>
          <w:rFonts w:eastAsia="黑体"/>
          <w:sz w:val="32"/>
          <w:szCs w:val="32"/>
        </w:rPr>
        <w:t>二、“十四五”时期发展环境</w:t>
      </w:r>
      <w:r>
        <w:rPr>
          <w:sz w:val="32"/>
          <w:szCs w:val="32"/>
        </w:rPr>
        <w:tab/>
      </w:r>
      <w:r>
        <w:rPr>
          <w:sz w:val="32"/>
          <w:szCs w:val="32"/>
        </w:rPr>
        <w:fldChar w:fldCharType="begin" w:fldLock="1"/>
      </w:r>
      <w:r>
        <w:rPr>
          <w:sz w:val="32"/>
          <w:szCs w:val="32"/>
        </w:rPr>
        <w:instrText xml:space="preserve"> PAGEREF _Toc61644770 \h </w:instrText>
      </w:r>
      <w:r>
        <w:rPr>
          <w:sz w:val="32"/>
          <w:szCs w:val="32"/>
        </w:rPr>
        <w:fldChar w:fldCharType="separate"/>
      </w:r>
      <w:r>
        <w:rPr>
          <w:sz w:val="32"/>
          <w:szCs w:val="32"/>
        </w:rPr>
        <w:t>15</w:t>
      </w:r>
      <w:r>
        <w:rPr>
          <w:sz w:val="32"/>
          <w:szCs w:val="32"/>
        </w:rPr>
        <w:fldChar w:fldCharType="end"/>
      </w:r>
      <w:r>
        <w:rPr>
          <w:sz w:val="32"/>
          <w:szCs w:val="32"/>
        </w:rPr>
        <w:fldChar w:fldCharType="end"/>
      </w:r>
    </w:p>
    <w:p w14:paraId="3D10F0DC">
      <w:pPr>
        <w:pStyle w:val="27"/>
        <w:tabs>
          <w:tab w:val="right" w:leader="dot" w:pos="8828"/>
        </w:tabs>
        <w:spacing w:line="540" w:lineRule="exact"/>
        <w:ind w:firstLine="420"/>
        <w:rPr>
          <w:rFonts w:eastAsiaTheme="minorEastAsia"/>
          <w:b w:val="0"/>
          <w:sz w:val="32"/>
          <w:szCs w:val="32"/>
        </w:rPr>
      </w:pPr>
      <w:r>
        <w:fldChar w:fldCharType="begin"/>
      </w:r>
      <w:r>
        <w:instrText xml:space="preserve"> HYPERLINK \l "_Toc61644771" </w:instrText>
      </w:r>
      <w:r>
        <w:fldChar w:fldCharType="separate"/>
      </w:r>
      <w:r>
        <w:rPr>
          <w:rStyle w:val="49"/>
          <w:rFonts w:eastAsia="黑体"/>
          <w:b w:val="0"/>
          <w:sz w:val="32"/>
          <w:szCs w:val="32"/>
        </w:rPr>
        <w:t>第二章 指导方针与发展目标</w:t>
      </w:r>
      <w:r>
        <w:rPr>
          <w:b w:val="0"/>
          <w:sz w:val="32"/>
          <w:szCs w:val="32"/>
        </w:rPr>
        <w:tab/>
      </w:r>
      <w:r>
        <w:rPr>
          <w:b w:val="0"/>
          <w:sz w:val="32"/>
          <w:szCs w:val="32"/>
        </w:rPr>
        <w:fldChar w:fldCharType="begin" w:fldLock="1"/>
      </w:r>
      <w:r>
        <w:rPr>
          <w:b w:val="0"/>
          <w:sz w:val="32"/>
          <w:szCs w:val="32"/>
        </w:rPr>
        <w:instrText xml:space="preserve"> PAGEREF _Toc61644771 \h </w:instrText>
      </w:r>
      <w:r>
        <w:rPr>
          <w:b w:val="0"/>
          <w:sz w:val="32"/>
          <w:szCs w:val="32"/>
        </w:rPr>
        <w:fldChar w:fldCharType="separate"/>
      </w:r>
      <w:r>
        <w:rPr>
          <w:b w:val="0"/>
          <w:sz w:val="32"/>
          <w:szCs w:val="32"/>
        </w:rPr>
        <w:t>18</w:t>
      </w:r>
      <w:r>
        <w:rPr>
          <w:b w:val="0"/>
          <w:sz w:val="32"/>
          <w:szCs w:val="32"/>
        </w:rPr>
        <w:fldChar w:fldCharType="end"/>
      </w:r>
      <w:r>
        <w:rPr>
          <w:b w:val="0"/>
          <w:sz w:val="32"/>
          <w:szCs w:val="32"/>
        </w:rPr>
        <w:fldChar w:fldCharType="end"/>
      </w:r>
    </w:p>
    <w:p w14:paraId="1E752E4D">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"_Toc61644772" </w:instrText>
      </w:r>
      <w:r>
        <w:fldChar w:fldCharType="separate"/>
      </w:r>
      <w:r>
        <w:rPr>
          <w:rStyle w:val="49"/>
          <w:rFonts w:eastAsia="黑体"/>
          <w:sz w:val="32"/>
          <w:szCs w:val="32"/>
        </w:rPr>
        <w:t>一、指导思想</w:t>
      </w:r>
      <w:r>
        <w:rPr>
          <w:sz w:val="32"/>
          <w:szCs w:val="32"/>
        </w:rPr>
        <w:tab/>
      </w:r>
      <w:r>
        <w:rPr>
          <w:sz w:val="32"/>
          <w:szCs w:val="32"/>
        </w:rPr>
        <w:fldChar w:fldCharType="begin" w:fldLock="1"/>
      </w:r>
      <w:r>
        <w:rPr>
          <w:sz w:val="32"/>
          <w:szCs w:val="32"/>
        </w:rPr>
        <w:instrText xml:space="preserve"> PAGEREF _Toc61644772 \h </w:instrText>
      </w:r>
      <w:r>
        <w:rPr>
          <w:sz w:val="32"/>
          <w:szCs w:val="32"/>
        </w:rPr>
        <w:fldChar w:fldCharType="separate"/>
      </w:r>
      <w:r>
        <w:rPr>
          <w:sz w:val="32"/>
          <w:szCs w:val="32"/>
        </w:rPr>
        <w:t>18</w:t>
      </w:r>
      <w:r>
        <w:rPr>
          <w:sz w:val="32"/>
          <w:szCs w:val="32"/>
        </w:rPr>
        <w:fldChar w:fldCharType="end"/>
      </w:r>
      <w:r>
        <w:rPr>
          <w:sz w:val="32"/>
          <w:szCs w:val="32"/>
        </w:rPr>
        <w:fldChar w:fldCharType="end"/>
      </w:r>
    </w:p>
    <w:p w14:paraId="6F85B507">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"_Toc61644773" </w:instrText>
      </w:r>
      <w:r>
        <w:fldChar w:fldCharType="separate"/>
      </w:r>
      <w:r>
        <w:rPr>
          <w:rStyle w:val="49"/>
          <w:rFonts w:eastAsia="黑体"/>
          <w:snapToGrid w:val="0"/>
          <w:sz w:val="32"/>
          <w:szCs w:val="32"/>
        </w:rPr>
        <w:t>二、基本原则</w:t>
      </w:r>
      <w:r>
        <w:rPr>
          <w:sz w:val="32"/>
          <w:szCs w:val="32"/>
        </w:rPr>
        <w:tab/>
      </w:r>
      <w:r>
        <w:rPr>
          <w:sz w:val="32"/>
          <w:szCs w:val="32"/>
        </w:rPr>
        <w:fldChar w:fldCharType="begin" w:fldLock="1"/>
      </w:r>
      <w:r>
        <w:rPr>
          <w:sz w:val="32"/>
          <w:szCs w:val="32"/>
        </w:rPr>
        <w:instrText xml:space="preserve"> PAGEREF _Toc61644773 \h </w:instrText>
      </w:r>
      <w:r>
        <w:rPr>
          <w:sz w:val="32"/>
          <w:szCs w:val="32"/>
        </w:rPr>
        <w:fldChar w:fldCharType="separate"/>
      </w:r>
      <w:r>
        <w:rPr>
          <w:sz w:val="32"/>
          <w:szCs w:val="32"/>
        </w:rPr>
        <w:t>19</w:t>
      </w:r>
      <w:r>
        <w:rPr>
          <w:sz w:val="32"/>
          <w:szCs w:val="32"/>
        </w:rPr>
        <w:fldChar w:fldCharType="end"/>
      </w:r>
      <w:r>
        <w:rPr>
          <w:sz w:val="32"/>
          <w:szCs w:val="32"/>
        </w:rPr>
        <w:fldChar w:fldCharType="end"/>
      </w:r>
    </w:p>
    <w:p w14:paraId="06B468C0">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"_Toc61644774" </w:instrText>
      </w:r>
      <w:r>
        <w:fldChar w:fldCharType="separate"/>
      </w:r>
      <w:r>
        <w:rPr>
          <w:rStyle w:val="49"/>
          <w:rFonts w:eastAsia="黑体"/>
          <w:sz w:val="32"/>
          <w:szCs w:val="32"/>
        </w:rPr>
        <w:t>三、发展定位</w:t>
      </w:r>
      <w:r>
        <w:rPr>
          <w:sz w:val="32"/>
          <w:szCs w:val="32"/>
        </w:rPr>
        <w:tab/>
      </w:r>
      <w:r>
        <w:rPr>
          <w:sz w:val="32"/>
          <w:szCs w:val="32"/>
        </w:rPr>
        <w:fldChar w:fldCharType="begin" w:fldLock="1"/>
      </w:r>
      <w:r>
        <w:rPr>
          <w:sz w:val="32"/>
          <w:szCs w:val="32"/>
        </w:rPr>
        <w:instrText xml:space="preserve"> PAGEREF _Toc61644774 \h </w:instrText>
      </w:r>
      <w:r>
        <w:rPr>
          <w:sz w:val="32"/>
          <w:szCs w:val="32"/>
        </w:rPr>
        <w:fldChar w:fldCharType="separate"/>
      </w:r>
      <w:r>
        <w:rPr>
          <w:sz w:val="32"/>
          <w:szCs w:val="32"/>
        </w:rPr>
        <w:t>20</w:t>
      </w:r>
      <w:r>
        <w:rPr>
          <w:sz w:val="32"/>
          <w:szCs w:val="32"/>
        </w:rPr>
        <w:fldChar w:fldCharType="end"/>
      </w:r>
      <w:r>
        <w:rPr>
          <w:sz w:val="32"/>
          <w:szCs w:val="32"/>
        </w:rPr>
        <w:fldChar w:fldCharType="end"/>
      </w:r>
    </w:p>
    <w:p w14:paraId="0F8E0536">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"_Toc61644775" </w:instrText>
      </w:r>
      <w:r>
        <w:fldChar w:fldCharType="separate"/>
      </w:r>
      <w:r>
        <w:rPr>
          <w:rStyle w:val="49"/>
          <w:rFonts w:eastAsia="黑体"/>
          <w:sz w:val="32"/>
          <w:szCs w:val="32"/>
        </w:rPr>
        <w:t>四、</w:t>
      </w:r>
      <w:r>
        <w:rPr>
          <w:rStyle w:val="49"/>
          <w:rFonts w:eastAsia="黑体"/>
          <w:snapToGrid w:val="0"/>
          <w:sz w:val="32"/>
          <w:szCs w:val="32"/>
        </w:rPr>
        <w:t>二〇三五年</w:t>
      </w:r>
      <w:r>
        <w:rPr>
          <w:rStyle w:val="49"/>
          <w:rFonts w:eastAsia="黑体"/>
          <w:sz w:val="32"/>
          <w:szCs w:val="32"/>
        </w:rPr>
        <w:t>远景目标</w:t>
      </w:r>
      <w:r>
        <w:rPr>
          <w:sz w:val="32"/>
          <w:szCs w:val="32"/>
        </w:rPr>
        <w:tab/>
      </w:r>
      <w:r>
        <w:rPr>
          <w:sz w:val="32"/>
          <w:szCs w:val="32"/>
        </w:rPr>
        <w:fldChar w:fldCharType="begin" w:fldLock="1"/>
      </w:r>
      <w:r>
        <w:rPr>
          <w:sz w:val="32"/>
          <w:szCs w:val="32"/>
        </w:rPr>
        <w:instrText xml:space="preserve"> PAGEREF _Toc61644775 \h </w:instrText>
      </w:r>
      <w:r>
        <w:rPr>
          <w:sz w:val="32"/>
          <w:szCs w:val="32"/>
        </w:rPr>
        <w:fldChar w:fldCharType="separate"/>
      </w:r>
      <w:r>
        <w:rPr>
          <w:sz w:val="32"/>
          <w:szCs w:val="32"/>
        </w:rPr>
        <w:t>22</w:t>
      </w:r>
      <w:r>
        <w:rPr>
          <w:sz w:val="32"/>
          <w:szCs w:val="32"/>
        </w:rPr>
        <w:fldChar w:fldCharType="end"/>
      </w:r>
      <w:r>
        <w:rPr>
          <w:sz w:val="32"/>
          <w:szCs w:val="32"/>
        </w:rPr>
        <w:fldChar w:fldCharType="end"/>
      </w:r>
    </w:p>
    <w:p w14:paraId="1D178702">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"_Toc61644776" </w:instrText>
      </w:r>
      <w:r>
        <w:fldChar w:fldCharType="separate"/>
      </w:r>
      <w:r>
        <w:rPr>
          <w:rStyle w:val="49"/>
          <w:rFonts w:eastAsia="黑体"/>
          <w:sz w:val="32"/>
          <w:szCs w:val="32"/>
        </w:rPr>
        <w:t>五、“十四五”发展目标</w:t>
      </w:r>
      <w:r>
        <w:rPr>
          <w:sz w:val="32"/>
          <w:szCs w:val="32"/>
        </w:rPr>
        <w:tab/>
      </w:r>
      <w:r>
        <w:rPr>
          <w:sz w:val="32"/>
          <w:szCs w:val="32"/>
        </w:rPr>
        <w:fldChar w:fldCharType="begin" w:fldLock="1"/>
      </w:r>
      <w:r>
        <w:rPr>
          <w:sz w:val="32"/>
          <w:szCs w:val="32"/>
        </w:rPr>
        <w:instrText xml:space="preserve"> PAGEREF _Toc61644776 \h </w:instrText>
      </w:r>
      <w:r>
        <w:rPr>
          <w:sz w:val="32"/>
          <w:szCs w:val="32"/>
        </w:rPr>
        <w:fldChar w:fldCharType="separate"/>
      </w:r>
      <w:r>
        <w:rPr>
          <w:sz w:val="32"/>
          <w:szCs w:val="32"/>
        </w:rPr>
        <w:t>22</w:t>
      </w:r>
      <w:r>
        <w:rPr>
          <w:sz w:val="32"/>
          <w:szCs w:val="32"/>
        </w:rPr>
        <w:fldChar w:fldCharType="end"/>
      </w:r>
      <w:r>
        <w:rPr>
          <w:sz w:val="32"/>
          <w:szCs w:val="32"/>
        </w:rPr>
        <w:fldChar w:fldCharType="end"/>
      </w:r>
    </w:p>
    <w:p w14:paraId="436DBD3C">
      <w:pPr>
        <w:pStyle w:val="27"/>
        <w:tabs>
          <w:tab w:val="right" w:leader="dot" w:pos="8828"/>
        </w:tabs>
        <w:spacing w:line="540" w:lineRule="exact"/>
        <w:ind w:firstLine="420"/>
        <w:rPr>
          <w:rFonts w:eastAsiaTheme="minorEastAsia"/>
          <w:b w:val="0"/>
          <w:sz w:val="32"/>
          <w:szCs w:val="32"/>
        </w:rPr>
      </w:pPr>
      <w:r>
        <w:fldChar w:fldCharType="begin"/>
      </w:r>
      <w:r>
        <w:instrText xml:space="preserve"> HYPERLINK \l "_Toc61644777" </w:instrText>
      </w:r>
      <w:r>
        <w:fldChar w:fldCharType="separate"/>
      </w:r>
      <w:r>
        <w:rPr>
          <w:rStyle w:val="49"/>
          <w:rFonts w:eastAsia="黑体"/>
          <w:b w:val="0"/>
          <w:sz w:val="32"/>
          <w:szCs w:val="32"/>
        </w:rPr>
        <w:t>第三章 融入重大战略，形成新发展格局</w:t>
      </w:r>
      <w:r>
        <w:rPr>
          <w:b w:val="0"/>
          <w:sz w:val="32"/>
          <w:szCs w:val="32"/>
        </w:rPr>
        <w:tab/>
      </w:r>
      <w:r>
        <w:rPr>
          <w:b w:val="0"/>
          <w:sz w:val="32"/>
          <w:szCs w:val="32"/>
        </w:rPr>
        <w:fldChar w:fldCharType="begin" w:fldLock="1"/>
      </w:r>
      <w:r>
        <w:rPr>
          <w:b w:val="0"/>
          <w:sz w:val="32"/>
          <w:szCs w:val="32"/>
        </w:rPr>
        <w:instrText xml:space="preserve"> PAGEREF _Toc61644777 \h </w:instrText>
      </w:r>
      <w:r>
        <w:rPr>
          <w:b w:val="0"/>
          <w:sz w:val="32"/>
          <w:szCs w:val="32"/>
        </w:rPr>
        <w:fldChar w:fldCharType="separate"/>
      </w:r>
      <w:r>
        <w:rPr>
          <w:b w:val="0"/>
          <w:sz w:val="32"/>
          <w:szCs w:val="32"/>
        </w:rPr>
        <w:t>26</w:t>
      </w:r>
      <w:r>
        <w:rPr>
          <w:b w:val="0"/>
          <w:sz w:val="32"/>
          <w:szCs w:val="32"/>
        </w:rPr>
        <w:fldChar w:fldCharType="end"/>
      </w:r>
      <w:r>
        <w:rPr>
          <w:b w:val="0"/>
          <w:sz w:val="32"/>
          <w:szCs w:val="32"/>
        </w:rPr>
        <w:fldChar w:fldCharType="end"/>
      </w:r>
    </w:p>
    <w:p w14:paraId="37ADD997">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"_Toc61644778" </w:instrText>
      </w:r>
      <w:r>
        <w:fldChar w:fldCharType="separate"/>
      </w:r>
      <w:r>
        <w:rPr>
          <w:rStyle w:val="49"/>
          <w:rFonts w:eastAsia="黑体"/>
          <w:sz w:val="32"/>
          <w:szCs w:val="32"/>
        </w:rPr>
        <w:t>一、融入国内国际双循环战略，持续扩大消费和投资</w:t>
      </w:r>
      <w:r>
        <w:rPr>
          <w:sz w:val="32"/>
          <w:szCs w:val="32"/>
        </w:rPr>
        <w:tab/>
      </w:r>
      <w:r>
        <w:rPr>
          <w:sz w:val="32"/>
          <w:szCs w:val="32"/>
        </w:rPr>
        <w:fldChar w:fldCharType="begin" w:fldLock="1"/>
      </w:r>
      <w:r>
        <w:rPr>
          <w:sz w:val="32"/>
          <w:szCs w:val="32"/>
        </w:rPr>
        <w:instrText xml:space="preserve"> PAGEREF _Toc61644778 \h </w:instrText>
      </w:r>
      <w:r>
        <w:rPr>
          <w:sz w:val="32"/>
          <w:szCs w:val="32"/>
        </w:rPr>
        <w:fldChar w:fldCharType="separate"/>
      </w:r>
      <w:r>
        <w:rPr>
          <w:sz w:val="32"/>
          <w:szCs w:val="32"/>
        </w:rPr>
        <w:t>26</w:t>
      </w:r>
      <w:r>
        <w:rPr>
          <w:sz w:val="32"/>
          <w:szCs w:val="32"/>
        </w:rPr>
        <w:fldChar w:fldCharType="end"/>
      </w:r>
      <w:r>
        <w:rPr>
          <w:sz w:val="32"/>
          <w:szCs w:val="32"/>
        </w:rPr>
        <w:fldChar w:fldCharType="end"/>
      </w:r>
    </w:p>
    <w:p w14:paraId="142B02D5">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"_Toc61644779" </w:instrText>
      </w:r>
      <w:r>
        <w:fldChar w:fldCharType="separate"/>
      </w:r>
      <w:r>
        <w:rPr>
          <w:rStyle w:val="49"/>
          <w:rFonts w:eastAsia="黑体"/>
          <w:sz w:val="32"/>
          <w:szCs w:val="32"/>
        </w:rPr>
        <w:t>二、围绕云南省“辐射中心”目标，强化“六中枢”功能</w:t>
      </w:r>
      <w:r>
        <w:rPr>
          <w:sz w:val="32"/>
          <w:szCs w:val="32"/>
        </w:rPr>
        <w:tab/>
      </w:r>
      <w:r>
        <w:rPr>
          <w:sz w:val="32"/>
          <w:szCs w:val="32"/>
        </w:rPr>
        <w:fldChar w:fldCharType="begin" w:fldLock="1"/>
      </w:r>
      <w:r>
        <w:rPr>
          <w:sz w:val="32"/>
          <w:szCs w:val="32"/>
        </w:rPr>
        <w:instrText xml:space="preserve"> PAGEREF _Toc61644779 \h </w:instrText>
      </w:r>
      <w:r>
        <w:rPr>
          <w:sz w:val="32"/>
          <w:szCs w:val="32"/>
        </w:rPr>
        <w:fldChar w:fldCharType="separate"/>
      </w:r>
      <w:r>
        <w:rPr>
          <w:sz w:val="32"/>
          <w:szCs w:val="32"/>
        </w:rPr>
        <w:t>29</w:t>
      </w:r>
      <w:r>
        <w:rPr>
          <w:sz w:val="32"/>
          <w:szCs w:val="32"/>
        </w:rPr>
        <w:fldChar w:fldCharType="end"/>
      </w:r>
      <w:r>
        <w:rPr>
          <w:sz w:val="32"/>
          <w:szCs w:val="32"/>
        </w:rPr>
        <w:fldChar w:fldCharType="end"/>
      </w:r>
    </w:p>
    <w:p w14:paraId="4618AAAC">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"_Toc61644780" </w:instrText>
      </w:r>
      <w:r>
        <w:fldChar w:fldCharType="separate"/>
      </w:r>
      <w:r>
        <w:rPr>
          <w:rStyle w:val="49"/>
          <w:rFonts w:eastAsia="黑体"/>
          <w:sz w:val="32"/>
          <w:szCs w:val="32"/>
        </w:rPr>
        <w:t>三、融入昆明“区域性中心城市”进程，推进“六能力”提升</w:t>
      </w:r>
      <w:r>
        <w:rPr>
          <w:sz w:val="32"/>
          <w:szCs w:val="32"/>
        </w:rPr>
        <w:tab/>
      </w:r>
      <w:r>
        <w:rPr>
          <w:sz w:val="32"/>
          <w:szCs w:val="32"/>
        </w:rPr>
        <w:fldChar w:fldCharType="begin" w:fldLock="1"/>
      </w:r>
      <w:r>
        <w:rPr>
          <w:sz w:val="32"/>
          <w:szCs w:val="32"/>
        </w:rPr>
        <w:instrText xml:space="preserve"> PAGEREF _Toc61644780 \h </w:instrText>
      </w:r>
      <w:r>
        <w:rPr>
          <w:sz w:val="32"/>
          <w:szCs w:val="32"/>
        </w:rPr>
        <w:fldChar w:fldCharType="separate"/>
      </w:r>
      <w:r>
        <w:rPr>
          <w:sz w:val="32"/>
          <w:szCs w:val="32"/>
        </w:rPr>
        <w:t>29</w:t>
      </w:r>
      <w:r>
        <w:rPr>
          <w:sz w:val="32"/>
          <w:szCs w:val="32"/>
        </w:rPr>
        <w:fldChar w:fldCharType="end"/>
      </w:r>
      <w:r>
        <w:rPr>
          <w:sz w:val="32"/>
          <w:szCs w:val="32"/>
        </w:rPr>
        <w:fldChar w:fldCharType="end"/>
      </w:r>
    </w:p>
    <w:p w14:paraId="6F5ADE1C">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"_Toc61644781" </w:instrText>
      </w:r>
      <w:r>
        <w:fldChar w:fldCharType="separate"/>
      </w:r>
      <w:r>
        <w:rPr>
          <w:rStyle w:val="49"/>
          <w:rFonts w:eastAsia="黑体"/>
          <w:sz w:val="32"/>
          <w:szCs w:val="32"/>
        </w:rPr>
        <w:t>四、推动西山“中枢门户区”建设，加快“六名片”打造</w:t>
      </w:r>
      <w:r>
        <w:rPr>
          <w:sz w:val="32"/>
          <w:szCs w:val="32"/>
        </w:rPr>
        <w:tab/>
      </w:r>
      <w:r>
        <w:rPr>
          <w:sz w:val="32"/>
          <w:szCs w:val="32"/>
        </w:rPr>
        <w:fldChar w:fldCharType="begin" w:fldLock="1"/>
      </w:r>
      <w:r>
        <w:rPr>
          <w:sz w:val="32"/>
          <w:szCs w:val="32"/>
        </w:rPr>
        <w:instrText xml:space="preserve"> PAGEREF _Toc61644781 \h </w:instrText>
      </w:r>
      <w:r>
        <w:rPr>
          <w:sz w:val="32"/>
          <w:szCs w:val="32"/>
        </w:rPr>
        <w:fldChar w:fldCharType="separate"/>
      </w:r>
      <w:r>
        <w:rPr>
          <w:sz w:val="32"/>
          <w:szCs w:val="32"/>
        </w:rPr>
        <w:t>30</w:t>
      </w:r>
      <w:r>
        <w:rPr>
          <w:sz w:val="32"/>
          <w:szCs w:val="32"/>
        </w:rPr>
        <w:fldChar w:fldCharType="end"/>
      </w:r>
      <w:r>
        <w:rPr>
          <w:sz w:val="32"/>
          <w:szCs w:val="32"/>
        </w:rPr>
        <w:fldChar w:fldCharType="end"/>
      </w:r>
    </w:p>
    <w:p w14:paraId="17148827">
      <w:pPr>
        <w:pStyle w:val="27"/>
        <w:tabs>
          <w:tab w:val="right" w:leader="dot" w:pos="8828"/>
        </w:tabs>
        <w:spacing w:line="540" w:lineRule="exact"/>
        <w:ind w:firstLine="420"/>
        <w:rPr>
          <w:rFonts w:eastAsiaTheme="minorEastAsia"/>
          <w:b w:val="0"/>
          <w:sz w:val="32"/>
          <w:szCs w:val="32"/>
        </w:rPr>
      </w:pPr>
      <w:r>
        <w:fldChar w:fldCharType="begin"/>
      </w:r>
      <w:r>
        <w:instrText xml:space="preserve"> HYPERLINK \l "_Toc61644782" </w:instrText>
      </w:r>
      <w:r>
        <w:fldChar w:fldCharType="separate"/>
      </w:r>
      <w:r>
        <w:rPr>
          <w:rStyle w:val="49"/>
          <w:rFonts w:eastAsia="黑体"/>
          <w:b w:val="0"/>
          <w:sz w:val="32"/>
          <w:szCs w:val="32"/>
        </w:rPr>
        <w:t>第四章 深化改革创新开放，激发新发展活力</w:t>
      </w:r>
      <w:r>
        <w:rPr>
          <w:b w:val="0"/>
          <w:sz w:val="32"/>
          <w:szCs w:val="32"/>
        </w:rPr>
        <w:tab/>
      </w:r>
      <w:r>
        <w:rPr>
          <w:b w:val="0"/>
          <w:sz w:val="32"/>
          <w:szCs w:val="32"/>
        </w:rPr>
        <w:fldChar w:fldCharType="begin" w:fldLock="1"/>
      </w:r>
      <w:r>
        <w:rPr>
          <w:b w:val="0"/>
          <w:sz w:val="32"/>
          <w:szCs w:val="32"/>
        </w:rPr>
        <w:instrText xml:space="preserve"> PAGEREF _Toc61644782 \h </w:instrText>
      </w:r>
      <w:r>
        <w:rPr>
          <w:b w:val="0"/>
          <w:sz w:val="32"/>
          <w:szCs w:val="32"/>
        </w:rPr>
        <w:fldChar w:fldCharType="separate"/>
      </w:r>
      <w:r>
        <w:rPr>
          <w:b w:val="0"/>
          <w:sz w:val="32"/>
          <w:szCs w:val="32"/>
        </w:rPr>
        <w:t>31</w:t>
      </w:r>
      <w:r>
        <w:rPr>
          <w:b w:val="0"/>
          <w:sz w:val="32"/>
          <w:szCs w:val="32"/>
        </w:rPr>
        <w:fldChar w:fldCharType="end"/>
      </w:r>
      <w:r>
        <w:rPr>
          <w:b w:val="0"/>
          <w:sz w:val="32"/>
          <w:szCs w:val="32"/>
        </w:rPr>
        <w:fldChar w:fldCharType="end"/>
      </w:r>
    </w:p>
    <w:p w14:paraId="11A5CE14">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"_Toc61644783" </w:instrText>
      </w:r>
      <w:r>
        <w:fldChar w:fldCharType="separate"/>
      </w:r>
      <w:r>
        <w:rPr>
          <w:rStyle w:val="49"/>
          <w:rFonts w:eastAsia="黑体"/>
          <w:sz w:val="32"/>
          <w:szCs w:val="32"/>
        </w:rPr>
        <w:t>一、深入实施创新驱动战略</w:t>
      </w:r>
      <w:r>
        <w:rPr>
          <w:sz w:val="32"/>
          <w:szCs w:val="32"/>
        </w:rPr>
        <w:tab/>
      </w:r>
      <w:r>
        <w:rPr>
          <w:sz w:val="32"/>
          <w:szCs w:val="32"/>
        </w:rPr>
        <w:fldChar w:fldCharType="begin" w:fldLock="1"/>
      </w:r>
      <w:r>
        <w:rPr>
          <w:sz w:val="32"/>
          <w:szCs w:val="32"/>
        </w:rPr>
        <w:instrText xml:space="preserve"> PAGEREF _Toc61644783 \h </w:instrText>
      </w:r>
      <w:r>
        <w:rPr>
          <w:sz w:val="32"/>
          <w:szCs w:val="32"/>
        </w:rPr>
        <w:fldChar w:fldCharType="separate"/>
      </w:r>
      <w:r>
        <w:rPr>
          <w:sz w:val="32"/>
          <w:szCs w:val="32"/>
        </w:rPr>
        <w:t>31</w:t>
      </w:r>
      <w:r>
        <w:rPr>
          <w:sz w:val="32"/>
          <w:szCs w:val="32"/>
        </w:rPr>
        <w:fldChar w:fldCharType="end"/>
      </w:r>
      <w:r>
        <w:rPr>
          <w:sz w:val="32"/>
          <w:szCs w:val="32"/>
        </w:rPr>
        <w:fldChar w:fldCharType="end"/>
      </w:r>
    </w:p>
    <w:p w14:paraId="5FE524C2">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"_Toc61644784" </w:instrText>
      </w:r>
      <w:r>
        <w:fldChar w:fldCharType="separate"/>
      </w:r>
      <w:r>
        <w:rPr>
          <w:rStyle w:val="49"/>
          <w:rFonts w:eastAsia="黑体"/>
          <w:sz w:val="32"/>
          <w:szCs w:val="32"/>
        </w:rPr>
        <w:t>二、全面激发人才创新活力</w:t>
      </w:r>
      <w:r>
        <w:rPr>
          <w:sz w:val="32"/>
          <w:szCs w:val="32"/>
        </w:rPr>
        <w:tab/>
      </w:r>
      <w:r>
        <w:rPr>
          <w:sz w:val="32"/>
          <w:szCs w:val="32"/>
        </w:rPr>
        <w:fldChar w:fldCharType="begin" w:fldLock="1"/>
      </w:r>
      <w:r>
        <w:rPr>
          <w:sz w:val="32"/>
          <w:szCs w:val="32"/>
        </w:rPr>
        <w:instrText xml:space="preserve"> PAGEREF _Toc61644784 \h </w:instrText>
      </w:r>
      <w:r>
        <w:rPr>
          <w:sz w:val="32"/>
          <w:szCs w:val="32"/>
        </w:rPr>
        <w:fldChar w:fldCharType="separate"/>
      </w:r>
      <w:r>
        <w:rPr>
          <w:sz w:val="32"/>
          <w:szCs w:val="32"/>
        </w:rPr>
        <w:t>33</w:t>
      </w:r>
      <w:r>
        <w:rPr>
          <w:sz w:val="32"/>
          <w:szCs w:val="32"/>
        </w:rPr>
        <w:fldChar w:fldCharType="end"/>
      </w:r>
      <w:r>
        <w:rPr>
          <w:sz w:val="32"/>
          <w:szCs w:val="32"/>
        </w:rPr>
        <w:fldChar w:fldCharType="end"/>
      </w:r>
    </w:p>
    <w:p w14:paraId="3A142590">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"_Toc61644785" </w:instrText>
      </w:r>
      <w:r>
        <w:fldChar w:fldCharType="separate"/>
      </w:r>
      <w:r>
        <w:rPr>
          <w:rStyle w:val="49"/>
          <w:rFonts w:eastAsia="黑体"/>
          <w:sz w:val="32"/>
          <w:szCs w:val="32"/>
        </w:rPr>
        <w:t>三、扎实推进各项改革事业</w:t>
      </w:r>
      <w:r>
        <w:rPr>
          <w:sz w:val="32"/>
          <w:szCs w:val="32"/>
        </w:rPr>
        <w:tab/>
      </w:r>
      <w:r>
        <w:rPr>
          <w:sz w:val="32"/>
          <w:szCs w:val="32"/>
        </w:rPr>
        <w:fldChar w:fldCharType="begin" w:fldLock="1"/>
      </w:r>
      <w:r>
        <w:rPr>
          <w:sz w:val="32"/>
          <w:szCs w:val="32"/>
        </w:rPr>
        <w:instrText xml:space="preserve"> PAGEREF _Toc61644785 \h </w:instrText>
      </w:r>
      <w:r>
        <w:rPr>
          <w:sz w:val="32"/>
          <w:szCs w:val="32"/>
        </w:rPr>
        <w:fldChar w:fldCharType="separate"/>
      </w:r>
      <w:r>
        <w:rPr>
          <w:sz w:val="32"/>
          <w:szCs w:val="32"/>
        </w:rPr>
        <w:t>34</w:t>
      </w:r>
      <w:r>
        <w:rPr>
          <w:sz w:val="32"/>
          <w:szCs w:val="32"/>
        </w:rPr>
        <w:fldChar w:fldCharType="end"/>
      </w:r>
      <w:r>
        <w:rPr>
          <w:sz w:val="32"/>
          <w:szCs w:val="32"/>
        </w:rPr>
        <w:fldChar w:fldCharType="end"/>
      </w:r>
    </w:p>
    <w:p w14:paraId="5707088B">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"_Toc61644786" </w:instrText>
      </w:r>
      <w:r>
        <w:fldChar w:fldCharType="separate"/>
      </w:r>
      <w:r>
        <w:rPr>
          <w:rStyle w:val="49"/>
          <w:rFonts w:eastAsia="黑体"/>
          <w:sz w:val="32"/>
          <w:szCs w:val="32"/>
        </w:rPr>
        <w:t>四、全力营造一流营商环境</w:t>
      </w:r>
      <w:r>
        <w:rPr>
          <w:sz w:val="32"/>
          <w:szCs w:val="32"/>
        </w:rPr>
        <w:tab/>
      </w:r>
      <w:r>
        <w:rPr>
          <w:sz w:val="32"/>
          <w:szCs w:val="32"/>
        </w:rPr>
        <w:fldChar w:fldCharType="begin" w:fldLock="1"/>
      </w:r>
      <w:r>
        <w:rPr>
          <w:sz w:val="32"/>
          <w:szCs w:val="32"/>
        </w:rPr>
        <w:instrText xml:space="preserve"> PAGEREF _Toc61644786 \h </w:instrText>
      </w:r>
      <w:r>
        <w:rPr>
          <w:sz w:val="32"/>
          <w:szCs w:val="32"/>
        </w:rPr>
        <w:fldChar w:fldCharType="separate"/>
      </w:r>
      <w:r>
        <w:rPr>
          <w:sz w:val="32"/>
          <w:szCs w:val="32"/>
        </w:rPr>
        <w:t>36</w:t>
      </w:r>
      <w:r>
        <w:rPr>
          <w:sz w:val="32"/>
          <w:szCs w:val="32"/>
        </w:rPr>
        <w:fldChar w:fldCharType="end"/>
      </w:r>
      <w:r>
        <w:rPr>
          <w:sz w:val="32"/>
          <w:szCs w:val="32"/>
        </w:rPr>
        <w:fldChar w:fldCharType="end"/>
      </w:r>
    </w:p>
    <w:p w14:paraId="45A0DB7E">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"_Toc61644787" </w:instrText>
      </w:r>
      <w:r>
        <w:fldChar w:fldCharType="separate"/>
      </w:r>
      <w:r>
        <w:rPr>
          <w:rStyle w:val="49"/>
          <w:rFonts w:eastAsia="黑体"/>
          <w:sz w:val="32"/>
          <w:szCs w:val="32"/>
        </w:rPr>
        <w:t>五、全面扩大对内对外开放</w:t>
      </w:r>
      <w:r>
        <w:rPr>
          <w:sz w:val="32"/>
          <w:szCs w:val="32"/>
        </w:rPr>
        <w:tab/>
      </w:r>
      <w:r>
        <w:rPr>
          <w:sz w:val="32"/>
          <w:szCs w:val="32"/>
        </w:rPr>
        <w:fldChar w:fldCharType="begin" w:fldLock="1"/>
      </w:r>
      <w:r>
        <w:rPr>
          <w:sz w:val="32"/>
          <w:szCs w:val="32"/>
        </w:rPr>
        <w:instrText xml:space="preserve"> PAGEREF _Toc61644787 \h </w:instrText>
      </w:r>
      <w:r>
        <w:rPr>
          <w:sz w:val="32"/>
          <w:szCs w:val="32"/>
        </w:rPr>
        <w:fldChar w:fldCharType="separate"/>
      </w:r>
      <w:r>
        <w:rPr>
          <w:sz w:val="32"/>
          <w:szCs w:val="32"/>
        </w:rPr>
        <w:t>39</w:t>
      </w:r>
      <w:r>
        <w:rPr>
          <w:sz w:val="32"/>
          <w:szCs w:val="32"/>
        </w:rPr>
        <w:fldChar w:fldCharType="end"/>
      </w:r>
      <w:r>
        <w:rPr>
          <w:sz w:val="32"/>
          <w:szCs w:val="32"/>
        </w:rPr>
        <w:fldChar w:fldCharType="end"/>
      </w:r>
    </w:p>
    <w:p w14:paraId="47864645">
      <w:pPr>
        <w:pStyle w:val="27"/>
        <w:tabs>
          <w:tab w:val="right" w:leader="dot" w:pos="8828"/>
        </w:tabs>
        <w:spacing w:line="540" w:lineRule="exact"/>
        <w:ind w:firstLine="420"/>
        <w:rPr>
          <w:rFonts w:eastAsiaTheme="minorEastAsia"/>
          <w:b w:val="0"/>
          <w:sz w:val="32"/>
          <w:szCs w:val="32"/>
        </w:rPr>
      </w:pPr>
      <w:r>
        <w:fldChar w:fldCharType="begin"/>
      </w:r>
      <w:r>
        <w:instrText xml:space="preserve"> HYPERLINK \l "_Toc61644788" </w:instrText>
      </w:r>
      <w:r>
        <w:fldChar w:fldCharType="separate"/>
      </w:r>
      <w:r>
        <w:rPr>
          <w:rStyle w:val="49"/>
          <w:rFonts w:eastAsia="黑体"/>
          <w:b w:val="0"/>
          <w:sz w:val="32"/>
          <w:szCs w:val="32"/>
        </w:rPr>
        <w:t>第五章 构建“4×3”现代产业体系，强化新发展动能</w:t>
      </w:r>
      <w:r>
        <w:rPr>
          <w:b w:val="0"/>
          <w:sz w:val="32"/>
          <w:szCs w:val="32"/>
        </w:rPr>
        <w:tab/>
      </w:r>
      <w:r>
        <w:rPr>
          <w:b w:val="0"/>
          <w:sz w:val="32"/>
          <w:szCs w:val="32"/>
        </w:rPr>
        <w:fldChar w:fldCharType="begin" w:fldLock="1"/>
      </w:r>
      <w:r>
        <w:rPr>
          <w:b w:val="0"/>
          <w:sz w:val="32"/>
          <w:szCs w:val="32"/>
        </w:rPr>
        <w:instrText xml:space="preserve"> PAGEREF _Toc61644788 \h </w:instrText>
      </w:r>
      <w:r>
        <w:rPr>
          <w:b w:val="0"/>
          <w:sz w:val="32"/>
          <w:szCs w:val="32"/>
        </w:rPr>
        <w:fldChar w:fldCharType="separate"/>
      </w:r>
      <w:r>
        <w:rPr>
          <w:b w:val="0"/>
          <w:sz w:val="32"/>
          <w:szCs w:val="32"/>
        </w:rPr>
        <w:t>40</w:t>
      </w:r>
      <w:r>
        <w:rPr>
          <w:b w:val="0"/>
          <w:sz w:val="32"/>
          <w:szCs w:val="32"/>
        </w:rPr>
        <w:fldChar w:fldCharType="end"/>
      </w:r>
      <w:r>
        <w:rPr>
          <w:b w:val="0"/>
          <w:sz w:val="32"/>
          <w:szCs w:val="32"/>
        </w:rPr>
        <w:fldChar w:fldCharType="end"/>
      </w:r>
    </w:p>
    <w:p w14:paraId="737C8B57">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"_Toc61644789" </w:instrText>
      </w:r>
      <w:r>
        <w:fldChar w:fldCharType="separate"/>
      </w:r>
      <w:r>
        <w:rPr>
          <w:rStyle w:val="49"/>
          <w:rFonts w:eastAsia="黑体"/>
          <w:sz w:val="32"/>
          <w:szCs w:val="32"/>
        </w:rPr>
        <w:t>一、做强三个主导产业</w:t>
      </w:r>
      <w:r>
        <w:rPr>
          <w:sz w:val="32"/>
          <w:szCs w:val="32"/>
        </w:rPr>
        <w:tab/>
      </w:r>
      <w:r>
        <w:rPr>
          <w:sz w:val="32"/>
          <w:szCs w:val="32"/>
        </w:rPr>
        <w:fldChar w:fldCharType="begin" w:fldLock="1"/>
      </w:r>
      <w:r>
        <w:rPr>
          <w:sz w:val="32"/>
          <w:szCs w:val="32"/>
        </w:rPr>
        <w:instrText xml:space="preserve"> PAGEREF _Toc61644789 \h </w:instrText>
      </w:r>
      <w:r>
        <w:rPr>
          <w:sz w:val="32"/>
          <w:szCs w:val="32"/>
        </w:rPr>
        <w:fldChar w:fldCharType="separate"/>
      </w:r>
      <w:r>
        <w:rPr>
          <w:sz w:val="32"/>
          <w:szCs w:val="32"/>
        </w:rPr>
        <w:t>41</w:t>
      </w:r>
      <w:r>
        <w:rPr>
          <w:sz w:val="32"/>
          <w:szCs w:val="32"/>
        </w:rPr>
        <w:fldChar w:fldCharType="end"/>
      </w:r>
      <w:r>
        <w:rPr>
          <w:sz w:val="32"/>
          <w:szCs w:val="32"/>
        </w:rPr>
        <w:fldChar w:fldCharType="end"/>
      </w:r>
    </w:p>
    <w:p w14:paraId="35183A56">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"_Toc61644790" </w:instrText>
      </w:r>
      <w:r>
        <w:fldChar w:fldCharType="separate"/>
      </w:r>
      <w:r>
        <w:rPr>
          <w:rStyle w:val="49"/>
          <w:rFonts w:eastAsia="黑体"/>
          <w:sz w:val="32"/>
          <w:szCs w:val="32"/>
        </w:rPr>
        <w:t>二、做优三个基础产业</w:t>
      </w:r>
      <w:r>
        <w:rPr>
          <w:sz w:val="32"/>
          <w:szCs w:val="32"/>
        </w:rPr>
        <w:tab/>
      </w:r>
      <w:r>
        <w:rPr>
          <w:sz w:val="32"/>
          <w:szCs w:val="32"/>
        </w:rPr>
        <w:fldChar w:fldCharType="begin" w:fldLock="1"/>
      </w:r>
      <w:r>
        <w:rPr>
          <w:sz w:val="32"/>
          <w:szCs w:val="32"/>
        </w:rPr>
        <w:instrText xml:space="preserve"> PAGEREF _Toc61644790 \h </w:instrText>
      </w:r>
      <w:r>
        <w:rPr>
          <w:sz w:val="32"/>
          <w:szCs w:val="32"/>
        </w:rPr>
        <w:fldChar w:fldCharType="separate"/>
      </w:r>
      <w:r>
        <w:rPr>
          <w:sz w:val="32"/>
          <w:szCs w:val="32"/>
        </w:rPr>
        <w:t>45</w:t>
      </w:r>
      <w:r>
        <w:rPr>
          <w:sz w:val="32"/>
          <w:szCs w:val="32"/>
        </w:rPr>
        <w:fldChar w:fldCharType="end"/>
      </w:r>
      <w:r>
        <w:rPr>
          <w:sz w:val="32"/>
          <w:szCs w:val="32"/>
        </w:rPr>
        <w:fldChar w:fldCharType="end"/>
      </w:r>
    </w:p>
    <w:p w14:paraId="6640FF1A">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"_Toc61644791" </w:instrText>
      </w:r>
      <w:r>
        <w:fldChar w:fldCharType="separate"/>
      </w:r>
      <w:r>
        <w:rPr>
          <w:rStyle w:val="49"/>
          <w:rFonts w:eastAsia="黑体"/>
          <w:sz w:val="32"/>
          <w:szCs w:val="32"/>
        </w:rPr>
        <w:t>三、做大三个配套产业</w:t>
      </w:r>
      <w:r>
        <w:rPr>
          <w:sz w:val="32"/>
          <w:szCs w:val="32"/>
        </w:rPr>
        <w:tab/>
      </w:r>
      <w:r>
        <w:rPr>
          <w:sz w:val="32"/>
          <w:szCs w:val="32"/>
        </w:rPr>
        <w:fldChar w:fldCharType="begin" w:fldLock="1"/>
      </w:r>
      <w:r>
        <w:rPr>
          <w:sz w:val="32"/>
          <w:szCs w:val="32"/>
        </w:rPr>
        <w:instrText xml:space="preserve"> PAGEREF _Toc61644791 \h </w:instrText>
      </w:r>
      <w:r>
        <w:rPr>
          <w:sz w:val="32"/>
          <w:szCs w:val="32"/>
        </w:rPr>
        <w:fldChar w:fldCharType="separate"/>
      </w:r>
      <w:r>
        <w:rPr>
          <w:sz w:val="32"/>
          <w:szCs w:val="32"/>
        </w:rPr>
        <w:t>48</w:t>
      </w:r>
      <w:r>
        <w:rPr>
          <w:sz w:val="32"/>
          <w:szCs w:val="32"/>
        </w:rPr>
        <w:fldChar w:fldCharType="end"/>
      </w:r>
      <w:r>
        <w:rPr>
          <w:sz w:val="32"/>
          <w:szCs w:val="32"/>
        </w:rPr>
        <w:fldChar w:fldCharType="end"/>
      </w:r>
    </w:p>
    <w:p w14:paraId="4674C1E5">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"_Toc61644792" </w:instrText>
      </w:r>
      <w:r>
        <w:fldChar w:fldCharType="separate"/>
      </w:r>
      <w:r>
        <w:rPr>
          <w:rStyle w:val="49"/>
          <w:rFonts w:eastAsia="黑体"/>
          <w:sz w:val="32"/>
          <w:szCs w:val="32"/>
        </w:rPr>
        <w:t>四、做活三个机会产业</w:t>
      </w:r>
      <w:r>
        <w:rPr>
          <w:sz w:val="32"/>
          <w:szCs w:val="32"/>
        </w:rPr>
        <w:tab/>
      </w:r>
      <w:r>
        <w:rPr>
          <w:sz w:val="32"/>
          <w:szCs w:val="32"/>
        </w:rPr>
        <w:fldChar w:fldCharType="begin" w:fldLock="1"/>
      </w:r>
      <w:r>
        <w:rPr>
          <w:sz w:val="32"/>
          <w:szCs w:val="32"/>
        </w:rPr>
        <w:instrText xml:space="preserve"> PAGEREF _Toc61644792 \h </w:instrText>
      </w:r>
      <w:r>
        <w:rPr>
          <w:sz w:val="32"/>
          <w:szCs w:val="32"/>
        </w:rPr>
        <w:fldChar w:fldCharType="separate"/>
      </w:r>
      <w:r>
        <w:rPr>
          <w:sz w:val="32"/>
          <w:szCs w:val="32"/>
        </w:rPr>
        <w:t>53</w:t>
      </w:r>
      <w:r>
        <w:rPr>
          <w:sz w:val="32"/>
          <w:szCs w:val="32"/>
        </w:rPr>
        <w:fldChar w:fldCharType="end"/>
      </w:r>
      <w:r>
        <w:rPr>
          <w:sz w:val="32"/>
          <w:szCs w:val="32"/>
        </w:rPr>
        <w:fldChar w:fldCharType="end"/>
      </w:r>
    </w:p>
    <w:p w14:paraId="376A6380">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"_Toc61644793" </w:instrText>
      </w:r>
      <w:r>
        <w:fldChar w:fldCharType="separate"/>
      </w:r>
      <w:r>
        <w:rPr>
          <w:rStyle w:val="49"/>
          <w:rFonts w:eastAsia="黑体"/>
          <w:sz w:val="32"/>
          <w:szCs w:val="32"/>
        </w:rPr>
        <w:t>五、加快打造现代服务业活力区</w:t>
      </w:r>
      <w:r>
        <w:rPr>
          <w:sz w:val="32"/>
          <w:szCs w:val="32"/>
        </w:rPr>
        <w:tab/>
      </w:r>
      <w:r>
        <w:rPr>
          <w:sz w:val="32"/>
          <w:szCs w:val="32"/>
        </w:rPr>
        <w:fldChar w:fldCharType="begin" w:fldLock="1"/>
      </w:r>
      <w:r>
        <w:rPr>
          <w:sz w:val="32"/>
          <w:szCs w:val="32"/>
        </w:rPr>
        <w:instrText xml:space="preserve"> PAGEREF _Toc61644793 \h </w:instrText>
      </w:r>
      <w:r>
        <w:rPr>
          <w:sz w:val="32"/>
          <w:szCs w:val="32"/>
        </w:rPr>
        <w:fldChar w:fldCharType="separate"/>
      </w:r>
      <w:r>
        <w:rPr>
          <w:sz w:val="32"/>
          <w:szCs w:val="32"/>
        </w:rPr>
        <w:t>57</w:t>
      </w:r>
      <w:r>
        <w:rPr>
          <w:sz w:val="32"/>
          <w:szCs w:val="32"/>
        </w:rPr>
        <w:fldChar w:fldCharType="end"/>
      </w:r>
      <w:r>
        <w:rPr>
          <w:sz w:val="32"/>
          <w:szCs w:val="32"/>
        </w:rPr>
        <w:fldChar w:fldCharType="end"/>
      </w:r>
    </w:p>
    <w:p w14:paraId="0FE0F462">
      <w:pPr>
        <w:pStyle w:val="27"/>
        <w:tabs>
          <w:tab w:val="right" w:leader="dot" w:pos="8828"/>
        </w:tabs>
        <w:spacing w:line="540" w:lineRule="exact"/>
        <w:ind w:firstLine="420"/>
        <w:rPr>
          <w:rFonts w:eastAsiaTheme="minorEastAsia"/>
          <w:b w:val="0"/>
          <w:sz w:val="32"/>
          <w:szCs w:val="32"/>
        </w:rPr>
      </w:pPr>
      <w:r>
        <w:fldChar w:fldCharType="begin"/>
      </w:r>
      <w:r>
        <w:instrText xml:space="preserve"> HYPERLINK \l "_Toc61644794" </w:instrText>
      </w:r>
      <w:r>
        <w:fldChar w:fldCharType="separate"/>
      </w:r>
      <w:r>
        <w:rPr>
          <w:rStyle w:val="49"/>
          <w:rFonts w:eastAsia="黑体"/>
          <w:b w:val="0"/>
          <w:sz w:val="32"/>
          <w:szCs w:val="32"/>
        </w:rPr>
        <w:t>第六章 优化协调全域布局，拓展新发展空间</w:t>
      </w:r>
      <w:r>
        <w:rPr>
          <w:b w:val="0"/>
          <w:sz w:val="32"/>
          <w:szCs w:val="32"/>
        </w:rPr>
        <w:tab/>
      </w:r>
      <w:r>
        <w:rPr>
          <w:b w:val="0"/>
          <w:sz w:val="32"/>
          <w:szCs w:val="32"/>
        </w:rPr>
        <w:fldChar w:fldCharType="begin" w:fldLock="1"/>
      </w:r>
      <w:r>
        <w:rPr>
          <w:b w:val="0"/>
          <w:sz w:val="32"/>
          <w:szCs w:val="32"/>
        </w:rPr>
        <w:instrText xml:space="preserve"> PAGEREF _Toc61644794 \h </w:instrText>
      </w:r>
      <w:r>
        <w:rPr>
          <w:b w:val="0"/>
          <w:sz w:val="32"/>
          <w:szCs w:val="32"/>
        </w:rPr>
        <w:fldChar w:fldCharType="separate"/>
      </w:r>
      <w:r>
        <w:rPr>
          <w:b w:val="0"/>
          <w:sz w:val="32"/>
          <w:szCs w:val="32"/>
        </w:rPr>
        <w:t>60</w:t>
      </w:r>
      <w:r>
        <w:rPr>
          <w:b w:val="0"/>
          <w:sz w:val="32"/>
          <w:szCs w:val="32"/>
        </w:rPr>
        <w:fldChar w:fldCharType="end"/>
      </w:r>
      <w:r>
        <w:rPr>
          <w:b w:val="0"/>
          <w:sz w:val="32"/>
          <w:szCs w:val="32"/>
        </w:rPr>
        <w:fldChar w:fldCharType="end"/>
      </w:r>
    </w:p>
    <w:p w14:paraId="608DB26F">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"_Toc61644795" </w:instrText>
      </w:r>
      <w:r>
        <w:fldChar w:fldCharType="separate"/>
      </w:r>
      <w:r>
        <w:rPr>
          <w:rStyle w:val="49"/>
          <w:rFonts w:eastAsia="黑体"/>
          <w:sz w:val="32"/>
          <w:szCs w:val="32"/>
        </w:rPr>
        <w:t>一、落实“三区三线”，优化国土空间保护开发</w:t>
      </w:r>
      <w:r>
        <w:rPr>
          <w:sz w:val="32"/>
          <w:szCs w:val="32"/>
        </w:rPr>
        <w:tab/>
      </w:r>
      <w:r>
        <w:rPr>
          <w:sz w:val="32"/>
          <w:szCs w:val="32"/>
        </w:rPr>
        <w:fldChar w:fldCharType="begin" w:fldLock="1"/>
      </w:r>
      <w:r>
        <w:rPr>
          <w:sz w:val="32"/>
          <w:szCs w:val="32"/>
        </w:rPr>
        <w:instrText xml:space="preserve"> PAGEREF _Toc61644795 \h </w:instrText>
      </w:r>
      <w:r>
        <w:rPr>
          <w:sz w:val="32"/>
          <w:szCs w:val="32"/>
        </w:rPr>
        <w:fldChar w:fldCharType="separate"/>
      </w:r>
      <w:r>
        <w:rPr>
          <w:sz w:val="32"/>
          <w:szCs w:val="32"/>
        </w:rPr>
        <w:t>60</w:t>
      </w:r>
      <w:r>
        <w:rPr>
          <w:sz w:val="32"/>
          <w:szCs w:val="32"/>
        </w:rPr>
        <w:fldChar w:fldCharType="end"/>
      </w:r>
      <w:r>
        <w:rPr>
          <w:sz w:val="32"/>
          <w:szCs w:val="32"/>
        </w:rPr>
        <w:fldChar w:fldCharType="end"/>
      </w:r>
    </w:p>
    <w:p w14:paraId="71DAE55A">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"_Toc61644796" </w:instrText>
      </w:r>
      <w:r>
        <w:fldChar w:fldCharType="separate"/>
      </w:r>
      <w:r>
        <w:rPr>
          <w:rStyle w:val="49"/>
          <w:rFonts w:eastAsia="黑体"/>
          <w:sz w:val="32"/>
          <w:szCs w:val="32"/>
        </w:rPr>
        <w:t>二、全域布局，构建“123456”融合空间结构</w:t>
      </w:r>
      <w:r>
        <w:rPr>
          <w:sz w:val="32"/>
          <w:szCs w:val="32"/>
        </w:rPr>
        <w:tab/>
      </w:r>
      <w:r>
        <w:rPr>
          <w:sz w:val="32"/>
          <w:szCs w:val="32"/>
        </w:rPr>
        <w:fldChar w:fldCharType="begin" w:fldLock="1"/>
      </w:r>
      <w:r>
        <w:rPr>
          <w:sz w:val="32"/>
          <w:szCs w:val="32"/>
        </w:rPr>
        <w:instrText xml:space="preserve"> PAGEREF _Toc61644796 \h </w:instrText>
      </w:r>
      <w:r>
        <w:rPr>
          <w:sz w:val="32"/>
          <w:szCs w:val="32"/>
        </w:rPr>
        <w:fldChar w:fldCharType="separate"/>
      </w:r>
      <w:r>
        <w:rPr>
          <w:sz w:val="32"/>
          <w:szCs w:val="32"/>
        </w:rPr>
        <w:t>61</w:t>
      </w:r>
      <w:r>
        <w:rPr>
          <w:sz w:val="32"/>
          <w:szCs w:val="32"/>
        </w:rPr>
        <w:fldChar w:fldCharType="end"/>
      </w:r>
      <w:r>
        <w:rPr>
          <w:sz w:val="32"/>
          <w:szCs w:val="32"/>
        </w:rPr>
        <w:fldChar w:fldCharType="end"/>
      </w:r>
    </w:p>
    <w:p w14:paraId="26EBD05D">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"_Toc61644797" </w:instrText>
      </w:r>
      <w:r>
        <w:fldChar w:fldCharType="separate"/>
      </w:r>
      <w:r>
        <w:rPr>
          <w:rStyle w:val="49"/>
          <w:rFonts w:eastAsia="黑体"/>
          <w:sz w:val="32"/>
          <w:szCs w:val="32"/>
        </w:rPr>
        <w:t>三、一核驱动，推动都市经济更具活力发展</w:t>
      </w:r>
      <w:r>
        <w:rPr>
          <w:sz w:val="32"/>
          <w:szCs w:val="32"/>
        </w:rPr>
        <w:tab/>
      </w:r>
      <w:r>
        <w:rPr>
          <w:sz w:val="32"/>
          <w:szCs w:val="32"/>
        </w:rPr>
        <w:fldChar w:fldCharType="begin" w:fldLock="1"/>
      </w:r>
      <w:r>
        <w:rPr>
          <w:sz w:val="32"/>
          <w:szCs w:val="32"/>
        </w:rPr>
        <w:instrText xml:space="preserve"> PAGEREF _Toc61644797 \h </w:instrText>
      </w:r>
      <w:r>
        <w:rPr>
          <w:sz w:val="32"/>
          <w:szCs w:val="32"/>
        </w:rPr>
        <w:fldChar w:fldCharType="separate"/>
      </w:r>
      <w:r>
        <w:rPr>
          <w:sz w:val="32"/>
          <w:szCs w:val="32"/>
        </w:rPr>
        <w:t>63</w:t>
      </w:r>
      <w:r>
        <w:rPr>
          <w:sz w:val="32"/>
          <w:szCs w:val="32"/>
        </w:rPr>
        <w:fldChar w:fldCharType="end"/>
      </w:r>
      <w:r>
        <w:rPr>
          <w:sz w:val="32"/>
          <w:szCs w:val="32"/>
        </w:rPr>
        <w:fldChar w:fldCharType="end"/>
      </w:r>
    </w:p>
    <w:p w14:paraId="2380A251">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"_Toc61644798" </w:instrText>
      </w:r>
      <w:r>
        <w:fldChar w:fldCharType="separate"/>
      </w:r>
      <w:r>
        <w:rPr>
          <w:rStyle w:val="49"/>
          <w:rFonts w:eastAsia="黑体"/>
          <w:sz w:val="32"/>
          <w:szCs w:val="32"/>
        </w:rPr>
        <w:t>四、双轴传导，带动全域产业融合互动发展</w:t>
      </w:r>
      <w:r>
        <w:rPr>
          <w:sz w:val="32"/>
          <w:szCs w:val="32"/>
        </w:rPr>
        <w:tab/>
      </w:r>
      <w:r>
        <w:rPr>
          <w:sz w:val="32"/>
          <w:szCs w:val="32"/>
        </w:rPr>
        <w:fldChar w:fldCharType="begin" w:fldLock="1"/>
      </w:r>
      <w:r>
        <w:rPr>
          <w:sz w:val="32"/>
          <w:szCs w:val="32"/>
        </w:rPr>
        <w:instrText xml:space="preserve"> PAGEREF _Toc61644798 \h </w:instrText>
      </w:r>
      <w:r>
        <w:rPr>
          <w:sz w:val="32"/>
          <w:szCs w:val="32"/>
        </w:rPr>
        <w:fldChar w:fldCharType="separate"/>
      </w:r>
      <w:r>
        <w:rPr>
          <w:sz w:val="32"/>
          <w:szCs w:val="32"/>
        </w:rPr>
        <w:t>63</w:t>
      </w:r>
      <w:r>
        <w:rPr>
          <w:sz w:val="32"/>
          <w:szCs w:val="32"/>
        </w:rPr>
        <w:fldChar w:fldCharType="end"/>
      </w:r>
      <w:r>
        <w:rPr>
          <w:sz w:val="32"/>
          <w:szCs w:val="32"/>
        </w:rPr>
        <w:fldChar w:fldCharType="end"/>
      </w:r>
    </w:p>
    <w:p w14:paraId="32A017A0">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"_Toc61644799" </w:instrText>
      </w:r>
      <w:r>
        <w:fldChar w:fldCharType="separate"/>
      </w:r>
      <w:r>
        <w:rPr>
          <w:rStyle w:val="49"/>
          <w:rFonts w:eastAsia="黑体"/>
          <w:sz w:val="32"/>
          <w:szCs w:val="32"/>
        </w:rPr>
        <w:t>五、两翼辐射，拉动乡村产城融合跨越发展</w:t>
      </w:r>
      <w:r>
        <w:rPr>
          <w:sz w:val="32"/>
          <w:szCs w:val="32"/>
        </w:rPr>
        <w:tab/>
      </w:r>
      <w:r>
        <w:rPr>
          <w:sz w:val="32"/>
          <w:szCs w:val="32"/>
        </w:rPr>
        <w:fldChar w:fldCharType="begin" w:fldLock="1"/>
      </w:r>
      <w:r>
        <w:rPr>
          <w:sz w:val="32"/>
          <w:szCs w:val="32"/>
        </w:rPr>
        <w:instrText xml:space="preserve"> PAGEREF _Toc61644799 \h </w:instrText>
      </w:r>
      <w:r>
        <w:rPr>
          <w:sz w:val="32"/>
          <w:szCs w:val="32"/>
        </w:rPr>
        <w:fldChar w:fldCharType="separate"/>
      </w:r>
      <w:r>
        <w:rPr>
          <w:sz w:val="32"/>
          <w:szCs w:val="32"/>
        </w:rPr>
        <w:t>64</w:t>
      </w:r>
      <w:r>
        <w:rPr>
          <w:sz w:val="32"/>
          <w:szCs w:val="32"/>
        </w:rPr>
        <w:fldChar w:fldCharType="end"/>
      </w:r>
      <w:r>
        <w:rPr>
          <w:sz w:val="32"/>
          <w:szCs w:val="32"/>
        </w:rPr>
        <w:fldChar w:fldCharType="end"/>
      </w:r>
    </w:p>
    <w:p w14:paraId="246A48A6">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"_Toc61644800" </w:instrText>
      </w:r>
      <w:r>
        <w:fldChar w:fldCharType="separate"/>
      </w:r>
      <w:r>
        <w:rPr>
          <w:rStyle w:val="49"/>
          <w:rFonts w:eastAsia="黑体"/>
          <w:sz w:val="32"/>
          <w:szCs w:val="32"/>
        </w:rPr>
        <w:t>六、三带示范，串联关键节点助力特色发展</w:t>
      </w:r>
      <w:r>
        <w:rPr>
          <w:sz w:val="32"/>
          <w:szCs w:val="32"/>
        </w:rPr>
        <w:tab/>
      </w:r>
      <w:r>
        <w:rPr>
          <w:sz w:val="32"/>
          <w:szCs w:val="32"/>
        </w:rPr>
        <w:fldChar w:fldCharType="begin" w:fldLock="1"/>
      </w:r>
      <w:r>
        <w:rPr>
          <w:sz w:val="32"/>
          <w:szCs w:val="32"/>
        </w:rPr>
        <w:instrText xml:space="preserve"> PAGEREF _Toc61644800 \h </w:instrText>
      </w:r>
      <w:r>
        <w:rPr>
          <w:sz w:val="32"/>
          <w:szCs w:val="32"/>
        </w:rPr>
        <w:fldChar w:fldCharType="separate"/>
      </w:r>
      <w:r>
        <w:rPr>
          <w:sz w:val="32"/>
          <w:szCs w:val="32"/>
        </w:rPr>
        <w:t>65</w:t>
      </w:r>
      <w:r>
        <w:rPr>
          <w:sz w:val="32"/>
          <w:szCs w:val="32"/>
        </w:rPr>
        <w:fldChar w:fldCharType="end"/>
      </w:r>
      <w:r>
        <w:rPr>
          <w:sz w:val="32"/>
          <w:szCs w:val="32"/>
        </w:rPr>
        <w:fldChar w:fldCharType="end"/>
      </w:r>
    </w:p>
    <w:p w14:paraId="7FF7AB15">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"_Toc61644801" </w:instrText>
      </w:r>
      <w:r>
        <w:fldChar w:fldCharType="separate"/>
      </w:r>
      <w:r>
        <w:rPr>
          <w:rStyle w:val="49"/>
          <w:rFonts w:eastAsia="黑体"/>
          <w:sz w:val="32"/>
          <w:szCs w:val="32"/>
        </w:rPr>
        <w:t>七、四区统筹，促进四层经济结构融合发展</w:t>
      </w:r>
      <w:r>
        <w:rPr>
          <w:sz w:val="32"/>
          <w:szCs w:val="32"/>
        </w:rPr>
        <w:tab/>
      </w:r>
      <w:r>
        <w:rPr>
          <w:sz w:val="32"/>
          <w:szCs w:val="32"/>
        </w:rPr>
        <w:fldChar w:fldCharType="begin" w:fldLock="1"/>
      </w:r>
      <w:r>
        <w:rPr>
          <w:sz w:val="32"/>
          <w:szCs w:val="32"/>
        </w:rPr>
        <w:instrText xml:space="preserve"> PAGEREF _Toc61644801 \h </w:instrText>
      </w:r>
      <w:r>
        <w:rPr>
          <w:sz w:val="32"/>
          <w:szCs w:val="32"/>
        </w:rPr>
        <w:fldChar w:fldCharType="separate"/>
      </w:r>
      <w:r>
        <w:rPr>
          <w:sz w:val="32"/>
          <w:szCs w:val="32"/>
        </w:rPr>
        <w:t>67</w:t>
      </w:r>
      <w:r>
        <w:rPr>
          <w:sz w:val="32"/>
          <w:szCs w:val="32"/>
        </w:rPr>
        <w:fldChar w:fldCharType="end"/>
      </w:r>
      <w:r>
        <w:rPr>
          <w:sz w:val="32"/>
          <w:szCs w:val="32"/>
        </w:rPr>
        <w:fldChar w:fldCharType="end"/>
      </w:r>
    </w:p>
    <w:p w14:paraId="609FAA51">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"_Toc61644802" </w:instrText>
      </w:r>
      <w:r>
        <w:fldChar w:fldCharType="separate"/>
      </w:r>
      <w:r>
        <w:rPr>
          <w:rStyle w:val="49"/>
          <w:rFonts w:eastAsia="黑体"/>
          <w:sz w:val="32"/>
          <w:szCs w:val="32"/>
        </w:rPr>
        <w:t>八、五极增长，凸显特色产业带动创新发展</w:t>
      </w:r>
      <w:r>
        <w:rPr>
          <w:sz w:val="32"/>
          <w:szCs w:val="32"/>
        </w:rPr>
        <w:tab/>
      </w:r>
      <w:r>
        <w:rPr>
          <w:sz w:val="32"/>
          <w:szCs w:val="32"/>
        </w:rPr>
        <w:fldChar w:fldCharType="begin" w:fldLock="1"/>
      </w:r>
      <w:r>
        <w:rPr>
          <w:sz w:val="32"/>
          <w:szCs w:val="32"/>
        </w:rPr>
        <w:instrText xml:space="preserve"> PAGEREF _Toc61644802 \h </w:instrText>
      </w:r>
      <w:r>
        <w:rPr>
          <w:sz w:val="32"/>
          <w:szCs w:val="32"/>
        </w:rPr>
        <w:fldChar w:fldCharType="separate"/>
      </w:r>
      <w:r>
        <w:rPr>
          <w:sz w:val="32"/>
          <w:szCs w:val="32"/>
        </w:rPr>
        <w:t>68</w:t>
      </w:r>
      <w:r>
        <w:rPr>
          <w:sz w:val="32"/>
          <w:szCs w:val="32"/>
        </w:rPr>
        <w:fldChar w:fldCharType="end"/>
      </w:r>
      <w:r>
        <w:rPr>
          <w:sz w:val="32"/>
          <w:szCs w:val="32"/>
        </w:rPr>
        <w:fldChar w:fldCharType="end"/>
      </w:r>
    </w:p>
    <w:p w14:paraId="641AA57F">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"_Toc61644803" </w:instrText>
      </w:r>
      <w:r>
        <w:fldChar w:fldCharType="separate"/>
      </w:r>
      <w:r>
        <w:rPr>
          <w:rStyle w:val="49"/>
          <w:rFonts w:eastAsia="黑体"/>
          <w:sz w:val="32"/>
          <w:szCs w:val="32"/>
        </w:rPr>
        <w:t>九、六组团发展，统筹重点区域实现协调发展</w:t>
      </w:r>
      <w:r>
        <w:rPr>
          <w:sz w:val="32"/>
          <w:szCs w:val="32"/>
        </w:rPr>
        <w:tab/>
      </w:r>
      <w:r>
        <w:rPr>
          <w:sz w:val="32"/>
          <w:szCs w:val="32"/>
        </w:rPr>
        <w:fldChar w:fldCharType="begin" w:fldLock="1"/>
      </w:r>
      <w:r>
        <w:rPr>
          <w:sz w:val="32"/>
          <w:szCs w:val="32"/>
        </w:rPr>
        <w:instrText xml:space="preserve"> PAGEREF _Toc61644803 \h </w:instrText>
      </w:r>
      <w:r>
        <w:rPr>
          <w:sz w:val="32"/>
          <w:szCs w:val="32"/>
        </w:rPr>
        <w:fldChar w:fldCharType="separate"/>
      </w:r>
      <w:r>
        <w:rPr>
          <w:sz w:val="32"/>
          <w:szCs w:val="32"/>
        </w:rPr>
        <w:t>69</w:t>
      </w:r>
      <w:r>
        <w:rPr>
          <w:sz w:val="32"/>
          <w:szCs w:val="32"/>
        </w:rPr>
        <w:fldChar w:fldCharType="end"/>
      </w:r>
      <w:r>
        <w:rPr>
          <w:sz w:val="32"/>
          <w:szCs w:val="32"/>
        </w:rPr>
        <w:fldChar w:fldCharType="end"/>
      </w:r>
    </w:p>
    <w:p w14:paraId="1E6FA62C">
      <w:pPr>
        <w:pStyle w:val="27"/>
        <w:tabs>
          <w:tab w:val="right" w:leader="dot" w:pos="8828"/>
        </w:tabs>
        <w:spacing w:line="540" w:lineRule="exact"/>
        <w:ind w:firstLine="420"/>
        <w:rPr>
          <w:rFonts w:eastAsiaTheme="minorEastAsia"/>
          <w:b w:val="0"/>
          <w:sz w:val="32"/>
          <w:szCs w:val="32"/>
        </w:rPr>
      </w:pPr>
      <w:r>
        <w:fldChar w:fldCharType="begin"/>
      </w:r>
      <w:r>
        <w:instrText xml:space="preserve"> HYPERLINK \l "_Toc61644804" </w:instrText>
      </w:r>
      <w:r>
        <w:fldChar w:fldCharType="separate"/>
      </w:r>
      <w:r>
        <w:rPr>
          <w:rStyle w:val="49"/>
          <w:rFonts w:eastAsia="黑体"/>
          <w:b w:val="0"/>
          <w:sz w:val="32"/>
          <w:szCs w:val="32"/>
        </w:rPr>
        <w:t>第七章 构建新型城乡关系，增强新发展支撑</w:t>
      </w:r>
      <w:r>
        <w:rPr>
          <w:b w:val="0"/>
          <w:sz w:val="32"/>
          <w:szCs w:val="32"/>
        </w:rPr>
        <w:tab/>
      </w:r>
      <w:r>
        <w:rPr>
          <w:b w:val="0"/>
          <w:sz w:val="32"/>
          <w:szCs w:val="32"/>
        </w:rPr>
        <w:fldChar w:fldCharType="begin" w:fldLock="1"/>
      </w:r>
      <w:r>
        <w:rPr>
          <w:b w:val="0"/>
          <w:sz w:val="32"/>
          <w:szCs w:val="32"/>
        </w:rPr>
        <w:instrText xml:space="preserve"> PAGEREF _Toc61644804 \h </w:instrText>
      </w:r>
      <w:r>
        <w:rPr>
          <w:b w:val="0"/>
          <w:sz w:val="32"/>
          <w:szCs w:val="32"/>
        </w:rPr>
        <w:fldChar w:fldCharType="separate"/>
      </w:r>
      <w:r>
        <w:rPr>
          <w:b w:val="0"/>
          <w:sz w:val="32"/>
          <w:szCs w:val="32"/>
        </w:rPr>
        <w:t>71</w:t>
      </w:r>
      <w:r>
        <w:rPr>
          <w:b w:val="0"/>
          <w:sz w:val="32"/>
          <w:szCs w:val="32"/>
        </w:rPr>
        <w:fldChar w:fldCharType="end"/>
      </w:r>
      <w:r>
        <w:rPr>
          <w:b w:val="0"/>
          <w:sz w:val="32"/>
          <w:szCs w:val="32"/>
        </w:rPr>
        <w:fldChar w:fldCharType="end"/>
      </w:r>
    </w:p>
    <w:p w14:paraId="36E8080B">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"_Toc61644805" </w:instrText>
      </w:r>
      <w:r>
        <w:fldChar w:fldCharType="separate"/>
      </w:r>
      <w:r>
        <w:rPr>
          <w:rStyle w:val="49"/>
          <w:rFonts w:eastAsia="黑体"/>
          <w:sz w:val="32"/>
          <w:szCs w:val="32"/>
        </w:rPr>
        <w:t>一、全面实施乡村振兴战略</w:t>
      </w:r>
      <w:r>
        <w:rPr>
          <w:sz w:val="32"/>
          <w:szCs w:val="32"/>
        </w:rPr>
        <w:tab/>
      </w:r>
      <w:r>
        <w:rPr>
          <w:sz w:val="32"/>
          <w:szCs w:val="32"/>
        </w:rPr>
        <w:fldChar w:fldCharType="begin" w:fldLock="1"/>
      </w:r>
      <w:r>
        <w:rPr>
          <w:sz w:val="32"/>
          <w:szCs w:val="32"/>
        </w:rPr>
        <w:instrText xml:space="preserve"> PAGEREF _Toc61644805 \h </w:instrText>
      </w:r>
      <w:r>
        <w:rPr>
          <w:sz w:val="32"/>
          <w:szCs w:val="32"/>
        </w:rPr>
        <w:fldChar w:fldCharType="separate"/>
      </w:r>
      <w:r>
        <w:rPr>
          <w:sz w:val="32"/>
          <w:szCs w:val="32"/>
        </w:rPr>
        <w:t>71</w:t>
      </w:r>
      <w:r>
        <w:rPr>
          <w:sz w:val="32"/>
          <w:szCs w:val="32"/>
        </w:rPr>
        <w:fldChar w:fldCharType="end"/>
      </w:r>
      <w:r>
        <w:rPr>
          <w:sz w:val="32"/>
          <w:szCs w:val="32"/>
        </w:rPr>
        <w:fldChar w:fldCharType="end"/>
      </w:r>
    </w:p>
    <w:p w14:paraId="76970DAC">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"_Toc61644806" </w:instrText>
      </w:r>
      <w:r>
        <w:fldChar w:fldCharType="separate"/>
      </w:r>
      <w:r>
        <w:rPr>
          <w:rStyle w:val="49"/>
          <w:rFonts w:eastAsia="黑体"/>
          <w:sz w:val="32"/>
          <w:szCs w:val="32"/>
        </w:rPr>
        <w:t>二、加快推进城乡融合发展</w:t>
      </w:r>
      <w:r>
        <w:rPr>
          <w:sz w:val="32"/>
          <w:szCs w:val="32"/>
        </w:rPr>
        <w:tab/>
      </w:r>
      <w:r>
        <w:rPr>
          <w:sz w:val="32"/>
          <w:szCs w:val="32"/>
        </w:rPr>
        <w:fldChar w:fldCharType="begin" w:fldLock="1"/>
      </w:r>
      <w:r>
        <w:rPr>
          <w:sz w:val="32"/>
          <w:szCs w:val="32"/>
        </w:rPr>
        <w:instrText xml:space="preserve"> PAGEREF _Toc61644806 \h </w:instrText>
      </w:r>
      <w:r>
        <w:rPr>
          <w:sz w:val="32"/>
          <w:szCs w:val="32"/>
        </w:rPr>
        <w:fldChar w:fldCharType="separate"/>
      </w:r>
      <w:r>
        <w:rPr>
          <w:sz w:val="32"/>
          <w:szCs w:val="32"/>
        </w:rPr>
        <w:t>77</w:t>
      </w:r>
      <w:r>
        <w:rPr>
          <w:sz w:val="32"/>
          <w:szCs w:val="32"/>
        </w:rPr>
        <w:fldChar w:fldCharType="end"/>
      </w:r>
      <w:r>
        <w:rPr>
          <w:sz w:val="32"/>
          <w:szCs w:val="32"/>
        </w:rPr>
        <w:fldChar w:fldCharType="end"/>
      </w:r>
    </w:p>
    <w:p w14:paraId="5078BCB5">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"_Toc61644807" </w:instrText>
      </w:r>
      <w:r>
        <w:fldChar w:fldCharType="separate"/>
      </w:r>
      <w:r>
        <w:rPr>
          <w:rStyle w:val="49"/>
          <w:rFonts w:eastAsia="黑体"/>
          <w:sz w:val="32"/>
          <w:szCs w:val="32"/>
        </w:rPr>
        <w:t>三、打造海口健康养生卫星城</w:t>
      </w:r>
      <w:r>
        <w:rPr>
          <w:sz w:val="32"/>
          <w:szCs w:val="32"/>
        </w:rPr>
        <w:tab/>
      </w:r>
      <w:r>
        <w:rPr>
          <w:sz w:val="32"/>
          <w:szCs w:val="32"/>
        </w:rPr>
        <w:fldChar w:fldCharType="begin" w:fldLock="1"/>
      </w:r>
      <w:r>
        <w:rPr>
          <w:sz w:val="32"/>
          <w:szCs w:val="32"/>
        </w:rPr>
        <w:instrText xml:space="preserve"> PAGEREF _Toc61644807 \h </w:instrText>
      </w:r>
      <w:r>
        <w:rPr>
          <w:sz w:val="32"/>
          <w:szCs w:val="32"/>
        </w:rPr>
        <w:fldChar w:fldCharType="separate"/>
      </w:r>
      <w:r>
        <w:rPr>
          <w:sz w:val="32"/>
          <w:szCs w:val="32"/>
        </w:rPr>
        <w:t>79</w:t>
      </w:r>
      <w:r>
        <w:rPr>
          <w:sz w:val="32"/>
          <w:szCs w:val="32"/>
        </w:rPr>
        <w:fldChar w:fldCharType="end"/>
      </w:r>
      <w:r>
        <w:rPr>
          <w:sz w:val="32"/>
          <w:szCs w:val="32"/>
        </w:rPr>
        <w:fldChar w:fldCharType="end"/>
      </w:r>
    </w:p>
    <w:p w14:paraId="6852017B">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"_Toc61644808" </w:instrText>
      </w:r>
      <w:r>
        <w:fldChar w:fldCharType="separate"/>
      </w:r>
      <w:r>
        <w:rPr>
          <w:rStyle w:val="49"/>
          <w:rFonts w:eastAsia="黑体"/>
          <w:sz w:val="32"/>
          <w:szCs w:val="32"/>
        </w:rPr>
        <w:t>四、打造碧鸡绿色健康会客厅</w:t>
      </w:r>
      <w:r>
        <w:rPr>
          <w:sz w:val="32"/>
          <w:szCs w:val="32"/>
        </w:rPr>
        <w:tab/>
      </w:r>
      <w:r>
        <w:rPr>
          <w:sz w:val="32"/>
          <w:szCs w:val="32"/>
        </w:rPr>
        <w:fldChar w:fldCharType="begin" w:fldLock="1"/>
      </w:r>
      <w:r>
        <w:rPr>
          <w:sz w:val="32"/>
          <w:szCs w:val="32"/>
        </w:rPr>
        <w:instrText xml:space="preserve"> PAGEREF _Toc61644808 \h </w:instrText>
      </w:r>
      <w:r>
        <w:rPr>
          <w:sz w:val="32"/>
          <w:szCs w:val="32"/>
        </w:rPr>
        <w:fldChar w:fldCharType="separate"/>
      </w:r>
      <w:r>
        <w:rPr>
          <w:sz w:val="32"/>
          <w:szCs w:val="32"/>
        </w:rPr>
        <w:t>81</w:t>
      </w:r>
      <w:r>
        <w:rPr>
          <w:sz w:val="32"/>
          <w:szCs w:val="32"/>
        </w:rPr>
        <w:fldChar w:fldCharType="end"/>
      </w:r>
      <w:r>
        <w:rPr>
          <w:sz w:val="32"/>
          <w:szCs w:val="32"/>
        </w:rPr>
        <w:fldChar w:fldCharType="end"/>
      </w:r>
    </w:p>
    <w:p w14:paraId="36CF2848">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"_Toc61644809" </w:instrText>
      </w:r>
      <w:r>
        <w:fldChar w:fldCharType="separate"/>
      </w:r>
      <w:r>
        <w:rPr>
          <w:rStyle w:val="49"/>
          <w:rFonts w:eastAsia="黑体"/>
          <w:sz w:val="32"/>
          <w:szCs w:val="32"/>
        </w:rPr>
        <w:t>五、打造团结民族风情后花园</w:t>
      </w:r>
      <w:r>
        <w:rPr>
          <w:sz w:val="32"/>
          <w:szCs w:val="32"/>
        </w:rPr>
        <w:tab/>
      </w:r>
      <w:r>
        <w:rPr>
          <w:sz w:val="32"/>
          <w:szCs w:val="32"/>
        </w:rPr>
        <w:fldChar w:fldCharType="begin" w:fldLock="1"/>
      </w:r>
      <w:r>
        <w:rPr>
          <w:sz w:val="32"/>
          <w:szCs w:val="32"/>
        </w:rPr>
        <w:instrText xml:space="preserve"> PAGEREF _Toc61644809 \h </w:instrText>
      </w:r>
      <w:r>
        <w:rPr>
          <w:sz w:val="32"/>
          <w:szCs w:val="32"/>
        </w:rPr>
        <w:fldChar w:fldCharType="separate"/>
      </w:r>
      <w:r>
        <w:rPr>
          <w:sz w:val="32"/>
          <w:szCs w:val="32"/>
        </w:rPr>
        <w:t>82</w:t>
      </w:r>
      <w:r>
        <w:rPr>
          <w:sz w:val="32"/>
          <w:szCs w:val="32"/>
        </w:rPr>
        <w:fldChar w:fldCharType="end"/>
      </w:r>
      <w:r>
        <w:rPr>
          <w:sz w:val="32"/>
          <w:szCs w:val="32"/>
        </w:rPr>
        <w:fldChar w:fldCharType="end"/>
      </w:r>
    </w:p>
    <w:p w14:paraId="1D8035B5">
      <w:pPr>
        <w:pStyle w:val="27"/>
        <w:tabs>
          <w:tab w:val="right" w:leader="dot" w:pos="8828"/>
        </w:tabs>
        <w:spacing w:line="540" w:lineRule="exact"/>
        <w:ind w:firstLine="420"/>
        <w:rPr>
          <w:rFonts w:eastAsiaTheme="minorEastAsia"/>
          <w:b w:val="0"/>
          <w:sz w:val="32"/>
          <w:szCs w:val="32"/>
        </w:rPr>
      </w:pPr>
      <w:r>
        <w:fldChar w:fldCharType="begin"/>
      </w:r>
      <w:r>
        <w:instrText xml:space="preserve"> HYPERLINK \l "_Toc61644810" </w:instrText>
      </w:r>
      <w:r>
        <w:fldChar w:fldCharType="separate"/>
      </w:r>
      <w:r>
        <w:rPr>
          <w:rStyle w:val="49"/>
          <w:rFonts w:eastAsia="黑体"/>
          <w:b w:val="0"/>
          <w:sz w:val="32"/>
          <w:szCs w:val="32"/>
        </w:rPr>
        <w:t>第八章 加强协调发展，塑造新发展面貌</w:t>
      </w:r>
      <w:r>
        <w:rPr>
          <w:b w:val="0"/>
          <w:sz w:val="32"/>
          <w:szCs w:val="32"/>
        </w:rPr>
        <w:tab/>
      </w:r>
      <w:r>
        <w:rPr>
          <w:b w:val="0"/>
          <w:sz w:val="32"/>
          <w:szCs w:val="32"/>
        </w:rPr>
        <w:fldChar w:fldCharType="begin" w:fldLock="1"/>
      </w:r>
      <w:r>
        <w:rPr>
          <w:b w:val="0"/>
          <w:sz w:val="32"/>
          <w:szCs w:val="32"/>
        </w:rPr>
        <w:instrText xml:space="preserve"> PAGEREF _Toc61644810 \h </w:instrText>
      </w:r>
      <w:r>
        <w:rPr>
          <w:b w:val="0"/>
          <w:sz w:val="32"/>
          <w:szCs w:val="32"/>
        </w:rPr>
        <w:fldChar w:fldCharType="separate"/>
      </w:r>
      <w:r>
        <w:rPr>
          <w:b w:val="0"/>
          <w:sz w:val="32"/>
          <w:szCs w:val="32"/>
        </w:rPr>
        <w:t>83</w:t>
      </w:r>
      <w:r>
        <w:rPr>
          <w:b w:val="0"/>
          <w:sz w:val="32"/>
          <w:szCs w:val="32"/>
        </w:rPr>
        <w:fldChar w:fldCharType="end"/>
      </w:r>
      <w:r>
        <w:rPr>
          <w:b w:val="0"/>
          <w:sz w:val="32"/>
          <w:szCs w:val="32"/>
        </w:rPr>
        <w:fldChar w:fldCharType="end"/>
      </w:r>
    </w:p>
    <w:p w14:paraId="361D4359">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"_Toc61644811" </w:instrText>
      </w:r>
      <w:r>
        <w:fldChar w:fldCharType="separate"/>
      </w:r>
      <w:r>
        <w:rPr>
          <w:rStyle w:val="49"/>
          <w:rFonts w:eastAsia="黑体"/>
          <w:sz w:val="32"/>
          <w:szCs w:val="32"/>
        </w:rPr>
        <w:t>一、科学有序推动城市更新改造</w:t>
      </w:r>
      <w:r>
        <w:rPr>
          <w:sz w:val="32"/>
          <w:szCs w:val="32"/>
        </w:rPr>
        <w:tab/>
      </w:r>
      <w:r>
        <w:rPr>
          <w:sz w:val="32"/>
          <w:szCs w:val="32"/>
        </w:rPr>
        <w:fldChar w:fldCharType="begin" w:fldLock="1"/>
      </w:r>
      <w:r>
        <w:rPr>
          <w:sz w:val="32"/>
          <w:szCs w:val="32"/>
        </w:rPr>
        <w:instrText xml:space="preserve"> PAGEREF _Toc61644811 \h </w:instrText>
      </w:r>
      <w:r>
        <w:rPr>
          <w:sz w:val="32"/>
          <w:szCs w:val="32"/>
        </w:rPr>
        <w:fldChar w:fldCharType="separate"/>
      </w:r>
      <w:r>
        <w:rPr>
          <w:sz w:val="32"/>
          <w:szCs w:val="32"/>
        </w:rPr>
        <w:t>83</w:t>
      </w:r>
      <w:r>
        <w:rPr>
          <w:sz w:val="32"/>
          <w:szCs w:val="32"/>
        </w:rPr>
        <w:fldChar w:fldCharType="end"/>
      </w:r>
      <w:r>
        <w:rPr>
          <w:sz w:val="32"/>
          <w:szCs w:val="32"/>
        </w:rPr>
        <w:fldChar w:fldCharType="end"/>
      </w:r>
    </w:p>
    <w:p w14:paraId="44E2FE28">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"_Toc61644812" </w:instrText>
      </w:r>
      <w:r>
        <w:fldChar w:fldCharType="separate"/>
      </w:r>
      <w:r>
        <w:rPr>
          <w:rStyle w:val="49"/>
          <w:rFonts w:eastAsia="黑体"/>
          <w:sz w:val="32"/>
          <w:szCs w:val="32"/>
        </w:rPr>
        <w:t>二、加快补齐城市建设发展短板</w:t>
      </w:r>
      <w:r>
        <w:rPr>
          <w:sz w:val="32"/>
          <w:szCs w:val="32"/>
        </w:rPr>
        <w:tab/>
      </w:r>
      <w:r>
        <w:rPr>
          <w:sz w:val="32"/>
          <w:szCs w:val="32"/>
        </w:rPr>
        <w:fldChar w:fldCharType="begin" w:fldLock="1"/>
      </w:r>
      <w:r>
        <w:rPr>
          <w:sz w:val="32"/>
          <w:szCs w:val="32"/>
        </w:rPr>
        <w:instrText xml:space="preserve"> PAGEREF _Toc61644812 \h </w:instrText>
      </w:r>
      <w:r>
        <w:rPr>
          <w:sz w:val="32"/>
          <w:szCs w:val="32"/>
        </w:rPr>
        <w:fldChar w:fldCharType="separate"/>
      </w:r>
      <w:r>
        <w:rPr>
          <w:sz w:val="32"/>
          <w:szCs w:val="32"/>
        </w:rPr>
        <w:t>85</w:t>
      </w:r>
      <w:r>
        <w:rPr>
          <w:sz w:val="32"/>
          <w:szCs w:val="32"/>
        </w:rPr>
        <w:fldChar w:fldCharType="end"/>
      </w:r>
      <w:r>
        <w:rPr>
          <w:sz w:val="32"/>
          <w:szCs w:val="32"/>
        </w:rPr>
        <w:fldChar w:fldCharType="end"/>
      </w:r>
    </w:p>
    <w:p w14:paraId="11A5768D">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"_Toc61644813" </w:instrText>
      </w:r>
      <w:r>
        <w:fldChar w:fldCharType="separate"/>
      </w:r>
      <w:r>
        <w:rPr>
          <w:rStyle w:val="49"/>
          <w:rFonts w:eastAsia="黑体"/>
          <w:sz w:val="32"/>
          <w:szCs w:val="32"/>
        </w:rPr>
        <w:t>三、构建“三生”融合发展形态</w:t>
      </w:r>
      <w:r>
        <w:rPr>
          <w:sz w:val="32"/>
          <w:szCs w:val="32"/>
        </w:rPr>
        <w:tab/>
      </w:r>
      <w:r>
        <w:rPr>
          <w:sz w:val="32"/>
          <w:szCs w:val="32"/>
        </w:rPr>
        <w:fldChar w:fldCharType="begin" w:fldLock="1"/>
      </w:r>
      <w:r>
        <w:rPr>
          <w:sz w:val="32"/>
          <w:szCs w:val="32"/>
        </w:rPr>
        <w:instrText xml:space="preserve"> PAGEREF _Toc61644813 \h </w:instrText>
      </w:r>
      <w:r>
        <w:rPr>
          <w:sz w:val="32"/>
          <w:szCs w:val="32"/>
        </w:rPr>
        <w:fldChar w:fldCharType="separate"/>
      </w:r>
      <w:r>
        <w:rPr>
          <w:sz w:val="32"/>
          <w:szCs w:val="32"/>
        </w:rPr>
        <w:t>87</w:t>
      </w:r>
      <w:r>
        <w:rPr>
          <w:sz w:val="32"/>
          <w:szCs w:val="32"/>
        </w:rPr>
        <w:fldChar w:fldCharType="end"/>
      </w:r>
      <w:r>
        <w:rPr>
          <w:sz w:val="32"/>
          <w:szCs w:val="32"/>
        </w:rPr>
        <w:fldChar w:fldCharType="end"/>
      </w:r>
    </w:p>
    <w:p w14:paraId="3A7B73A7">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"_Toc61644814" </w:instrText>
      </w:r>
      <w:r>
        <w:fldChar w:fldCharType="separate"/>
      </w:r>
      <w:r>
        <w:rPr>
          <w:rStyle w:val="49"/>
          <w:rFonts w:eastAsia="黑体"/>
          <w:sz w:val="32"/>
          <w:szCs w:val="32"/>
        </w:rPr>
        <w:t>四、推进以人为核心的新型城镇化</w:t>
      </w:r>
      <w:r>
        <w:rPr>
          <w:sz w:val="32"/>
          <w:szCs w:val="32"/>
        </w:rPr>
        <w:tab/>
      </w:r>
      <w:r>
        <w:rPr>
          <w:sz w:val="32"/>
          <w:szCs w:val="32"/>
        </w:rPr>
        <w:fldChar w:fldCharType="begin" w:fldLock="1"/>
      </w:r>
      <w:r>
        <w:rPr>
          <w:sz w:val="32"/>
          <w:szCs w:val="32"/>
        </w:rPr>
        <w:instrText xml:space="preserve"> PAGEREF _Toc61644814 \h </w:instrText>
      </w:r>
      <w:r>
        <w:rPr>
          <w:sz w:val="32"/>
          <w:szCs w:val="32"/>
        </w:rPr>
        <w:fldChar w:fldCharType="separate"/>
      </w:r>
      <w:r>
        <w:rPr>
          <w:sz w:val="32"/>
          <w:szCs w:val="32"/>
        </w:rPr>
        <w:t>88</w:t>
      </w:r>
      <w:r>
        <w:rPr>
          <w:sz w:val="32"/>
          <w:szCs w:val="32"/>
        </w:rPr>
        <w:fldChar w:fldCharType="end"/>
      </w:r>
      <w:r>
        <w:rPr>
          <w:sz w:val="32"/>
          <w:szCs w:val="32"/>
        </w:rPr>
        <w:fldChar w:fldCharType="end"/>
      </w:r>
    </w:p>
    <w:p w14:paraId="7F32E419">
      <w:pPr>
        <w:pStyle w:val="27"/>
        <w:tabs>
          <w:tab w:val="right" w:leader="dot" w:pos="8828"/>
        </w:tabs>
        <w:spacing w:line="540" w:lineRule="exact"/>
        <w:ind w:firstLine="420"/>
        <w:rPr>
          <w:rFonts w:eastAsiaTheme="minorEastAsia"/>
          <w:b w:val="0"/>
          <w:sz w:val="32"/>
          <w:szCs w:val="32"/>
        </w:rPr>
      </w:pPr>
      <w:r>
        <w:fldChar w:fldCharType="begin"/>
      </w:r>
      <w:r>
        <w:instrText xml:space="preserve"> HYPERLINK \l "_Toc61644815" </w:instrText>
      </w:r>
      <w:r>
        <w:fldChar w:fldCharType="separate"/>
      </w:r>
      <w:r>
        <w:rPr>
          <w:rStyle w:val="49"/>
          <w:rFonts w:eastAsia="黑体"/>
          <w:b w:val="0"/>
          <w:sz w:val="32"/>
          <w:szCs w:val="32"/>
        </w:rPr>
        <w:t>第九章 发力城市管理运营，实践新发展模式</w:t>
      </w:r>
      <w:r>
        <w:rPr>
          <w:b w:val="0"/>
          <w:sz w:val="32"/>
          <w:szCs w:val="32"/>
        </w:rPr>
        <w:tab/>
      </w:r>
      <w:r>
        <w:rPr>
          <w:b w:val="0"/>
          <w:sz w:val="32"/>
          <w:szCs w:val="32"/>
        </w:rPr>
        <w:fldChar w:fldCharType="begin" w:fldLock="1"/>
      </w:r>
      <w:r>
        <w:rPr>
          <w:b w:val="0"/>
          <w:sz w:val="32"/>
          <w:szCs w:val="32"/>
        </w:rPr>
        <w:instrText xml:space="preserve"> PAGEREF _Toc61644815 \h </w:instrText>
      </w:r>
      <w:r>
        <w:rPr>
          <w:b w:val="0"/>
          <w:sz w:val="32"/>
          <w:szCs w:val="32"/>
        </w:rPr>
        <w:fldChar w:fldCharType="separate"/>
      </w:r>
      <w:r>
        <w:rPr>
          <w:b w:val="0"/>
          <w:sz w:val="32"/>
          <w:szCs w:val="32"/>
        </w:rPr>
        <w:t>89</w:t>
      </w:r>
      <w:r>
        <w:rPr>
          <w:b w:val="0"/>
          <w:sz w:val="32"/>
          <w:szCs w:val="32"/>
        </w:rPr>
        <w:fldChar w:fldCharType="end"/>
      </w:r>
      <w:r>
        <w:rPr>
          <w:b w:val="0"/>
          <w:sz w:val="32"/>
          <w:szCs w:val="32"/>
        </w:rPr>
        <w:fldChar w:fldCharType="end"/>
      </w:r>
    </w:p>
    <w:p w14:paraId="72E1B75F">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"_Toc61644816" </w:instrText>
      </w:r>
      <w:r>
        <w:fldChar w:fldCharType="separate"/>
      </w:r>
      <w:r>
        <w:rPr>
          <w:rStyle w:val="49"/>
          <w:rFonts w:eastAsia="黑体"/>
          <w:sz w:val="32"/>
          <w:szCs w:val="32"/>
        </w:rPr>
        <w:t>一、聚力加强城市全周期管理</w:t>
      </w:r>
      <w:r>
        <w:rPr>
          <w:sz w:val="32"/>
          <w:szCs w:val="32"/>
        </w:rPr>
        <w:tab/>
      </w:r>
      <w:r>
        <w:rPr>
          <w:sz w:val="32"/>
          <w:szCs w:val="32"/>
        </w:rPr>
        <w:fldChar w:fldCharType="begin" w:fldLock="1"/>
      </w:r>
      <w:r>
        <w:rPr>
          <w:sz w:val="32"/>
          <w:szCs w:val="32"/>
        </w:rPr>
        <w:instrText xml:space="preserve"> PAGEREF _Toc61644816 \h </w:instrText>
      </w:r>
      <w:r>
        <w:rPr>
          <w:sz w:val="32"/>
          <w:szCs w:val="32"/>
        </w:rPr>
        <w:fldChar w:fldCharType="separate"/>
      </w:r>
      <w:r>
        <w:rPr>
          <w:sz w:val="32"/>
          <w:szCs w:val="32"/>
        </w:rPr>
        <w:t>89</w:t>
      </w:r>
      <w:r>
        <w:rPr>
          <w:sz w:val="32"/>
          <w:szCs w:val="32"/>
        </w:rPr>
        <w:fldChar w:fldCharType="end"/>
      </w:r>
      <w:r>
        <w:rPr>
          <w:sz w:val="32"/>
          <w:szCs w:val="32"/>
        </w:rPr>
        <w:fldChar w:fldCharType="end"/>
      </w:r>
    </w:p>
    <w:p w14:paraId="4F11282E">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"_Toc61644817" </w:instrText>
      </w:r>
      <w:r>
        <w:fldChar w:fldCharType="separate"/>
      </w:r>
      <w:r>
        <w:rPr>
          <w:rStyle w:val="49"/>
          <w:rFonts w:eastAsia="黑体"/>
          <w:sz w:val="32"/>
          <w:szCs w:val="32"/>
        </w:rPr>
        <w:t>二、推进城市投融资模式创新</w:t>
      </w:r>
      <w:r>
        <w:rPr>
          <w:sz w:val="32"/>
          <w:szCs w:val="32"/>
        </w:rPr>
        <w:tab/>
      </w:r>
      <w:r>
        <w:rPr>
          <w:sz w:val="32"/>
          <w:szCs w:val="32"/>
        </w:rPr>
        <w:fldChar w:fldCharType="begin" w:fldLock="1"/>
      </w:r>
      <w:r>
        <w:rPr>
          <w:sz w:val="32"/>
          <w:szCs w:val="32"/>
        </w:rPr>
        <w:instrText xml:space="preserve"> PAGEREF _Toc61644817 \h </w:instrText>
      </w:r>
      <w:r>
        <w:rPr>
          <w:sz w:val="32"/>
          <w:szCs w:val="32"/>
        </w:rPr>
        <w:fldChar w:fldCharType="separate"/>
      </w:r>
      <w:r>
        <w:rPr>
          <w:sz w:val="32"/>
          <w:szCs w:val="32"/>
        </w:rPr>
        <w:t>90</w:t>
      </w:r>
      <w:r>
        <w:rPr>
          <w:sz w:val="32"/>
          <w:szCs w:val="32"/>
        </w:rPr>
        <w:fldChar w:fldCharType="end"/>
      </w:r>
      <w:r>
        <w:rPr>
          <w:sz w:val="32"/>
          <w:szCs w:val="32"/>
        </w:rPr>
        <w:fldChar w:fldCharType="end"/>
      </w:r>
    </w:p>
    <w:p w14:paraId="46455D0D">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"_Toc61644818" </w:instrText>
      </w:r>
      <w:r>
        <w:fldChar w:fldCharType="separate"/>
      </w:r>
      <w:r>
        <w:rPr>
          <w:rStyle w:val="49"/>
          <w:rFonts w:eastAsia="黑体"/>
          <w:sz w:val="32"/>
          <w:szCs w:val="32"/>
        </w:rPr>
        <w:t>三、搭建国企城市运营平台</w:t>
      </w:r>
      <w:r>
        <w:rPr>
          <w:sz w:val="32"/>
          <w:szCs w:val="32"/>
        </w:rPr>
        <w:tab/>
      </w:r>
      <w:r>
        <w:rPr>
          <w:sz w:val="32"/>
          <w:szCs w:val="32"/>
        </w:rPr>
        <w:fldChar w:fldCharType="begin" w:fldLock="1"/>
      </w:r>
      <w:r>
        <w:rPr>
          <w:sz w:val="32"/>
          <w:szCs w:val="32"/>
        </w:rPr>
        <w:instrText xml:space="preserve"> PAGEREF _Toc61644818 \h </w:instrText>
      </w:r>
      <w:r>
        <w:rPr>
          <w:sz w:val="32"/>
          <w:szCs w:val="32"/>
        </w:rPr>
        <w:fldChar w:fldCharType="separate"/>
      </w:r>
      <w:r>
        <w:rPr>
          <w:sz w:val="32"/>
          <w:szCs w:val="32"/>
        </w:rPr>
        <w:t>91</w:t>
      </w:r>
      <w:r>
        <w:rPr>
          <w:sz w:val="32"/>
          <w:szCs w:val="32"/>
        </w:rPr>
        <w:fldChar w:fldCharType="end"/>
      </w:r>
      <w:r>
        <w:rPr>
          <w:sz w:val="32"/>
          <w:szCs w:val="32"/>
        </w:rPr>
        <w:fldChar w:fldCharType="end"/>
      </w:r>
    </w:p>
    <w:p w14:paraId="5F3E2401">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"_Toc61644819" </w:instrText>
      </w:r>
      <w:r>
        <w:fldChar w:fldCharType="separate"/>
      </w:r>
      <w:r>
        <w:rPr>
          <w:rStyle w:val="49"/>
          <w:rFonts w:eastAsia="黑体"/>
          <w:sz w:val="32"/>
          <w:szCs w:val="32"/>
        </w:rPr>
        <w:t>四、构建西山国资国企发展模式</w:t>
      </w:r>
      <w:r>
        <w:rPr>
          <w:sz w:val="32"/>
          <w:szCs w:val="32"/>
        </w:rPr>
        <w:tab/>
      </w:r>
      <w:r>
        <w:rPr>
          <w:sz w:val="32"/>
          <w:szCs w:val="32"/>
        </w:rPr>
        <w:fldChar w:fldCharType="begin" w:fldLock="1"/>
      </w:r>
      <w:r>
        <w:rPr>
          <w:sz w:val="32"/>
          <w:szCs w:val="32"/>
        </w:rPr>
        <w:instrText xml:space="preserve"> PAGEREF _Toc61644819 \h </w:instrText>
      </w:r>
      <w:r>
        <w:rPr>
          <w:sz w:val="32"/>
          <w:szCs w:val="32"/>
        </w:rPr>
        <w:fldChar w:fldCharType="separate"/>
      </w:r>
      <w:r>
        <w:rPr>
          <w:sz w:val="32"/>
          <w:szCs w:val="32"/>
        </w:rPr>
        <w:t>92</w:t>
      </w:r>
      <w:r>
        <w:rPr>
          <w:sz w:val="32"/>
          <w:szCs w:val="32"/>
        </w:rPr>
        <w:fldChar w:fldCharType="end"/>
      </w:r>
      <w:r>
        <w:rPr>
          <w:sz w:val="32"/>
          <w:szCs w:val="32"/>
        </w:rPr>
        <w:fldChar w:fldCharType="end"/>
      </w:r>
    </w:p>
    <w:p w14:paraId="2090165C">
      <w:pPr>
        <w:pStyle w:val="27"/>
        <w:tabs>
          <w:tab w:val="right" w:leader="dot" w:pos="8828"/>
        </w:tabs>
        <w:spacing w:line="540" w:lineRule="exact"/>
        <w:ind w:firstLine="420"/>
        <w:rPr>
          <w:rFonts w:eastAsiaTheme="minorEastAsia"/>
          <w:b w:val="0"/>
          <w:sz w:val="32"/>
          <w:szCs w:val="32"/>
        </w:rPr>
      </w:pPr>
      <w:r>
        <w:fldChar w:fldCharType="begin"/>
      </w:r>
      <w:r>
        <w:instrText xml:space="preserve"> HYPERLINK \l "_Toc61644820" </w:instrText>
      </w:r>
      <w:r>
        <w:fldChar w:fldCharType="separate"/>
      </w:r>
      <w:r>
        <w:rPr>
          <w:rStyle w:val="49"/>
          <w:rFonts w:eastAsia="黑体"/>
          <w:b w:val="0"/>
          <w:sz w:val="32"/>
          <w:szCs w:val="32"/>
        </w:rPr>
        <w:t>第十章 构筑现代基础设施网络，释放新发展效能</w:t>
      </w:r>
      <w:r>
        <w:rPr>
          <w:b w:val="0"/>
          <w:sz w:val="32"/>
          <w:szCs w:val="32"/>
        </w:rPr>
        <w:tab/>
      </w:r>
      <w:r>
        <w:rPr>
          <w:b w:val="0"/>
          <w:sz w:val="32"/>
          <w:szCs w:val="32"/>
        </w:rPr>
        <w:fldChar w:fldCharType="begin" w:fldLock="1"/>
      </w:r>
      <w:r>
        <w:rPr>
          <w:b w:val="0"/>
          <w:sz w:val="32"/>
          <w:szCs w:val="32"/>
        </w:rPr>
        <w:instrText xml:space="preserve"> PAGEREF _Toc61644820 \h </w:instrText>
      </w:r>
      <w:r>
        <w:rPr>
          <w:b w:val="0"/>
          <w:sz w:val="32"/>
          <w:szCs w:val="32"/>
        </w:rPr>
        <w:fldChar w:fldCharType="separate"/>
      </w:r>
      <w:r>
        <w:rPr>
          <w:b w:val="0"/>
          <w:sz w:val="32"/>
          <w:szCs w:val="32"/>
        </w:rPr>
        <w:t>92</w:t>
      </w:r>
      <w:r>
        <w:rPr>
          <w:b w:val="0"/>
          <w:sz w:val="32"/>
          <w:szCs w:val="32"/>
        </w:rPr>
        <w:fldChar w:fldCharType="end"/>
      </w:r>
      <w:r>
        <w:rPr>
          <w:b w:val="0"/>
          <w:sz w:val="32"/>
          <w:szCs w:val="32"/>
        </w:rPr>
        <w:fldChar w:fldCharType="end"/>
      </w:r>
    </w:p>
    <w:p w14:paraId="0FBF34F4">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"_Toc61644821" </w:instrText>
      </w:r>
      <w:r>
        <w:fldChar w:fldCharType="separate"/>
      </w:r>
      <w:r>
        <w:rPr>
          <w:rStyle w:val="49"/>
          <w:rFonts w:eastAsia="黑体"/>
          <w:sz w:val="32"/>
          <w:szCs w:val="32"/>
        </w:rPr>
        <w:t>一、积极推进“数字西山”建设</w:t>
      </w:r>
      <w:r>
        <w:rPr>
          <w:sz w:val="32"/>
          <w:szCs w:val="32"/>
        </w:rPr>
        <w:tab/>
      </w:r>
      <w:r>
        <w:rPr>
          <w:sz w:val="32"/>
          <w:szCs w:val="32"/>
        </w:rPr>
        <w:fldChar w:fldCharType="begin" w:fldLock="1"/>
      </w:r>
      <w:r>
        <w:rPr>
          <w:sz w:val="32"/>
          <w:szCs w:val="32"/>
        </w:rPr>
        <w:instrText xml:space="preserve"> PAGEREF _Toc61644821 \h </w:instrText>
      </w:r>
      <w:r>
        <w:rPr>
          <w:sz w:val="32"/>
          <w:szCs w:val="32"/>
        </w:rPr>
        <w:fldChar w:fldCharType="separate"/>
      </w:r>
      <w:r>
        <w:rPr>
          <w:sz w:val="32"/>
          <w:szCs w:val="32"/>
        </w:rPr>
        <w:t>93</w:t>
      </w:r>
      <w:r>
        <w:rPr>
          <w:sz w:val="32"/>
          <w:szCs w:val="32"/>
        </w:rPr>
        <w:fldChar w:fldCharType="end"/>
      </w:r>
      <w:r>
        <w:rPr>
          <w:sz w:val="32"/>
          <w:szCs w:val="32"/>
        </w:rPr>
        <w:fldChar w:fldCharType="end"/>
      </w:r>
    </w:p>
    <w:p w14:paraId="37CF414B">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"_Toc61644822" </w:instrText>
      </w:r>
      <w:r>
        <w:fldChar w:fldCharType="separate"/>
      </w:r>
      <w:r>
        <w:rPr>
          <w:rStyle w:val="49"/>
          <w:rFonts w:eastAsia="黑体"/>
          <w:sz w:val="32"/>
          <w:szCs w:val="32"/>
        </w:rPr>
        <w:t>二、构建互联互通的综合交通网</w:t>
      </w:r>
      <w:r>
        <w:rPr>
          <w:sz w:val="32"/>
          <w:szCs w:val="32"/>
        </w:rPr>
        <w:tab/>
      </w:r>
      <w:r>
        <w:rPr>
          <w:sz w:val="32"/>
          <w:szCs w:val="32"/>
        </w:rPr>
        <w:fldChar w:fldCharType="begin" w:fldLock="1"/>
      </w:r>
      <w:r>
        <w:rPr>
          <w:sz w:val="32"/>
          <w:szCs w:val="32"/>
        </w:rPr>
        <w:instrText xml:space="preserve"> PAGEREF _Toc61644822 \h </w:instrText>
      </w:r>
      <w:r>
        <w:rPr>
          <w:sz w:val="32"/>
          <w:szCs w:val="32"/>
        </w:rPr>
        <w:fldChar w:fldCharType="separate"/>
      </w:r>
      <w:r>
        <w:rPr>
          <w:sz w:val="32"/>
          <w:szCs w:val="32"/>
        </w:rPr>
        <w:t>95</w:t>
      </w:r>
      <w:r>
        <w:rPr>
          <w:sz w:val="32"/>
          <w:szCs w:val="32"/>
        </w:rPr>
        <w:fldChar w:fldCharType="end"/>
      </w:r>
      <w:r>
        <w:rPr>
          <w:sz w:val="32"/>
          <w:szCs w:val="32"/>
        </w:rPr>
        <w:fldChar w:fldCharType="end"/>
      </w:r>
    </w:p>
    <w:p w14:paraId="2ED79434">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"_Toc61644823" </w:instrText>
      </w:r>
      <w:r>
        <w:fldChar w:fldCharType="separate"/>
      </w:r>
      <w:r>
        <w:rPr>
          <w:rStyle w:val="49"/>
          <w:rFonts w:eastAsia="黑体"/>
          <w:sz w:val="32"/>
          <w:szCs w:val="32"/>
        </w:rPr>
        <w:t>三、构建集约高效可靠的水网</w:t>
      </w:r>
      <w:r>
        <w:rPr>
          <w:sz w:val="32"/>
          <w:szCs w:val="32"/>
        </w:rPr>
        <w:tab/>
      </w:r>
      <w:r>
        <w:rPr>
          <w:sz w:val="32"/>
          <w:szCs w:val="32"/>
        </w:rPr>
        <w:fldChar w:fldCharType="begin" w:fldLock="1"/>
      </w:r>
      <w:r>
        <w:rPr>
          <w:sz w:val="32"/>
          <w:szCs w:val="32"/>
        </w:rPr>
        <w:instrText xml:space="preserve"> PAGEREF _Toc61644823 \h </w:instrText>
      </w:r>
      <w:r>
        <w:rPr>
          <w:sz w:val="32"/>
          <w:szCs w:val="32"/>
        </w:rPr>
        <w:fldChar w:fldCharType="separate"/>
      </w:r>
      <w:r>
        <w:rPr>
          <w:sz w:val="32"/>
          <w:szCs w:val="32"/>
        </w:rPr>
        <w:t>97</w:t>
      </w:r>
      <w:r>
        <w:rPr>
          <w:sz w:val="32"/>
          <w:szCs w:val="32"/>
        </w:rPr>
        <w:fldChar w:fldCharType="end"/>
      </w:r>
      <w:r>
        <w:rPr>
          <w:sz w:val="32"/>
          <w:szCs w:val="32"/>
        </w:rPr>
        <w:fldChar w:fldCharType="end"/>
      </w:r>
    </w:p>
    <w:p w14:paraId="42B9E85F">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"_Toc61644824" </w:instrText>
      </w:r>
      <w:r>
        <w:fldChar w:fldCharType="separate"/>
      </w:r>
      <w:r>
        <w:rPr>
          <w:rStyle w:val="49"/>
          <w:rFonts w:eastAsia="黑体"/>
          <w:sz w:val="32"/>
          <w:szCs w:val="32"/>
        </w:rPr>
        <w:t>四、构建保障有力的绿色能源网</w:t>
      </w:r>
      <w:r>
        <w:rPr>
          <w:sz w:val="32"/>
          <w:szCs w:val="32"/>
        </w:rPr>
        <w:tab/>
      </w:r>
      <w:r>
        <w:rPr>
          <w:sz w:val="32"/>
          <w:szCs w:val="32"/>
        </w:rPr>
        <w:fldChar w:fldCharType="begin" w:fldLock="1"/>
      </w:r>
      <w:r>
        <w:rPr>
          <w:sz w:val="32"/>
          <w:szCs w:val="32"/>
        </w:rPr>
        <w:instrText xml:space="preserve"> PAGEREF _Toc61644824 \h </w:instrText>
      </w:r>
      <w:r>
        <w:rPr>
          <w:sz w:val="32"/>
          <w:szCs w:val="32"/>
        </w:rPr>
        <w:fldChar w:fldCharType="separate"/>
      </w:r>
      <w:r>
        <w:rPr>
          <w:sz w:val="32"/>
          <w:szCs w:val="32"/>
        </w:rPr>
        <w:t>99</w:t>
      </w:r>
      <w:r>
        <w:rPr>
          <w:sz w:val="32"/>
          <w:szCs w:val="32"/>
        </w:rPr>
        <w:fldChar w:fldCharType="end"/>
      </w:r>
      <w:r>
        <w:rPr>
          <w:sz w:val="32"/>
          <w:szCs w:val="32"/>
        </w:rPr>
        <w:fldChar w:fldCharType="end"/>
      </w:r>
    </w:p>
    <w:p w14:paraId="72D85BB0">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"_Toc61644825" </w:instrText>
      </w:r>
      <w:r>
        <w:fldChar w:fldCharType="separate"/>
      </w:r>
      <w:r>
        <w:rPr>
          <w:rStyle w:val="49"/>
          <w:rFonts w:eastAsia="黑体"/>
          <w:sz w:val="32"/>
          <w:szCs w:val="32"/>
        </w:rPr>
        <w:t>五、构建畅通高效的现代物流网</w:t>
      </w:r>
      <w:r>
        <w:rPr>
          <w:sz w:val="32"/>
          <w:szCs w:val="32"/>
        </w:rPr>
        <w:tab/>
      </w:r>
      <w:r>
        <w:rPr>
          <w:sz w:val="32"/>
          <w:szCs w:val="32"/>
        </w:rPr>
        <w:fldChar w:fldCharType="begin" w:fldLock="1"/>
      </w:r>
      <w:r>
        <w:rPr>
          <w:sz w:val="32"/>
          <w:szCs w:val="32"/>
        </w:rPr>
        <w:instrText xml:space="preserve"> PAGEREF _Toc61644825 \h </w:instrText>
      </w:r>
      <w:r>
        <w:rPr>
          <w:sz w:val="32"/>
          <w:szCs w:val="32"/>
        </w:rPr>
        <w:fldChar w:fldCharType="separate"/>
      </w:r>
      <w:r>
        <w:rPr>
          <w:sz w:val="32"/>
          <w:szCs w:val="32"/>
        </w:rPr>
        <w:t>102</w:t>
      </w:r>
      <w:r>
        <w:rPr>
          <w:sz w:val="32"/>
          <w:szCs w:val="32"/>
        </w:rPr>
        <w:fldChar w:fldCharType="end"/>
      </w:r>
      <w:r>
        <w:rPr>
          <w:sz w:val="32"/>
          <w:szCs w:val="32"/>
        </w:rPr>
        <w:fldChar w:fldCharType="end"/>
      </w:r>
    </w:p>
    <w:p w14:paraId="066E2951">
      <w:pPr>
        <w:pStyle w:val="27"/>
        <w:tabs>
          <w:tab w:val="right" w:leader="dot" w:pos="8828"/>
        </w:tabs>
        <w:spacing w:line="540" w:lineRule="exact"/>
        <w:ind w:firstLine="420"/>
        <w:rPr>
          <w:rFonts w:eastAsiaTheme="minorEastAsia"/>
          <w:b w:val="0"/>
          <w:sz w:val="32"/>
          <w:szCs w:val="32"/>
        </w:rPr>
      </w:pPr>
      <w:r>
        <w:fldChar w:fldCharType="begin"/>
      </w:r>
      <w:r>
        <w:instrText xml:space="preserve"> HYPERLINK \l "_Toc61644826" </w:instrText>
      </w:r>
      <w:r>
        <w:fldChar w:fldCharType="separate"/>
      </w:r>
      <w:r>
        <w:rPr>
          <w:rStyle w:val="49"/>
          <w:rFonts w:eastAsia="黑体"/>
          <w:b w:val="0"/>
          <w:sz w:val="32"/>
          <w:szCs w:val="32"/>
        </w:rPr>
        <w:t>第十一章 实施文化强区，打造新发展名片</w:t>
      </w:r>
      <w:r>
        <w:rPr>
          <w:b w:val="0"/>
          <w:sz w:val="32"/>
          <w:szCs w:val="32"/>
        </w:rPr>
        <w:tab/>
      </w:r>
      <w:r>
        <w:rPr>
          <w:b w:val="0"/>
          <w:sz w:val="32"/>
          <w:szCs w:val="32"/>
        </w:rPr>
        <w:fldChar w:fldCharType="begin" w:fldLock="1"/>
      </w:r>
      <w:r>
        <w:rPr>
          <w:b w:val="0"/>
          <w:sz w:val="32"/>
          <w:szCs w:val="32"/>
        </w:rPr>
        <w:instrText xml:space="preserve"> PAGEREF _Toc61644826 \h </w:instrText>
      </w:r>
      <w:r>
        <w:rPr>
          <w:b w:val="0"/>
          <w:sz w:val="32"/>
          <w:szCs w:val="32"/>
        </w:rPr>
        <w:fldChar w:fldCharType="separate"/>
      </w:r>
      <w:r>
        <w:rPr>
          <w:b w:val="0"/>
          <w:sz w:val="32"/>
          <w:szCs w:val="32"/>
        </w:rPr>
        <w:t>102</w:t>
      </w:r>
      <w:r>
        <w:rPr>
          <w:b w:val="0"/>
          <w:sz w:val="32"/>
          <w:szCs w:val="32"/>
        </w:rPr>
        <w:fldChar w:fldCharType="end"/>
      </w:r>
      <w:r>
        <w:rPr>
          <w:b w:val="0"/>
          <w:sz w:val="32"/>
          <w:szCs w:val="32"/>
        </w:rPr>
        <w:fldChar w:fldCharType="end"/>
      </w:r>
    </w:p>
    <w:p w14:paraId="4690B324">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"_Toc61644827" </w:instrText>
      </w:r>
      <w:r>
        <w:fldChar w:fldCharType="separate"/>
      </w:r>
      <w:r>
        <w:rPr>
          <w:rStyle w:val="49"/>
          <w:rFonts w:eastAsia="黑体"/>
          <w:sz w:val="32"/>
          <w:szCs w:val="32"/>
        </w:rPr>
        <w:t>一、全力提升社会文明程度</w:t>
      </w:r>
      <w:r>
        <w:rPr>
          <w:sz w:val="32"/>
          <w:szCs w:val="32"/>
        </w:rPr>
        <w:tab/>
      </w:r>
      <w:r>
        <w:rPr>
          <w:sz w:val="32"/>
          <w:szCs w:val="32"/>
        </w:rPr>
        <w:fldChar w:fldCharType="begin" w:fldLock="1"/>
      </w:r>
      <w:r>
        <w:rPr>
          <w:sz w:val="32"/>
          <w:szCs w:val="32"/>
        </w:rPr>
        <w:instrText xml:space="preserve"> PAGEREF _Toc61644827 \h </w:instrText>
      </w:r>
      <w:r>
        <w:rPr>
          <w:sz w:val="32"/>
          <w:szCs w:val="32"/>
        </w:rPr>
        <w:fldChar w:fldCharType="separate"/>
      </w:r>
      <w:r>
        <w:rPr>
          <w:sz w:val="32"/>
          <w:szCs w:val="32"/>
        </w:rPr>
        <w:t>102</w:t>
      </w:r>
      <w:r>
        <w:rPr>
          <w:sz w:val="32"/>
          <w:szCs w:val="32"/>
        </w:rPr>
        <w:fldChar w:fldCharType="end"/>
      </w:r>
      <w:r>
        <w:rPr>
          <w:sz w:val="32"/>
          <w:szCs w:val="32"/>
        </w:rPr>
        <w:fldChar w:fldCharType="end"/>
      </w:r>
    </w:p>
    <w:p w14:paraId="5FC0F643">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"_Toc61644828" </w:instrText>
      </w:r>
      <w:r>
        <w:fldChar w:fldCharType="separate"/>
      </w:r>
      <w:r>
        <w:rPr>
          <w:rStyle w:val="49"/>
          <w:rFonts w:eastAsia="黑体"/>
          <w:sz w:val="32"/>
          <w:szCs w:val="32"/>
        </w:rPr>
        <w:t>二、健全公共文化服务体系</w:t>
      </w:r>
      <w:r>
        <w:rPr>
          <w:sz w:val="32"/>
          <w:szCs w:val="32"/>
        </w:rPr>
        <w:tab/>
      </w:r>
      <w:r>
        <w:rPr>
          <w:sz w:val="32"/>
          <w:szCs w:val="32"/>
        </w:rPr>
        <w:fldChar w:fldCharType="begin" w:fldLock="1"/>
      </w:r>
      <w:r>
        <w:rPr>
          <w:sz w:val="32"/>
          <w:szCs w:val="32"/>
        </w:rPr>
        <w:instrText xml:space="preserve"> PAGEREF _Toc61644828 \h </w:instrText>
      </w:r>
      <w:r>
        <w:rPr>
          <w:sz w:val="32"/>
          <w:szCs w:val="32"/>
        </w:rPr>
        <w:fldChar w:fldCharType="separate"/>
      </w:r>
      <w:r>
        <w:rPr>
          <w:sz w:val="32"/>
          <w:szCs w:val="32"/>
        </w:rPr>
        <w:t>103</w:t>
      </w:r>
      <w:r>
        <w:rPr>
          <w:sz w:val="32"/>
          <w:szCs w:val="32"/>
        </w:rPr>
        <w:fldChar w:fldCharType="end"/>
      </w:r>
      <w:r>
        <w:rPr>
          <w:sz w:val="32"/>
          <w:szCs w:val="32"/>
        </w:rPr>
        <w:fldChar w:fldCharType="end"/>
      </w:r>
    </w:p>
    <w:p w14:paraId="27CCE4E7">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"_Toc61644829" </w:instrText>
      </w:r>
      <w:r>
        <w:fldChar w:fldCharType="separate"/>
      </w:r>
      <w:r>
        <w:rPr>
          <w:rStyle w:val="49"/>
          <w:rFonts w:eastAsia="黑体"/>
          <w:sz w:val="32"/>
          <w:szCs w:val="32"/>
        </w:rPr>
        <w:t>三、丰富人民精神文化生活</w:t>
      </w:r>
      <w:r>
        <w:rPr>
          <w:sz w:val="32"/>
          <w:szCs w:val="32"/>
        </w:rPr>
        <w:tab/>
      </w:r>
      <w:r>
        <w:rPr>
          <w:sz w:val="32"/>
          <w:szCs w:val="32"/>
        </w:rPr>
        <w:fldChar w:fldCharType="begin" w:fldLock="1"/>
      </w:r>
      <w:r>
        <w:rPr>
          <w:sz w:val="32"/>
          <w:szCs w:val="32"/>
        </w:rPr>
        <w:instrText xml:space="preserve"> PAGEREF _Toc61644829 \h </w:instrText>
      </w:r>
      <w:r>
        <w:rPr>
          <w:sz w:val="32"/>
          <w:szCs w:val="32"/>
        </w:rPr>
        <w:fldChar w:fldCharType="separate"/>
      </w:r>
      <w:r>
        <w:rPr>
          <w:sz w:val="32"/>
          <w:szCs w:val="32"/>
        </w:rPr>
        <w:t>108</w:t>
      </w:r>
      <w:r>
        <w:rPr>
          <w:sz w:val="32"/>
          <w:szCs w:val="32"/>
        </w:rPr>
        <w:fldChar w:fldCharType="end"/>
      </w:r>
      <w:r>
        <w:rPr>
          <w:sz w:val="32"/>
          <w:szCs w:val="32"/>
        </w:rPr>
        <w:fldChar w:fldCharType="end"/>
      </w:r>
    </w:p>
    <w:p w14:paraId="1822683C">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"_Toc61644830" </w:instrText>
      </w:r>
      <w:r>
        <w:fldChar w:fldCharType="separate"/>
      </w:r>
      <w:r>
        <w:rPr>
          <w:rStyle w:val="49"/>
          <w:rFonts w:eastAsia="黑体"/>
          <w:sz w:val="32"/>
          <w:szCs w:val="32"/>
        </w:rPr>
        <w:t>四、打造“心往春城·脉汇西山”区域文化名片</w:t>
      </w:r>
      <w:r>
        <w:rPr>
          <w:sz w:val="32"/>
          <w:szCs w:val="32"/>
        </w:rPr>
        <w:tab/>
      </w:r>
      <w:r>
        <w:rPr>
          <w:sz w:val="32"/>
          <w:szCs w:val="32"/>
        </w:rPr>
        <w:fldChar w:fldCharType="begin" w:fldLock="1"/>
      </w:r>
      <w:r>
        <w:rPr>
          <w:sz w:val="32"/>
          <w:szCs w:val="32"/>
        </w:rPr>
        <w:instrText xml:space="preserve"> PAGEREF _Toc61644830 \h </w:instrText>
      </w:r>
      <w:r>
        <w:rPr>
          <w:sz w:val="32"/>
          <w:szCs w:val="32"/>
        </w:rPr>
        <w:fldChar w:fldCharType="separate"/>
      </w:r>
      <w:r>
        <w:rPr>
          <w:sz w:val="32"/>
          <w:szCs w:val="32"/>
        </w:rPr>
        <w:t>108</w:t>
      </w:r>
      <w:r>
        <w:rPr>
          <w:sz w:val="32"/>
          <w:szCs w:val="32"/>
        </w:rPr>
        <w:fldChar w:fldCharType="end"/>
      </w:r>
      <w:r>
        <w:rPr>
          <w:sz w:val="32"/>
          <w:szCs w:val="32"/>
        </w:rPr>
        <w:fldChar w:fldCharType="end"/>
      </w:r>
    </w:p>
    <w:p w14:paraId="3666AD24">
      <w:pPr>
        <w:pStyle w:val="27"/>
        <w:tabs>
          <w:tab w:val="right" w:leader="dot" w:pos="8828"/>
        </w:tabs>
        <w:spacing w:line="540" w:lineRule="exact"/>
        <w:ind w:firstLine="420"/>
        <w:rPr>
          <w:rFonts w:eastAsiaTheme="minorEastAsia"/>
          <w:b w:val="0"/>
          <w:sz w:val="32"/>
          <w:szCs w:val="32"/>
        </w:rPr>
      </w:pPr>
      <w:r>
        <w:fldChar w:fldCharType="begin"/>
      </w:r>
      <w:r>
        <w:instrText xml:space="preserve"> HYPERLINK \l "_Toc61644831" </w:instrText>
      </w:r>
      <w:r>
        <w:fldChar w:fldCharType="separate"/>
      </w:r>
      <w:r>
        <w:rPr>
          <w:rStyle w:val="49"/>
          <w:rFonts w:eastAsia="黑体"/>
          <w:b w:val="0"/>
          <w:sz w:val="32"/>
          <w:szCs w:val="32"/>
        </w:rPr>
        <w:t>第十二章 践行绿色生态理念，厚植新发展优势</w:t>
      </w:r>
      <w:r>
        <w:rPr>
          <w:b w:val="0"/>
          <w:sz w:val="32"/>
          <w:szCs w:val="32"/>
        </w:rPr>
        <w:tab/>
      </w:r>
      <w:r>
        <w:rPr>
          <w:b w:val="0"/>
          <w:sz w:val="32"/>
          <w:szCs w:val="32"/>
        </w:rPr>
        <w:fldChar w:fldCharType="begin" w:fldLock="1"/>
      </w:r>
      <w:r>
        <w:rPr>
          <w:b w:val="0"/>
          <w:sz w:val="32"/>
          <w:szCs w:val="32"/>
        </w:rPr>
        <w:instrText xml:space="preserve"> PAGEREF _Toc61644831 \h </w:instrText>
      </w:r>
      <w:r>
        <w:rPr>
          <w:b w:val="0"/>
          <w:sz w:val="32"/>
          <w:szCs w:val="32"/>
        </w:rPr>
        <w:fldChar w:fldCharType="separate"/>
      </w:r>
      <w:r>
        <w:rPr>
          <w:b w:val="0"/>
          <w:sz w:val="32"/>
          <w:szCs w:val="32"/>
        </w:rPr>
        <w:t>110</w:t>
      </w:r>
      <w:r>
        <w:rPr>
          <w:b w:val="0"/>
          <w:sz w:val="32"/>
          <w:szCs w:val="32"/>
        </w:rPr>
        <w:fldChar w:fldCharType="end"/>
      </w:r>
      <w:r>
        <w:rPr>
          <w:b w:val="0"/>
          <w:sz w:val="32"/>
          <w:szCs w:val="32"/>
        </w:rPr>
        <w:fldChar w:fldCharType="end"/>
      </w:r>
    </w:p>
    <w:p w14:paraId="5A1F751F">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"_Toc61644832" </w:instrText>
      </w:r>
      <w:r>
        <w:fldChar w:fldCharType="separate"/>
      </w:r>
      <w:r>
        <w:rPr>
          <w:rStyle w:val="49"/>
          <w:rFonts w:eastAsia="黑体"/>
          <w:sz w:val="32"/>
          <w:szCs w:val="32"/>
        </w:rPr>
        <w:t>一、推进绿色低碳发展，建设山水都市品质区</w:t>
      </w:r>
      <w:r>
        <w:rPr>
          <w:sz w:val="32"/>
          <w:szCs w:val="32"/>
        </w:rPr>
        <w:tab/>
      </w:r>
      <w:r>
        <w:rPr>
          <w:sz w:val="32"/>
          <w:szCs w:val="32"/>
        </w:rPr>
        <w:fldChar w:fldCharType="begin" w:fldLock="1"/>
      </w:r>
      <w:r>
        <w:rPr>
          <w:sz w:val="32"/>
          <w:szCs w:val="32"/>
        </w:rPr>
        <w:instrText xml:space="preserve"> PAGEREF _Toc61644832 \h </w:instrText>
      </w:r>
      <w:r>
        <w:rPr>
          <w:sz w:val="32"/>
          <w:szCs w:val="32"/>
        </w:rPr>
        <w:fldChar w:fldCharType="separate"/>
      </w:r>
      <w:r>
        <w:rPr>
          <w:sz w:val="32"/>
          <w:szCs w:val="32"/>
        </w:rPr>
        <w:t>110</w:t>
      </w:r>
      <w:r>
        <w:rPr>
          <w:sz w:val="32"/>
          <w:szCs w:val="32"/>
        </w:rPr>
        <w:fldChar w:fldCharType="end"/>
      </w:r>
      <w:r>
        <w:rPr>
          <w:sz w:val="32"/>
          <w:szCs w:val="32"/>
        </w:rPr>
        <w:fldChar w:fldCharType="end"/>
      </w:r>
    </w:p>
    <w:p w14:paraId="3E6B9258">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"_Toc61644833" </w:instrText>
      </w:r>
      <w:r>
        <w:fldChar w:fldCharType="separate"/>
      </w:r>
      <w:r>
        <w:rPr>
          <w:rStyle w:val="49"/>
          <w:rFonts w:eastAsia="黑体"/>
          <w:sz w:val="32"/>
          <w:szCs w:val="32"/>
        </w:rPr>
        <w:t>二、统筹山水林田湖草，持续优化生态环境质量</w:t>
      </w:r>
      <w:r>
        <w:rPr>
          <w:sz w:val="32"/>
          <w:szCs w:val="32"/>
        </w:rPr>
        <w:tab/>
      </w:r>
      <w:r>
        <w:rPr>
          <w:sz w:val="32"/>
          <w:szCs w:val="32"/>
        </w:rPr>
        <w:fldChar w:fldCharType="begin" w:fldLock="1"/>
      </w:r>
      <w:r>
        <w:rPr>
          <w:sz w:val="32"/>
          <w:szCs w:val="32"/>
        </w:rPr>
        <w:instrText xml:space="preserve"> PAGEREF _Toc61644833 \h </w:instrText>
      </w:r>
      <w:r>
        <w:rPr>
          <w:sz w:val="32"/>
          <w:szCs w:val="32"/>
        </w:rPr>
        <w:fldChar w:fldCharType="separate"/>
      </w:r>
      <w:r>
        <w:rPr>
          <w:sz w:val="32"/>
          <w:szCs w:val="32"/>
        </w:rPr>
        <w:t>111</w:t>
      </w:r>
      <w:r>
        <w:rPr>
          <w:sz w:val="32"/>
          <w:szCs w:val="32"/>
        </w:rPr>
        <w:fldChar w:fldCharType="end"/>
      </w:r>
      <w:r>
        <w:rPr>
          <w:sz w:val="32"/>
          <w:szCs w:val="32"/>
        </w:rPr>
        <w:fldChar w:fldCharType="end"/>
      </w:r>
    </w:p>
    <w:p w14:paraId="24F255AD">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"_Toc61644834" </w:instrText>
      </w:r>
      <w:r>
        <w:fldChar w:fldCharType="separate"/>
      </w:r>
      <w:r>
        <w:rPr>
          <w:rStyle w:val="49"/>
          <w:rFonts w:eastAsia="黑体"/>
          <w:sz w:val="32"/>
          <w:szCs w:val="32"/>
        </w:rPr>
        <w:t>三、完善科学高效完备的全领域美丽治理体系</w:t>
      </w:r>
      <w:r>
        <w:rPr>
          <w:sz w:val="32"/>
          <w:szCs w:val="32"/>
        </w:rPr>
        <w:tab/>
      </w:r>
      <w:r>
        <w:rPr>
          <w:sz w:val="32"/>
          <w:szCs w:val="32"/>
        </w:rPr>
        <w:fldChar w:fldCharType="begin" w:fldLock="1"/>
      </w:r>
      <w:r>
        <w:rPr>
          <w:sz w:val="32"/>
          <w:szCs w:val="32"/>
        </w:rPr>
        <w:instrText xml:space="preserve"> PAGEREF _Toc61644834 \h </w:instrText>
      </w:r>
      <w:r>
        <w:rPr>
          <w:sz w:val="32"/>
          <w:szCs w:val="32"/>
        </w:rPr>
        <w:fldChar w:fldCharType="separate"/>
      </w:r>
      <w:r>
        <w:rPr>
          <w:sz w:val="32"/>
          <w:szCs w:val="32"/>
        </w:rPr>
        <w:t>115</w:t>
      </w:r>
      <w:r>
        <w:rPr>
          <w:sz w:val="32"/>
          <w:szCs w:val="32"/>
        </w:rPr>
        <w:fldChar w:fldCharType="end"/>
      </w:r>
      <w:r>
        <w:rPr>
          <w:sz w:val="32"/>
          <w:szCs w:val="32"/>
        </w:rPr>
        <w:fldChar w:fldCharType="end"/>
      </w:r>
    </w:p>
    <w:p w14:paraId="0579C992">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"_Toc61644835" </w:instrText>
      </w:r>
      <w:r>
        <w:fldChar w:fldCharType="separate"/>
      </w:r>
      <w:r>
        <w:rPr>
          <w:rStyle w:val="49"/>
          <w:rFonts w:eastAsia="黑体"/>
          <w:sz w:val="32"/>
          <w:szCs w:val="32"/>
        </w:rPr>
        <w:t>四、加快生态资源向生态价值转化</w:t>
      </w:r>
      <w:r>
        <w:rPr>
          <w:sz w:val="32"/>
          <w:szCs w:val="32"/>
        </w:rPr>
        <w:tab/>
      </w:r>
      <w:r>
        <w:rPr>
          <w:sz w:val="32"/>
          <w:szCs w:val="32"/>
        </w:rPr>
        <w:fldChar w:fldCharType="begin" w:fldLock="1"/>
      </w:r>
      <w:r>
        <w:rPr>
          <w:sz w:val="32"/>
          <w:szCs w:val="32"/>
        </w:rPr>
        <w:instrText xml:space="preserve"> PAGEREF _Toc61644835 \h </w:instrText>
      </w:r>
      <w:r>
        <w:rPr>
          <w:sz w:val="32"/>
          <w:szCs w:val="32"/>
        </w:rPr>
        <w:fldChar w:fldCharType="separate"/>
      </w:r>
      <w:r>
        <w:rPr>
          <w:sz w:val="32"/>
          <w:szCs w:val="32"/>
        </w:rPr>
        <w:t>115</w:t>
      </w:r>
      <w:r>
        <w:rPr>
          <w:sz w:val="32"/>
          <w:szCs w:val="32"/>
        </w:rPr>
        <w:fldChar w:fldCharType="end"/>
      </w:r>
      <w:r>
        <w:rPr>
          <w:sz w:val="32"/>
          <w:szCs w:val="32"/>
        </w:rPr>
        <w:fldChar w:fldCharType="end"/>
      </w:r>
    </w:p>
    <w:p w14:paraId="059AB2B9">
      <w:pPr>
        <w:pStyle w:val="27"/>
        <w:tabs>
          <w:tab w:val="right" w:leader="dot" w:pos="8828"/>
        </w:tabs>
        <w:spacing w:line="540" w:lineRule="exact"/>
        <w:ind w:firstLine="420"/>
        <w:rPr>
          <w:rFonts w:eastAsiaTheme="minorEastAsia"/>
          <w:b w:val="0"/>
          <w:sz w:val="32"/>
          <w:szCs w:val="32"/>
        </w:rPr>
      </w:pPr>
      <w:r>
        <w:fldChar w:fldCharType="begin"/>
      </w:r>
      <w:r>
        <w:instrText xml:space="preserve"> HYPERLINK \l "_Toc61644836" </w:instrText>
      </w:r>
      <w:r>
        <w:fldChar w:fldCharType="separate"/>
      </w:r>
      <w:r>
        <w:rPr>
          <w:rStyle w:val="49"/>
          <w:rFonts w:eastAsia="黑体"/>
          <w:b w:val="0"/>
          <w:sz w:val="32"/>
          <w:szCs w:val="32"/>
        </w:rPr>
        <w:t>第十三章 持续保障和改善民生，提优新发展福祉</w:t>
      </w:r>
      <w:r>
        <w:rPr>
          <w:b w:val="0"/>
          <w:sz w:val="32"/>
          <w:szCs w:val="32"/>
        </w:rPr>
        <w:tab/>
      </w:r>
      <w:r>
        <w:rPr>
          <w:b w:val="0"/>
          <w:sz w:val="32"/>
          <w:szCs w:val="32"/>
        </w:rPr>
        <w:fldChar w:fldCharType="begin" w:fldLock="1"/>
      </w:r>
      <w:r>
        <w:rPr>
          <w:b w:val="0"/>
          <w:sz w:val="32"/>
          <w:szCs w:val="32"/>
        </w:rPr>
        <w:instrText xml:space="preserve"> PAGEREF _Toc61644836 \h </w:instrText>
      </w:r>
      <w:r>
        <w:rPr>
          <w:b w:val="0"/>
          <w:sz w:val="32"/>
          <w:szCs w:val="32"/>
        </w:rPr>
        <w:fldChar w:fldCharType="separate"/>
      </w:r>
      <w:r>
        <w:rPr>
          <w:b w:val="0"/>
          <w:sz w:val="32"/>
          <w:szCs w:val="32"/>
        </w:rPr>
        <w:t>117</w:t>
      </w:r>
      <w:r>
        <w:rPr>
          <w:b w:val="0"/>
          <w:sz w:val="32"/>
          <w:szCs w:val="32"/>
        </w:rPr>
        <w:fldChar w:fldCharType="end"/>
      </w:r>
      <w:r>
        <w:rPr>
          <w:b w:val="0"/>
          <w:sz w:val="32"/>
          <w:szCs w:val="32"/>
        </w:rPr>
        <w:fldChar w:fldCharType="end"/>
      </w:r>
    </w:p>
    <w:p w14:paraId="6BC7A792">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"_Toc61644837" </w:instrText>
      </w:r>
      <w:r>
        <w:fldChar w:fldCharType="separate"/>
      </w:r>
      <w:r>
        <w:rPr>
          <w:rStyle w:val="49"/>
          <w:rFonts w:eastAsia="黑体"/>
          <w:sz w:val="32"/>
          <w:szCs w:val="32"/>
        </w:rPr>
        <w:t>一、构建均衡优质教育体系</w:t>
      </w:r>
      <w:r>
        <w:rPr>
          <w:sz w:val="32"/>
          <w:szCs w:val="32"/>
        </w:rPr>
        <w:tab/>
      </w:r>
      <w:r>
        <w:rPr>
          <w:sz w:val="32"/>
          <w:szCs w:val="32"/>
        </w:rPr>
        <w:fldChar w:fldCharType="begin" w:fldLock="1"/>
      </w:r>
      <w:r>
        <w:rPr>
          <w:sz w:val="32"/>
          <w:szCs w:val="32"/>
        </w:rPr>
        <w:instrText xml:space="preserve"> PAGEREF _Toc61644837 \h </w:instrText>
      </w:r>
      <w:r>
        <w:rPr>
          <w:sz w:val="32"/>
          <w:szCs w:val="32"/>
        </w:rPr>
        <w:fldChar w:fldCharType="separate"/>
      </w:r>
      <w:r>
        <w:rPr>
          <w:sz w:val="32"/>
          <w:szCs w:val="32"/>
        </w:rPr>
        <w:t>117</w:t>
      </w:r>
      <w:r>
        <w:rPr>
          <w:sz w:val="32"/>
          <w:szCs w:val="32"/>
        </w:rPr>
        <w:fldChar w:fldCharType="end"/>
      </w:r>
      <w:r>
        <w:rPr>
          <w:sz w:val="32"/>
          <w:szCs w:val="32"/>
        </w:rPr>
        <w:fldChar w:fldCharType="end"/>
      </w:r>
    </w:p>
    <w:p w14:paraId="29CAE351">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"_Toc61644838" </w:instrText>
      </w:r>
      <w:r>
        <w:fldChar w:fldCharType="separate"/>
      </w:r>
      <w:r>
        <w:rPr>
          <w:rStyle w:val="49"/>
          <w:rFonts w:eastAsia="黑体"/>
          <w:sz w:val="32"/>
          <w:szCs w:val="32"/>
        </w:rPr>
        <w:t>二、促进更高质量充分就业</w:t>
      </w:r>
      <w:r>
        <w:rPr>
          <w:sz w:val="32"/>
          <w:szCs w:val="32"/>
        </w:rPr>
        <w:tab/>
      </w:r>
      <w:r>
        <w:rPr>
          <w:sz w:val="32"/>
          <w:szCs w:val="32"/>
        </w:rPr>
        <w:fldChar w:fldCharType="begin" w:fldLock="1"/>
      </w:r>
      <w:r>
        <w:rPr>
          <w:sz w:val="32"/>
          <w:szCs w:val="32"/>
        </w:rPr>
        <w:instrText xml:space="preserve"> PAGEREF _Toc61644838 \h </w:instrText>
      </w:r>
      <w:r>
        <w:rPr>
          <w:sz w:val="32"/>
          <w:szCs w:val="32"/>
        </w:rPr>
        <w:fldChar w:fldCharType="separate"/>
      </w:r>
      <w:r>
        <w:rPr>
          <w:sz w:val="32"/>
          <w:szCs w:val="32"/>
        </w:rPr>
        <w:t>120</w:t>
      </w:r>
      <w:r>
        <w:rPr>
          <w:sz w:val="32"/>
          <w:szCs w:val="32"/>
        </w:rPr>
        <w:fldChar w:fldCharType="end"/>
      </w:r>
      <w:r>
        <w:rPr>
          <w:sz w:val="32"/>
          <w:szCs w:val="32"/>
        </w:rPr>
        <w:fldChar w:fldCharType="end"/>
      </w:r>
    </w:p>
    <w:p w14:paraId="10EA71CD">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"_Toc61644839" </w:instrText>
      </w:r>
      <w:r>
        <w:fldChar w:fldCharType="separate"/>
      </w:r>
      <w:r>
        <w:rPr>
          <w:rStyle w:val="49"/>
          <w:rFonts w:eastAsia="黑体"/>
          <w:sz w:val="32"/>
          <w:szCs w:val="32"/>
        </w:rPr>
        <w:t>三、聚力打造一流健康西山</w:t>
      </w:r>
      <w:r>
        <w:rPr>
          <w:sz w:val="32"/>
          <w:szCs w:val="32"/>
        </w:rPr>
        <w:tab/>
      </w:r>
      <w:r>
        <w:rPr>
          <w:sz w:val="32"/>
          <w:szCs w:val="32"/>
        </w:rPr>
        <w:fldChar w:fldCharType="begin" w:fldLock="1"/>
      </w:r>
      <w:r>
        <w:rPr>
          <w:sz w:val="32"/>
          <w:szCs w:val="32"/>
        </w:rPr>
        <w:instrText xml:space="preserve"> PAGEREF _Toc61644839 \h </w:instrText>
      </w:r>
      <w:r>
        <w:rPr>
          <w:sz w:val="32"/>
          <w:szCs w:val="32"/>
        </w:rPr>
        <w:fldChar w:fldCharType="separate"/>
      </w:r>
      <w:r>
        <w:rPr>
          <w:sz w:val="32"/>
          <w:szCs w:val="32"/>
        </w:rPr>
        <w:t>123</w:t>
      </w:r>
      <w:r>
        <w:rPr>
          <w:sz w:val="32"/>
          <w:szCs w:val="32"/>
        </w:rPr>
        <w:fldChar w:fldCharType="end"/>
      </w:r>
      <w:r>
        <w:rPr>
          <w:sz w:val="32"/>
          <w:szCs w:val="32"/>
        </w:rPr>
        <w:fldChar w:fldCharType="end"/>
      </w:r>
    </w:p>
    <w:p w14:paraId="033080D6">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"_Toc61644840" </w:instrText>
      </w:r>
      <w:r>
        <w:fldChar w:fldCharType="separate"/>
      </w:r>
      <w:r>
        <w:rPr>
          <w:rStyle w:val="49"/>
          <w:rFonts w:eastAsia="黑体"/>
          <w:sz w:val="32"/>
          <w:szCs w:val="32"/>
        </w:rPr>
        <w:t>四、健全多层次社会保障体系</w:t>
      </w:r>
      <w:r>
        <w:rPr>
          <w:sz w:val="32"/>
          <w:szCs w:val="32"/>
        </w:rPr>
        <w:tab/>
      </w:r>
      <w:r>
        <w:rPr>
          <w:sz w:val="32"/>
          <w:szCs w:val="32"/>
        </w:rPr>
        <w:fldChar w:fldCharType="begin" w:fldLock="1"/>
      </w:r>
      <w:r>
        <w:rPr>
          <w:sz w:val="32"/>
          <w:szCs w:val="32"/>
        </w:rPr>
        <w:instrText xml:space="preserve"> PAGEREF _Toc61644840 \h </w:instrText>
      </w:r>
      <w:r>
        <w:rPr>
          <w:sz w:val="32"/>
          <w:szCs w:val="32"/>
        </w:rPr>
        <w:fldChar w:fldCharType="separate"/>
      </w:r>
      <w:r>
        <w:rPr>
          <w:sz w:val="32"/>
          <w:szCs w:val="32"/>
        </w:rPr>
        <w:t>127</w:t>
      </w:r>
      <w:r>
        <w:rPr>
          <w:sz w:val="32"/>
          <w:szCs w:val="32"/>
        </w:rPr>
        <w:fldChar w:fldCharType="end"/>
      </w:r>
      <w:r>
        <w:rPr>
          <w:sz w:val="32"/>
          <w:szCs w:val="32"/>
        </w:rPr>
        <w:fldChar w:fldCharType="end"/>
      </w:r>
    </w:p>
    <w:p w14:paraId="0FD8CBD4">
      <w:pPr>
        <w:pStyle w:val="27"/>
        <w:tabs>
          <w:tab w:val="right" w:leader="dot" w:pos="8828"/>
        </w:tabs>
        <w:spacing w:line="540" w:lineRule="exact"/>
        <w:ind w:firstLine="420"/>
        <w:rPr>
          <w:rFonts w:eastAsiaTheme="minorEastAsia"/>
          <w:b w:val="0"/>
          <w:sz w:val="32"/>
          <w:szCs w:val="32"/>
        </w:rPr>
      </w:pPr>
      <w:r>
        <w:fldChar w:fldCharType="begin"/>
      </w:r>
      <w:r>
        <w:instrText xml:space="preserve"> HYPERLINK \l "_Toc61644841" </w:instrText>
      </w:r>
      <w:r>
        <w:fldChar w:fldCharType="separate"/>
      </w:r>
      <w:r>
        <w:rPr>
          <w:rStyle w:val="49"/>
          <w:rFonts w:eastAsia="黑体"/>
          <w:b w:val="0"/>
          <w:sz w:val="32"/>
          <w:szCs w:val="32"/>
        </w:rPr>
        <w:t>第十四章 推进共建共治共享，提升新发展能力</w:t>
      </w:r>
      <w:r>
        <w:rPr>
          <w:b w:val="0"/>
          <w:sz w:val="32"/>
          <w:szCs w:val="32"/>
        </w:rPr>
        <w:tab/>
      </w:r>
      <w:r>
        <w:rPr>
          <w:b w:val="0"/>
          <w:sz w:val="32"/>
          <w:szCs w:val="32"/>
        </w:rPr>
        <w:fldChar w:fldCharType="begin" w:fldLock="1"/>
      </w:r>
      <w:r>
        <w:rPr>
          <w:b w:val="0"/>
          <w:sz w:val="32"/>
          <w:szCs w:val="32"/>
        </w:rPr>
        <w:instrText xml:space="preserve"> PAGEREF _Toc61644841 \h </w:instrText>
      </w:r>
      <w:r>
        <w:rPr>
          <w:b w:val="0"/>
          <w:sz w:val="32"/>
          <w:szCs w:val="32"/>
        </w:rPr>
        <w:fldChar w:fldCharType="separate"/>
      </w:r>
      <w:r>
        <w:rPr>
          <w:b w:val="0"/>
          <w:sz w:val="32"/>
          <w:szCs w:val="32"/>
        </w:rPr>
        <w:t>130</w:t>
      </w:r>
      <w:r>
        <w:rPr>
          <w:b w:val="0"/>
          <w:sz w:val="32"/>
          <w:szCs w:val="32"/>
        </w:rPr>
        <w:fldChar w:fldCharType="end"/>
      </w:r>
      <w:r>
        <w:rPr>
          <w:b w:val="0"/>
          <w:sz w:val="32"/>
          <w:szCs w:val="32"/>
        </w:rPr>
        <w:fldChar w:fldCharType="end"/>
      </w:r>
    </w:p>
    <w:p w14:paraId="73A1ACFB">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"_Toc61644842" </w:instrText>
      </w:r>
      <w:r>
        <w:fldChar w:fldCharType="separate"/>
      </w:r>
      <w:r>
        <w:rPr>
          <w:rStyle w:val="49"/>
          <w:rFonts w:eastAsia="黑体"/>
          <w:sz w:val="32"/>
          <w:szCs w:val="32"/>
        </w:rPr>
        <w:t>一、推进法治西山建设</w:t>
      </w:r>
      <w:r>
        <w:rPr>
          <w:sz w:val="32"/>
          <w:szCs w:val="32"/>
        </w:rPr>
        <w:tab/>
      </w:r>
      <w:r>
        <w:rPr>
          <w:sz w:val="32"/>
          <w:szCs w:val="32"/>
        </w:rPr>
        <w:fldChar w:fldCharType="begin" w:fldLock="1"/>
      </w:r>
      <w:r>
        <w:rPr>
          <w:sz w:val="32"/>
          <w:szCs w:val="32"/>
        </w:rPr>
        <w:instrText xml:space="preserve"> PAGEREF _Toc61644842 \h </w:instrText>
      </w:r>
      <w:r>
        <w:rPr>
          <w:sz w:val="32"/>
          <w:szCs w:val="32"/>
        </w:rPr>
        <w:fldChar w:fldCharType="separate"/>
      </w:r>
      <w:r>
        <w:rPr>
          <w:sz w:val="32"/>
          <w:szCs w:val="32"/>
        </w:rPr>
        <w:t>130</w:t>
      </w:r>
      <w:r>
        <w:rPr>
          <w:sz w:val="32"/>
          <w:szCs w:val="32"/>
        </w:rPr>
        <w:fldChar w:fldCharType="end"/>
      </w:r>
      <w:r>
        <w:rPr>
          <w:sz w:val="32"/>
          <w:szCs w:val="32"/>
        </w:rPr>
        <w:fldChar w:fldCharType="end"/>
      </w:r>
    </w:p>
    <w:p w14:paraId="3973C258">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"_Toc61644843" </w:instrText>
      </w:r>
      <w:r>
        <w:fldChar w:fldCharType="separate"/>
      </w:r>
      <w:r>
        <w:rPr>
          <w:rStyle w:val="49"/>
          <w:rFonts w:eastAsia="黑体"/>
          <w:sz w:val="32"/>
          <w:szCs w:val="32"/>
        </w:rPr>
        <w:t>二、推进和谐西山建设</w:t>
      </w:r>
      <w:r>
        <w:rPr>
          <w:sz w:val="32"/>
          <w:szCs w:val="32"/>
        </w:rPr>
        <w:tab/>
      </w:r>
      <w:r>
        <w:rPr>
          <w:sz w:val="32"/>
          <w:szCs w:val="32"/>
        </w:rPr>
        <w:fldChar w:fldCharType="begin" w:fldLock="1"/>
      </w:r>
      <w:r>
        <w:rPr>
          <w:sz w:val="32"/>
          <w:szCs w:val="32"/>
        </w:rPr>
        <w:instrText xml:space="preserve"> PAGEREF _Toc61644843 \h </w:instrText>
      </w:r>
      <w:r>
        <w:rPr>
          <w:sz w:val="32"/>
          <w:szCs w:val="32"/>
        </w:rPr>
        <w:fldChar w:fldCharType="separate"/>
      </w:r>
      <w:r>
        <w:rPr>
          <w:sz w:val="32"/>
          <w:szCs w:val="32"/>
        </w:rPr>
        <w:t>133</w:t>
      </w:r>
      <w:r>
        <w:rPr>
          <w:sz w:val="32"/>
          <w:szCs w:val="32"/>
        </w:rPr>
        <w:fldChar w:fldCharType="end"/>
      </w:r>
      <w:r>
        <w:rPr>
          <w:sz w:val="32"/>
          <w:szCs w:val="32"/>
        </w:rPr>
        <w:fldChar w:fldCharType="end"/>
      </w:r>
    </w:p>
    <w:p w14:paraId="16ADB17E">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"_Toc61644844" </w:instrText>
      </w:r>
      <w:r>
        <w:fldChar w:fldCharType="separate"/>
      </w:r>
      <w:r>
        <w:rPr>
          <w:rStyle w:val="49"/>
          <w:rFonts w:eastAsia="黑体"/>
          <w:sz w:val="32"/>
          <w:szCs w:val="32"/>
        </w:rPr>
        <w:t>三、推进平安西山建设</w:t>
      </w:r>
      <w:r>
        <w:rPr>
          <w:sz w:val="32"/>
          <w:szCs w:val="32"/>
        </w:rPr>
        <w:tab/>
      </w:r>
      <w:r>
        <w:rPr>
          <w:sz w:val="32"/>
          <w:szCs w:val="32"/>
        </w:rPr>
        <w:fldChar w:fldCharType="begin" w:fldLock="1"/>
      </w:r>
      <w:r>
        <w:rPr>
          <w:sz w:val="32"/>
          <w:szCs w:val="32"/>
        </w:rPr>
        <w:instrText xml:space="preserve"> PAGEREF _Toc61644844 \h </w:instrText>
      </w:r>
      <w:r>
        <w:rPr>
          <w:sz w:val="32"/>
          <w:szCs w:val="32"/>
        </w:rPr>
        <w:fldChar w:fldCharType="separate"/>
      </w:r>
      <w:r>
        <w:rPr>
          <w:sz w:val="32"/>
          <w:szCs w:val="32"/>
        </w:rPr>
        <w:t>135</w:t>
      </w:r>
      <w:r>
        <w:rPr>
          <w:sz w:val="32"/>
          <w:szCs w:val="32"/>
        </w:rPr>
        <w:fldChar w:fldCharType="end"/>
      </w:r>
      <w:r>
        <w:rPr>
          <w:sz w:val="32"/>
          <w:szCs w:val="32"/>
        </w:rPr>
        <w:fldChar w:fldCharType="end"/>
      </w:r>
    </w:p>
    <w:p w14:paraId="4739D616">
      <w:pPr>
        <w:pStyle w:val="27"/>
        <w:tabs>
          <w:tab w:val="right" w:leader="dot" w:pos="8828"/>
        </w:tabs>
        <w:spacing w:line="540" w:lineRule="exact"/>
        <w:ind w:firstLine="420"/>
        <w:rPr>
          <w:rFonts w:eastAsiaTheme="minorEastAsia"/>
          <w:b w:val="0"/>
          <w:sz w:val="32"/>
          <w:szCs w:val="32"/>
        </w:rPr>
      </w:pPr>
      <w:r>
        <w:fldChar w:fldCharType="begin"/>
      </w:r>
      <w:r>
        <w:instrText xml:space="preserve"> HYPERLINK \l "_Toc61644845" </w:instrText>
      </w:r>
      <w:r>
        <w:fldChar w:fldCharType="separate"/>
      </w:r>
      <w:r>
        <w:rPr>
          <w:rStyle w:val="49"/>
          <w:rFonts w:eastAsia="黑体"/>
          <w:b w:val="0"/>
          <w:sz w:val="32"/>
          <w:szCs w:val="32"/>
        </w:rPr>
        <w:t>第十五章 规划实施保障</w:t>
      </w:r>
      <w:r>
        <w:rPr>
          <w:b w:val="0"/>
          <w:sz w:val="32"/>
          <w:szCs w:val="32"/>
        </w:rPr>
        <w:tab/>
      </w:r>
      <w:r>
        <w:rPr>
          <w:b w:val="0"/>
          <w:sz w:val="32"/>
          <w:szCs w:val="32"/>
        </w:rPr>
        <w:fldChar w:fldCharType="begin" w:fldLock="1"/>
      </w:r>
      <w:r>
        <w:rPr>
          <w:b w:val="0"/>
          <w:sz w:val="32"/>
          <w:szCs w:val="32"/>
        </w:rPr>
        <w:instrText xml:space="preserve"> PAGEREF _Toc61644845 \h </w:instrText>
      </w:r>
      <w:r>
        <w:rPr>
          <w:b w:val="0"/>
          <w:sz w:val="32"/>
          <w:szCs w:val="32"/>
        </w:rPr>
        <w:fldChar w:fldCharType="separate"/>
      </w:r>
      <w:r>
        <w:rPr>
          <w:b w:val="0"/>
          <w:sz w:val="32"/>
          <w:szCs w:val="32"/>
        </w:rPr>
        <w:t>140</w:t>
      </w:r>
      <w:r>
        <w:rPr>
          <w:b w:val="0"/>
          <w:sz w:val="32"/>
          <w:szCs w:val="32"/>
        </w:rPr>
        <w:fldChar w:fldCharType="end"/>
      </w:r>
      <w:r>
        <w:rPr>
          <w:b w:val="0"/>
          <w:sz w:val="32"/>
          <w:szCs w:val="32"/>
        </w:rPr>
        <w:fldChar w:fldCharType="end"/>
      </w:r>
    </w:p>
    <w:p w14:paraId="15664DBD">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"_Toc61644846" </w:instrText>
      </w:r>
      <w:r>
        <w:fldChar w:fldCharType="separate"/>
      </w:r>
      <w:r>
        <w:rPr>
          <w:rStyle w:val="49"/>
          <w:rFonts w:eastAsia="黑体"/>
          <w:sz w:val="32"/>
          <w:szCs w:val="32"/>
        </w:rPr>
        <w:t>一、坚持和加强党的全面领导</w:t>
      </w:r>
      <w:r>
        <w:rPr>
          <w:sz w:val="32"/>
          <w:szCs w:val="32"/>
        </w:rPr>
        <w:tab/>
      </w:r>
      <w:r>
        <w:rPr>
          <w:sz w:val="32"/>
          <w:szCs w:val="32"/>
        </w:rPr>
        <w:fldChar w:fldCharType="begin" w:fldLock="1"/>
      </w:r>
      <w:r>
        <w:rPr>
          <w:sz w:val="32"/>
          <w:szCs w:val="32"/>
        </w:rPr>
        <w:instrText xml:space="preserve"> PAGEREF _Toc61644846 \h </w:instrText>
      </w:r>
      <w:r>
        <w:rPr>
          <w:sz w:val="32"/>
          <w:szCs w:val="32"/>
        </w:rPr>
        <w:fldChar w:fldCharType="separate"/>
      </w:r>
      <w:r>
        <w:rPr>
          <w:sz w:val="32"/>
          <w:szCs w:val="32"/>
        </w:rPr>
        <w:t>140</w:t>
      </w:r>
      <w:r>
        <w:rPr>
          <w:sz w:val="32"/>
          <w:szCs w:val="32"/>
        </w:rPr>
        <w:fldChar w:fldCharType="end"/>
      </w:r>
      <w:r>
        <w:rPr>
          <w:sz w:val="32"/>
          <w:szCs w:val="32"/>
        </w:rPr>
        <w:fldChar w:fldCharType="end"/>
      </w:r>
    </w:p>
    <w:p w14:paraId="6E660847">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"_Toc61644847" </w:instrText>
      </w:r>
      <w:r>
        <w:fldChar w:fldCharType="separate"/>
      </w:r>
      <w:r>
        <w:rPr>
          <w:rStyle w:val="49"/>
          <w:rFonts w:eastAsia="黑体"/>
          <w:sz w:val="32"/>
          <w:szCs w:val="32"/>
        </w:rPr>
        <w:t>二、加强规划衔接协调</w:t>
      </w:r>
      <w:r>
        <w:rPr>
          <w:sz w:val="32"/>
          <w:szCs w:val="32"/>
        </w:rPr>
        <w:tab/>
      </w:r>
      <w:r>
        <w:rPr>
          <w:sz w:val="32"/>
          <w:szCs w:val="32"/>
        </w:rPr>
        <w:fldChar w:fldCharType="begin" w:fldLock="1"/>
      </w:r>
      <w:r>
        <w:rPr>
          <w:sz w:val="32"/>
          <w:szCs w:val="32"/>
        </w:rPr>
        <w:instrText xml:space="preserve"> PAGEREF _Toc61644847 \h </w:instrText>
      </w:r>
      <w:r>
        <w:rPr>
          <w:sz w:val="32"/>
          <w:szCs w:val="32"/>
        </w:rPr>
        <w:fldChar w:fldCharType="separate"/>
      </w:r>
      <w:r>
        <w:rPr>
          <w:sz w:val="32"/>
          <w:szCs w:val="32"/>
        </w:rPr>
        <w:t>142</w:t>
      </w:r>
      <w:r>
        <w:rPr>
          <w:sz w:val="32"/>
          <w:szCs w:val="32"/>
        </w:rPr>
        <w:fldChar w:fldCharType="end"/>
      </w:r>
      <w:r>
        <w:rPr>
          <w:sz w:val="32"/>
          <w:szCs w:val="32"/>
        </w:rPr>
        <w:fldChar w:fldCharType="end"/>
      </w:r>
    </w:p>
    <w:p w14:paraId="7E2C606A">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"_Toc61644848" </w:instrText>
      </w:r>
      <w:r>
        <w:fldChar w:fldCharType="separate"/>
      </w:r>
      <w:r>
        <w:rPr>
          <w:rStyle w:val="49"/>
          <w:rFonts w:eastAsia="黑体"/>
          <w:sz w:val="32"/>
          <w:szCs w:val="32"/>
        </w:rPr>
        <w:t>三、强化配套要素保障</w:t>
      </w:r>
      <w:r>
        <w:rPr>
          <w:sz w:val="32"/>
          <w:szCs w:val="32"/>
        </w:rPr>
        <w:tab/>
      </w:r>
      <w:r>
        <w:rPr>
          <w:sz w:val="32"/>
          <w:szCs w:val="32"/>
        </w:rPr>
        <w:fldChar w:fldCharType="begin" w:fldLock="1"/>
      </w:r>
      <w:r>
        <w:rPr>
          <w:sz w:val="32"/>
          <w:szCs w:val="32"/>
        </w:rPr>
        <w:instrText xml:space="preserve"> PAGEREF _Toc61644848 \h </w:instrText>
      </w:r>
      <w:r>
        <w:rPr>
          <w:sz w:val="32"/>
          <w:szCs w:val="32"/>
        </w:rPr>
        <w:fldChar w:fldCharType="separate"/>
      </w:r>
      <w:r>
        <w:rPr>
          <w:sz w:val="32"/>
          <w:szCs w:val="32"/>
        </w:rPr>
        <w:t>143</w:t>
      </w:r>
      <w:r>
        <w:rPr>
          <w:sz w:val="32"/>
          <w:szCs w:val="32"/>
        </w:rPr>
        <w:fldChar w:fldCharType="end"/>
      </w:r>
      <w:r>
        <w:rPr>
          <w:sz w:val="32"/>
          <w:szCs w:val="32"/>
        </w:rPr>
        <w:fldChar w:fldCharType="end"/>
      </w:r>
    </w:p>
    <w:p w14:paraId="4193DC84">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"_Toc61644849" </w:instrText>
      </w:r>
      <w:r>
        <w:fldChar w:fldCharType="separate"/>
      </w:r>
      <w:r>
        <w:rPr>
          <w:rStyle w:val="49"/>
          <w:rFonts w:eastAsia="黑体"/>
          <w:sz w:val="32"/>
          <w:szCs w:val="32"/>
        </w:rPr>
        <w:t>四、完善规划监督评估考核</w:t>
      </w:r>
      <w:r>
        <w:rPr>
          <w:sz w:val="32"/>
          <w:szCs w:val="32"/>
        </w:rPr>
        <w:tab/>
      </w:r>
      <w:r>
        <w:rPr>
          <w:sz w:val="32"/>
          <w:szCs w:val="32"/>
        </w:rPr>
        <w:fldChar w:fldCharType="begin" w:fldLock="1"/>
      </w:r>
      <w:r>
        <w:rPr>
          <w:sz w:val="32"/>
          <w:szCs w:val="32"/>
        </w:rPr>
        <w:instrText xml:space="preserve"> PAGEREF _Toc61644849 \h </w:instrText>
      </w:r>
      <w:r>
        <w:rPr>
          <w:sz w:val="32"/>
          <w:szCs w:val="32"/>
        </w:rPr>
        <w:fldChar w:fldCharType="separate"/>
      </w:r>
      <w:r>
        <w:rPr>
          <w:sz w:val="32"/>
          <w:szCs w:val="32"/>
        </w:rPr>
        <w:t>146</w:t>
      </w:r>
      <w:r>
        <w:rPr>
          <w:sz w:val="32"/>
          <w:szCs w:val="32"/>
        </w:rPr>
        <w:fldChar w:fldCharType="end"/>
      </w:r>
      <w:r>
        <w:rPr>
          <w:sz w:val="32"/>
          <w:szCs w:val="32"/>
        </w:rPr>
        <w:fldChar w:fldCharType="end"/>
      </w:r>
    </w:p>
    <w:p w14:paraId="29D5E9A3">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"_Toc61644850" </w:instrText>
      </w:r>
      <w:r>
        <w:fldChar w:fldCharType="separate"/>
      </w:r>
      <w:r>
        <w:rPr>
          <w:rStyle w:val="49"/>
          <w:rFonts w:eastAsia="黑体"/>
          <w:sz w:val="32"/>
          <w:szCs w:val="32"/>
        </w:rPr>
        <w:t>附件1</w:t>
      </w:r>
      <w:r>
        <w:rPr>
          <w:sz w:val="32"/>
          <w:szCs w:val="32"/>
        </w:rPr>
        <w:tab/>
      </w:r>
      <w:r>
        <w:rPr>
          <w:sz w:val="32"/>
          <w:szCs w:val="32"/>
        </w:rPr>
        <w:fldChar w:fldCharType="begin" w:fldLock="1"/>
      </w:r>
      <w:r>
        <w:rPr>
          <w:sz w:val="32"/>
          <w:szCs w:val="32"/>
        </w:rPr>
        <w:instrText xml:space="preserve"> PAGEREF _Toc61644850 \h </w:instrText>
      </w:r>
      <w:r>
        <w:rPr>
          <w:sz w:val="32"/>
          <w:szCs w:val="32"/>
        </w:rPr>
        <w:fldChar w:fldCharType="separate"/>
      </w:r>
      <w:r>
        <w:rPr>
          <w:sz w:val="32"/>
          <w:szCs w:val="32"/>
        </w:rPr>
        <w:t>150</w:t>
      </w:r>
      <w:r>
        <w:rPr>
          <w:sz w:val="32"/>
          <w:szCs w:val="32"/>
        </w:rPr>
        <w:fldChar w:fldCharType="end"/>
      </w:r>
      <w:r>
        <w:rPr>
          <w:sz w:val="32"/>
          <w:szCs w:val="32"/>
        </w:rPr>
        <w:fldChar w:fldCharType="end"/>
      </w:r>
    </w:p>
    <w:p w14:paraId="013FA2BC">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"_Toc61644851" </w:instrText>
      </w:r>
      <w:r>
        <w:fldChar w:fldCharType="separate"/>
      </w:r>
      <w:r>
        <w:rPr>
          <w:rStyle w:val="49"/>
          <w:rFonts w:eastAsia="黑体"/>
          <w:sz w:val="32"/>
          <w:szCs w:val="32"/>
        </w:rPr>
        <w:t>附件2</w:t>
      </w:r>
      <w:r>
        <w:rPr>
          <w:sz w:val="32"/>
          <w:szCs w:val="32"/>
        </w:rPr>
        <w:tab/>
      </w:r>
      <w:r>
        <w:rPr>
          <w:sz w:val="32"/>
          <w:szCs w:val="32"/>
        </w:rPr>
        <w:fldChar w:fldCharType="begin" w:fldLock="1"/>
      </w:r>
      <w:r>
        <w:rPr>
          <w:sz w:val="32"/>
          <w:szCs w:val="32"/>
        </w:rPr>
        <w:instrText xml:space="preserve"> PAGEREF _Toc61644851 \h </w:instrText>
      </w:r>
      <w:r>
        <w:rPr>
          <w:sz w:val="32"/>
          <w:szCs w:val="32"/>
        </w:rPr>
        <w:fldChar w:fldCharType="separate"/>
      </w:r>
      <w:r>
        <w:rPr>
          <w:sz w:val="32"/>
          <w:szCs w:val="32"/>
        </w:rPr>
        <w:t>155</w:t>
      </w:r>
      <w:r>
        <w:rPr>
          <w:sz w:val="32"/>
          <w:szCs w:val="32"/>
        </w:rPr>
        <w:fldChar w:fldCharType="end"/>
      </w:r>
      <w:r>
        <w:rPr>
          <w:sz w:val="32"/>
          <w:szCs w:val="32"/>
        </w:rPr>
        <w:fldChar w:fldCharType="end"/>
      </w:r>
    </w:p>
    <w:p w14:paraId="1DDBB047">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"_Toc61644852" </w:instrText>
      </w:r>
      <w:r>
        <w:fldChar w:fldCharType="separate"/>
      </w:r>
      <w:r>
        <w:rPr>
          <w:rStyle w:val="49"/>
          <w:rFonts w:eastAsia="黑体"/>
          <w:sz w:val="32"/>
          <w:szCs w:val="32"/>
        </w:rPr>
        <w:t>附件3</w:t>
      </w:r>
      <w:r>
        <w:rPr>
          <w:sz w:val="32"/>
          <w:szCs w:val="32"/>
        </w:rPr>
        <w:tab/>
      </w:r>
      <w:r>
        <w:rPr>
          <w:sz w:val="32"/>
          <w:szCs w:val="32"/>
        </w:rPr>
        <w:fldChar w:fldCharType="begin" w:fldLock="1"/>
      </w:r>
      <w:r>
        <w:rPr>
          <w:sz w:val="32"/>
          <w:szCs w:val="32"/>
        </w:rPr>
        <w:instrText xml:space="preserve"> PAGEREF _Toc61644852 \h </w:instrText>
      </w:r>
      <w:r>
        <w:rPr>
          <w:sz w:val="32"/>
          <w:szCs w:val="32"/>
        </w:rPr>
        <w:fldChar w:fldCharType="separate"/>
      </w:r>
      <w:r>
        <w:rPr>
          <w:sz w:val="32"/>
          <w:szCs w:val="32"/>
        </w:rPr>
        <w:t>157</w:t>
      </w:r>
      <w:r>
        <w:rPr>
          <w:sz w:val="32"/>
          <w:szCs w:val="32"/>
        </w:rPr>
        <w:fldChar w:fldCharType="end"/>
      </w:r>
      <w:r>
        <w:rPr>
          <w:sz w:val="32"/>
          <w:szCs w:val="32"/>
        </w:rPr>
        <w:fldChar w:fldCharType="end"/>
      </w:r>
    </w:p>
    <w:p w14:paraId="45F1F2BF">
      <w:pPr>
        <w:pStyle w:val="33"/>
        <w:tabs>
          <w:tab w:val="right" w:leader="dot" w:pos="8828"/>
        </w:tabs>
        <w:spacing w:line="540" w:lineRule="exact"/>
        <w:ind w:left="0" w:leftChars="0" w:firstLine="420"/>
        <w:rPr>
          <w:rFonts w:eastAsiaTheme="minorEastAsia"/>
          <w:sz w:val="32"/>
          <w:szCs w:val="32"/>
        </w:rPr>
      </w:pPr>
      <w:r>
        <w:fldChar w:fldCharType="begin"/>
      </w:r>
      <w:r>
        <w:instrText xml:space="preserve"> HYPERLINK \l "_Toc61644853" </w:instrText>
      </w:r>
      <w:r>
        <w:fldChar w:fldCharType="separate"/>
      </w:r>
      <w:r>
        <w:rPr>
          <w:rStyle w:val="49"/>
          <w:rFonts w:eastAsia="黑体"/>
          <w:sz w:val="32"/>
          <w:szCs w:val="32"/>
        </w:rPr>
        <w:t>附件4</w:t>
      </w:r>
      <w:r>
        <w:rPr>
          <w:sz w:val="32"/>
          <w:szCs w:val="32"/>
        </w:rPr>
        <w:tab/>
      </w:r>
      <w:r>
        <w:rPr>
          <w:sz w:val="32"/>
          <w:szCs w:val="32"/>
        </w:rPr>
        <w:fldChar w:fldCharType="begin" w:fldLock="1"/>
      </w:r>
      <w:r>
        <w:rPr>
          <w:sz w:val="32"/>
          <w:szCs w:val="32"/>
        </w:rPr>
        <w:instrText xml:space="preserve"> PAGEREF _Toc61644853 \h </w:instrText>
      </w:r>
      <w:r>
        <w:rPr>
          <w:sz w:val="32"/>
          <w:szCs w:val="32"/>
        </w:rPr>
        <w:fldChar w:fldCharType="separate"/>
      </w:r>
      <w:r>
        <w:rPr>
          <w:sz w:val="32"/>
          <w:szCs w:val="32"/>
        </w:rPr>
        <w:t>168</w:t>
      </w:r>
      <w:r>
        <w:rPr>
          <w:sz w:val="32"/>
          <w:szCs w:val="32"/>
        </w:rPr>
        <w:fldChar w:fldCharType="end"/>
      </w:r>
      <w:r>
        <w:rPr>
          <w:sz w:val="32"/>
          <w:szCs w:val="32"/>
        </w:rPr>
        <w:fldChar w:fldCharType="end"/>
      </w:r>
    </w:p>
    <w:p w14:paraId="320C37E5">
      <w:pPr>
        <w:spacing w:line="540" w:lineRule="exact"/>
      </w:pPr>
      <w:r>
        <w:rPr>
          <w:sz w:val="32"/>
          <w:szCs w:val="32"/>
        </w:rPr>
        <w:fldChar w:fldCharType="end"/>
      </w:r>
    </w:p>
    <w:p w14:paraId="1B1D7D61">
      <w:pPr>
        <w:pStyle w:val="3"/>
        <w:spacing w:beforeLines="0" w:line="560" w:lineRule="exact"/>
        <w:rPr>
          <w:rFonts w:ascii="Times New Roman" w:hAnsi="Times New Roman"/>
          <w:color w:val="000000" w:themeColor="text1"/>
          <w14:textFill>
            <w14:solidFill>
              <w14:schemeClr w14:val="tx1"/>
            </w14:solidFill>
          </w14:textFill>
        </w:rPr>
        <w:sectPr>
          <w:headerReference r:id="rId7" w:type="default"/>
          <w:pgSz w:w="11900" w:h="16840"/>
          <w:pgMar w:top="2041" w:right="1474" w:bottom="1928" w:left="1588" w:header="1418" w:footer="1418" w:gutter="0"/>
          <w:cols w:space="720" w:num="1"/>
          <w:docGrid w:linePitch="312" w:charSpace="0"/>
        </w:sectPr>
      </w:pPr>
    </w:p>
    <w:p w14:paraId="0BE1E991">
      <w:pPr>
        <w:spacing w:line="560" w:lineRule="exact"/>
        <w:jc w:val="center"/>
        <w:rPr>
          <w:rFonts w:eastAsia="黑体"/>
          <w:sz w:val="32"/>
          <w:szCs w:val="32"/>
        </w:rPr>
      </w:pPr>
      <w:bookmarkStart w:id="13" w:name="_Toc61644767"/>
      <w:r>
        <w:rPr>
          <w:rFonts w:eastAsia="黑体"/>
          <w:sz w:val="32"/>
          <w:szCs w:val="32"/>
        </w:rPr>
        <w:t>前  言</w:t>
      </w:r>
      <w:bookmarkEnd w:id="13"/>
    </w:p>
    <w:p w14:paraId="24CDCF5F">
      <w:pPr>
        <w:spacing w:line="560" w:lineRule="exact"/>
        <w:ind w:firstLine="640"/>
        <w:rPr>
          <w:color w:val="000000" w:themeColor="text1"/>
          <w14:textFill>
            <w14:solidFill>
              <w14:schemeClr w14:val="tx1"/>
            </w14:solidFill>
          </w14:textFill>
        </w:rPr>
      </w:pPr>
    </w:p>
    <w:p w14:paraId="530B1DA5">
      <w:pPr>
        <w:pStyle w:val="13"/>
        <w:spacing w:after="0" w:line="560" w:lineRule="exact"/>
        <w:ind w:firstLine="640"/>
        <w:rPr>
          <w:rFonts w:eastAsia="仿宋_GB2312"/>
          <w:b/>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十四五”时期（2021—2025年）是西山区全面建成小康社会、实现第一个百年奋斗目标之后，乘势而上开启社会主义现代化建设新征程、向实现第二个百年奋斗目标进军的第一个五年。《昆明市西山区国民经济和社会发展第十四个五年规划和二</w:t>
      </w:r>
      <w:r>
        <w:rPr>
          <w:color w:val="000000" w:themeColor="text1"/>
          <w:sz w:val="32"/>
          <w:szCs w:val="32"/>
          <w14:textFill>
            <w14:solidFill>
              <w14:schemeClr w14:val="tx1"/>
            </w14:solidFill>
          </w14:textFill>
        </w:rPr>
        <w:t>〇</w:t>
      </w:r>
      <w:r>
        <w:rPr>
          <w:rFonts w:eastAsia="仿宋_GB2312"/>
          <w:color w:val="000000" w:themeColor="text1"/>
          <w:sz w:val="32"/>
          <w:szCs w:val="32"/>
          <w14:textFill>
            <w14:solidFill>
              <w14:schemeClr w14:val="tx1"/>
            </w14:solidFill>
          </w14:textFill>
        </w:rPr>
        <w:t>三五年远景目标纲要》根据《中共昆明市西山区委关于制定西山区国民经济和社会发展第十四个五年规划和二</w:t>
      </w:r>
      <w:r>
        <w:rPr>
          <w:color w:val="000000" w:themeColor="text1"/>
          <w:sz w:val="32"/>
          <w:szCs w:val="32"/>
          <w14:textFill>
            <w14:solidFill>
              <w14:schemeClr w14:val="tx1"/>
            </w14:solidFill>
          </w14:textFill>
        </w:rPr>
        <w:t>〇</w:t>
      </w:r>
      <w:r>
        <w:rPr>
          <w:rFonts w:eastAsia="仿宋_GB2312"/>
          <w:color w:val="000000" w:themeColor="text1"/>
          <w:sz w:val="32"/>
          <w:szCs w:val="32"/>
          <w14:textFill>
            <w14:solidFill>
              <w14:schemeClr w14:val="tx1"/>
            </w14:solidFill>
          </w14:textFill>
        </w:rPr>
        <w:t>三五年远景目标的建议》编制，围绕二</w:t>
      </w:r>
      <w:r>
        <w:rPr>
          <w:color w:val="000000" w:themeColor="text1"/>
          <w:sz w:val="32"/>
          <w:szCs w:val="32"/>
          <w14:textFill>
            <w14:solidFill>
              <w14:schemeClr w14:val="tx1"/>
            </w14:solidFill>
          </w14:textFill>
        </w:rPr>
        <w:t>〇</w:t>
      </w:r>
      <w:r>
        <w:rPr>
          <w:rFonts w:eastAsia="仿宋_GB2312"/>
          <w:color w:val="000000" w:themeColor="text1"/>
          <w:sz w:val="32"/>
          <w:szCs w:val="32"/>
          <w14:textFill>
            <w14:solidFill>
              <w14:schemeClr w14:val="tx1"/>
            </w14:solidFill>
          </w14:textFill>
        </w:rPr>
        <w:t>三五年基本实现社会主义现代化、本世纪中叶实现社会主义现代化的战略目标，紧扣打造“云南政治中心服务承载区、山水都市品质区、现代服务业活力区”三个功能定位，结合西山区实际，主要阐明“十四五”时期，西山区奋力推动“更具活力的区域性国际中心城市中枢门户区”战略目标，明确经济和社会的主要目标、重点任务和重大项目等，为把昆明市建设成为区域性国际中心城市，把云南省建设成为我国民族团结进步示范区、生态文明建设排头兵和面向南亚东南亚辐射中心作出西山贡献。</w:t>
      </w:r>
    </w:p>
    <w:p w14:paraId="1450ACCC">
      <w:pPr>
        <w:pStyle w:val="13"/>
        <w:spacing w:after="0" w:line="560" w:lineRule="exact"/>
        <w:ind w:firstLine="640"/>
        <w:rPr>
          <w:rFonts w:eastAsia="仿宋_GB2312"/>
          <w:b/>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本规划是西山区“十四五”时期国民经济和社会发展的战略性、纲领性、综合性规划，是指导未来五年乃至更长时期全区经济社会发展的宏伟蓝图，是政府部门履行职责的重要依据，是市场主体的行为导向，是凝聚全区人民力量和智慧、开启全面建设社会主义现代化新征程的行动纲领。</w:t>
      </w:r>
    </w:p>
    <w:p w14:paraId="3E2D3C76">
      <w:pPr>
        <w:pStyle w:val="2"/>
        <w:keepNext w:val="0"/>
        <w:keepLines w:val="0"/>
        <w:spacing w:line="560" w:lineRule="exact"/>
        <w:rPr>
          <w:rFonts w:hAnsi="Times New Roman"/>
        </w:rPr>
        <w:sectPr>
          <w:pgSz w:w="11900" w:h="16840"/>
          <w:pgMar w:top="1928" w:right="1531" w:bottom="1871" w:left="1531" w:header="1418" w:footer="1418" w:gutter="0"/>
          <w:cols w:space="720" w:num="1"/>
        </w:sectPr>
      </w:pPr>
    </w:p>
    <w:bookmarkEnd w:id="0"/>
    <w:bookmarkEnd w:id="1"/>
    <w:bookmarkEnd w:id="2"/>
    <w:bookmarkEnd w:id="3"/>
    <w:bookmarkEnd w:id="4"/>
    <w:bookmarkEnd w:id="5"/>
    <w:bookmarkEnd w:id="6"/>
    <w:bookmarkEnd w:id="7"/>
    <w:bookmarkEnd w:id="8"/>
    <w:p w14:paraId="4C69DFA3">
      <w:pPr>
        <w:spacing w:line="560" w:lineRule="exact"/>
        <w:jc w:val="center"/>
        <w:rPr>
          <w:rFonts w:eastAsia="黑体"/>
          <w:sz w:val="32"/>
          <w:szCs w:val="32"/>
        </w:rPr>
      </w:pPr>
      <w:bookmarkStart w:id="14" w:name="_Toc32760"/>
      <w:bookmarkStart w:id="15" w:name="_Toc19068"/>
      <w:bookmarkStart w:id="16" w:name="_Toc61644768"/>
      <w:bookmarkStart w:id="17" w:name="_Toc6522"/>
      <w:bookmarkStart w:id="18" w:name="_Toc13851"/>
      <w:bookmarkStart w:id="19" w:name="_Toc13396"/>
      <w:r>
        <w:rPr>
          <w:rFonts w:eastAsia="黑体"/>
          <w:sz w:val="32"/>
          <w:szCs w:val="32"/>
        </w:rPr>
        <w:t>第一章 发展基础与发展环境</w:t>
      </w:r>
      <w:bookmarkEnd w:id="9"/>
      <w:bookmarkEnd w:id="10"/>
      <w:bookmarkEnd w:id="11"/>
      <w:bookmarkEnd w:id="12"/>
      <w:bookmarkEnd w:id="14"/>
      <w:bookmarkEnd w:id="15"/>
      <w:bookmarkEnd w:id="16"/>
      <w:bookmarkEnd w:id="17"/>
      <w:bookmarkEnd w:id="18"/>
      <w:bookmarkEnd w:id="19"/>
    </w:p>
    <w:p w14:paraId="2E3E81F6">
      <w:pPr>
        <w:topLinePunct/>
        <w:spacing w:line="560" w:lineRule="exact"/>
        <w:ind w:firstLine="640"/>
        <w:rPr>
          <w:rFonts w:eastAsia="仿宋_GB2312"/>
          <w:color w:val="000000" w:themeColor="text1"/>
          <w:sz w:val="32"/>
          <w:szCs w:val="32"/>
          <w14:textFill>
            <w14:solidFill>
              <w14:schemeClr w14:val="tx1"/>
            </w14:solidFill>
          </w14:textFill>
        </w:rPr>
      </w:pPr>
      <w:bookmarkStart w:id="20" w:name="_Toc2313"/>
      <w:r>
        <w:rPr>
          <w:rFonts w:eastAsia="仿宋_GB2312"/>
          <w:color w:val="000000" w:themeColor="text1"/>
          <w:sz w:val="32"/>
          <w:szCs w:val="32"/>
          <w14:textFill>
            <w14:solidFill>
              <w14:schemeClr w14:val="tx1"/>
            </w14:solidFill>
          </w14:textFill>
        </w:rPr>
        <w:t>“十三五”时期是西山区发展具有重大历史意义的五年，面对错综复杂的外部环境和改革发展的繁重任务，西山区委、区政府团结和带领全区人民，牢固树立新发展理念，主动服务和融入国家发展战略，积极推进“区域性国际中心城市”建设进程，围绕“建设更具活力的区域性国际中心城市中枢门户区”的发展目标，坚定改革开放，聚焦创新驱动，加大稳增长、调结构、转方式、换动力、惠民生力度，打好防范化解重大风险、精准脱困、污染防治攻坚战，全区经济社会发展取得显著成就，为开启全面建设社会主义现代化新征程奠定了坚实基础。</w:t>
      </w:r>
      <w:bookmarkStart w:id="21" w:name="_Toc6442"/>
      <w:bookmarkStart w:id="22" w:name="_Toc17895"/>
      <w:bookmarkStart w:id="23" w:name="_Toc1549"/>
      <w:bookmarkStart w:id="24" w:name="_Toc9780"/>
      <w:bookmarkStart w:id="25" w:name="_Toc9219"/>
      <w:bookmarkStart w:id="26" w:name="_Toc7585"/>
      <w:bookmarkStart w:id="27" w:name="_Toc7567"/>
      <w:bookmarkStart w:id="28" w:name="_Toc30294"/>
      <w:bookmarkStart w:id="29" w:name="_Toc61644769"/>
    </w:p>
    <w:p w14:paraId="248FA1D1">
      <w:pPr>
        <w:topLinePunct/>
        <w:spacing w:line="560" w:lineRule="exact"/>
        <w:ind w:firstLine="640" w:firstLineChars="200"/>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一、“十三五”</w:t>
      </w:r>
      <w:bookmarkEnd w:id="21"/>
      <w:bookmarkEnd w:id="22"/>
      <w:bookmarkEnd w:id="23"/>
      <w:bookmarkEnd w:id="24"/>
      <w:bookmarkEnd w:id="25"/>
      <w:bookmarkEnd w:id="26"/>
      <w:bookmarkEnd w:id="27"/>
      <w:bookmarkEnd w:id="28"/>
      <w:r>
        <w:rPr>
          <w:rFonts w:eastAsia="黑体"/>
          <w:bCs/>
          <w:color w:val="000000" w:themeColor="text1"/>
          <w:sz w:val="32"/>
          <w:szCs w:val="32"/>
          <w14:textFill>
            <w14:solidFill>
              <w14:schemeClr w14:val="tx1"/>
            </w14:solidFill>
          </w14:textFill>
        </w:rPr>
        <w:t>时期主要成就</w:t>
      </w:r>
      <w:bookmarkEnd w:id="29"/>
    </w:p>
    <w:p w14:paraId="37F74EC7">
      <w:pPr>
        <w:topLinePunct/>
        <w:autoSpaceDE w:val="0"/>
        <w:spacing w:line="560" w:lineRule="exact"/>
        <w:ind w:firstLine="640" w:firstLineChars="200"/>
        <w:rPr>
          <w:rFonts w:eastAsia="仿宋_GB2312"/>
          <w:b/>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“十三五”时期，我区经济社会主要成就可概括为：</w:t>
      </w:r>
      <w:r>
        <w:rPr>
          <w:rFonts w:eastAsia="仿宋_GB2312"/>
          <w:b/>
          <w:color w:val="000000" w:themeColor="text1"/>
          <w:sz w:val="32"/>
          <w:szCs w:val="32"/>
          <w14:textFill>
            <w14:solidFill>
              <w14:schemeClr w14:val="tx1"/>
            </w14:solidFill>
          </w14:textFill>
        </w:rPr>
        <w:t>取得两个历史性成就，实现八个持续提升。</w:t>
      </w:r>
    </w:p>
    <w:p w14:paraId="65028A9A">
      <w:pPr>
        <w:topLinePunct/>
        <w:autoSpaceDE w:val="0"/>
        <w:spacing w:line="560" w:lineRule="exact"/>
        <w:ind w:firstLine="640"/>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（一）两个历史性成就</w:t>
      </w:r>
    </w:p>
    <w:p w14:paraId="2427F0DD">
      <w:pPr>
        <w:topLinePunct/>
        <w:autoSpaceDE w:val="0"/>
        <w:spacing w:line="560" w:lineRule="exact"/>
        <w:ind w:firstLine="640"/>
        <w:rPr>
          <w:rFonts w:eastAsia="仿宋_GB2312"/>
          <w:bCs/>
          <w:color w:val="000000" w:themeColor="text1"/>
          <w:sz w:val="32"/>
          <w:szCs w:val="32"/>
          <w14:textFill>
            <w14:solidFill>
              <w14:schemeClr w14:val="tx1"/>
            </w14:solidFill>
          </w14:textFill>
        </w:rPr>
      </w:pPr>
      <w:r>
        <w:rPr>
          <w:rFonts w:eastAsia="仿宋_GB2312"/>
          <w:b/>
          <w:bCs/>
          <w:color w:val="000000" w:themeColor="text1"/>
          <w:sz w:val="32"/>
          <w:szCs w:val="32"/>
          <w14:textFill>
            <w14:solidFill>
              <w14:schemeClr w14:val="tx1"/>
            </w14:solidFill>
          </w14:textFill>
        </w:rPr>
        <w:t>精准脱困扶贫取得历史性成就。</w:t>
      </w:r>
      <w:r>
        <w:rPr>
          <w:rFonts w:eastAsia="仿宋_GB2312"/>
          <w:color w:val="000000" w:themeColor="text1"/>
          <w:sz w:val="32"/>
          <w:szCs w:val="32"/>
          <w14:textFill>
            <w14:solidFill>
              <w14:schemeClr w14:val="tx1"/>
            </w14:solidFill>
          </w14:textFill>
        </w:rPr>
        <w:t>“挪穷窝”“斩穷根”，绝对贫困帽子一举摘去。实施145项扶贫建设工程，区内534户相对困难户、60个困难小组于2018年全部脱困出列。团结街道妥吉社区锁奔多15户苗族群众于2019年实现整体搬迁。区级</w:t>
      </w:r>
      <w:r>
        <w:rPr>
          <w:rFonts w:eastAsia="仿宋_GB2312"/>
          <w:bCs/>
          <w:color w:val="000000" w:themeColor="text1"/>
          <w:sz w:val="32"/>
          <w:szCs w:val="32"/>
          <w14:textFill>
            <w14:solidFill>
              <w14:schemeClr w14:val="tx1"/>
            </w14:solidFill>
          </w14:textFill>
        </w:rPr>
        <w:t>对外帮扶资金累计投入1.14亿元，帮扶</w:t>
      </w:r>
      <w:r>
        <w:rPr>
          <w:rFonts w:eastAsia="仿宋_GB2312"/>
          <w:color w:val="000000" w:themeColor="text1"/>
          <w:sz w:val="32"/>
          <w:szCs w:val="32"/>
          <w14:textFill>
            <w14:solidFill>
              <w14:schemeClr w14:val="tx1"/>
            </w14:solidFill>
          </w14:textFill>
        </w:rPr>
        <w:t>寻甸县于</w:t>
      </w:r>
      <w:r>
        <w:rPr>
          <w:rFonts w:eastAsia="仿宋_GB2312"/>
          <w:bCs/>
          <w:color w:val="000000" w:themeColor="text1"/>
          <w:sz w:val="32"/>
          <w:szCs w:val="32"/>
          <w14:textFill>
            <w14:solidFill>
              <w14:schemeClr w14:val="tx1"/>
            </w14:solidFill>
          </w14:textFill>
        </w:rPr>
        <w:t>2018年实现脱贫摘帽</w:t>
      </w:r>
      <w:r>
        <w:rPr>
          <w:rFonts w:eastAsia="仿宋_GB2312"/>
          <w:color w:val="000000" w:themeColor="text1"/>
          <w:sz w:val="32"/>
          <w:szCs w:val="32"/>
          <w14:textFill>
            <w14:solidFill>
              <w14:schemeClr w14:val="tx1"/>
            </w14:solidFill>
          </w14:textFill>
        </w:rPr>
        <w:t>，</w:t>
      </w:r>
      <w:r>
        <w:rPr>
          <w:rFonts w:eastAsia="仿宋_GB2312"/>
          <w:bCs/>
          <w:color w:val="000000" w:themeColor="text1"/>
          <w:sz w:val="32"/>
          <w:szCs w:val="32"/>
          <w14:textFill>
            <w14:solidFill>
              <w14:schemeClr w14:val="tx1"/>
            </w14:solidFill>
          </w14:textFill>
        </w:rPr>
        <w:t>助力禄劝县和</w:t>
      </w:r>
      <w:r>
        <w:rPr>
          <w:rFonts w:eastAsia="仿宋_GB2312"/>
          <w:color w:val="000000" w:themeColor="text1"/>
          <w:sz w:val="32"/>
          <w:szCs w:val="32"/>
          <w14:textFill>
            <w14:solidFill>
              <w14:schemeClr w14:val="tx1"/>
            </w14:solidFill>
          </w14:textFill>
        </w:rPr>
        <w:t>东川区于</w:t>
      </w:r>
      <w:r>
        <w:rPr>
          <w:rFonts w:eastAsia="仿宋_GB2312"/>
          <w:bCs/>
          <w:color w:val="000000" w:themeColor="text1"/>
          <w:sz w:val="32"/>
          <w:szCs w:val="32"/>
          <w14:textFill>
            <w14:solidFill>
              <w14:schemeClr w14:val="tx1"/>
            </w14:solidFill>
          </w14:textFill>
        </w:rPr>
        <w:t>2019实现脱贫摘帽。西山区获评“昆明市脱贫攻坚先进集体”称号。</w:t>
      </w:r>
    </w:p>
    <w:p w14:paraId="41EB8BF3">
      <w:pPr>
        <w:topLinePunct/>
        <w:autoSpaceDE w:val="0"/>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率先全面建成小康社会取得历史性成就。地区生产总值、城乡居民收入提前实现比2010年“翻一番”的目标，其中，地区生产总值于2016年提前实现“翻一番”目标，农村、城镇居民收入分别于2016年、2017年提前实现“翻一番”目标。“十三五”确定的29项经济社会发展主要指标，绝大多数较好完成或接近预期，全区国民经济与社会发展态势稳定向好，规划目标基本实现圆满收官。</w:t>
      </w:r>
    </w:p>
    <w:p w14:paraId="40530D25">
      <w:pPr>
        <w:topLinePunct/>
        <w:autoSpaceDE w:val="0"/>
        <w:spacing w:line="560" w:lineRule="exact"/>
        <w:ind w:firstLine="640" w:firstLineChars="200"/>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（二）八个持续提升</w:t>
      </w:r>
    </w:p>
    <w:p w14:paraId="53284FFA">
      <w:pPr>
        <w:topLinePunct/>
        <w:autoSpaceDE w:val="0"/>
        <w:spacing w:line="560" w:lineRule="exact"/>
        <w:ind w:firstLine="640"/>
        <w:rPr>
          <w:rFonts w:eastAsia="仿宋_GB2312"/>
          <w:color w:val="000000" w:themeColor="text1"/>
          <w:sz w:val="32"/>
          <w:szCs w:val="32"/>
          <w14:textFill>
            <w14:solidFill>
              <w14:schemeClr w14:val="tx1"/>
            </w14:solidFill>
          </w14:textFill>
        </w:rPr>
      </w:pPr>
      <w:r>
        <w:rPr>
          <w:rFonts w:eastAsia="仿宋_GB2312"/>
          <w:b/>
          <w:color w:val="000000" w:themeColor="text1"/>
          <w:sz w:val="32"/>
          <w:szCs w:val="32"/>
          <w14:textFill>
            <w14:solidFill>
              <w14:schemeClr w14:val="tx1"/>
            </w14:solidFill>
          </w14:textFill>
        </w:rPr>
        <w:t>综合实力水平持续提升。</w:t>
      </w:r>
      <w:r>
        <w:rPr>
          <w:rFonts w:eastAsia="仿宋_GB2312"/>
          <w:color w:val="000000" w:themeColor="text1"/>
          <w:sz w:val="32"/>
          <w:szCs w:val="32"/>
          <w14:textFill>
            <w14:solidFill>
              <w14:schemeClr w14:val="tx1"/>
            </w14:solidFill>
          </w14:textFill>
        </w:rPr>
        <w:t>高质量编制《昆明市西山区发展战略规划》，系统提出“打造更具活力的区域性国际中心城市中枢门户区”发展战略。全区地区生产总值从</w:t>
      </w:r>
      <w:r>
        <w:rPr>
          <w:rFonts w:eastAsia="仿宋_GB2312"/>
          <w:bCs/>
          <w:color w:val="000000" w:themeColor="text1"/>
          <w:sz w:val="32"/>
          <w:szCs w:val="32"/>
          <w14:textFill>
            <w14:solidFill>
              <w14:schemeClr w14:val="tx1"/>
            </w14:solidFill>
          </w14:textFill>
        </w:rPr>
        <w:t>“十二五”</w:t>
      </w:r>
      <w:r>
        <w:rPr>
          <w:rFonts w:eastAsia="仿宋_GB2312"/>
          <w:color w:val="000000" w:themeColor="text1"/>
          <w:sz w:val="32"/>
          <w:szCs w:val="32"/>
          <w14:textFill>
            <w14:solidFill>
              <w14:schemeClr w14:val="tx1"/>
            </w14:solidFill>
          </w14:textFill>
        </w:rPr>
        <w:t>末的501.79亿元提升突破900亿元，</w:t>
      </w:r>
      <w:r>
        <w:rPr>
          <w:rFonts w:eastAsia="仿宋_GB2312"/>
          <w:bCs/>
          <w:color w:val="000000" w:themeColor="text1"/>
          <w:sz w:val="32"/>
          <w:szCs w:val="32"/>
          <w14:textFill>
            <w14:solidFill>
              <w14:schemeClr w14:val="tx1"/>
            </w14:solidFill>
          </w14:textFill>
        </w:rPr>
        <w:t>全省排名从第6位上升至第5位</w:t>
      </w:r>
      <w:r>
        <w:rPr>
          <w:rFonts w:eastAsia="仿宋_GB2312"/>
          <w:color w:val="000000" w:themeColor="text1"/>
          <w:sz w:val="32"/>
          <w:szCs w:val="32"/>
          <w14:textFill>
            <w14:solidFill>
              <w14:schemeClr w14:val="tx1"/>
            </w14:solidFill>
          </w14:textFill>
        </w:rPr>
        <w:t>。一般公共预算收入完成46.72亿元，税收收入占比达到89.78%，</w:t>
      </w:r>
      <w:r>
        <w:rPr>
          <w:rFonts w:eastAsia="仿宋_GB2312"/>
          <w:snapToGrid w:val="0"/>
          <w:color w:val="000000" w:themeColor="text1"/>
          <w:kern w:val="0"/>
          <w:sz w:val="32"/>
          <w:szCs w:val="32"/>
          <w14:textFill>
            <w14:solidFill>
              <w14:schemeClr w14:val="tx1"/>
            </w14:solidFill>
          </w14:textFill>
        </w:rPr>
        <w:t>排名主城四区第一。</w:t>
      </w:r>
      <w:r>
        <w:rPr>
          <w:rFonts w:eastAsia="仿宋_GB2312"/>
          <w:color w:val="000000" w:themeColor="text1"/>
          <w:sz w:val="32"/>
          <w:szCs w:val="32"/>
          <w14:textFill>
            <w14:solidFill>
              <w14:schemeClr w14:val="tx1"/>
            </w14:solidFill>
          </w14:textFill>
        </w:rPr>
        <w:t>“十三五”期间规划建设项目共285项，完成投资226.24亿元。鼓励实体经济发展，</w:t>
      </w:r>
      <w:r>
        <w:rPr>
          <w:rFonts w:eastAsia="仿宋_GB2312"/>
          <w:snapToGrid w:val="0"/>
          <w:color w:val="000000" w:themeColor="text1"/>
          <w:kern w:val="0"/>
          <w:sz w:val="32"/>
          <w:szCs w:val="32"/>
          <w14:textFill>
            <w14:solidFill>
              <w14:schemeClr w14:val="tx1"/>
            </w14:solidFill>
          </w14:textFill>
        </w:rPr>
        <w:t>累计降低实体经济成本47.77亿元，</w:t>
      </w:r>
      <w:r>
        <w:rPr>
          <w:rFonts w:eastAsia="仿宋_GB2312"/>
          <w:color w:val="000000" w:themeColor="text1"/>
          <w:sz w:val="32"/>
          <w:szCs w:val="32"/>
          <w14:textFill>
            <w14:solidFill>
              <w14:schemeClr w14:val="tx1"/>
            </w14:solidFill>
          </w14:textFill>
        </w:rPr>
        <w:t>实施兑现稳增长政策扶持资金5.77亿元。新增企业45063户，是“十二五”期间的3倍；新增个体工商户65149户，是“十二五”期间的2.64倍。</w:t>
      </w:r>
      <w:r>
        <w:rPr>
          <w:rFonts w:eastAsia="仿宋_GB2312"/>
          <w:bCs/>
          <w:color w:val="000000" w:themeColor="text1"/>
          <w:sz w:val="32"/>
          <w:szCs w:val="32"/>
          <w14:textFill>
            <w14:solidFill>
              <w14:schemeClr w14:val="tx1"/>
            </w14:solidFill>
          </w14:textFill>
        </w:rPr>
        <w:t>产业层次由低端向中高端迈进</w:t>
      </w:r>
      <w:r>
        <w:rPr>
          <w:rFonts w:eastAsia="仿宋_GB2312"/>
          <w:color w:val="000000" w:themeColor="text1"/>
          <w:sz w:val="32"/>
          <w:szCs w:val="32"/>
          <w14:textFill>
            <w14:solidFill>
              <w14:schemeClr w14:val="tx1"/>
            </w14:solidFill>
          </w14:textFill>
        </w:rPr>
        <w:t>。荣获“云南省县域跨越发展先进县”“云南省县域跨越发展进位县”“云南省民营经济十强县”称号。</w:t>
      </w:r>
      <w:r>
        <w:rPr>
          <w:rFonts w:eastAsia="仿宋_GB2312"/>
          <w:b/>
          <w:color w:val="000000" w:themeColor="text1"/>
          <w:sz w:val="32"/>
          <w:szCs w:val="32"/>
          <w14:textFill>
            <w14:solidFill>
              <w14:schemeClr w14:val="tx1"/>
            </w14:solidFill>
          </w14:textFill>
        </w:rPr>
        <w:t>服务业持续领跑。</w:t>
      </w:r>
      <w:r>
        <w:rPr>
          <w:rFonts w:eastAsia="仿宋_GB2312"/>
          <w:color w:val="000000" w:themeColor="text1"/>
          <w:sz w:val="32"/>
          <w:szCs w:val="32"/>
          <w14:textFill>
            <w14:solidFill>
              <w14:schemeClr w14:val="tx1"/>
            </w14:solidFill>
          </w14:textFill>
        </w:rPr>
        <w:t>南亚、万达等“八大商圈”基本形成，保有税收亿元楼宇7幢、千万元楼宇15幢，总部企业45户。各类金融机构增至695家。规上文化企业达到49家。规上软件信息技术服务业企业累计达到10户。</w:t>
      </w:r>
      <w:r>
        <w:rPr>
          <w:rFonts w:eastAsia="仿宋_GB2312"/>
          <w:snapToGrid w:val="0"/>
          <w:color w:val="000000" w:themeColor="text1"/>
          <w:sz w:val="32"/>
          <w:szCs w:val="32"/>
          <w14:textFill>
            <w14:solidFill>
              <w14:schemeClr w14:val="tx1"/>
            </w14:solidFill>
          </w14:textFill>
        </w:rPr>
        <w:t>全社会R&amp;D经费投入逐年提高。</w:t>
      </w:r>
      <w:r>
        <w:rPr>
          <w:rFonts w:eastAsia="仿宋_GB2312"/>
          <w:b/>
          <w:bCs/>
          <w:color w:val="000000" w:themeColor="text1"/>
          <w:sz w:val="32"/>
          <w:szCs w:val="32"/>
          <w14:textFill>
            <w14:solidFill>
              <w14:schemeClr w14:val="tx1"/>
            </w14:solidFill>
          </w14:textFill>
        </w:rPr>
        <w:t>工业经济攻坚增效。</w:t>
      </w:r>
      <w:r>
        <w:rPr>
          <w:rFonts w:eastAsia="仿宋_GB2312"/>
          <w:color w:val="000000" w:themeColor="text1"/>
          <w:sz w:val="32"/>
          <w:szCs w:val="32"/>
          <w14:textFill>
            <w14:solidFill>
              <w14:schemeClr w14:val="tx1"/>
            </w14:solidFill>
          </w14:textFill>
        </w:rPr>
        <w:t>规上工业企业达到58户，高新技术企业达到110家，高新技术企业对经济贡献作用凸显。云南汉麻集团（昆明）技术研发中心挂牌成立。云南正邦科技有限公司拟入选</w:t>
      </w:r>
      <w:bookmarkStart w:id="30" w:name="_Hlk56434959"/>
      <w:r>
        <w:rPr>
          <w:rFonts w:eastAsia="仿宋_GB2312"/>
          <w:color w:val="000000" w:themeColor="text1"/>
          <w:sz w:val="32"/>
          <w:szCs w:val="32"/>
          <w14:textFill>
            <w14:solidFill>
              <w14:schemeClr w14:val="tx1"/>
            </w14:solidFill>
          </w14:textFill>
        </w:rPr>
        <w:t>工信部第二批“专精特新”小巨人企业</w:t>
      </w:r>
      <w:bookmarkEnd w:id="30"/>
      <w:r>
        <w:rPr>
          <w:rFonts w:eastAsia="仿宋_GB2312"/>
          <w:color w:val="000000" w:themeColor="text1"/>
          <w:sz w:val="32"/>
          <w:szCs w:val="32"/>
          <w14:textFill>
            <w14:solidFill>
              <w14:schemeClr w14:val="tx1"/>
            </w14:solidFill>
          </w14:textFill>
        </w:rPr>
        <w:t>。</w:t>
      </w:r>
      <w:r>
        <w:rPr>
          <w:rFonts w:eastAsia="仿宋_GB2312"/>
          <w:b/>
          <w:bCs/>
          <w:color w:val="000000" w:themeColor="text1"/>
          <w:sz w:val="32"/>
          <w:szCs w:val="32"/>
          <w14:textFill>
            <w14:solidFill>
              <w14:schemeClr w14:val="tx1"/>
            </w14:solidFill>
          </w14:textFill>
        </w:rPr>
        <w:t>高原特色农业巩固发展。</w:t>
      </w:r>
      <w:r>
        <w:rPr>
          <w:rFonts w:eastAsia="仿宋_GB2312"/>
          <w:color w:val="000000" w:themeColor="text1"/>
          <w:sz w:val="32"/>
          <w:szCs w:val="32"/>
          <w14:textFill>
            <w14:solidFill>
              <w14:schemeClr w14:val="tx1"/>
            </w14:solidFill>
          </w14:textFill>
        </w:rPr>
        <w:t>保有农业龙头企业42户，带动农户58.79万户；都市农庄企业投资达到4.72亿元。推进</w:t>
      </w:r>
      <w:r>
        <w:rPr>
          <w:rFonts w:eastAsia="仿宋_GB2312"/>
          <w:bCs/>
          <w:color w:val="000000" w:themeColor="text1"/>
          <w:sz w:val="32"/>
          <w:szCs w:val="32"/>
          <w14:textFill>
            <w14:solidFill>
              <w14:schemeClr w14:val="tx1"/>
            </w14:solidFill>
          </w14:textFill>
        </w:rPr>
        <w:t>四季特色水果园区建设，在全省率先开展星级草莓园评定活动，完成果园提质增效技术示</w:t>
      </w:r>
      <w:r>
        <w:rPr>
          <w:rFonts w:eastAsia="仿宋_GB2312"/>
          <w:bCs/>
          <w:color w:val="000000" w:themeColor="text1"/>
          <w:spacing w:val="6"/>
          <w:sz w:val="32"/>
          <w:szCs w:val="32"/>
          <w14:textFill>
            <w14:solidFill>
              <w14:schemeClr w14:val="tx1"/>
            </w14:solidFill>
          </w14:textFill>
        </w:rPr>
        <w:t>范2万亩，</w:t>
      </w:r>
      <w:r>
        <w:rPr>
          <w:rFonts w:eastAsia="仿宋_GB2312"/>
          <w:color w:val="000000" w:themeColor="text1"/>
          <w:spacing w:val="6"/>
          <w:sz w:val="32"/>
          <w:szCs w:val="32"/>
          <w14:textFill>
            <w14:solidFill>
              <w14:schemeClr w14:val="tx1"/>
            </w14:solidFill>
          </w14:textFill>
        </w:rPr>
        <w:t>“团结苹果”获中国好苹果大赛2020总决赛“最甜苹果奖”。</w:t>
      </w:r>
    </w:p>
    <w:p w14:paraId="19F82307">
      <w:pPr>
        <w:topLinePunct/>
        <w:snapToGrid w:val="0"/>
        <w:spacing w:line="560" w:lineRule="exact"/>
        <w:ind w:firstLine="643"/>
        <w:rPr>
          <w:rFonts w:eastAsia="仿宋_GB2312"/>
          <w:color w:val="000000" w:themeColor="text1"/>
          <w:sz w:val="32"/>
          <w:szCs w:val="32"/>
          <w14:textFill>
            <w14:solidFill>
              <w14:schemeClr w14:val="tx1"/>
            </w14:solidFill>
          </w14:textFill>
        </w:rPr>
      </w:pPr>
      <w:r>
        <w:rPr>
          <w:rFonts w:eastAsia="仿宋_GB2312"/>
          <w:b/>
          <w:color w:val="000000" w:themeColor="text1"/>
          <w:sz w:val="32"/>
          <w:szCs w:val="32"/>
          <w14:textFill>
            <w14:solidFill>
              <w14:schemeClr w14:val="tx1"/>
            </w14:solidFill>
          </w14:textFill>
        </w:rPr>
        <w:t>改革创新能力持续提升。</w:t>
      </w:r>
      <w:r>
        <w:rPr>
          <w:rFonts w:eastAsia="仿宋_GB2312"/>
          <w:color w:val="000000" w:themeColor="text1"/>
          <w:sz w:val="32"/>
          <w:szCs w:val="32"/>
          <w14:textFill>
            <w14:solidFill>
              <w14:schemeClr w14:val="tx1"/>
            </w14:solidFill>
          </w14:textFill>
        </w:rPr>
        <w:t>供给侧结构性改革“三去一降一补”成果得到巩固，党政机构、监察和司法体制等各项改革有力落实，“放管服”改革“六个一”行动深入推进，率先全市开通政务楼宇直通车，营商环境持续优化。财税金融、农业农村、教育卫生、国有企业等重要领域和关键环节改革任务较好完成。组建西发展集团公司并取得AA级信用等级资质，西山区教育投资公司正式成立。滇池度假区153项社会事务管理职能顺利移交。科技创新成效明显，“云南光谷孵化器基地”入选国家创业创新示范基地，云南腾云信息产业有限公司获云南省互联网企业十强首位殊荣，“3C空间”获得首批“昆明创业创新先行试点”称号，建成“西山区科技创新中心”。云南首个运用5G技术建设的县级融媒体中心、首个人才主题开放式公园建成。获评“国家知识产权强县工程示范区”、位居“2019云南省最具外资吸引力县市区”榜首。</w:t>
      </w:r>
    </w:p>
    <w:p w14:paraId="0A07C113">
      <w:pPr>
        <w:topLinePunct/>
        <w:snapToGrid w:val="0"/>
        <w:spacing w:line="560" w:lineRule="exact"/>
        <w:ind w:firstLine="643"/>
        <w:rPr>
          <w:rFonts w:eastAsia="仿宋_GB2312"/>
          <w:color w:val="000000" w:themeColor="text1"/>
          <w:sz w:val="32"/>
          <w:szCs w:val="32"/>
          <w14:textFill>
            <w14:solidFill>
              <w14:schemeClr w14:val="tx1"/>
            </w14:solidFill>
          </w14:textFill>
        </w:rPr>
      </w:pPr>
      <w:r>
        <w:rPr>
          <w:rFonts w:eastAsia="仿宋_GB2312"/>
          <w:b/>
          <w:color w:val="000000" w:themeColor="text1"/>
          <w:sz w:val="32"/>
          <w:szCs w:val="32"/>
          <w14:textFill>
            <w14:solidFill>
              <w14:schemeClr w14:val="tx1"/>
            </w14:solidFill>
          </w14:textFill>
        </w:rPr>
        <w:t>城乡建设水平持续提升。</w:t>
      </w:r>
      <w:r>
        <w:rPr>
          <w:rFonts w:eastAsia="仿宋_GB2312"/>
          <w:color w:val="000000" w:themeColor="text1"/>
          <w:sz w:val="32"/>
          <w:szCs w:val="32"/>
          <w14:textFill>
            <w14:solidFill>
              <w14:schemeClr w14:val="tx1"/>
            </w14:solidFill>
          </w14:textFill>
        </w:rPr>
        <w:t>土地收储达到1.38万亩，供应2.902万亩，实现交易价款617.04亿元，处置批而未供土地8821.67亩。草海、老螺蛳湾、双塔等重点片区建设取得突破，实施城市更新改造片区44个，建成美丽宜居乡村59个。</w:t>
      </w:r>
      <w:r>
        <w:rPr>
          <w:rFonts w:eastAsia="仿宋_GB2312"/>
          <w:b/>
          <w:bCs/>
          <w:color w:val="000000" w:themeColor="text1"/>
          <w:sz w:val="32"/>
          <w:szCs w:val="32"/>
          <w14:textFill>
            <w14:solidFill>
              <w14:schemeClr w14:val="tx1"/>
            </w14:solidFill>
          </w14:textFill>
        </w:rPr>
        <w:t>基础设施建设力度空前，</w:t>
      </w:r>
      <w:r>
        <w:rPr>
          <w:rFonts w:eastAsia="仿宋_GB2312"/>
          <w:color w:val="000000" w:themeColor="text1"/>
          <w:sz w:val="32"/>
          <w:szCs w:val="32"/>
          <w14:textFill>
            <w14:solidFill>
              <w14:schemeClr w14:val="tx1"/>
            </w14:solidFill>
          </w14:textFill>
        </w:rPr>
        <w:t>路网密度明显提升，城市路网长度超过353公里。国道优良率达到90.17%，率先实现自然村道路硬化率100%，获评全市“四好农村公路”示范区。“三个1小时”交通圈全面建成。渝昆高铁昆明西客站建设项目征地拆迁全面启动。水网建设大力推进，团结集镇供水工程、农村饮水安全巩固提升工程投入使用。水质“双控”目标全面实现，船房河、大观河被评定为省级“美丽河道”。“绿化、美化、亮化”提升工程深入实施，新建、提升22个城市公园，新增城市绿地2385亩。涉农地区集镇污水和生活垃圾处理设施实现全覆盖，120个自然村村庄污水收集系统投入运行，农村无害化卫生户厕覆盖率达到90%以上。爱国卫生“7+1专项行动”扎实开展，农村“厕所革命”等多项惠民工程有序推进。在历年全市城乡人居环境考核中均位前列。“半城山水半城湖、半城春色半城梦”的现代西山环境更加彰显。</w:t>
      </w:r>
    </w:p>
    <w:p w14:paraId="624439D6">
      <w:pPr>
        <w:topLinePunct/>
        <w:snapToGrid w:val="0"/>
        <w:spacing w:line="560" w:lineRule="exact"/>
        <w:ind w:firstLine="643"/>
        <w:rPr>
          <w:rFonts w:eastAsia="仿宋_GB2312"/>
          <w:color w:val="000000" w:themeColor="text1"/>
          <w:sz w:val="32"/>
          <w:szCs w:val="32"/>
          <w14:textFill>
            <w14:solidFill>
              <w14:schemeClr w14:val="tx1"/>
            </w14:solidFill>
          </w14:textFill>
        </w:rPr>
      </w:pPr>
      <w:r>
        <w:rPr>
          <w:rFonts w:eastAsia="仿宋_GB2312"/>
          <w:b/>
          <w:color w:val="000000" w:themeColor="text1"/>
          <w:sz w:val="32"/>
          <w:szCs w:val="32"/>
          <w14:textFill>
            <w14:solidFill>
              <w14:schemeClr w14:val="tx1"/>
            </w14:solidFill>
          </w14:textFill>
        </w:rPr>
        <w:t>社会民生补短板水平持续提升。</w:t>
      </w:r>
      <w:r>
        <w:rPr>
          <w:rFonts w:eastAsia="仿宋_GB2312"/>
          <w:bCs/>
          <w:color w:val="000000" w:themeColor="text1"/>
          <w:sz w:val="32"/>
          <w:szCs w:val="32"/>
          <w14:textFill>
            <w14:solidFill>
              <w14:schemeClr w14:val="tx1"/>
            </w14:solidFill>
          </w14:textFill>
        </w:rPr>
        <w:t>公共财政支</w:t>
      </w:r>
      <w:r>
        <w:rPr>
          <w:rFonts w:eastAsia="仿宋_GB2312"/>
          <w:color w:val="000000" w:themeColor="text1"/>
          <w:sz w:val="32"/>
          <w:szCs w:val="32"/>
          <w14:textFill>
            <w14:solidFill>
              <w14:schemeClr w14:val="tx1"/>
            </w14:solidFill>
          </w14:textFill>
        </w:rPr>
        <w:t>出70%以</w:t>
      </w:r>
      <w:r>
        <w:rPr>
          <w:rFonts w:eastAsia="仿宋_GB2312"/>
          <w:bCs/>
          <w:color w:val="000000" w:themeColor="text1"/>
          <w:sz w:val="32"/>
          <w:szCs w:val="32"/>
          <w14:textFill>
            <w14:solidFill>
              <w14:schemeClr w14:val="tx1"/>
            </w14:solidFill>
          </w14:textFill>
        </w:rPr>
        <w:t>上投向民生领域。</w:t>
      </w:r>
      <w:r>
        <w:rPr>
          <w:rFonts w:eastAsia="仿宋_GB2312"/>
          <w:color w:val="000000" w:themeColor="text1"/>
          <w:sz w:val="32"/>
          <w:szCs w:val="32"/>
          <w14:textFill>
            <w14:solidFill>
              <w14:schemeClr w14:val="tx1"/>
            </w14:solidFill>
          </w14:textFill>
        </w:rPr>
        <w:t>各类社会保险参保覆盖率保持在96%以上，城乡低保覆盖率达到100%。城镇登记失业率控制在4%以内。开展“智慧社区养老+”试点建设，全区民办养老机构达到25家，养老床位数较“十二五”末增长近70%。</w:t>
      </w:r>
      <w:r>
        <w:rPr>
          <w:rFonts w:eastAsia="仿宋_GB2312"/>
          <w:b/>
          <w:bCs/>
          <w:color w:val="000000" w:themeColor="text1"/>
          <w:sz w:val="32"/>
          <w:szCs w:val="32"/>
          <w14:textFill>
            <w14:solidFill>
              <w14:schemeClr w14:val="tx1"/>
            </w14:solidFill>
          </w14:textFill>
        </w:rPr>
        <w:t>教育事业优质发展。</w:t>
      </w:r>
      <w:r>
        <w:rPr>
          <w:rFonts w:eastAsia="仿宋_GB2312"/>
          <w:snapToGrid w:val="0"/>
          <w:color w:val="000000" w:themeColor="text1"/>
          <w:spacing w:val="6"/>
          <w:sz w:val="32"/>
          <w:szCs w:val="32"/>
          <w14:textFill>
            <w14:solidFill>
              <w14:schemeClr w14:val="tx1"/>
            </w14:solidFill>
          </w14:textFill>
        </w:rPr>
        <w:t>率先</w:t>
      </w:r>
      <w:r>
        <w:rPr>
          <w:rFonts w:eastAsia="仿宋_GB2312"/>
          <w:color w:val="000000" w:themeColor="text1"/>
          <w:sz w:val="32"/>
          <w:szCs w:val="32"/>
          <w14:textFill>
            <w14:solidFill>
              <w14:schemeClr w14:val="tx1"/>
            </w14:solidFill>
          </w14:textFill>
        </w:rPr>
        <w:t>全市举办首家0到3岁公办托育机构。普惠性民办幼儿园街道全覆盖，学前三年毛入园率达到101.38%。户籍适龄儿童少年九年义务教育巩固率达到99.22%。高中阶段毛入学率达到97%。“1+N”互动课堂工作经验在全省交流，我区被确定为</w:t>
      </w:r>
      <w:r>
        <w:rPr>
          <w:rFonts w:hint="eastAsia" w:eastAsia="仿宋_GB2312"/>
          <w:color w:val="000000" w:themeColor="text1"/>
          <w:sz w:val="32"/>
          <w:szCs w:val="32"/>
          <w:lang w:eastAsia="zh-CN"/>
          <w14:textFill>
            <w14:solidFill>
              <w14:schemeClr w14:val="tx1"/>
            </w14:solidFill>
          </w14:textFill>
        </w:rPr>
        <w:t>教育部</w:t>
      </w:r>
      <w:r>
        <w:rPr>
          <w:rFonts w:eastAsia="仿宋_GB2312"/>
          <w:color w:val="000000" w:themeColor="text1"/>
          <w:sz w:val="32"/>
          <w:szCs w:val="32"/>
          <w14:textFill>
            <w14:solidFill>
              <w14:schemeClr w14:val="tx1"/>
            </w14:solidFill>
          </w14:textFill>
        </w:rPr>
        <w:t>信息化教学实验区。全市率先完成教育布局布点专项规划编制，新建、改扩建学校27所。“三名”工程深入实施，培育引进名师、名长24名，新增优质学校17所，28所学校获评省、市现代教育示范学校（园）。中高考总平均分在全市排名第二，较“十二五”末提升了3位。荣获“云南省教育工作先进县”称号。</w:t>
      </w:r>
      <w:r>
        <w:rPr>
          <w:rFonts w:eastAsia="仿宋_GB2312"/>
          <w:b/>
          <w:color w:val="000000" w:themeColor="text1"/>
          <w:sz w:val="32"/>
          <w:szCs w:val="32"/>
          <w14:textFill>
            <w14:solidFill>
              <w14:schemeClr w14:val="tx1"/>
            </w14:solidFill>
          </w14:textFill>
        </w:rPr>
        <w:t>卫</w:t>
      </w:r>
      <w:r>
        <w:rPr>
          <w:rFonts w:eastAsia="仿宋_GB2312"/>
          <w:b/>
          <w:bCs/>
          <w:color w:val="000000" w:themeColor="text1"/>
          <w:sz w:val="32"/>
          <w:szCs w:val="32"/>
          <w14:textFill>
            <w14:solidFill>
              <w14:schemeClr w14:val="tx1"/>
            </w14:solidFill>
          </w14:textFill>
        </w:rPr>
        <w:t>生健康事业稳步发展。</w:t>
      </w:r>
      <w:r>
        <w:rPr>
          <w:rFonts w:eastAsia="仿宋_GB2312"/>
          <w:bCs/>
          <w:color w:val="000000" w:themeColor="text1"/>
          <w:sz w:val="32"/>
          <w:szCs w:val="32"/>
          <w14:textFill>
            <w14:solidFill>
              <w14:schemeClr w14:val="tx1"/>
            </w14:solidFill>
          </w14:textFill>
        </w:rPr>
        <w:t>全区开放病床数较“十二五”末增长1倍，达到1.3万余张。</w:t>
      </w:r>
      <w:r>
        <w:rPr>
          <w:rFonts w:eastAsia="仿宋_GB2312"/>
          <w:color w:val="000000" w:themeColor="text1"/>
          <w:sz w:val="32"/>
          <w:szCs w:val="32"/>
          <w14:textFill>
            <w14:solidFill>
              <w14:schemeClr w14:val="tx1"/>
            </w14:solidFill>
          </w14:textFill>
        </w:rPr>
        <w:t>社区体育设施覆盖率达到100%。基层公共卫生服务机构中医科覆盖率100%。“4+X”家庭医生签约、数字影像“云胶片”等创新项目成为全省优秀范本，建成“国家慢性非传染性疾病综合防控示范区”。</w:t>
      </w:r>
      <w:r>
        <w:rPr>
          <w:rFonts w:eastAsia="仿宋_GB2312"/>
          <w:b/>
          <w:bCs/>
          <w:color w:val="000000" w:themeColor="text1"/>
          <w:sz w:val="32"/>
          <w:szCs w:val="32"/>
          <w14:textFill>
            <w14:solidFill>
              <w14:schemeClr w14:val="tx1"/>
            </w14:solidFill>
          </w14:textFill>
        </w:rPr>
        <w:t>文化惠民不断深化。</w:t>
      </w:r>
      <w:r>
        <w:rPr>
          <w:rFonts w:eastAsia="仿宋_GB2312"/>
          <w:color w:val="000000" w:themeColor="text1"/>
          <w:sz w:val="32"/>
          <w:szCs w:val="32"/>
          <w14:textFill>
            <w14:solidFill>
              <w14:schemeClr w14:val="tx1"/>
            </w14:solidFill>
          </w14:textFill>
        </w:rPr>
        <w:t>基层公共文化服务设施实现全覆盖、全达标，基本公共文化服务资金到位率达到100%，助力昆明创建成“国家公共文化服务体系示范区”。滇池博物馆正式对外开放、陈列布展。西山区文化馆、图书馆均为部颁一级馆。全国重点文物保护单位增至6项。</w:t>
      </w:r>
      <w:r>
        <w:rPr>
          <w:rFonts w:eastAsia="仿宋_GB2312"/>
          <w:bCs/>
          <w:color w:val="000000" w:themeColor="text1"/>
          <w:sz w:val="32"/>
          <w:szCs w:val="32"/>
          <w14:textFill>
            <w14:solidFill>
              <w14:schemeClr w14:val="tx1"/>
            </w14:solidFill>
          </w14:textFill>
        </w:rPr>
        <w:t>第七次全国人口普查扎实开展。国防动员、</w:t>
      </w:r>
      <w:r>
        <w:rPr>
          <w:rFonts w:eastAsia="仿宋_GB2312"/>
          <w:color w:val="000000" w:themeColor="text1"/>
          <w:sz w:val="32"/>
          <w:szCs w:val="32"/>
          <w14:textFill>
            <w14:solidFill>
              <w14:schemeClr w14:val="tx1"/>
            </w14:solidFill>
          </w14:textFill>
        </w:rPr>
        <w:t>粮食、气象、外事、科普、侨务、妇女儿童、助残、红十字等事业取得新成绩。</w:t>
      </w:r>
    </w:p>
    <w:p w14:paraId="4DF4E9CC">
      <w:pPr>
        <w:topLinePunct/>
        <w:snapToGrid w:val="0"/>
        <w:spacing w:line="560" w:lineRule="exact"/>
        <w:ind w:firstLine="643"/>
        <w:rPr>
          <w:rFonts w:eastAsia="仿宋_GB2312"/>
          <w:b/>
          <w:bCs/>
          <w:color w:val="000000" w:themeColor="text1"/>
          <w:sz w:val="32"/>
          <w:szCs w:val="32"/>
          <w14:textFill>
            <w14:solidFill>
              <w14:schemeClr w14:val="tx1"/>
            </w14:solidFill>
          </w14:textFill>
        </w:rPr>
      </w:pPr>
      <w:r>
        <w:rPr>
          <w:rFonts w:eastAsia="仿宋_GB2312"/>
          <w:b/>
          <w:bCs/>
          <w:color w:val="000000" w:themeColor="text1"/>
          <w:sz w:val="32"/>
          <w:szCs w:val="32"/>
          <w14:textFill>
            <w14:solidFill>
              <w14:schemeClr w14:val="tx1"/>
            </w14:solidFill>
          </w14:textFill>
        </w:rPr>
        <w:t>疫情防控战略成果筑牢提升</w:t>
      </w:r>
      <w:r>
        <w:rPr>
          <w:rFonts w:eastAsia="仿宋_GB2312"/>
          <w:bCs/>
          <w:color w:val="000000" w:themeColor="text1"/>
          <w:sz w:val="32"/>
          <w:szCs w:val="32"/>
          <w14:textFill>
            <w14:solidFill>
              <w14:schemeClr w14:val="tx1"/>
            </w14:solidFill>
          </w14:textFill>
        </w:rPr>
        <w:t>。</w:t>
      </w:r>
      <w:r>
        <w:rPr>
          <w:rFonts w:eastAsia="仿宋_GB2312"/>
          <w:color w:val="000000" w:themeColor="text1"/>
          <w:sz w:val="32"/>
          <w:szCs w:val="32"/>
          <w14:textFill>
            <w14:solidFill>
              <w14:schemeClr w14:val="tx1"/>
            </w14:solidFill>
          </w14:textFill>
        </w:rPr>
        <w:t>坚持把人民群众生命安全和身体健康放在首位，</w:t>
      </w:r>
      <w:r>
        <w:rPr>
          <w:rFonts w:eastAsia="仿宋_GB2312"/>
          <w:snapToGrid w:val="0"/>
          <w:color w:val="000000" w:themeColor="text1"/>
          <w:kern w:val="0"/>
          <w:sz w:val="32"/>
          <w:szCs w:val="32"/>
          <w14:textFill>
            <w14:solidFill>
              <w14:schemeClr w14:val="tx1"/>
            </w14:solidFill>
          </w14:textFill>
        </w:rPr>
        <w:t>数万名党员干部、社区工作者、医务工作者、公安民警、民兵和志愿者</w:t>
      </w:r>
      <w:r>
        <w:rPr>
          <w:rFonts w:eastAsia="仿宋_GB2312"/>
          <w:color w:val="000000" w:themeColor="text1"/>
          <w:sz w:val="32"/>
          <w:szCs w:val="32"/>
          <w14:textFill>
            <w14:solidFill>
              <w14:schemeClr w14:val="tx1"/>
            </w14:solidFill>
          </w14:textFill>
        </w:rPr>
        <w:t>闻令而动、舍身忘我、一线奋战，全区上下同舟共济、众志成城，构建起“横向到边、纵向到底”的防控网格。在全省首家成立留观点临时党支部。坚持常态化防控不松懈，严格落实重点人员、入境人员全流程闭环管理，累计隔离留观6500余人次，开展核酸采样检测</w:t>
      </w:r>
      <w:r>
        <w:rPr>
          <w:snapToGrid w:val="0"/>
          <w:color w:val="000000" w:themeColor="text1"/>
          <w:kern w:val="0"/>
          <w:sz w:val="32"/>
          <w:szCs w:val="32"/>
          <w14:textFill>
            <w14:solidFill>
              <w14:schemeClr w14:val="tx1"/>
            </w14:solidFill>
          </w14:textFill>
        </w:rPr>
        <w:t>1.9</w:t>
      </w:r>
      <w:r>
        <w:rPr>
          <w:rFonts w:eastAsia="仿宋_GB2312"/>
          <w:snapToGrid w:val="0"/>
          <w:color w:val="000000" w:themeColor="text1"/>
          <w:kern w:val="0"/>
          <w:sz w:val="32"/>
          <w:szCs w:val="32"/>
          <w14:textFill>
            <w14:solidFill>
              <w14:schemeClr w14:val="tx1"/>
            </w14:solidFill>
          </w14:textFill>
        </w:rPr>
        <w:t>万余人次</w:t>
      </w:r>
      <w:r>
        <w:rPr>
          <w:rFonts w:eastAsia="仿宋_GB2312"/>
          <w:color w:val="000000" w:themeColor="text1"/>
          <w:sz w:val="32"/>
          <w:szCs w:val="32"/>
          <w14:textFill>
            <w14:solidFill>
              <w14:schemeClr w14:val="tx1"/>
            </w14:solidFill>
          </w14:textFill>
        </w:rPr>
        <w:t>，实现院感事件零发生、社区传播零报告、境外输入零关联、特殊场所零感染、复工复产疫情零发现，筑成一道“外防输入、内防反弹”的坚强防线。获湖北省委省政府授予新时代“最美逆行者”称号、获昆明市第三届“健康春城·最美医者”称号。</w:t>
      </w:r>
    </w:p>
    <w:p w14:paraId="1C16452D">
      <w:pPr>
        <w:topLinePunct/>
        <w:snapToGrid w:val="0"/>
        <w:spacing w:line="560" w:lineRule="exact"/>
        <w:ind w:firstLine="643"/>
        <w:rPr>
          <w:rFonts w:eastAsia="仿宋_GB2312"/>
          <w:snapToGrid w:val="0"/>
          <w:color w:val="000000" w:themeColor="text1"/>
          <w:sz w:val="32"/>
          <w:szCs w:val="32"/>
          <w14:textFill>
            <w14:solidFill>
              <w14:schemeClr w14:val="tx1"/>
            </w14:solidFill>
          </w14:textFill>
        </w:rPr>
      </w:pPr>
      <w:r>
        <w:rPr>
          <w:rFonts w:eastAsia="仿宋_GB2312"/>
          <w:b/>
          <w:color w:val="000000" w:themeColor="text1"/>
          <w:sz w:val="32"/>
          <w:szCs w:val="32"/>
          <w14:textFill>
            <w14:solidFill>
              <w14:schemeClr w14:val="tx1"/>
            </w14:solidFill>
          </w14:textFill>
        </w:rPr>
        <w:t>生态文明建设水平持续提升。</w:t>
      </w:r>
      <w:r>
        <w:rPr>
          <w:rFonts w:eastAsia="仿宋_GB2312"/>
          <w:bCs/>
          <w:color w:val="000000" w:themeColor="text1"/>
          <w:sz w:val="32"/>
          <w:szCs w:val="32"/>
          <w14:textFill>
            <w14:solidFill>
              <w14:schemeClr w14:val="tx1"/>
            </w14:solidFill>
          </w14:textFill>
        </w:rPr>
        <w:t>打好</w:t>
      </w:r>
      <w:r>
        <w:rPr>
          <w:rFonts w:eastAsia="仿宋_GB2312"/>
          <w:b/>
          <w:bCs/>
          <w:color w:val="000000" w:themeColor="text1"/>
          <w:sz w:val="32"/>
          <w:szCs w:val="32"/>
          <w14:textFill>
            <w14:solidFill>
              <w14:schemeClr w14:val="tx1"/>
            </w14:solidFill>
          </w14:textFill>
        </w:rPr>
        <w:t>蓝天保卫战</w:t>
      </w:r>
      <w:r>
        <w:rPr>
          <w:rFonts w:eastAsia="仿宋_GB2312"/>
          <w:bCs/>
          <w:color w:val="000000" w:themeColor="text1"/>
          <w:sz w:val="32"/>
          <w:szCs w:val="32"/>
          <w14:textFill>
            <w14:solidFill>
              <w14:schemeClr w14:val="tx1"/>
            </w14:solidFill>
          </w14:textFill>
        </w:rPr>
        <w:t>。建立大气污染扬尘防治“红黑榜”制度，</w:t>
      </w:r>
      <w:r>
        <w:rPr>
          <w:rFonts w:eastAsia="仿宋_GB2312"/>
          <w:color w:val="000000" w:themeColor="text1"/>
          <w:sz w:val="32"/>
          <w:szCs w:val="32"/>
          <w14:textFill>
            <w14:solidFill>
              <w14:schemeClr w14:val="tx1"/>
            </w14:solidFill>
          </w14:textFill>
        </w:rPr>
        <w:t>全区空气无轻度及以上污染天数，质量优良率达到99.7%，稳定</w:t>
      </w:r>
      <w:r>
        <w:rPr>
          <w:rFonts w:eastAsia="仿宋_GB2312"/>
          <w:bCs/>
          <w:color w:val="000000" w:themeColor="text1"/>
          <w:sz w:val="32"/>
          <w:szCs w:val="32"/>
          <w14:textFill>
            <w14:solidFill>
              <w14:schemeClr w14:val="tx1"/>
            </w14:solidFill>
          </w14:textFill>
        </w:rPr>
        <w:t>达到国家二级标准以上。打好</w:t>
      </w:r>
      <w:r>
        <w:rPr>
          <w:rFonts w:eastAsia="仿宋_GB2312"/>
          <w:b/>
          <w:color w:val="000000" w:themeColor="text1"/>
          <w:sz w:val="32"/>
          <w:szCs w:val="32"/>
          <w14:textFill>
            <w14:solidFill>
              <w14:schemeClr w14:val="tx1"/>
            </w14:solidFill>
          </w14:textFill>
        </w:rPr>
        <w:t>治水持久战</w:t>
      </w:r>
      <w:r>
        <w:rPr>
          <w:rFonts w:eastAsia="仿宋_GB2312"/>
          <w:bCs/>
          <w:color w:val="000000" w:themeColor="text1"/>
          <w:sz w:val="32"/>
          <w:szCs w:val="32"/>
          <w14:textFill>
            <w14:solidFill>
              <w14:schemeClr w14:val="tx1"/>
            </w14:solidFill>
          </w14:textFill>
        </w:rPr>
        <w:t>。河（湖）长制全面落实，网格化清水入滇微改造等49个水环境保护治理项目全面完成，海口工业园区污水处理厂投入运行。“十年禁渔”要求严格落实，滇池一级保护区公共单位搬迁工作取得突破性进展。滇池流域及西山重点区域累计关停35个矿山，“五采区”植被修复任务超额完成4350亩。智慧水务管理体系实现区、街道、社</w:t>
      </w:r>
      <w:r>
        <w:rPr>
          <w:rFonts w:eastAsia="仿宋_GB2312"/>
          <w:color w:val="000000" w:themeColor="text1"/>
          <w:sz w:val="32"/>
          <w:szCs w:val="32"/>
          <w14:textFill>
            <w14:solidFill>
              <w14:schemeClr w14:val="tx1"/>
            </w14:solidFill>
          </w14:textFill>
        </w:rPr>
        <w:t>区三级河长和联系部门全覆盖；污染防治攻坚战成效显著，完成149.84千米截污管网建设，黑臭水体整治被国家住建部评为“长制久清”。</w:t>
      </w:r>
      <w:r>
        <w:rPr>
          <w:rFonts w:eastAsia="仿宋_GB2312"/>
          <w:snapToGrid w:val="0"/>
          <w:color w:val="000000" w:themeColor="text1"/>
          <w:sz w:val="32"/>
          <w:szCs w:val="32"/>
          <w14:textFill>
            <w14:solidFill>
              <w14:schemeClr w14:val="tx1"/>
            </w14:solidFill>
          </w14:textFill>
        </w:rPr>
        <w:t>全区主要河流地表水水质达标率100%，集中式饮用水水源水质达标率100%，全面消除劣V类水体</w:t>
      </w:r>
      <w:r>
        <w:rPr>
          <w:rFonts w:eastAsia="仿宋_GB2312"/>
          <w:color w:val="000000" w:themeColor="text1"/>
          <w:sz w:val="32"/>
          <w:szCs w:val="32"/>
          <w14:textFill>
            <w14:solidFill>
              <w14:schemeClr w14:val="tx1"/>
            </w14:solidFill>
          </w14:textFill>
        </w:rPr>
        <w:t>。中央、省级环保督察294件投诉件、63个反馈意见、8个长江经济带生态环境问题全面整改，“三磷”企业专项排查整治全面完成。</w:t>
      </w:r>
      <w:r>
        <w:rPr>
          <w:rFonts w:eastAsia="仿宋_GB2312"/>
          <w:bCs/>
          <w:color w:val="000000" w:themeColor="text1"/>
          <w:sz w:val="32"/>
          <w:szCs w:val="32"/>
          <w14:textFill>
            <w14:solidFill>
              <w14:schemeClr w14:val="tx1"/>
            </w14:solidFill>
          </w14:textFill>
        </w:rPr>
        <w:t>打好</w:t>
      </w:r>
      <w:r>
        <w:rPr>
          <w:rFonts w:eastAsia="仿宋_GB2312"/>
          <w:b/>
          <w:bCs/>
          <w:color w:val="000000" w:themeColor="text1"/>
          <w:sz w:val="32"/>
          <w:szCs w:val="32"/>
          <w14:textFill>
            <w14:solidFill>
              <w14:schemeClr w14:val="tx1"/>
            </w14:solidFill>
          </w14:textFill>
        </w:rPr>
        <w:t>净土清废攻坚战。</w:t>
      </w:r>
      <w:r>
        <w:rPr>
          <w:rFonts w:eastAsia="仿宋_GB2312"/>
          <w:color w:val="000000" w:themeColor="text1"/>
          <w:sz w:val="32"/>
          <w:szCs w:val="32"/>
          <w14:textFill>
            <w14:solidFill>
              <w14:schemeClr w14:val="tx1"/>
            </w14:solidFill>
          </w14:textFill>
        </w:rPr>
        <w:t>全区固废处置率达到100%。推广实施测土配方施肥技术，化肥农药使用量持续下降。实现环卫一体化全域覆盖，城市生活垃圾无害化处理率达到100%。</w:t>
      </w:r>
      <w:r>
        <w:rPr>
          <w:rFonts w:eastAsia="仿宋_GB2312"/>
          <w:b/>
          <w:bCs/>
          <w:color w:val="000000" w:themeColor="text1"/>
          <w:sz w:val="32"/>
          <w:szCs w:val="32"/>
          <w14:textFill>
            <w14:solidFill>
              <w14:schemeClr w14:val="tx1"/>
            </w14:solidFill>
          </w14:textFill>
        </w:rPr>
        <w:t>森林防火成效显著。</w:t>
      </w:r>
      <w:r>
        <w:rPr>
          <w:rFonts w:eastAsia="仿宋_GB2312"/>
          <w:color w:val="000000" w:themeColor="text1"/>
          <w:sz w:val="32"/>
          <w:szCs w:val="32"/>
          <w14:textFill>
            <w14:solidFill>
              <w14:schemeClr w14:val="tx1"/>
            </w14:solidFill>
          </w14:textFill>
        </w:rPr>
        <w:t>“十三五”期间实现“零火灾”，完成国家森林抚育补贴试点建设2.9万亩（含国有林场面积）、天然林管护76.89万亩。森林覆盖率达到52.88%。</w:t>
      </w:r>
    </w:p>
    <w:p w14:paraId="63859B5C">
      <w:pPr>
        <w:topLinePunct/>
        <w:snapToGrid w:val="0"/>
        <w:spacing w:line="560" w:lineRule="exact"/>
        <w:ind w:firstLine="643"/>
        <w:rPr>
          <w:rFonts w:eastAsia="仿宋_GB2312"/>
          <w:color w:val="000000" w:themeColor="text1"/>
          <w:sz w:val="32"/>
          <w:szCs w:val="32"/>
          <w14:textFill>
            <w14:solidFill>
              <w14:schemeClr w14:val="tx1"/>
            </w14:solidFill>
          </w14:textFill>
        </w:rPr>
      </w:pPr>
      <w:r>
        <w:rPr>
          <w:rFonts w:eastAsia="仿宋_GB2312"/>
          <w:b/>
          <w:color w:val="000000" w:themeColor="text1"/>
          <w:sz w:val="32"/>
          <w:szCs w:val="32"/>
          <w14:textFill>
            <w14:solidFill>
              <w14:schemeClr w14:val="tx1"/>
            </w14:solidFill>
          </w14:textFill>
        </w:rPr>
        <w:t>社会治理水平持续提升。</w:t>
      </w:r>
      <w:r>
        <w:rPr>
          <w:rFonts w:eastAsia="仿宋_GB2312"/>
          <w:snapToGrid w:val="0"/>
          <w:color w:val="000000" w:themeColor="text1"/>
          <w:sz w:val="32"/>
          <w:szCs w:val="32"/>
          <w14:textFill>
            <w14:solidFill>
              <w14:schemeClr w14:val="tx1"/>
            </w14:solidFill>
          </w14:textFill>
        </w:rPr>
        <w:t>坚持和发展新时代“枫桥经验”，提升共建共治共享社会治理水平。社区家长学校实现全覆盖，广福小区社区、春苑社区被确定为全省社区治理现代化“36+X”试点社区，基层社区治理“西山样板”得到</w:t>
      </w:r>
      <w:r>
        <w:rPr>
          <w:rFonts w:hint="eastAsia" w:eastAsia="仿宋_GB2312"/>
          <w:snapToGrid w:val="0"/>
          <w:color w:val="000000" w:themeColor="text1"/>
          <w:sz w:val="32"/>
          <w:szCs w:val="32"/>
          <w:lang w:eastAsia="zh-CN"/>
          <w14:textFill>
            <w14:solidFill>
              <w14:schemeClr w14:val="tx1"/>
            </w14:solidFill>
          </w14:textFill>
        </w:rPr>
        <w:t>民政部</w:t>
      </w:r>
      <w:r>
        <w:rPr>
          <w:rFonts w:eastAsia="仿宋_GB2312"/>
          <w:snapToGrid w:val="0"/>
          <w:color w:val="000000" w:themeColor="text1"/>
          <w:sz w:val="32"/>
          <w:szCs w:val="32"/>
          <w14:textFill>
            <w14:solidFill>
              <w14:schemeClr w14:val="tx1"/>
            </w14:solidFill>
          </w14:textFill>
        </w:rPr>
        <w:t>认可推广。</w:t>
      </w:r>
      <w:r>
        <w:rPr>
          <w:rFonts w:eastAsia="仿宋_GB2312"/>
          <w:color w:val="000000" w:themeColor="text1"/>
          <w:sz w:val="32"/>
          <w:szCs w:val="32"/>
          <w14:textFill>
            <w14:solidFill>
              <w14:schemeClr w14:val="tx1"/>
            </w14:solidFill>
          </w14:textFill>
        </w:rPr>
        <w:t>连续十届创成云南省双拥模范城。</w:t>
      </w:r>
      <w:r>
        <w:rPr>
          <w:rFonts w:eastAsia="仿宋_GB2312"/>
          <w:snapToGrid w:val="0"/>
          <w:color w:val="000000" w:themeColor="text1"/>
          <w:sz w:val="32"/>
          <w:szCs w:val="32"/>
          <w14:textFill>
            <w14:solidFill>
              <w14:schemeClr w14:val="tx1"/>
            </w14:solidFill>
          </w14:textFill>
        </w:rPr>
        <w:t>打造盛高大城社区“一阵地一平台”模范实践“党建+民族团结”路径，民族团结、宗教和谐和顺，全区建成各级民族团结进步示范单位72家；以宗教工作“一网两单”为抓手，巩固宗教和谐稳定局面。</w:t>
      </w:r>
      <w:r>
        <w:rPr>
          <w:rFonts w:eastAsia="仿宋_GB2312"/>
          <w:b/>
          <w:bCs/>
          <w:snapToGrid w:val="0"/>
          <w:color w:val="000000" w:themeColor="text1"/>
          <w:sz w:val="32"/>
          <w:szCs w:val="32"/>
          <w14:textFill>
            <w14:solidFill>
              <w14:schemeClr w14:val="tx1"/>
            </w14:solidFill>
          </w14:textFill>
        </w:rPr>
        <w:t>智能化管理水平显著提升。</w:t>
      </w:r>
      <w:r>
        <w:rPr>
          <w:rFonts w:eastAsia="仿宋_GB2312"/>
          <w:color w:val="000000" w:themeColor="text1"/>
          <w:sz w:val="32"/>
          <w:szCs w:val="32"/>
          <w14:textFill>
            <w14:solidFill>
              <w14:schemeClr w14:val="tx1"/>
            </w14:solidFill>
          </w14:textFill>
        </w:rPr>
        <w:t>压实“1+9+X”网格化管理，全区10个街道195个网格实现精细化管理。整合网格化监督和鹰眼视频监控，建成“智慧西山”指挥中心。</w:t>
      </w:r>
      <w:r>
        <w:rPr>
          <w:rFonts w:eastAsia="仿宋_GB2312"/>
          <w:snapToGrid w:val="0"/>
          <w:color w:val="000000" w:themeColor="text1"/>
          <w:sz w:val="32"/>
          <w:szCs w:val="32"/>
          <w14:textFill>
            <w14:solidFill>
              <w14:schemeClr w14:val="tx1"/>
            </w14:solidFill>
          </w14:textFill>
        </w:rPr>
        <w:t>推动“</w:t>
      </w:r>
      <w:r>
        <w:rPr>
          <w:rFonts w:eastAsia="仿宋_GB2312"/>
          <w:color w:val="000000" w:themeColor="text1"/>
          <w:sz w:val="32"/>
          <w:szCs w:val="32"/>
          <w14:textFill>
            <w14:solidFill>
              <w14:schemeClr w14:val="tx1"/>
            </w14:solidFill>
          </w14:textFill>
        </w:rPr>
        <w:t>智慧消防”精细化建设，开展“打通生命通道”联动试点工作，建成智慧安防小区147个。</w:t>
      </w:r>
      <w:r>
        <w:rPr>
          <w:rFonts w:eastAsia="仿宋_GB2312"/>
          <w:b/>
          <w:bCs/>
          <w:color w:val="000000" w:themeColor="text1"/>
          <w:sz w:val="32"/>
          <w:szCs w:val="32"/>
          <w14:textFill>
            <w14:solidFill>
              <w14:schemeClr w14:val="tx1"/>
            </w14:solidFill>
          </w14:textFill>
        </w:rPr>
        <w:t>安全生产风险防范工作扎实推进。</w:t>
      </w:r>
      <w:r>
        <w:rPr>
          <w:rFonts w:eastAsia="仿宋_GB2312"/>
          <w:color w:val="000000" w:themeColor="text1"/>
          <w:sz w:val="32"/>
          <w:szCs w:val="32"/>
          <w14:textFill>
            <w14:solidFill>
              <w14:schemeClr w14:val="tx1"/>
            </w14:solidFill>
          </w14:textFill>
        </w:rPr>
        <w:t>强化粮食安全、公共安全、食品药品安全、危险化学品安全等生产监管，安全生产和事故灾害形势总体平稳可控。</w:t>
      </w:r>
      <w:r>
        <w:rPr>
          <w:rFonts w:eastAsia="仿宋_GB2312"/>
          <w:b/>
          <w:bCs/>
          <w:color w:val="000000" w:themeColor="text1"/>
          <w:sz w:val="32"/>
          <w:szCs w:val="32"/>
          <w14:textFill>
            <w14:solidFill>
              <w14:schemeClr w14:val="tx1"/>
            </w14:solidFill>
          </w14:textFill>
        </w:rPr>
        <w:t>平安建设持续向好。</w:t>
      </w:r>
      <w:r>
        <w:rPr>
          <w:rFonts w:eastAsia="仿宋_GB2312"/>
          <w:color w:val="000000" w:themeColor="text1"/>
          <w:sz w:val="32"/>
          <w:szCs w:val="32"/>
          <w14:textFill>
            <w14:solidFill>
              <w14:schemeClr w14:val="tx1"/>
            </w14:solidFill>
          </w14:textFill>
        </w:rPr>
        <w:t>坚持群防群治、综合治理，深化扫黑除恶专项斗争，攻坚“六清”目标，全区674个小区实现“零发案”。创新流动人口和出租房屋分色管理机制。对不稳定因素及群体性事件做到100%提前预警，荣获“全国平安建设先进区”“中国最具安全感百佳县市”</w:t>
      </w:r>
      <w:r>
        <w:rPr>
          <w:rFonts w:eastAsia="仿宋_GB2312"/>
          <w:snapToGrid w:val="0"/>
          <w:color w:val="000000" w:themeColor="text1"/>
          <w:sz w:val="32"/>
          <w:szCs w:val="32"/>
          <w14:textFill>
            <w14:solidFill>
              <w14:schemeClr w14:val="tx1"/>
            </w14:solidFill>
          </w14:textFill>
        </w:rPr>
        <w:t>。</w:t>
      </w:r>
      <w:r>
        <w:rPr>
          <w:rFonts w:eastAsia="仿宋_GB2312"/>
          <w:b/>
          <w:bCs/>
          <w:color w:val="000000" w:themeColor="text1"/>
          <w:sz w:val="32"/>
          <w:szCs w:val="32"/>
          <w14:textFill>
            <w14:solidFill>
              <w14:schemeClr w14:val="tx1"/>
            </w14:solidFill>
          </w14:textFill>
        </w:rPr>
        <w:t>法治文明建设取得实效。</w:t>
      </w:r>
      <w:r>
        <w:rPr>
          <w:rFonts w:eastAsia="仿宋_GB2312"/>
          <w:snapToGrid w:val="0"/>
          <w:color w:val="000000" w:themeColor="text1"/>
          <w:sz w:val="32"/>
          <w:szCs w:val="32"/>
          <w14:textFill>
            <w14:solidFill>
              <w14:schemeClr w14:val="tx1"/>
            </w14:solidFill>
          </w14:textFill>
        </w:rPr>
        <w:t>西山区公共法律服务智慧机器人实现全覆盖。健全完善法治政府建设10项制度，深化司法辅助事务机制创新，成立全省首家集约送达中心。</w:t>
      </w:r>
      <w:r>
        <w:rPr>
          <w:rFonts w:eastAsia="仿宋_GB2312"/>
          <w:color w:val="000000" w:themeColor="text1"/>
          <w:sz w:val="32"/>
          <w:szCs w:val="32"/>
          <w14:textFill>
            <w14:solidFill>
              <w14:schemeClr w14:val="tx1"/>
            </w14:solidFill>
          </w14:textFill>
        </w:rPr>
        <w:t>春雨路社区等14个社区被授予市级“民主法治社区”称号；基本形成科学立法、严格执法、公正司法的法治氛围，</w:t>
      </w:r>
      <w:r>
        <w:rPr>
          <w:rFonts w:eastAsia="仿宋_GB2312"/>
          <w:snapToGrid w:val="0"/>
          <w:color w:val="000000" w:themeColor="text1"/>
          <w:sz w:val="32"/>
          <w:szCs w:val="32"/>
          <w14:textFill>
            <w14:solidFill>
              <w14:schemeClr w14:val="tx1"/>
            </w14:solidFill>
          </w14:textFill>
        </w:rPr>
        <w:t>成功创建“昆明市依法行政示范单位”。</w:t>
      </w:r>
    </w:p>
    <w:p w14:paraId="5E953982">
      <w:pPr>
        <w:topLinePunct/>
        <w:snapToGrid w:val="0"/>
        <w:spacing w:line="560" w:lineRule="exact"/>
        <w:ind w:firstLine="643"/>
        <w:rPr>
          <w:rFonts w:eastAsia="仿宋_GB2312"/>
          <w:bCs/>
          <w:color w:val="000000" w:themeColor="text1"/>
          <w:kern w:val="0"/>
          <w:sz w:val="32"/>
          <w:szCs w:val="32"/>
          <w14:textFill>
            <w14:solidFill>
              <w14:schemeClr w14:val="tx1"/>
            </w14:solidFill>
          </w14:textFill>
        </w:rPr>
      </w:pPr>
      <w:r>
        <w:rPr>
          <w:rFonts w:eastAsia="仿宋_GB2312"/>
          <w:b/>
          <w:color w:val="000000" w:themeColor="text1"/>
          <w:sz w:val="32"/>
          <w:szCs w:val="32"/>
          <w14:textFill>
            <w14:solidFill>
              <w14:schemeClr w14:val="tx1"/>
            </w14:solidFill>
          </w14:textFill>
        </w:rPr>
        <w:t>党的建设水平持续提升。</w:t>
      </w:r>
      <w:r>
        <w:rPr>
          <w:rFonts w:eastAsia="仿宋_GB2312"/>
          <w:bCs/>
          <w:color w:val="000000" w:themeColor="text1"/>
          <w:kern w:val="0"/>
          <w:sz w:val="32"/>
          <w:szCs w:val="32"/>
          <w14:textFill>
            <w14:solidFill>
              <w14:schemeClr w14:val="tx1"/>
            </w14:solidFill>
          </w14:textFill>
        </w:rPr>
        <w:t>始终坚持全面从严治党，深化“两学一做”学习教育和“不忘初心、牢记使命”主题教育常态化制度化。严格落实干部能上能下、容错免责等要求，着力建设十大人才基地，有效激发队伍活力。深入开展“肃流毒、除影响、清源头、树正气”专项行动，扎实推进党风廉政建设和反腐败斗争，凝聚思想，激扬奋斗。“五星级”示范党支部数量居全市前列，被列为全省14个城市基层党建重点创新示范县区之一。严格落实</w:t>
      </w:r>
      <w:bookmarkStart w:id="622" w:name="_GoBack"/>
      <w:bookmarkEnd w:id="622"/>
      <w:r>
        <w:rPr>
          <w:rFonts w:hint="eastAsia" w:eastAsia="仿宋_GB2312"/>
          <w:bCs/>
          <w:color w:val="000000" w:themeColor="text1"/>
          <w:kern w:val="0"/>
          <w:sz w:val="32"/>
          <w:szCs w:val="32"/>
          <w:lang w:eastAsia="zh-CN"/>
          <w14:textFill>
            <w14:solidFill>
              <w14:schemeClr w14:val="tx1"/>
            </w14:solidFill>
          </w14:textFill>
        </w:rPr>
        <w:t>中央八项规定及其实施细则精神</w:t>
      </w:r>
      <w:r>
        <w:rPr>
          <w:rFonts w:eastAsia="仿宋_GB2312"/>
          <w:bCs/>
          <w:color w:val="000000" w:themeColor="text1"/>
          <w:kern w:val="0"/>
          <w:sz w:val="32"/>
          <w:szCs w:val="32"/>
          <w14:textFill>
            <w14:solidFill>
              <w14:schemeClr w14:val="tx1"/>
            </w14:solidFill>
          </w14:textFill>
        </w:rPr>
        <w:t>，“三公”经费支出较“十二五”期间下降13.9%。“享·汇海”楼宇党群服务中心获评全国楼宇党建示范点，各领域党建活力彰显，基层基础更加牢固。</w:t>
      </w:r>
      <w:bookmarkEnd w:id="20"/>
      <w:bookmarkStart w:id="31" w:name="_Toc10610"/>
      <w:bookmarkStart w:id="32" w:name="_Toc1148"/>
      <w:bookmarkStart w:id="33" w:name="_Toc224"/>
      <w:bookmarkStart w:id="34" w:name="_Toc6826"/>
      <w:bookmarkStart w:id="35" w:name="_Toc24711"/>
      <w:bookmarkStart w:id="36" w:name="_Toc20625"/>
      <w:bookmarkStart w:id="37" w:name="_Toc25434"/>
      <w:bookmarkStart w:id="38" w:name="_Toc18775"/>
      <w:bookmarkStart w:id="39" w:name="_Toc6634"/>
      <w:bookmarkStart w:id="40" w:name="_Toc61644770"/>
    </w:p>
    <w:p w14:paraId="3F553D56">
      <w:pPr>
        <w:topLinePunct/>
        <w:snapToGrid w:val="0"/>
        <w:spacing w:line="560" w:lineRule="exact"/>
        <w:ind w:firstLine="643"/>
        <w:rPr>
          <w:rFonts w:eastAsia="黑体"/>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二、</w:t>
      </w:r>
      <w:bookmarkEnd w:id="31"/>
      <w:bookmarkEnd w:id="32"/>
      <w:bookmarkEnd w:id="33"/>
      <w:bookmarkEnd w:id="34"/>
      <w:bookmarkEnd w:id="35"/>
      <w:bookmarkEnd w:id="36"/>
      <w:bookmarkEnd w:id="37"/>
      <w:bookmarkEnd w:id="38"/>
      <w:bookmarkEnd w:id="39"/>
      <w:r>
        <w:rPr>
          <w:rFonts w:eastAsia="黑体"/>
          <w:bCs/>
          <w:color w:val="000000" w:themeColor="text1"/>
          <w:sz w:val="32"/>
          <w:szCs w:val="32"/>
          <w14:textFill>
            <w14:solidFill>
              <w14:schemeClr w14:val="tx1"/>
            </w14:solidFill>
          </w14:textFill>
        </w:rPr>
        <w:t>“十四五”时期发展环境</w:t>
      </w:r>
      <w:bookmarkEnd w:id="40"/>
      <w:bookmarkStart w:id="41" w:name="_Toc13953"/>
      <w:bookmarkStart w:id="42" w:name="_Toc16019"/>
      <w:bookmarkStart w:id="43" w:name="_Toc29707"/>
      <w:bookmarkStart w:id="44" w:name="_Toc9906"/>
      <w:bookmarkStart w:id="45" w:name="_Toc19787"/>
      <w:bookmarkStart w:id="46" w:name="_Toc10350"/>
      <w:bookmarkStart w:id="47" w:name="_Toc17770"/>
      <w:bookmarkStart w:id="48" w:name="_Toc22211"/>
      <w:bookmarkStart w:id="49" w:name="_Toc25441"/>
    </w:p>
    <w:p w14:paraId="514DF445">
      <w:pPr>
        <w:topLinePunct/>
        <w:snapToGrid w:val="0"/>
        <w:spacing w:line="560" w:lineRule="exact"/>
        <w:ind w:firstLine="643"/>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（一）“十四五”经济社会发展面临的机遇</w:t>
      </w:r>
    </w:p>
    <w:p w14:paraId="620A421A">
      <w:pPr>
        <w:topLinePunct/>
        <w:snapToGrid w:val="0"/>
        <w:spacing w:line="560" w:lineRule="exact"/>
        <w:ind w:firstLine="643"/>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当前，我国发展仍处于重要战略机遇期，经济韧性强、潜力足、回旋余地大、长期向好发展的态势没有改变。</w:t>
      </w:r>
      <w:r>
        <w:rPr>
          <w:rFonts w:eastAsia="仿宋_GB2312"/>
          <w:bCs/>
          <w:color w:val="000000" w:themeColor="text1"/>
          <w:sz w:val="32"/>
          <w:szCs w:val="32"/>
          <w14:textFill>
            <w14:solidFill>
              <w14:schemeClr w14:val="tx1"/>
            </w14:solidFill>
          </w14:textFill>
        </w:rPr>
        <w:t>主动在新发展格局下谋求更大发展机遇。</w:t>
      </w:r>
      <w:r>
        <w:rPr>
          <w:rFonts w:eastAsia="仿宋_GB2312"/>
          <w:color w:val="000000" w:themeColor="text1"/>
          <w:sz w:val="32"/>
          <w:szCs w:val="32"/>
          <w14:textFill>
            <w14:solidFill>
              <w14:schemeClr w14:val="tx1"/>
            </w14:solidFill>
          </w14:textFill>
        </w:rPr>
        <w:t>加快构建以国内大循环为主体、国内国际双循环相互促进的新发展格局，持续推进国家“一带一路”倡议，深化长江经济带等重大发展战略，加快云南省建设民族团结进步示范区、生态文明建设排头兵、面向南亚东南亚辐射中心的前进步伐，加快昆明市建设面向南亚东南亚的区域性国际中心城市的进程。我区要顺势而为，主动作为，不断凸显和丰富区域性国际中心城市中枢门户区的战略定位，不断丰富云南政治中心服务承载区、山水都市品质区、现代服务业活力区的功能价值内涵。</w:t>
      </w:r>
      <w:r>
        <w:rPr>
          <w:rFonts w:eastAsia="仿宋_GB2312"/>
          <w:bCs/>
          <w:color w:val="000000" w:themeColor="text1"/>
          <w:sz w:val="32"/>
          <w:szCs w:val="32"/>
          <w14:textFill>
            <w14:solidFill>
              <w14:schemeClr w14:val="tx1"/>
            </w14:solidFill>
          </w14:textFill>
        </w:rPr>
        <w:t>科学吸纳“十四五”期间的科技变革动力。</w:t>
      </w:r>
      <w:r>
        <w:rPr>
          <w:rFonts w:eastAsia="仿宋_GB2312"/>
          <w:color w:val="000000" w:themeColor="text1"/>
          <w:sz w:val="32"/>
          <w:szCs w:val="32"/>
          <w14:textFill>
            <w14:solidFill>
              <w14:schemeClr w14:val="tx1"/>
            </w14:solidFill>
          </w14:textFill>
        </w:rPr>
        <w:t>当前新兴技术日新月异，数字化、网络化、智能化融合发展，新技术、新产业、新业态加快推动传统生产方式和商业模式变革，为深度促进工业、农业和服务业融合发展带来巨大动力。我区要把握数字经济驱动产业体系全面升级和产业链整体跃升的机遇窗口，抓住大数据、云计算、5G产业等新基建、新业态带来的历史机遇，明确以数字经济作为主导产业，打通以科创设计为引领，以智能生产为基础，以服务贸易为引领的产业链，促进各产业上、中、下游协同发展，加快形成支撑大健康、文化创意、装备智造、新型化工、文化旅游、特色农业等的数字产业。</w:t>
      </w:r>
      <w:r>
        <w:rPr>
          <w:rFonts w:eastAsia="仿宋_GB2312"/>
          <w:bCs/>
          <w:color w:val="000000" w:themeColor="text1"/>
          <w:sz w:val="32"/>
          <w:szCs w:val="32"/>
          <w14:textFill>
            <w14:solidFill>
              <w14:schemeClr w14:val="tx1"/>
            </w14:solidFill>
          </w14:textFill>
        </w:rPr>
        <w:t>满足更大市场和人民更美好向往的需求。</w:t>
      </w:r>
      <w:r>
        <w:rPr>
          <w:rFonts w:eastAsia="仿宋_GB2312"/>
          <w:color w:val="000000" w:themeColor="text1"/>
          <w:sz w:val="32"/>
          <w:szCs w:val="32"/>
          <w14:textFill>
            <w14:solidFill>
              <w14:schemeClr w14:val="tx1"/>
            </w14:solidFill>
          </w14:textFill>
        </w:rPr>
        <w:t>全面建成小康社会后，内需增长潜力巨大，市场广阔。把握加入《区域全面经济伙伴关系协定》（RCEP）契机，将为云南自贸试验区、昆明中枢门户区建设和西山区现代产业体系培育提供更多新机遇。充分发挥西山比较优势，释放综合优势。积极谋划全域统筹重构，以促进城区、农区、园区、景区联动发展；积极重塑流域规划，以促进山、水、林、田、湖、草有机发展；积极协调体系再造，以促进生命、生产、生活、生态互动发展，借助第三产业强劲发展势头，集聚产业、人才、资本，叠加科技、文化、品牌，融合美丽健康、文化创意、主题旅游，链接服务贸易、数字经济、结算经济，形成科创、文创、绿创融合发展的新优势，整合中草药、高原农业优质要素，为“十四五”经济增长拓展新空间，满足全区人民美好生活的新向往，辐射带动周边区域发展。</w:t>
      </w:r>
    </w:p>
    <w:p w14:paraId="1C9DC3BF">
      <w:pPr>
        <w:topLinePunct/>
        <w:snapToGrid w:val="0"/>
        <w:spacing w:line="560" w:lineRule="exact"/>
        <w:ind w:firstLine="643"/>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（二）“十四五”经济社会发展面临的挑战</w:t>
      </w:r>
    </w:p>
    <w:p w14:paraId="4108A070">
      <w:pPr>
        <w:pStyle w:val="13"/>
        <w:topLinePunct/>
        <w:spacing w:after="0" w:line="560" w:lineRule="exact"/>
        <w:ind w:firstLine="640"/>
        <w:rPr>
          <w:b/>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世界正处于百年未有之大变局，不确定因素增多，新冠疫情大流行和大封锁所带来的全球经济放缓，将会在较长一段时间给宏观经济发展带来不确定性。对标人民对美好生活的向往、对标社会主义现代化建设目标、对标高质量发展要求，对标昆明市经济综合实力靠前的其他主城区，我区在产业转型升级、投资稳增长、生态环境保护、公共服务供给水平、新时代干部人事管理机制等方面仍存在不平衡、不充分的问题。</w:t>
      </w:r>
      <w:r>
        <w:rPr>
          <w:rFonts w:eastAsia="仿宋_GB2312"/>
          <w:bCs/>
          <w:color w:val="000000" w:themeColor="text1"/>
          <w:sz w:val="32"/>
          <w:szCs w:val="32"/>
          <w14:textFill>
            <w14:solidFill>
              <w14:schemeClr w14:val="tx1"/>
            </w14:solidFill>
          </w14:textFill>
        </w:rPr>
        <w:t>经济发展面临挑战：</w:t>
      </w:r>
      <w:r>
        <w:rPr>
          <w:rFonts w:eastAsia="仿宋_GB2312"/>
          <w:color w:val="000000" w:themeColor="text1"/>
          <w:sz w:val="32"/>
          <w:szCs w:val="32"/>
          <w14:textFill>
            <w14:solidFill>
              <w14:schemeClr w14:val="tx1"/>
            </w14:solidFill>
          </w14:textFill>
        </w:rPr>
        <w:t>西山区三次产业结构总体与全市一致，保持“三二一”的产业结构比，但产业结构内部比重不优、转型升级缓慢。一产基本平稳但支撑性低、二产退的太快、三产进的质量不高。房地产、磷化工、传统商贸等支柱产业发展面临越来越多的外部制约和竞争压力。文化创意、科技服务业等产业占比较小，金融服务业、文化旅游等产业的创新能力有待提升，新兴产业支撑尚显不足，创新引领发展的产业体系尚未建成。</w:t>
      </w:r>
      <w:r>
        <w:rPr>
          <w:rFonts w:eastAsia="仿宋_GB2312"/>
          <w:bCs/>
          <w:color w:val="000000" w:themeColor="text1"/>
          <w:sz w:val="32"/>
          <w:szCs w:val="32"/>
          <w14:textFill>
            <w14:solidFill>
              <w14:schemeClr w14:val="tx1"/>
            </w14:solidFill>
          </w14:textFill>
        </w:rPr>
        <w:t>动能转换面临挑战：</w:t>
      </w:r>
      <w:r>
        <w:rPr>
          <w:rFonts w:eastAsia="仿宋_GB2312"/>
          <w:color w:val="000000" w:themeColor="text1"/>
          <w:sz w:val="32"/>
          <w:szCs w:val="32"/>
          <w14:textFill>
            <w14:solidFill>
              <w14:schemeClr w14:val="tx1"/>
            </w14:solidFill>
          </w14:textFill>
        </w:rPr>
        <w:t>一方面都市片区开发日趋饱和、城市更新难度加大，另一方面社会创新基础、创新能力相对不足，亟需我区在新旧动能转换的窗口期，逐步从大建设向大运营转换、从资源依托型向创新驱动型转换、从传统产业向新经济转换，加快培育竞争新优势、培育发展新动能，为经济社会持续健康发展注入新要素、新动能。</w:t>
      </w:r>
      <w:r>
        <w:rPr>
          <w:rFonts w:eastAsia="仿宋_GB2312"/>
          <w:bCs/>
          <w:color w:val="000000" w:themeColor="text1"/>
          <w:sz w:val="32"/>
          <w:szCs w:val="32"/>
          <w14:textFill>
            <w14:solidFill>
              <w14:schemeClr w14:val="tx1"/>
            </w14:solidFill>
          </w14:textFill>
        </w:rPr>
        <w:t>改革发展面临挑战：</w:t>
      </w:r>
      <w:r>
        <w:rPr>
          <w:rFonts w:eastAsia="仿宋_GB2312"/>
          <w:color w:val="000000" w:themeColor="text1"/>
          <w:sz w:val="32"/>
          <w:szCs w:val="32"/>
          <w14:textFill>
            <w14:solidFill>
              <w14:schemeClr w14:val="tx1"/>
            </w14:solidFill>
          </w14:textFill>
        </w:rPr>
        <w:t>全面深化改革是顶层设计和基层探索的良性互动，必须坚持面上推动与机制保障相结合，政治体制改革还需进一步与经济体制改革协调并进，技术创新与制度创新进一步相互促进，补齐差距，使改革发展更上层楼。</w:t>
      </w:r>
      <w:r>
        <w:rPr>
          <w:rFonts w:eastAsia="仿宋_GB2312"/>
          <w:bCs/>
          <w:color w:val="000000" w:themeColor="text1"/>
          <w:sz w:val="32"/>
          <w:szCs w:val="32"/>
          <w14:textFill>
            <w14:solidFill>
              <w14:schemeClr w14:val="tx1"/>
            </w14:solidFill>
          </w14:textFill>
        </w:rPr>
        <w:t>城乡融合面临挑战：</w:t>
      </w:r>
      <w:r>
        <w:rPr>
          <w:rFonts w:eastAsia="仿宋_GB2312"/>
          <w:color w:val="000000" w:themeColor="text1"/>
          <w:sz w:val="32"/>
          <w:szCs w:val="32"/>
          <w14:textFill>
            <w14:solidFill>
              <w14:schemeClr w14:val="tx1"/>
            </w14:solidFill>
          </w14:textFill>
        </w:rPr>
        <w:t>我区城乡二元结构明显，城乡发展不均衡，城乡互动格局仍需完善，要素融合机制有待健全，乡村振兴模式还需要深入探索。城市更新需要协调多方利益，城市运营水平还需进一步提升。</w:t>
      </w:r>
      <w:r>
        <w:rPr>
          <w:rFonts w:eastAsia="仿宋_GB2312"/>
          <w:bCs/>
          <w:color w:val="000000" w:themeColor="text1"/>
          <w:sz w:val="32"/>
          <w:szCs w:val="32"/>
          <w14:textFill>
            <w14:solidFill>
              <w14:schemeClr w14:val="tx1"/>
            </w14:solidFill>
          </w14:textFill>
        </w:rPr>
        <w:t>生态创新发展面临挑战：</w:t>
      </w:r>
      <w:r>
        <w:rPr>
          <w:rFonts w:eastAsia="仿宋_GB2312"/>
          <w:color w:val="000000" w:themeColor="text1"/>
          <w:sz w:val="32"/>
          <w:szCs w:val="32"/>
          <w14:textFill>
            <w14:solidFill>
              <w14:schemeClr w14:val="tx1"/>
            </w14:solidFill>
          </w14:textFill>
        </w:rPr>
        <w:t>以滇池和草海为重点的生态保护和资源环境仍面临较大压力，人民对环境质量改善的诉求逐渐强烈，生态优势转化为经济优势、场景优势，发展动力的创新模式需要不断探索。</w:t>
      </w:r>
      <w:r>
        <w:rPr>
          <w:rFonts w:eastAsia="仿宋_GB2312"/>
          <w:bCs/>
          <w:color w:val="000000" w:themeColor="text1"/>
          <w:sz w:val="32"/>
          <w:szCs w:val="32"/>
          <w14:textFill>
            <w14:solidFill>
              <w14:schemeClr w14:val="tx1"/>
            </w14:solidFill>
          </w14:textFill>
        </w:rPr>
        <w:t>民生新需求面临挑战：</w:t>
      </w:r>
      <w:r>
        <w:rPr>
          <w:rFonts w:eastAsia="仿宋_GB2312"/>
          <w:color w:val="000000" w:themeColor="text1"/>
          <w:sz w:val="32"/>
          <w:szCs w:val="32"/>
          <w14:textFill>
            <w14:solidFill>
              <w14:schemeClr w14:val="tx1"/>
            </w14:solidFill>
          </w14:textFill>
        </w:rPr>
        <w:t>全面进入小康社会后，人民美好生活的向往更加多元化和个性化，当前民生保障水平与群众的新期盼、新要求相比还有一定差距。</w:t>
      </w:r>
      <w:r>
        <w:rPr>
          <w:rFonts w:eastAsia="仿宋_GB2312"/>
          <w:snapToGrid w:val="0"/>
          <w:color w:val="000000" w:themeColor="text1"/>
          <w:sz w:val="32"/>
          <w:szCs w:val="32"/>
          <w14:textFill>
            <w14:solidFill>
              <w14:schemeClr w14:val="tx1"/>
            </w14:solidFill>
          </w14:textFill>
        </w:rPr>
        <w:t>干部能力素质面临挑战：</w:t>
      </w:r>
      <w:r>
        <w:rPr>
          <w:rFonts w:eastAsia="仿宋_GB2312"/>
          <w:bCs/>
          <w:snapToGrid w:val="0"/>
          <w:color w:val="000000" w:themeColor="text1"/>
          <w:sz w:val="32"/>
          <w:szCs w:val="32"/>
          <w14:textFill>
            <w14:solidFill>
              <w14:schemeClr w14:val="tx1"/>
            </w14:solidFill>
          </w14:textFill>
        </w:rPr>
        <w:t>领导干部思想作风和专业素质有待提升，机遇意识、责任意识、进取意识有待加强，运用新发展理念推动经济社会高质量发展的能力还需快速提高。</w:t>
      </w:r>
    </w:p>
    <w:p w14:paraId="69502971">
      <w:pPr>
        <w:spacing w:line="560" w:lineRule="exact"/>
        <w:jc w:val="center"/>
        <w:rPr>
          <w:rFonts w:eastAsia="黑体"/>
          <w:sz w:val="32"/>
          <w:szCs w:val="32"/>
        </w:rPr>
      </w:pPr>
      <w:bookmarkStart w:id="50" w:name="_Toc61644771"/>
      <w:r>
        <w:rPr>
          <w:rFonts w:eastAsia="黑体"/>
          <w:sz w:val="32"/>
          <w:szCs w:val="32"/>
        </w:rPr>
        <w:t>第二章 指导方针与发展目标</w:t>
      </w:r>
      <w:bookmarkEnd w:id="41"/>
      <w:bookmarkEnd w:id="42"/>
      <w:bookmarkEnd w:id="43"/>
      <w:bookmarkEnd w:id="44"/>
      <w:bookmarkEnd w:id="45"/>
      <w:bookmarkEnd w:id="46"/>
      <w:bookmarkEnd w:id="47"/>
      <w:bookmarkEnd w:id="48"/>
      <w:bookmarkEnd w:id="49"/>
      <w:bookmarkEnd w:id="50"/>
    </w:p>
    <w:p w14:paraId="33610C06">
      <w:pPr>
        <w:spacing w:line="560" w:lineRule="exact"/>
        <w:ind w:firstLine="640" w:firstLineChars="200"/>
        <w:rPr>
          <w:rFonts w:eastAsia="黑体"/>
          <w:sz w:val="32"/>
          <w:szCs w:val="32"/>
        </w:rPr>
      </w:pPr>
      <w:bookmarkStart w:id="51" w:name="_Toc25806"/>
      <w:bookmarkStart w:id="52" w:name="_Toc6060"/>
      <w:bookmarkStart w:id="53" w:name="_Toc18722"/>
      <w:bookmarkStart w:id="54" w:name="_Toc23213"/>
      <w:bookmarkStart w:id="55" w:name="_Toc22901"/>
      <w:bookmarkStart w:id="56" w:name="_Toc20239"/>
      <w:bookmarkStart w:id="57" w:name="_Toc10418"/>
      <w:bookmarkStart w:id="58" w:name="_Toc29255"/>
      <w:bookmarkStart w:id="59" w:name="_Toc61644772"/>
      <w:bookmarkStart w:id="60" w:name="_Toc2357"/>
      <w:r>
        <w:rPr>
          <w:rFonts w:eastAsia="黑体"/>
          <w:sz w:val="32"/>
          <w:szCs w:val="32"/>
        </w:rPr>
        <w:t>一、指导思想</w:t>
      </w:r>
      <w:bookmarkEnd w:id="51"/>
      <w:bookmarkEnd w:id="52"/>
      <w:bookmarkEnd w:id="53"/>
      <w:bookmarkEnd w:id="54"/>
      <w:bookmarkEnd w:id="55"/>
      <w:bookmarkEnd w:id="56"/>
      <w:bookmarkEnd w:id="57"/>
      <w:bookmarkEnd w:id="58"/>
      <w:bookmarkEnd w:id="59"/>
      <w:bookmarkEnd w:id="60"/>
      <w:bookmarkStart w:id="61" w:name="_Toc13781"/>
      <w:bookmarkStart w:id="62" w:name="_Toc21430"/>
      <w:bookmarkStart w:id="63" w:name="_Toc1078"/>
      <w:bookmarkStart w:id="64" w:name="_Toc23733"/>
      <w:bookmarkStart w:id="65" w:name="_Toc1073"/>
      <w:bookmarkStart w:id="66" w:name="_Toc21683"/>
      <w:bookmarkStart w:id="67" w:name="_Toc26656"/>
      <w:bookmarkStart w:id="68" w:name="_Toc1503"/>
      <w:bookmarkStart w:id="69" w:name="_Toc11150"/>
      <w:bookmarkStart w:id="70" w:name="_Toc8020"/>
      <w:bookmarkStart w:id="71" w:name="_Toc9366"/>
      <w:bookmarkStart w:id="72" w:name="_Toc25054"/>
    </w:p>
    <w:p w14:paraId="7B35B9CE">
      <w:pPr>
        <w:topLinePunct/>
        <w:autoSpaceDE w:val="0"/>
        <w:adjustRightInd w:val="0"/>
        <w:snapToGrid w:val="0"/>
        <w:spacing w:line="560" w:lineRule="exact"/>
        <w:ind w:firstLine="640"/>
        <w:rPr>
          <w:rFonts w:eastAsia="仿宋_GB2312"/>
          <w:snapToGrid w:val="0"/>
          <w:color w:val="000000" w:themeColor="text1"/>
          <w:sz w:val="32"/>
          <w:szCs w:val="32"/>
          <w14:textFill>
            <w14:solidFill>
              <w14:schemeClr w14:val="tx1"/>
            </w14:solidFill>
          </w14:textFill>
        </w:rPr>
      </w:pPr>
      <w:r>
        <w:rPr>
          <w:rFonts w:eastAsia="仿宋_GB2312"/>
          <w:snapToGrid w:val="0"/>
          <w:color w:val="000000" w:themeColor="text1"/>
          <w:sz w:val="32"/>
          <w:szCs w:val="32"/>
          <w14:textFill>
            <w14:solidFill>
              <w14:schemeClr w14:val="tx1"/>
            </w14:solidFill>
          </w14:textFill>
        </w:rPr>
        <w:t>高举中国特色社会主义伟大旗帜，深入贯彻党的十九大和十九届二中、三中、四中、五中全会精神，坚持以马克思列宁主义、毛泽东思想、邓小平理论、“三个代表”重要思想、科学发展观、习近平新时代中国特色社会主义思想为指导，认真贯彻习近平总书记考察云南重要讲话精神，按照省委十届十一次全会和市委十一届十一次全会的安排部署，统筹推进“五位一体”总体布局，协调推进“四个全面”战略布局，坚定不移贯彻新发展理念，坚持稳中求进工作总基调，以推动高质量发展为主题，以深化供给侧结构性改革为主线，注重需求侧管理，以改革创新为根本动力，以满足人民日益增长的美好生活需要为根本目的，统筹发展和安全，主动融入国家重大战略，以服务昆明建设区域性国际中心城市战略为导向，围绕“云南政治中心服务承载区、山水都市品质区、现代服务业活力区”三个功能定位，统筹全域发展、融合发展、绿色发展、跨越发展、可持续发展、安全发展的关键领域和核心能力突破，加快建设更具活力的区域性国际中心城市中枢门户区，为二</w:t>
      </w:r>
      <w:r>
        <w:rPr>
          <w:snapToGrid w:val="0"/>
          <w:color w:val="000000" w:themeColor="text1"/>
          <w:sz w:val="32"/>
          <w:szCs w:val="32"/>
          <w14:textFill>
            <w14:solidFill>
              <w14:schemeClr w14:val="tx1"/>
            </w14:solidFill>
          </w14:textFill>
        </w:rPr>
        <w:t>〇</w:t>
      </w:r>
      <w:r>
        <w:rPr>
          <w:rFonts w:eastAsia="仿宋_GB2312"/>
          <w:snapToGrid w:val="0"/>
          <w:color w:val="000000" w:themeColor="text1"/>
          <w:sz w:val="32"/>
          <w:szCs w:val="32"/>
          <w14:textFill>
            <w14:solidFill>
              <w14:schemeClr w14:val="tx1"/>
            </w14:solidFill>
          </w14:textFill>
        </w:rPr>
        <w:t>三五年基本实现社会主义现代化奠定坚实基础。</w:t>
      </w:r>
    </w:p>
    <w:p w14:paraId="1390B432">
      <w:pPr>
        <w:topLinePunct/>
        <w:autoSpaceDE w:val="0"/>
        <w:adjustRightInd w:val="0"/>
        <w:snapToGrid w:val="0"/>
        <w:spacing w:line="560" w:lineRule="exact"/>
        <w:ind w:firstLine="640"/>
        <w:outlineLvl w:val="1"/>
        <w:rPr>
          <w:rFonts w:eastAsia="黑体"/>
          <w:snapToGrid w:val="0"/>
          <w:color w:val="000000" w:themeColor="text1"/>
          <w:sz w:val="32"/>
          <w:szCs w:val="32"/>
          <w14:textFill>
            <w14:solidFill>
              <w14:schemeClr w14:val="tx1"/>
            </w14:solidFill>
          </w14:textFill>
        </w:rPr>
      </w:pPr>
      <w:bookmarkStart w:id="73" w:name="_Toc61644773"/>
      <w:r>
        <w:rPr>
          <w:rFonts w:eastAsia="黑体"/>
          <w:snapToGrid w:val="0"/>
          <w:color w:val="000000" w:themeColor="text1"/>
          <w:sz w:val="32"/>
          <w:szCs w:val="32"/>
          <w14:textFill>
            <w14:solidFill>
              <w14:schemeClr w14:val="tx1"/>
            </w14:solidFill>
          </w14:textFill>
        </w:rPr>
        <w:t>二、基本原则</w:t>
      </w:r>
      <w:bookmarkEnd w:id="61"/>
      <w:bookmarkEnd w:id="62"/>
      <w:bookmarkEnd w:id="63"/>
      <w:bookmarkEnd w:id="64"/>
      <w:bookmarkEnd w:id="65"/>
      <w:bookmarkEnd w:id="66"/>
      <w:bookmarkEnd w:id="67"/>
      <w:bookmarkEnd w:id="68"/>
      <w:bookmarkEnd w:id="73"/>
    </w:p>
    <w:bookmarkEnd w:id="69"/>
    <w:bookmarkEnd w:id="70"/>
    <w:bookmarkEnd w:id="71"/>
    <w:bookmarkEnd w:id="72"/>
    <w:p w14:paraId="40582170">
      <w:pPr>
        <w:topLinePunct/>
        <w:autoSpaceDE w:val="0"/>
        <w:adjustRightInd w:val="0"/>
        <w:snapToGrid w:val="0"/>
        <w:spacing w:line="560" w:lineRule="exact"/>
        <w:ind w:firstLine="643"/>
        <w:rPr>
          <w:rFonts w:eastAsia="仿宋_GB2312"/>
          <w:snapToGrid w:val="0"/>
          <w:color w:val="000000" w:themeColor="text1"/>
          <w:sz w:val="32"/>
          <w:szCs w:val="32"/>
          <w14:textFill>
            <w14:solidFill>
              <w14:schemeClr w14:val="tx1"/>
            </w14:solidFill>
          </w14:textFill>
        </w:rPr>
      </w:pPr>
      <w:r>
        <w:rPr>
          <w:rFonts w:eastAsia="仿宋_GB2312"/>
          <w:b/>
          <w:bCs/>
          <w:snapToGrid w:val="0"/>
          <w:color w:val="000000" w:themeColor="text1"/>
          <w:sz w:val="32"/>
          <w:szCs w:val="32"/>
          <w14:textFill>
            <w14:solidFill>
              <w14:schemeClr w14:val="tx1"/>
            </w14:solidFill>
          </w14:textFill>
        </w:rPr>
        <w:t>坚持党的全面领导。</w:t>
      </w:r>
      <w:r>
        <w:rPr>
          <w:rFonts w:eastAsia="仿宋_GB2312"/>
          <w:snapToGrid w:val="0"/>
          <w:color w:val="000000" w:themeColor="text1"/>
          <w:sz w:val="32"/>
          <w:szCs w:val="32"/>
          <w14:textFill>
            <w14:solidFill>
              <w14:schemeClr w14:val="tx1"/>
            </w14:solidFill>
          </w14:textFill>
        </w:rPr>
        <w:t>坚持党总揽全局、协调各方，贯彻全面从严治党要求，坚持和完善党领导经济社会发展的体制机制，不断提高贯彻新发展理念、构建新发展格局的能力和水平，使全区发展沿着正确轨道阔步前进，奋力开启全面建设社会主义现代化的新征程。</w:t>
      </w:r>
    </w:p>
    <w:p w14:paraId="6B1AF8D9">
      <w:pPr>
        <w:topLinePunct/>
        <w:autoSpaceDE w:val="0"/>
        <w:spacing w:line="560" w:lineRule="exact"/>
        <w:ind w:firstLine="643"/>
        <w:contextualSpacing/>
        <w:rPr>
          <w:rFonts w:eastAsia="仿宋_GB2312"/>
          <w:color w:val="000000" w:themeColor="text1"/>
          <w:sz w:val="32"/>
          <w:szCs w:val="32"/>
          <w14:textFill>
            <w14:solidFill>
              <w14:schemeClr w14:val="tx1"/>
            </w14:solidFill>
          </w14:textFill>
        </w:rPr>
      </w:pPr>
      <w:bookmarkStart w:id="74" w:name="_Toc486"/>
      <w:bookmarkStart w:id="75" w:name="_Toc24437"/>
      <w:bookmarkStart w:id="76" w:name="_Toc29443"/>
      <w:bookmarkStart w:id="77" w:name="_Toc29220"/>
      <w:bookmarkStart w:id="78" w:name="_Toc9830"/>
      <w:r>
        <w:rPr>
          <w:rFonts w:eastAsia="仿宋_GB2312"/>
          <w:b/>
          <w:bCs/>
          <w:color w:val="000000" w:themeColor="text1"/>
          <w:sz w:val="32"/>
          <w:szCs w:val="32"/>
          <w14:textFill>
            <w14:solidFill>
              <w14:schemeClr w14:val="tx1"/>
            </w14:solidFill>
          </w14:textFill>
        </w:rPr>
        <w:t>坚持以人民为中心。</w:t>
      </w:r>
      <w:r>
        <w:rPr>
          <w:rFonts w:eastAsia="仿宋_GB2312"/>
          <w:snapToGrid w:val="0"/>
          <w:color w:val="000000" w:themeColor="text1"/>
          <w:sz w:val="32"/>
          <w:szCs w:val="32"/>
          <w14:textFill>
            <w14:solidFill>
              <w14:schemeClr w14:val="tx1"/>
            </w14:solidFill>
          </w14:textFill>
        </w:rPr>
        <w:t>坚持人民主体地位，坚持共同富裕方向，始终做到发展为了人民、发展依靠人民、发展成果由人民共享，维护人民根本利益，激发全体人民积极性、主动性、创造性，促进社会公平，增进民生福祉，不断实现人民对美好生活的向往。</w:t>
      </w:r>
    </w:p>
    <w:p w14:paraId="681B5ED1">
      <w:pPr>
        <w:topLinePunct/>
        <w:autoSpaceDE w:val="0"/>
        <w:spacing w:line="560" w:lineRule="exact"/>
        <w:ind w:firstLine="643"/>
        <w:contextualSpacing/>
        <w:rPr>
          <w:rFonts w:eastAsia="仿宋_GB2312"/>
          <w:color w:val="000000" w:themeColor="text1"/>
          <w:sz w:val="32"/>
          <w:szCs w:val="32"/>
          <w14:textFill>
            <w14:solidFill>
              <w14:schemeClr w14:val="tx1"/>
            </w14:solidFill>
          </w14:textFill>
        </w:rPr>
      </w:pPr>
      <w:r>
        <w:rPr>
          <w:rFonts w:eastAsia="仿宋_GB2312"/>
          <w:b/>
          <w:bCs/>
          <w:color w:val="000000" w:themeColor="text1"/>
          <w:sz w:val="32"/>
          <w:szCs w:val="32"/>
          <w14:textFill>
            <w14:solidFill>
              <w14:schemeClr w14:val="tx1"/>
            </w14:solidFill>
          </w14:textFill>
        </w:rPr>
        <w:t>坚持新发展理念。</w:t>
      </w:r>
      <w:r>
        <w:rPr>
          <w:rFonts w:eastAsia="仿宋_GB2312"/>
          <w:snapToGrid w:val="0"/>
          <w:color w:val="000000" w:themeColor="text1"/>
          <w:sz w:val="32"/>
          <w:szCs w:val="32"/>
          <w14:textFill>
            <w14:solidFill>
              <w14:schemeClr w14:val="tx1"/>
            </w14:solidFill>
          </w14:textFill>
        </w:rPr>
        <w:t>深入贯彻落实创新、协调、绿色、开放、共享的发展理念，与西山区“三生承载、三创驱动、三元联动、三资重构、三心赋能”战略路径结合，以创新带动发展、以协调促进发展平衡、以绿色推动人与自然和谐共生、以开放引导内外联动、以共享保证社会公平正义。</w:t>
      </w:r>
    </w:p>
    <w:p w14:paraId="62539261">
      <w:pPr>
        <w:topLinePunct/>
        <w:autoSpaceDE w:val="0"/>
        <w:spacing w:line="560" w:lineRule="exact"/>
        <w:ind w:firstLine="643"/>
        <w:contextualSpacing/>
        <w:rPr>
          <w:rFonts w:eastAsia="仿宋_GB2312"/>
          <w:color w:val="000000" w:themeColor="text1"/>
          <w:sz w:val="32"/>
          <w:szCs w:val="32"/>
          <w14:textFill>
            <w14:solidFill>
              <w14:schemeClr w14:val="tx1"/>
            </w14:solidFill>
          </w14:textFill>
        </w:rPr>
      </w:pPr>
      <w:r>
        <w:rPr>
          <w:rFonts w:eastAsia="仿宋_GB2312"/>
          <w:b/>
          <w:bCs/>
          <w:color w:val="000000" w:themeColor="text1"/>
          <w:sz w:val="32"/>
          <w:szCs w:val="32"/>
          <w14:textFill>
            <w14:solidFill>
              <w14:schemeClr w14:val="tx1"/>
            </w14:solidFill>
          </w14:textFill>
        </w:rPr>
        <w:t>坚持改革开放。</w:t>
      </w:r>
      <w:r>
        <w:rPr>
          <w:rFonts w:eastAsia="仿宋_GB2312"/>
          <w:snapToGrid w:val="0"/>
          <w:color w:val="000000" w:themeColor="text1"/>
          <w:sz w:val="32"/>
          <w:szCs w:val="32"/>
          <w14:textFill>
            <w14:solidFill>
              <w14:schemeClr w14:val="tx1"/>
            </w14:solidFill>
          </w14:textFill>
        </w:rPr>
        <w:t>以更大的决心和勇气深化重点领域改革，深挖发展潜力，畅通经济内生循环。扩大高水平开放，创新参与国际合作竞争方式，深度融入国内国际开放经济体系，重塑经济竞争新优势，拓展发展新空间。深入推进供给侧结构性改革，优化市场化、法治化、国际化营商环境，增强区域经济创新发展实效。</w:t>
      </w:r>
    </w:p>
    <w:p w14:paraId="693F28BE">
      <w:pPr>
        <w:topLinePunct/>
        <w:autoSpaceDE w:val="0"/>
        <w:spacing w:line="560" w:lineRule="exact"/>
        <w:ind w:firstLine="643"/>
        <w:contextualSpacing/>
        <w:rPr>
          <w:rFonts w:eastAsia="仿宋_GB2312"/>
          <w:snapToGrid w:val="0"/>
          <w:color w:val="000000" w:themeColor="text1"/>
          <w:sz w:val="32"/>
          <w:szCs w:val="32"/>
          <w14:textFill>
            <w14:solidFill>
              <w14:schemeClr w14:val="tx1"/>
            </w14:solidFill>
          </w14:textFill>
        </w:rPr>
      </w:pPr>
      <w:r>
        <w:rPr>
          <w:rFonts w:eastAsia="仿宋_GB2312"/>
          <w:b/>
          <w:bCs/>
          <w:color w:val="000000" w:themeColor="text1"/>
          <w:sz w:val="32"/>
          <w:szCs w:val="32"/>
          <w14:textFill>
            <w14:solidFill>
              <w14:schemeClr w14:val="tx1"/>
            </w14:solidFill>
          </w14:textFill>
        </w:rPr>
        <w:t>坚持系统观念。</w:t>
      </w:r>
      <w:bookmarkEnd w:id="74"/>
      <w:bookmarkEnd w:id="75"/>
      <w:bookmarkEnd w:id="76"/>
      <w:bookmarkEnd w:id="77"/>
      <w:bookmarkEnd w:id="78"/>
      <w:r>
        <w:rPr>
          <w:rFonts w:eastAsia="仿宋_GB2312"/>
          <w:snapToGrid w:val="0"/>
          <w:color w:val="000000" w:themeColor="text1"/>
          <w:sz w:val="32"/>
          <w:szCs w:val="32"/>
          <w14:textFill>
            <w14:solidFill>
              <w14:schemeClr w14:val="tx1"/>
            </w14:solidFill>
          </w14:textFill>
        </w:rPr>
        <w:t>建立系统思维，协同推动新型工业化、信息化、城镇化、农业现代化和绿色化，促进生态与生产生活融合、城乡融合、产城融合、军民融合、产教融合、工业与信息化融合、文化与科技融合、商贸与服贸融合、金融与结算融合，推进城区、</w:t>
      </w:r>
      <w:r>
        <w:rPr>
          <w:rFonts w:eastAsia="仿宋_GB2312"/>
          <w:snapToGrid w:val="0"/>
          <w:color w:val="000000" w:themeColor="text1"/>
          <w:spacing w:val="6"/>
          <w:sz w:val="32"/>
          <w:szCs w:val="32"/>
          <w14:textFill>
            <w14:solidFill>
              <w14:schemeClr w14:val="tx1"/>
            </w14:solidFill>
          </w14:textFill>
        </w:rPr>
        <w:t>园区、景区、农区四区联动的全域发展，进一步优化发展总体格局。</w:t>
      </w:r>
      <w:bookmarkStart w:id="79" w:name="_Toc9551"/>
      <w:bookmarkStart w:id="80" w:name="_Toc29450"/>
      <w:bookmarkStart w:id="81" w:name="_Toc19834"/>
      <w:bookmarkStart w:id="82" w:name="_Toc11888"/>
      <w:bookmarkStart w:id="83" w:name="_Toc1259"/>
      <w:bookmarkStart w:id="84" w:name="_Toc20339"/>
      <w:bookmarkStart w:id="85" w:name="_Toc20347"/>
      <w:bookmarkStart w:id="86" w:name="_Toc25749"/>
      <w:bookmarkStart w:id="87" w:name="_Toc28895"/>
      <w:bookmarkStart w:id="88" w:name="_Toc61644774"/>
    </w:p>
    <w:p w14:paraId="5C144A25">
      <w:pPr>
        <w:topLinePunct/>
        <w:autoSpaceDE w:val="0"/>
        <w:spacing w:line="560" w:lineRule="exact"/>
        <w:ind w:firstLine="643"/>
        <w:contextualSpacing/>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三、发展</w:t>
      </w:r>
      <w:bookmarkEnd w:id="79"/>
      <w:bookmarkEnd w:id="80"/>
      <w:bookmarkEnd w:id="81"/>
      <w:bookmarkEnd w:id="82"/>
      <w:bookmarkEnd w:id="83"/>
      <w:bookmarkEnd w:id="84"/>
      <w:bookmarkEnd w:id="85"/>
      <w:bookmarkEnd w:id="86"/>
      <w:bookmarkEnd w:id="87"/>
      <w:r>
        <w:rPr>
          <w:rFonts w:eastAsia="黑体"/>
          <w:bCs/>
          <w:color w:val="000000" w:themeColor="text1"/>
          <w:sz w:val="32"/>
          <w:szCs w:val="32"/>
          <w14:textFill>
            <w14:solidFill>
              <w14:schemeClr w14:val="tx1"/>
            </w14:solidFill>
          </w14:textFill>
        </w:rPr>
        <w:t>定位</w:t>
      </w:r>
      <w:bookmarkEnd w:id="88"/>
    </w:p>
    <w:p w14:paraId="2705DAAC">
      <w:pPr>
        <w:topLinePunct/>
        <w:spacing w:line="560" w:lineRule="exact"/>
        <w:ind w:firstLine="640"/>
        <w:contextualSpacing/>
        <w:rPr>
          <w:rFonts w:eastAsia="楷体_GB2312"/>
          <w:bCs/>
          <w:color w:val="000000" w:themeColor="text1"/>
          <w:sz w:val="32"/>
          <w:szCs w:val="32"/>
          <w14:textFill>
            <w14:solidFill>
              <w14:schemeClr w14:val="tx1"/>
            </w14:solidFill>
          </w14:textFill>
        </w:rPr>
      </w:pPr>
      <w:r>
        <w:rPr>
          <w:rFonts w:eastAsia="楷体_GB2312"/>
          <w:bCs/>
          <w:color w:val="000000" w:themeColor="text1"/>
          <w:sz w:val="32"/>
          <w:szCs w:val="32"/>
          <w14:textFill>
            <w14:solidFill>
              <w14:schemeClr w14:val="tx1"/>
            </w14:solidFill>
          </w14:textFill>
        </w:rPr>
        <w:t>（一）战略定位</w:t>
      </w:r>
    </w:p>
    <w:p w14:paraId="4CC38AA5">
      <w:pPr>
        <w:topLinePunct/>
        <w:spacing w:line="560" w:lineRule="exact"/>
        <w:ind w:firstLine="640"/>
        <w:contextualSpacing/>
        <w:rPr>
          <w:rFonts w:eastAsia="仿宋_GB2312"/>
          <w:snapToGrid w:val="0"/>
          <w:color w:val="000000" w:themeColor="text1"/>
          <w:kern w:val="0"/>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围绕云南省打造面向南亚东南亚辐射中心，建设“区域性国际经济贸易中心、科技创新中心、金融服务中心、人文交流中心”的发展目标，紧扣昆明市的奋斗目标，</w:t>
      </w:r>
      <w:r>
        <w:rPr>
          <w:rFonts w:eastAsia="仿宋_GB2312"/>
          <w:snapToGrid w:val="0"/>
          <w:color w:val="000000" w:themeColor="text1"/>
          <w:kern w:val="0"/>
          <w:sz w:val="32"/>
          <w:szCs w:val="32"/>
          <w14:textFill>
            <w14:solidFill>
              <w14:schemeClr w14:val="tx1"/>
            </w14:solidFill>
          </w14:textFill>
        </w:rPr>
        <w:t>更好地</w:t>
      </w:r>
      <w:r>
        <w:rPr>
          <w:rFonts w:eastAsia="仿宋_GB2312"/>
          <w:color w:val="000000" w:themeColor="text1"/>
          <w:sz w:val="32"/>
          <w:szCs w:val="32"/>
          <w14:textFill>
            <w14:solidFill>
              <w14:schemeClr w14:val="tx1"/>
            </w14:solidFill>
          </w14:textFill>
        </w:rPr>
        <w:t>承载昆明建设区域性国际中心城市战略，强化“云南政治中心服务承载、滇中生态枢纽、昆明南亚交通门户和区域性国际数字中心、传媒中心、结算中心”六大中枢功能，强化“聚集辐射能力、核心引擎能力、要素融合能力、综合</w:t>
      </w:r>
      <w:r>
        <w:rPr>
          <w:rFonts w:eastAsia="仿宋_GB2312"/>
          <w:snapToGrid w:val="0"/>
          <w:color w:val="000000" w:themeColor="text1"/>
          <w:kern w:val="0"/>
          <w:sz w:val="32"/>
          <w:szCs w:val="32"/>
          <w14:textFill>
            <w14:solidFill>
              <w14:schemeClr w14:val="tx1"/>
            </w14:solidFill>
          </w14:textFill>
        </w:rPr>
        <w:t>引流能力、动能汇聚能力、经济链接能力”六大核心能力，努力将西山建设成为充分凸显云南政治中心服务承载、山水都市品质和现代服务业活力特质的区域性国际中心城市中枢门户区。</w:t>
      </w:r>
    </w:p>
    <w:p w14:paraId="58712B47">
      <w:pPr>
        <w:topLinePunct/>
        <w:spacing w:line="560" w:lineRule="exact"/>
        <w:ind w:firstLine="640"/>
        <w:contextualSpacing/>
        <w:rPr>
          <w:rFonts w:eastAsia="楷体_GB2312"/>
          <w:b/>
          <w:snapToGrid w:val="0"/>
          <w:color w:val="000000" w:themeColor="text1"/>
          <w:kern w:val="0"/>
          <w:sz w:val="32"/>
          <w:szCs w:val="32"/>
          <w14:textFill>
            <w14:solidFill>
              <w14:schemeClr w14:val="tx1"/>
            </w14:solidFill>
          </w14:textFill>
        </w:rPr>
      </w:pPr>
      <w:r>
        <w:rPr>
          <w:rFonts w:eastAsia="楷体_GB2312"/>
          <w:bCs/>
          <w:snapToGrid w:val="0"/>
          <w:color w:val="000000" w:themeColor="text1"/>
          <w:kern w:val="0"/>
          <w:sz w:val="32"/>
          <w:szCs w:val="32"/>
          <w14:textFill>
            <w14:solidFill>
              <w14:schemeClr w14:val="tx1"/>
            </w14:solidFill>
          </w14:textFill>
        </w:rPr>
        <w:t>（二）功能定位</w:t>
      </w:r>
    </w:p>
    <w:p w14:paraId="57BC91E8">
      <w:pPr>
        <w:topLinePunct/>
        <w:spacing w:line="560" w:lineRule="exact"/>
        <w:ind w:firstLine="640"/>
        <w:contextualSpacing/>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实施“五化四治三融合”行动，突出彰显“云南政治中心服务承载区、山水都市品质区、现代服务业活力区”三个功能定位。</w:t>
      </w:r>
    </w:p>
    <w:p w14:paraId="64A0847E">
      <w:pPr>
        <w:topLinePunct/>
        <w:spacing w:line="560" w:lineRule="exact"/>
        <w:ind w:firstLine="643"/>
        <w:contextualSpacing/>
        <w:rPr>
          <w:rFonts w:eastAsia="仿宋_GB2312"/>
          <w:color w:val="000000" w:themeColor="text1"/>
          <w:sz w:val="32"/>
          <w:szCs w:val="32"/>
          <w14:textFill>
            <w14:solidFill>
              <w14:schemeClr w14:val="tx1"/>
            </w14:solidFill>
          </w14:textFill>
        </w:rPr>
      </w:pPr>
      <w:r>
        <w:rPr>
          <w:rFonts w:eastAsia="仿宋_GB2312"/>
          <w:b/>
          <w:bCs/>
          <w:color w:val="000000" w:themeColor="text1"/>
          <w:sz w:val="32"/>
          <w:szCs w:val="32"/>
          <w14:textFill>
            <w14:solidFill>
              <w14:schemeClr w14:val="tx1"/>
            </w14:solidFill>
          </w14:textFill>
        </w:rPr>
        <w:t>打造云南政治中心服务承载区。</w:t>
      </w:r>
      <w:r>
        <w:rPr>
          <w:rFonts w:eastAsia="仿宋_GB2312"/>
          <w:color w:val="000000" w:themeColor="text1"/>
          <w:sz w:val="32"/>
          <w:szCs w:val="32"/>
          <w14:textFill>
            <w14:solidFill>
              <w14:schemeClr w14:val="tx1"/>
            </w14:solidFill>
          </w14:textFill>
        </w:rPr>
        <w:t>着力“五化”，即聚力提升城市管理“精细化”水平、社会治理“现代化”水平、公共服务“优质化”水平、平安建设“法治化”水平、营商环境“高效化”水平，夯实云南政治中心服务承载区基础。</w:t>
      </w:r>
      <w:r>
        <w:rPr>
          <w:rFonts w:eastAsia="仿宋_GB2312"/>
          <w:snapToGrid w:val="0"/>
          <w:color w:val="000000" w:themeColor="text1"/>
          <w:sz w:val="32"/>
          <w:szCs w:val="32"/>
          <w14:textFill>
            <w14:solidFill>
              <w14:schemeClr w14:val="tx1"/>
            </w14:solidFill>
          </w14:textFill>
        </w:rPr>
        <w:t>承载好省委、省人大、省政协等省级重要机关办公驻地的综合服务功能，加快现代治理体系和治理能力建设，营造良好政治、人文、社会和营商环境，打造全省城市发展、城市建设、城市服务和城市管理的一流样板，成为昆明展示国际化省会城市形象的重要窗口。</w:t>
      </w:r>
    </w:p>
    <w:p w14:paraId="31BADF67">
      <w:pPr>
        <w:topLinePunct/>
        <w:spacing w:line="560" w:lineRule="exact"/>
        <w:ind w:firstLine="643"/>
        <w:contextualSpacing/>
        <w:rPr>
          <w:rFonts w:eastAsia="仿宋_GB2312"/>
          <w:color w:val="000000" w:themeColor="text1"/>
          <w:sz w:val="32"/>
          <w:szCs w:val="32"/>
          <w14:textFill>
            <w14:solidFill>
              <w14:schemeClr w14:val="tx1"/>
            </w14:solidFill>
          </w14:textFill>
        </w:rPr>
      </w:pPr>
      <w:r>
        <w:rPr>
          <w:rFonts w:eastAsia="仿宋_GB2312"/>
          <w:b/>
          <w:bCs/>
          <w:snapToGrid w:val="0"/>
          <w:color w:val="000000" w:themeColor="text1"/>
          <w:sz w:val="32"/>
          <w:szCs w:val="32"/>
          <w14:textFill>
            <w14:solidFill>
              <w14:schemeClr w14:val="tx1"/>
            </w14:solidFill>
          </w14:textFill>
        </w:rPr>
        <w:t>打造山水都市品质区。</w:t>
      </w:r>
      <w:r>
        <w:rPr>
          <w:rFonts w:eastAsia="仿宋_GB2312"/>
          <w:color w:val="000000" w:themeColor="text1"/>
          <w:sz w:val="32"/>
          <w:szCs w:val="32"/>
          <w14:textFill>
            <w14:solidFill>
              <w14:schemeClr w14:val="tx1"/>
            </w14:solidFill>
          </w14:textFill>
        </w:rPr>
        <w:t>着力“四治”，即深入实施治城、治水、治山、治气行动，丰富山水都市品质区内涵。</w:t>
      </w:r>
      <w:r>
        <w:rPr>
          <w:rFonts w:eastAsia="仿宋_GB2312"/>
          <w:snapToGrid w:val="0"/>
          <w:color w:val="000000" w:themeColor="text1"/>
          <w:sz w:val="32"/>
          <w:szCs w:val="32"/>
          <w14:textFill>
            <w14:solidFill>
              <w14:schemeClr w14:val="tx1"/>
            </w14:solidFill>
          </w14:textFill>
        </w:rPr>
        <w:t>按照昆明市建成美丽中国典范城市的建设标准，巩固“三大保卫战”和“十大专项攻坚战”成果，强化产城人文融合系统规划引导，彰显山魂水韵的生态底色，突出多元民族文化特色，提升区域性国际城市气质，高标准打造沿滇新经济新生活体验带、生态康旅特色小镇体验带、特色民族风情乡村体验带，营造美丽健康、时尚活力、国际品质的新场景、新空间、新载体、新体验。</w:t>
      </w:r>
    </w:p>
    <w:p w14:paraId="7548E2BB">
      <w:pPr>
        <w:topLinePunct/>
        <w:spacing w:line="560" w:lineRule="exact"/>
        <w:ind w:firstLine="643"/>
        <w:contextualSpacing/>
        <w:rPr>
          <w:rFonts w:eastAsia="仿宋_GB2312"/>
          <w:color w:val="000000" w:themeColor="text1"/>
          <w:sz w:val="32"/>
          <w:szCs w:val="32"/>
          <w14:textFill>
            <w14:solidFill>
              <w14:schemeClr w14:val="tx1"/>
            </w14:solidFill>
          </w14:textFill>
        </w:rPr>
      </w:pPr>
      <w:bookmarkStart w:id="89" w:name="_Toc59028598"/>
      <w:bookmarkStart w:id="90" w:name="_Toc31145"/>
      <w:bookmarkStart w:id="91" w:name="_Toc26241"/>
      <w:bookmarkStart w:id="92" w:name="_Toc28428"/>
      <w:bookmarkStart w:id="93" w:name="_Toc5084"/>
      <w:bookmarkStart w:id="94" w:name="_Toc11823"/>
      <w:bookmarkStart w:id="95" w:name="_Toc15394"/>
      <w:bookmarkStart w:id="96" w:name="_Toc9240"/>
      <w:bookmarkStart w:id="97" w:name="_Toc17818"/>
      <w:r>
        <w:rPr>
          <w:rFonts w:eastAsia="仿宋_GB2312"/>
          <w:b/>
          <w:bCs/>
          <w:snapToGrid w:val="0"/>
          <w:color w:val="000000" w:themeColor="text1"/>
          <w:sz w:val="32"/>
          <w:szCs w:val="32"/>
          <w14:textFill>
            <w14:solidFill>
              <w14:schemeClr w14:val="tx1"/>
            </w14:solidFill>
          </w14:textFill>
        </w:rPr>
        <w:t>打造现代服务业活力区。</w:t>
      </w:r>
      <w:r>
        <w:rPr>
          <w:rFonts w:eastAsia="仿宋_GB2312"/>
          <w:color w:val="000000" w:themeColor="text1"/>
          <w:sz w:val="32"/>
          <w:szCs w:val="32"/>
          <w14:textFill>
            <w14:solidFill>
              <w14:schemeClr w14:val="tx1"/>
            </w14:solidFill>
          </w14:textFill>
        </w:rPr>
        <w:t>着力“三融合”，即加快生产性、特色性、传统性三个维度的服务业融合聚集发展，推进现代服务业活力区建设。围绕二</w:t>
      </w:r>
      <w:r>
        <w:rPr>
          <w:color w:val="000000" w:themeColor="text1"/>
          <w:sz w:val="32"/>
          <w:szCs w:val="32"/>
          <w14:textFill>
            <w14:solidFill>
              <w14:schemeClr w14:val="tx1"/>
            </w14:solidFill>
          </w14:textFill>
        </w:rPr>
        <w:t>〇</w:t>
      </w:r>
      <w:r>
        <w:rPr>
          <w:rFonts w:eastAsia="仿宋_GB2312"/>
          <w:color w:val="000000" w:themeColor="text1"/>
          <w:sz w:val="32"/>
          <w:szCs w:val="32"/>
          <w14:textFill>
            <w14:solidFill>
              <w14:schemeClr w14:val="tx1"/>
            </w14:solidFill>
          </w14:textFill>
        </w:rPr>
        <w:t>二五年地区生产总值突破1500亿元目标，全力构建西山“4×3”产业发展体系，释放产业发展活力，推动产业向现代化、都市型创新发展，加快推进大健康、商贸流通、服务贸易、数字经济、文化旅游等产业发展，培育打造一批契合现代都市经济潮流的新经济、新业态，擦亮辐射南亚东南亚的“文旅圣地、健康福地、商贸旺地、会议胜地、三创宝地、服贸高地”六大地区名片。</w:t>
      </w:r>
      <w:bookmarkStart w:id="98" w:name="_Toc61644775"/>
    </w:p>
    <w:p w14:paraId="662A551D">
      <w:pPr>
        <w:topLinePunct/>
        <w:spacing w:line="560" w:lineRule="exact"/>
        <w:ind w:firstLine="643"/>
        <w:contextualSpacing/>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四、</w:t>
      </w:r>
      <w:r>
        <w:rPr>
          <w:rFonts w:eastAsia="黑体"/>
          <w:bCs/>
          <w:snapToGrid w:val="0"/>
          <w:color w:val="000000" w:themeColor="text1"/>
          <w:sz w:val="32"/>
          <w:szCs w:val="32"/>
          <w14:textFill>
            <w14:solidFill>
              <w14:schemeClr w14:val="tx1"/>
            </w14:solidFill>
          </w14:textFill>
        </w:rPr>
        <w:t>二〇三五年</w:t>
      </w:r>
      <w:r>
        <w:rPr>
          <w:rFonts w:eastAsia="黑体"/>
          <w:bCs/>
          <w:color w:val="000000" w:themeColor="text1"/>
          <w:sz w:val="32"/>
          <w:szCs w:val="32"/>
          <w14:textFill>
            <w14:solidFill>
              <w14:schemeClr w14:val="tx1"/>
            </w14:solidFill>
          </w14:textFill>
        </w:rPr>
        <w:t>远景目标</w:t>
      </w:r>
      <w:bookmarkEnd w:id="98"/>
    </w:p>
    <w:p w14:paraId="16BCE961">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展望2035年，在全市率先基本实现社会主义现代化，经济发展质量效益明显提升，人均生产总值达到发达经济体水平，居民人均可支配收入比二</w:t>
      </w:r>
      <w:r>
        <w:rPr>
          <w:color w:val="000000" w:themeColor="text1"/>
          <w:sz w:val="32"/>
          <w:szCs w:val="32"/>
          <w14:textFill>
            <w14:solidFill>
              <w14:schemeClr w14:val="tx1"/>
            </w14:solidFill>
          </w14:textFill>
        </w:rPr>
        <w:t>〇</w:t>
      </w:r>
      <w:r>
        <w:rPr>
          <w:rFonts w:eastAsia="仿宋_GB2312"/>
          <w:color w:val="000000" w:themeColor="text1"/>
          <w:sz w:val="32"/>
          <w:szCs w:val="32"/>
          <w14:textFill>
            <w14:solidFill>
              <w14:schemeClr w14:val="tx1"/>
            </w14:solidFill>
          </w14:textFill>
        </w:rPr>
        <w:t>二</w:t>
      </w:r>
      <w:r>
        <w:rPr>
          <w:color w:val="000000" w:themeColor="text1"/>
          <w:sz w:val="32"/>
          <w:szCs w:val="32"/>
          <w14:textFill>
            <w14:solidFill>
              <w14:schemeClr w14:val="tx1"/>
            </w14:solidFill>
          </w14:textFill>
        </w:rPr>
        <w:t>〇</w:t>
      </w:r>
      <w:r>
        <w:rPr>
          <w:rFonts w:eastAsia="仿宋_GB2312"/>
          <w:color w:val="000000" w:themeColor="text1"/>
          <w:sz w:val="32"/>
          <w:szCs w:val="32"/>
          <w14:textFill>
            <w14:solidFill>
              <w14:schemeClr w14:val="tx1"/>
            </w14:solidFill>
          </w14:textFill>
        </w:rPr>
        <w:t>年翻两番，人民生活更加美好，民族共同体意识进一步铸牢，人的全面发展和各族人民共同富裕取得更为明显的实质性进展，基本实现新型工业化、信息化、城镇化、农业现代化，建成西山特色现代化经济体系，基本实现市域社会治理体系和治理能力现代化建设目标，基本实现公共服务均等化目标，基本实现法治西山、平安西山、和谐西山目标；城乡基础设施建设较好完善，城市发展品质更加优良，城乡发展更加协调，西山人民的获得感、幸福感、安全感显著增强；基本建成科技强区、文化强区、教育强区、人才强区、体育强区和健康西山，生态保护、环境质量、资源利用等走在全省前列，西山的影响力和软实力、高质量增长动力和可持续发展潜力大大提升，西山区成为繁荣开放、通达融合、创新包容、美丽健康的昆明都市圈现代化中枢门户区，为全面实现社会主义现代化打下坚实基础。</w:t>
      </w:r>
      <w:bookmarkStart w:id="99" w:name="_Toc61644776"/>
    </w:p>
    <w:p w14:paraId="6F9CD0D1">
      <w:pPr>
        <w:topLinePunct/>
        <w:spacing w:line="560" w:lineRule="exact"/>
        <w:ind w:firstLine="640"/>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五、“十四五”发展目标</w:t>
      </w:r>
      <w:bookmarkEnd w:id="99"/>
    </w:p>
    <w:p w14:paraId="3EC02BAF">
      <w:pPr>
        <w:topLinePunct/>
        <w:adjustRightInd w:val="0"/>
        <w:snapToGrid w:val="0"/>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西山区全面打造“更具活力的区域性国际中心城市中枢门户区”分为：全面突显阶段（2020—2025年）和</w:t>
      </w:r>
      <w:r>
        <w:rPr>
          <w:rFonts w:eastAsia="仿宋_GB2312"/>
          <w:bCs/>
          <w:color w:val="000000" w:themeColor="text1"/>
          <w:sz w:val="32"/>
          <w:szCs w:val="32"/>
          <w14:textFill>
            <w14:solidFill>
              <w14:schemeClr w14:val="tx1"/>
            </w14:solidFill>
          </w14:textFill>
        </w:rPr>
        <w:t>战略成就阶段（2026—2030年）</w:t>
      </w:r>
      <w:r>
        <w:rPr>
          <w:rFonts w:eastAsia="仿宋_GB2312"/>
          <w:color w:val="000000" w:themeColor="text1"/>
          <w:sz w:val="32"/>
          <w:szCs w:val="32"/>
          <w14:textFill>
            <w14:solidFill>
              <w14:schemeClr w14:val="tx1"/>
            </w14:solidFill>
          </w14:textFill>
        </w:rPr>
        <w:t>两个阶段。</w:t>
      </w:r>
    </w:p>
    <w:p w14:paraId="4D7AB25A">
      <w:pPr>
        <w:topLinePunct/>
        <w:adjustRightInd w:val="0"/>
        <w:snapToGrid w:val="0"/>
        <w:spacing w:line="560" w:lineRule="exact"/>
        <w:ind w:firstLine="643"/>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十四五”是全面突显阶段中的重要时期（2020—2025年），按六年有序落实“赋能创新期、聚能提升期、扩能辐射期”三步走，第一步（2020—2021年）赋能创新期，第二步（2022—2023年）聚能提升期，第三步（2024—2025年）扩能辐射期。</w:t>
      </w:r>
    </w:p>
    <w:p w14:paraId="0EB21EA7">
      <w:pPr>
        <w:topLinePunct/>
        <w:adjustRightInd w:val="0"/>
        <w:snapToGrid w:val="0"/>
        <w:spacing w:line="560" w:lineRule="exact"/>
        <w:ind w:firstLine="643"/>
        <w:rPr>
          <w:rFonts w:eastAsia="仿宋_GB2312"/>
          <w:color w:val="000000" w:themeColor="text1"/>
          <w:sz w:val="32"/>
          <w:szCs w:val="32"/>
          <w14:textFill>
            <w14:solidFill>
              <w14:schemeClr w14:val="tx1"/>
            </w14:solidFill>
          </w14:textFill>
        </w:rPr>
      </w:pPr>
    </w:p>
    <w:tbl>
      <w:tblPr>
        <w:tblStyle w:val="42"/>
        <w:tblW w:w="9215" w:type="dxa"/>
        <w:tblInd w:w="-17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77"/>
        <w:gridCol w:w="4638"/>
      </w:tblGrid>
      <w:tr w14:paraId="350889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9215" w:type="dxa"/>
            <w:gridSpan w:val="2"/>
            <w:tcBorders>
              <w:top w:val="single" w:color="auto" w:sz="4" w:space="0"/>
              <w:left w:val="single" w:color="auto" w:sz="4" w:space="0"/>
              <w:bottom w:val="single" w:color="auto" w:sz="4" w:space="0"/>
              <w:right w:val="single" w:color="auto" w:sz="4" w:space="0"/>
            </w:tcBorders>
            <w:vAlign w:val="center"/>
          </w:tcPr>
          <w:p w14:paraId="59FD33EC">
            <w:pPr>
              <w:topLinePunct/>
              <w:jc w:val="center"/>
              <w:rPr>
                <w:color w:val="000000" w:themeColor="text1"/>
                <w:kern w:val="0"/>
                <w:sz w:val="24"/>
                <w14:textFill>
                  <w14:solidFill>
                    <w14:schemeClr w14:val="tx1"/>
                  </w14:solidFill>
                </w14:textFill>
              </w:rPr>
            </w:pPr>
            <w:r>
              <w:rPr>
                <w:rFonts w:eastAsia="黑体"/>
                <w:color w:val="000000" w:themeColor="text1"/>
                <w:kern w:val="0"/>
                <w:sz w:val="28"/>
                <w:szCs w:val="28"/>
                <w14:textFill>
                  <w14:solidFill>
                    <w14:schemeClr w14:val="tx1"/>
                  </w14:solidFill>
                </w14:textFill>
              </w:rPr>
              <w:t>专栏1 西山区打造“更具活力的区域性国际中心城市中枢门户区”时序目标</w:t>
            </w:r>
          </w:p>
        </w:tc>
      </w:tr>
      <w:tr w14:paraId="78DF1D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9215" w:type="dxa"/>
            <w:gridSpan w:val="2"/>
            <w:tcBorders>
              <w:top w:val="single" w:color="auto" w:sz="4" w:space="0"/>
              <w:left w:val="single" w:color="auto" w:sz="4" w:space="0"/>
              <w:bottom w:val="single" w:color="auto" w:sz="4" w:space="0"/>
              <w:right w:val="single" w:color="auto" w:sz="4" w:space="0"/>
            </w:tcBorders>
            <w:vAlign w:val="center"/>
          </w:tcPr>
          <w:p w14:paraId="7FE18FAD">
            <w:pPr>
              <w:topLinePunct/>
              <w:ind w:firstLine="48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西山区打造“更具活力的区域性国际中心城市中枢门户区”分全面突显阶段和战略成就阶段两个阶段。</w:t>
            </w:r>
          </w:p>
        </w:tc>
      </w:tr>
      <w:tr w14:paraId="72DFF3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trPr>
        <w:tc>
          <w:tcPr>
            <w:tcW w:w="4577" w:type="dxa"/>
            <w:tcBorders>
              <w:top w:val="single" w:color="auto" w:sz="4" w:space="0"/>
              <w:left w:val="single" w:color="auto" w:sz="4" w:space="0"/>
              <w:bottom w:val="single" w:color="auto" w:sz="4" w:space="0"/>
              <w:right w:val="single" w:color="auto" w:sz="4" w:space="0"/>
            </w:tcBorders>
            <w:vAlign w:val="center"/>
          </w:tcPr>
          <w:p w14:paraId="44BA7F4E">
            <w:pPr>
              <w:topLinePunct/>
              <w:jc w:val="center"/>
              <w:rPr>
                <w:rFonts w:eastAsia="仿宋_GB2312"/>
                <w:b/>
                <w:bCs/>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全面突显阶段（2020—2025年）</w:t>
            </w:r>
          </w:p>
        </w:tc>
        <w:tc>
          <w:tcPr>
            <w:tcW w:w="4638" w:type="dxa"/>
            <w:tcBorders>
              <w:top w:val="single" w:color="auto" w:sz="4" w:space="0"/>
              <w:left w:val="single" w:color="auto" w:sz="4" w:space="0"/>
              <w:bottom w:val="single" w:color="auto" w:sz="4" w:space="0"/>
              <w:right w:val="single" w:color="auto" w:sz="4" w:space="0"/>
            </w:tcBorders>
            <w:vAlign w:val="center"/>
          </w:tcPr>
          <w:p w14:paraId="425924AC">
            <w:pPr>
              <w:topLinePunct/>
              <w:jc w:val="center"/>
              <w:rPr>
                <w:rFonts w:eastAsia="仿宋_GB2312"/>
                <w:b/>
                <w:bCs/>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战略成就阶段（2026—2030年）</w:t>
            </w:r>
          </w:p>
        </w:tc>
      </w:tr>
      <w:tr w14:paraId="1C740C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4577" w:type="dxa"/>
            <w:tcBorders>
              <w:top w:val="single" w:color="auto" w:sz="4" w:space="0"/>
              <w:left w:val="single" w:color="auto" w:sz="4" w:space="0"/>
              <w:bottom w:val="single" w:color="auto" w:sz="4" w:space="0"/>
              <w:right w:val="single" w:color="auto" w:sz="4" w:space="0"/>
            </w:tcBorders>
            <w:vAlign w:val="center"/>
          </w:tcPr>
          <w:p w14:paraId="63A0539E">
            <w:pPr>
              <w:topLinePunct/>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第一步（2020—2021年）赋能创新期。</w:t>
            </w:r>
            <w:r>
              <w:rPr>
                <w:rFonts w:eastAsia="仿宋_GB2312"/>
                <w:color w:val="000000" w:themeColor="text1"/>
                <w:sz w:val="24"/>
                <w14:textFill>
                  <w14:solidFill>
                    <w14:schemeClr w14:val="tx1"/>
                  </w14:solidFill>
                </w14:textFill>
              </w:rPr>
              <w:t>2021年末，GDP冲刺1000亿元，更具活力的区域性国际中心城市中枢门户区战略全面部署，配套的创新政策、创新平台、创新基地有序布局，六大中枢功能建设全面提速，区域性数字中心、传媒中心、结算中心驱动未来城市发展的格局形成。一大批中枢与名片打造重大工程、十大融合示范工程、双轴三带六组团基础工程、六引导与六赋能平台工程系统推进，带动区域经济实现新一轮高速增长。</w:t>
            </w:r>
          </w:p>
          <w:p w14:paraId="77DBE146">
            <w:pPr>
              <w:topLinePunct/>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第二步（2022—2023年）聚能提升期。</w:t>
            </w:r>
            <w:r>
              <w:rPr>
                <w:rFonts w:eastAsia="仿宋_GB2312"/>
                <w:color w:val="000000" w:themeColor="text1"/>
                <w:sz w:val="24"/>
                <w14:textFill>
                  <w14:solidFill>
                    <w14:schemeClr w14:val="tx1"/>
                  </w14:solidFill>
                </w14:textFill>
              </w:rPr>
              <w:t>2023年末，GDP突破1250亿元，更具活力的区域性国际中心城市中枢门户区聚集力提升，大数据驱动，大健康特色、大文旅引流、大平台赋能、大结算链接、大项目支撑六大名片全面提档升级。</w:t>
            </w:r>
          </w:p>
          <w:p w14:paraId="30D279DD">
            <w:pPr>
              <w:topLinePunct/>
              <w:rPr>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第三步（2024—2025年）扩能辐射期。</w:t>
            </w:r>
            <w:r>
              <w:rPr>
                <w:rFonts w:eastAsia="仿宋_GB2312"/>
                <w:color w:val="000000" w:themeColor="text1"/>
                <w:sz w:val="24"/>
                <w14:textFill>
                  <w14:solidFill>
                    <w14:schemeClr w14:val="tx1"/>
                  </w14:solidFill>
                </w14:textFill>
              </w:rPr>
              <w:t>基本目标：2025年末，GDP突破1500亿元，更具活力的区域性国际中心城市中枢门户区影响力增强，辐射集聚、核心引擎、要素融合、综合导流、经济链接与动能汇聚六大能力系统提升，成为昆明市建设区域性国际中心城市高质量发展的重要支撑。</w:t>
            </w:r>
          </w:p>
        </w:tc>
        <w:tc>
          <w:tcPr>
            <w:tcW w:w="4638" w:type="dxa"/>
            <w:tcBorders>
              <w:top w:val="single" w:color="auto" w:sz="4" w:space="0"/>
              <w:left w:val="single" w:color="auto" w:sz="4" w:space="0"/>
              <w:bottom w:val="single" w:color="auto" w:sz="4" w:space="0"/>
              <w:right w:val="single" w:color="auto" w:sz="4" w:space="0"/>
            </w:tcBorders>
          </w:tcPr>
          <w:p w14:paraId="6A70EAF8">
            <w:pPr>
              <w:topLinePunct/>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1.西山区六大中枢功能、六大地区名片、六大核心能力的区域影响力大幅提升，系统支撑昆明市区域性国际中心城市的中枢门户地位；</w:t>
            </w:r>
          </w:p>
          <w:p w14:paraId="1EF493F3">
            <w:pPr>
              <w:topLinePunct/>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2.西山区对昆明、云南、中国西南乃至南亚东南亚的新理念、新要素、新平台、新模式的动能汇聚能力，以及新价值、新功能、新需求、新业态的经济链接能力大幅度提升；</w:t>
            </w:r>
          </w:p>
          <w:p w14:paraId="7E6D0947">
            <w:pPr>
              <w:topLinePunct/>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3.西山区作为昆明中枢门户和城市内核的价值充分体现，经济效益、政治效益、社会效益、文化效益、生态效益全面释放；</w:t>
            </w:r>
          </w:p>
          <w:p w14:paraId="0FAC7A4B">
            <w:pPr>
              <w:topLinePunct/>
              <w:rPr>
                <w:b/>
                <w:bCs/>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4.“心往春城·脉汇西山”，“更具活力的区域性国际中心城市中枢门户区”印象广泛认同，西山区地区竞争力、地区美誉度、地区软实力充分体现。</w:t>
            </w:r>
          </w:p>
        </w:tc>
      </w:tr>
    </w:tbl>
    <w:p w14:paraId="6BD07D5B">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到2025年，云南政治中心服务承载、滇中生态枢纽、昆明南亚交通门户功能加速建设和完善，聚集辐射能力显著提升；区域性国际数字中心、传媒中心、结算中心融合发展新业态得以构建，核心引擎能力全面发挥；辐射南亚东南亚的文旅圣地、健康福地、商贸旺地持续升级，综合引流能力大幅增长；国际性会议胜地、三创宝地、服贸高地强势崛起，要素融合能力系统强化；产业与城镇融合、城镇与乡村融合、工业与信息化融合、商品贸易与服务贸易融合、文创绿创与科创融合、金融与结算融合、生态生产生活融合的新形态、新模式、新经济、新格局全面彰显。</w:t>
      </w:r>
    </w:p>
    <w:p w14:paraId="65070D2D">
      <w:pPr>
        <w:widowControl/>
        <w:spacing w:line="560" w:lineRule="exact"/>
        <w:jc w:val="left"/>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br w:type="page"/>
      </w:r>
    </w:p>
    <w:p w14:paraId="3BE78299">
      <w:pPr>
        <w:topLinePunct/>
        <w:spacing w:line="240" w:lineRule="atLeast"/>
        <w:jc w:val="center"/>
        <w:rPr>
          <w:rFonts w:eastAsia="黑体"/>
          <w:bCs/>
          <w:color w:val="000000" w:themeColor="text1"/>
          <w:szCs w:val="32"/>
          <w14:textFill>
            <w14:solidFill>
              <w14:schemeClr w14:val="tx1"/>
            </w14:solidFill>
          </w14:textFill>
        </w:rPr>
      </w:pPr>
      <w:r>
        <w:rPr>
          <w:rFonts w:eastAsia="黑体"/>
          <w:bCs/>
          <w:color w:val="000000" w:themeColor="text1"/>
          <w:szCs w:val="32"/>
          <w14:textFill>
            <w14:solidFill>
              <w14:schemeClr w14:val="tx1"/>
            </w14:solidFill>
          </w14:textFill>
        </w:rPr>
        <w:t>西山区“十四五”时期经济社会发展主要指标</w:t>
      </w:r>
    </w:p>
    <w:tbl>
      <w:tblPr>
        <w:tblStyle w:val="42"/>
        <w:tblpPr w:leftFromText="181" w:rightFromText="181" w:vertAnchor="text" w:horzAnchor="page" w:tblpXSpec="center" w:tblpY="143"/>
        <w:tblOverlap w:val="never"/>
        <w:tblW w:w="92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0"/>
        <w:gridCol w:w="621"/>
        <w:gridCol w:w="3859"/>
        <w:gridCol w:w="885"/>
        <w:gridCol w:w="1005"/>
        <w:gridCol w:w="1395"/>
        <w:gridCol w:w="884"/>
      </w:tblGrid>
      <w:tr w14:paraId="6FE1C7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0" w:type="dxa"/>
            <w:tcBorders>
              <w:top w:val="single" w:color="auto" w:sz="4" w:space="0"/>
              <w:left w:val="single" w:color="auto" w:sz="4" w:space="0"/>
              <w:bottom w:val="single" w:color="auto" w:sz="4" w:space="0"/>
              <w:right w:val="single" w:color="auto" w:sz="4" w:space="0"/>
            </w:tcBorders>
            <w:vAlign w:val="center"/>
          </w:tcPr>
          <w:p w14:paraId="3DA07013">
            <w:pPr>
              <w:topLinePunct/>
              <w:snapToGrid w:val="0"/>
              <w:jc w:val="center"/>
              <w:rPr>
                <w:rFonts w:eastAsia="黑体"/>
                <w:bCs/>
                <w:color w:val="000000" w:themeColor="text1"/>
                <w:sz w:val="24"/>
                <w14:textFill>
                  <w14:solidFill>
                    <w14:schemeClr w14:val="tx1"/>
                  </w14:solidFill>
                </w14:textFill>
              </w:rPr>
            </w:pPr>
            <w:r>
              <w:rPr>
                <w:rFonts w:eastAsia="黑体"/>
                <w:bCs/>
                <w:color w:val="000000" w:themeColor="text1"/>
                <w:sz w:val="24"/>
                <w14:textFill>
                  <w14:solidFill>
                    <w14:schemeClr w14:val="tx1"/>
                  </w14:solidFill>
                </w14:textFill>
              </w:rPr>
              <w:t>序号</w:t>
            </w:r>
          </w:p>
        </w:tc>
        <w:tc>
          <w:tcPr>
            <w:tcW w:w="4480" w:type="dxa"/>
            <w:gridSpan w:val="2"/>
            <w:tcBorders>
              <w:top w:val="single" w:color="auto" w:sz="4" w:space="0"/>
              <w:left w:val="single" w:color="auto" w:sz="4" w:space="0"/>
              <w:bottom w:val="single" w:color="auto" w:sz="4" w:space="0"/>
              <w:right w:val="single" w:color="auto" w:sz="4" w:space="0"/>
            </w:tcBorders>
            <w:vAlign w:val="center"/>
          </w:tcPr>
          <w:p w14:paraId="525BD587">
            <w:pPr>
              <w:topLinePunct/>
              <w:snapToGrid w:val="0"/>
              <w:jc w:val="center"/>
              <w:rPr>
                <w:rFonts w:eastAsia="黑体"/>
                <w:bCs/>
                <w:color w:val="000000" w:themeColor="text1"/>
                <w:szCs w:val="21"/>
                <w14:textFill>
                  <w14:solidFill>
                    <w14:schemeClr w14:val="tx1"/>
                  </w14:solidFill>
                </w14:textFill>
              </w:rPr>
            </w:pPr>
            <w:r>
              <w:rPr>
                <w:rFonts w:eastAsia="黑体"/>
                <w:bCs/>
                <w:color w:val="000000" w:themeColor="text1"/>
                <w:szCs w:val="21"/>
                <w14:textFill>
                  <w14:solidFill>
                    <w14:schemeClr w14:val="tx1"/>
                  </w14:solidFill>
                </w14:textFill>
              </w:rPr>
              <w:t>指 标 名 称</w:t>
            </w:r>
          </w:p>
        </w:tc>
        <w:tc>
          <w:tcPr>
            <w:tcW w:w="885" w:type="dxa"/>
            <w:tcBorders>
              <w:top w:val="single" w:color="auto" w:sz="4" w:space="0"/>
              <w:left w:val="single" w:color="auto" w:sz="4" w:space="0"/>
              <w:right w:val="single" w:color="auto" w:sz="4" w:space="0"/>
            </w:tcBorders>
            <w:vAlign w:val="center"/>
          </w:tcPr>
          <w:p w14:paraId="22757B23">
            <w:pPr>
              <w:topLinePunct/>
              <w:snapToGrid w:val="0"/>
              <w:jc w:val="center"/>
              <w:rPr>
                <w:rFonts w:eastAsia="黑体"/>
                <w:bCs/>
                <w:color w:val="000000" w:themeColor="text1"/>
                <w:szCs w:val="21"/>
                <w14:textFill>
                  <w14:solidFill>
                    <w14:schemeClr w14:val="tx1"/>
                  </w14:solidFill>
                </w14:textFill>
              </w:rPr>
            </w:pPr>
            <w:r>
              <w:rPr>
                <w:rFonts w:eastAsia="黑体"/>
                <w:bCs/>
                <w:color w:val="000000" w:themeColor="text1"/>
                <w:szCs w:val="21"/>
                <w14:textFill>
                  <w14:solidFill>
                    <w14:schemeClr w14:val="tx1"/>
                  </w14:solidFill>
                </w14:textFill>
              </w:rPr>
              <w:t>单位</w:t>
            </w:r>
          </w:p>
        </w:tc>
        <w:tc>
          <w:tcPr>
            <w:tcW w:w="1005" w:type="dxa"/>
            <w:tcBorders>
              <w:top w:val="single" w:color="auto" w:sz="4" w:space="0"/>
              <w:left w:val="single" w:color="auto" w:sz="4" w:space="0"/>
              <w:bottom w:val="single" w:color="auto" w:sz="4" w:space="0"/>
              <w:right w:val="single" w:color="auto" w:sz="4" w:space="0"/>
            </w:tcBorders>
            <w:vAlign w:val="center"/>
          </w:tcPr>
          <w:p w14:paraId="24DBCFE6">
            <w:pPr>
              <w:topLinePunct/>
              <w:snapToGrid w:val="0"/>
              <w:jc w:val="center"/>
              <w:rPr>
                <w:rFonts w:eastAsia="黑体"/>
                <w:bCs/>
                <w:color w:val="000000" w:themeColor="text1"/>
                <w:szCs w:val="21"/>
                <w14:textFill>
                  <w14:solidFill>
                    <w14:schemeClr w14:val="tx1"/>
                  </w14:solidFill>
                </w14:textFill>
              </w:rPr>
            </w:pPr>
            <w:r>
              <w:rPr>
                <w:rFonts w:eastAsia="黑体"/>
                <w:bCs/>
                <w:color w:val="000000" w:themeColor="text1"/>
                <w:szCs w:val="21"/>
                <w14:textFill>
                  <w14:solidFill>
                    <w14:schemeClr w14:val="tx1"/>
                  </w14:solidFill>
                </w14:textFill>
              </w:rPr>
              <w:t>2020年</w:t>
            </w:r>
          </w:p>
        </w:tc>
        <w:tc>
          <w:tcPr>
            <w:tcW w:w="1395" w:type="dxa"/>
            <w:tcBorders>
              <w:top w:val="single" w:color="auto" w:sz="4" w:space="0"/>
              <w:left w:val="single" w:color="auto" w:sz="4" w:space="0"/>
              <w:bottom w:val="single" w:color="auto" w:sz="4" w:space="0"/>
              <w:right w:val="single" w:color="auto" w:sz="4" w:space="0"/>
            </w:tcBorders>
            <w:vAlign w:val="center"/>
          </w:tcPr>
          <w:p w14:paraId="5DE66087">
            <w:pPr>
              <w:topLinePunct/>
              <w:snapToGrid w:val="0"/>
              <w:jc w:val="center"/>
              <w:rPr>
                <w:rFonts w:eastAsia="黑体"/>
                <w:bCs/>
                <w:color w:val="000000" w:themeColor="text1"/>
                <w:szCs w:val="21"/>
                <w14:textFill>
                  <w14:solidFill>
                    <w14:schemeClr w14:val="tx1"/>
                  </w14:solidFill>
                </w14:textFill>
              </w:rPr>
            </w:pPr>
            <w:r>
              <w:rPr>
                <w:rFonts w:eastAsia="黑体"/>
                <w:bCs/>
                <w:color w:val="000000" w:themeColor="text1"/>
                <w:szCs w:val="21"/>
                <w14:textFill>
                  <w14:solidFill>
                    <w14:schemeClr w14:val="tx1"/>
                  </w14:solidFill>
                </w14:textFill>
              </w:rPr>
              <w:t>2025年</w:t>
            </w:r>
          </w:p>
        </w:tc>
        <w:tc>
          <w:tcPr>
            <w:tcW w:w="884" w:type="dxa"/>
            <w:tcBorders>
              <w:top w:val="single" w:color="auto" w:sz="4" w:space="0"/>
              <w:left w:val="single" w:color="auto" w:sz="4" w:space="0"/>
              <w:bottom w:val="single" w:color="auto" w:sz="4" w:space="0"/>
              <w:right w:val="single" w:color="auto" w:sz="4" w:space="0"/>
            </w:tcBorders>
            <w:vAlign w:val="center"/>
          </w:tcPr>
          <w:p w14:paraId="67E7B818">
            <w:pPr>
              <w:topLinePunct/>
              <w:snapToGrid w:val="0"/>
              <w:jc w:val="center"/>
              <w:rPr>
                <w:rFonts w:eastAsia="黑体"/>
                <w:bCs/>
                <w:color w:val="000000" w:themeColor="text1"/>
                <w:szCs w:val="21"/>
                <w14:textFill>
                  <w14:solidFill>
                    <w14:schemeClr w14:val="tx1"/>
                  </w14:solidFill>
                </w14:textFill>
              </w:rPr>
            </w:pPr>
            <w:r>
              <w:rPr>
                <w:rFonts w:eastAsia="黑体"/>
                <w:bCs/>
                <w:color w:val="000000" w:themeColor="text1"/>
                <w:szCs w:val="21"/>
                <w14:textFill>
                  <w14:solidFill>
                    <w14:schemeClr w14:val="tx1"/>
                  </w14:solidFill>
                </w14:textFill>
              </w:rPr>
              <w:t>属性</w:t>
            </w:r>
          </w:p>
        </w:tc>
      </w:tr>
      <w:tr w14:paraId="1D09A1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0" w:type="dxa"/>
            <w:tcBorders>
              <w:top w:val="single" w:color="auto" w:sz="4" w:space="0"/>
              <w:left w:val="single" w:color="auto" w:sz="4" w:space="0"/>
              <w:bottom w:val="single" w:color="auto" w:sz="4" w:space="0"/>
              <w:right w:val="single" w:color="auto" w:sz="4" w:space="0"/>
            </w:tcBorders>
            <w:vAlign w:val="center"/>
          </w:tcPr>
          <w:p w14:paraId="1EBDCB47">
            <w:pPr>
              <w:widowControl/>
              <w:topLinePunct/>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1</w:t>
            </w:r>
          </w:p>
        </w:tc>
        <w:tc>
          <w:tcPr>
            <w:tcW w:w="621" w:type="dxa"/>
            <w:vMerge w:val="restart"/>
            <w:tcBorders>
              <w:top w:val="single" w:color="auto" w:sz="4" w:space="0"/>
              <w:left w:val="single" w:color="auto" w:sz="4" w:space="0"/>
              <w:right w:val="single" w:color="auto" w:sz="4" w:space="0"/>
            </w:tcBorders>
            <w:vAlign w:val="center"/>
          </w:tcPr>
          <w:p w14:paraId="4C91DEAC">
            <w:pPr>
              <w:widowControl/>
              <w:topLinePunct/>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高效发展</w:t>
            </w:r>
          </w:p>
        </w:tc>
        <w:tc>
          <w:tcPr>
            <w:tcW w:w="3859" w:type="dxa"/>
            <w:tcBorders>
              <w:top w:val="single" w:color="auto" w:sz="4" w:space="0"/>
              <w:left w:val="single" w:color="auto" w:sz="4" w:space="0"/>
              <w:bottom w:val="single" w:color="auto" w:sz="4" w:space="0"/>
              <w:right w:val="single" w:color="auto" w:sz="4" w:space="0"/>
            </w:tcBorders>
            <w:vAlign w:val="center"/>
          </w:tcPr>
          <w:p w14:paraId="361793B1">
            <w:pPr>
              <w:widowControl/>
              <w:topLinePunct/>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地区生产总值</w:t>
            </w:r>
          </w:p>
        </w:tc>
        <w:tc>
          <w:tcPr>
            <w:tcW w:w="885" w:type="dxa"/>
            <w:tcBorders>
              <w:left w:val="single" w:color="auto" w:sz="4" w:space="0"/>
              <w:bottom w:val="single" w:color="auto" w:sz="4" w:space="0"/>
              <w:right w:val="single" w:color="auto" w:sz="4" w:space="0"/>
            </w:tcBorders>
            <w:vAlign w:val="center"/>
          </w:tcPr>
          <w:p w14:paraId="19D0BC31">
            <w:pPr>
              <w:widowControl/>
              <w:topLinePunct/>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亿元</w:t>
            </w:r>
          </w:p>
        </w:tc>
        <w:tc>
          <w:tcPr>
            <w:tcW w:w="1005" w:type="dxa"/>
            <w:tcBorders>
              <w:top w:val="single" w:color="auto" w:sz="4" w:space="0"/>
              <w:left w:val="single" w:color="auto" w:sz="4" w:space="0"/>
              <w:bottom w:val="single" w:color="auto" w:sz="4" w:space="0"/>
              <w:right w:val="single" w:color="auto" w:sz="4" w:space="0"/>
            </w:tcBorders>
            <w:vAlign w:val="center"/>
          </w:tcPr>
          <w:p w14:paraId="237B7FA9">
            <w:pPr>
              <w:widowControl/>
              <w:topLinePunct/>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903.98</w:t>
            </w:r>
          </w:p>
        </w:tc>
        <w:tc>
          <w:tcPr>
            <w:tcW w:w="1395" w:type="dxa"/>
            <w:tcBorders>
              <w:top w:val="single" w:color="auto" w:sz="4" w:space="0"/>
              <w:left w:val="single" w:color="auto" w:sz="4" w:space="0"/>
              <w:bottom w:val="single" w:color="auto" w:sz="4" w:space="0"/>
              <w:right w:val="single" w:color="auto" w:sz="4" w:space="0"/>
            </w:tcBorders>
            <w:vAlign w:val="center"/>
          </w:tcPr>
          <w:p w14:paraId="7D74C1AF">
            <w:pPr>
              <w:topLinePunct/>
              <w:snapToGrid w:val="0"/>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达1520亿元</w:t>
            </w:r>
          </w:p>
        </w:tc>
        <w:tc>
          <w:tcPr>
            <w:tcW w:w="884" w:type="dxa"/>
            <w:tcBorders>
              <w:top w:val="single" w:color="auto" w:sz="4" w:space="0"/>
              <w:left w:val="single" w:color="auto" w:sz="4" w:space="0"/>
              <w:bottom w:val="single" w:color="auto" w:sz="4" w:space="0"/>
              <w:right w:val="single" w:color="auto" w:sz="4" w:space="0"/>
            </w:tcBorders>
            <w:vAlign w:val="center"/>
          </w:tcPr>
          <w:p w14:paraId="4CAD8155">
            <w:pPr>
              <w:widowControl/>
              <w:topLinePunct/>
              <w:rPr>
                <w:color w:val="000000" w:themeColor="text1"/>
                <w:sz w:val="20"/>
                <w:szCs w:val="20"/>
                <w14:textFill>
                  <w14:solidFill>
                    <w14:schemeClr w14:val="tx1"/>
                  </w14:solidFill>
                </w14:textFill>
              </w:rPr>
            </w:pPr>
            <w:r>
              <w:rPr>
                <w:color w:val="000000" w:themeColor="text1"/>
                <w:kern w:val="0"/>
                <w:sz w:val="20"/>
                <w:szCs w:val="20"/>
                <w14:textFill>
                  <w14:solidFill>
                    <w14:schemeClr w14:val="tx1"/>
                  </w14:solidFill>
                </w14:textFill>
              </w:rPr>
              <w:t>预期性</w:t>
            </w:r>
          </w:p>
        </w:tc>
      </w:tr>
      <w:tr w14:paraId="5B74B1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0" w:type="dxa"/>
            <w:tcBorders>
              <w:top w:val="single" w:color="auto" w:sz="4" w:space="0"/>
              <w:left w:val="single" w:color="auto" w:sz="4" w:space="0"/>
              <w:bottom w:val="single" w:color="auto" w:sz="4" w:space="0"/>
              <w:right w:val="single" w:color="auto" w:sz="4" w:space="0"/>
            </w:tcBorders>
            <w:vAlign w:val="center"/>
          </w:tcPr>
          <w:p w14:paraId="1029037E">
            <w:pPr>
              <w:widowControl/>
              <w:topLinePunct/>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2</w:t>
            </w:r>
          </w:p>
        </w:tc>
        <w:tc>
          <w:tcPr>
            <w:tcW w:w="621" w:type="dxa"/>
            <w:vMerge w:val="continue"/>
            <w:tcBorders>
              <w:left w:val="single" w:color="auto" w:sz="4" w:space="0"/>
              <w:right w:val="single" w:color="auto" w:sz="4" w:space="0"/>
            </w:tcBorders>
            <w:vAlign w:val="center"/>
          </w:tcPr>
          <w:p w14:paraId="6B58CBC7">
            <w:pPr>
              <w:widowControl/>
              <w:topLinePunct/>
              <w:rPr>
                <w:color w:val="000000" w:themeColor="text1"/>
                <w:sz w:val="20"/>
                <w:szCs w:val="20"/>
                <w14:textFill>
                  <w14:solidFill>
                    <w14:schemeClr w14:val="tx1"/>
                  </w14:solidFill>
                </w14:textFill>
              </w:rPr>
            </w:pPr>
          </w:p>
        </w:tc>
        <w:tc>
          <w:tcPr>
            <w:tcW w:w="3859" w:type="dxa"/>
            <w:tcBorders>
              <w:top w:val="single" w:color="auto" w:sz="4" w:space="0"/>
              <w:left w:val="single" w:color="auto" w:sz="4" w:space="0"/>
              <w:bottom w:val="single" w:color="auto" w:sz="4" w:space="0"/>
              <w:right w:val="single" w:color="auto" w:sz="4" w:space="0"/>
            </w:tcBorders>
            <w:vAlign w:val="center"/>
          </w:tcPr>
          <w:p w14:paraId="1C5FA4E0">
            <w:pPr>
              <w:widowControl/>
              <w:topLinePunct/>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人均地区生产总值</w:t>
            </w:r>
          </w:p>
        </w:tc>
        <w:tc>
          <w:tcPr>
            <w:tcW w:w="885" w:type="dxa"/>
            <w:tcBorders>
              <w:top w:val="single" w:color="auto" w:sz="4" w:space="0"/>
              <w:left w:val="single" w:color="auto" w:sz="4" w:space="0"/>
              <w:bottom w:val="single" w:color="auto" w:sz="4" w:space="0"/>
              <w:right w:val="single" w:color="auto" w:sz="4" w:space="0"/>
            </w:tcBorders>
            <w:vAlign w:val="center"/>
          </w:tcPr>
          <w:p w14:paraId="239A8044">
            <w:pPr>
              <w:widowControl/>
              <w:topLinePunct/>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万美元</w:t>
            </w:r>
          </w:p>
        </w:tc>
        <w:tc>
          <w:tcPr>
            <w:tcW w:w="1005" w:type="dxa"/>
            <w:tcBorders>
              <w:top w:val="single" w:color="auto" w:sz="4" w:space="0"/>
              <w:left w:val="single" w:color="auto" w:sz="4" w:space="0"/>
              <w:bottom w:val="single" w:color="auto" w:sz="4" w:space="0"/>
              <w:right w:val="single" w:color="auto" w:sz="4" w:space="0"/>
            </w:tcBorders>
            <w:vAlign w:val="center"/>
          </w:tcPr>
          <w:p w14:paraId="5C6195FB">
            <w:pPr>
              <w:widowControl/>
              <w:topLinePunct/>
              <w:jc w:val="center"/>
              <w:rPr>
                <w:color w:val="000000" w:themeColor="text1"/>
                <w:sz w:val="20"/>
                <w:szCs w:val="20"/>
                <w14:textFill>
                  <w14:solidFill>
                    <w14:schemeClr w14:val="tx1"/>
                  </w14:solidFill>
                </w14:textFill>
              </w:rPr>
            </w:pPr>
            <w:r>
              <w:rPr>
                <w:sz w:val="20"/>
                <w:szCs w:val="20"/>
              </w:rPr>
              <w:t>1.5</w:t>
            </w:r>
          </w:p>
        </w:tc>
        <w:tc>
          <w:tcPr>
            <w:tcW w:w="1395" w:type="dxa"/>
            <w:tcBorders>
              <w:top w:val="single" w:color="auto" w:sz="4" w:space="0"/>
              <w:left w:val="single" w:color="auto" w:sz="4" w:space="0"/>
              <w:bottom w:val="single" w:color="auto" w:sz="4" w:space="0"/>
              <w:right w:val="single" w:color="auto" w:sz="4" w:space="0"/>
            </w:tcBorders>
            <w:vAlign w:val="center"/>
          </w:tcPr>
          <w:p w14:paraId="01213041">
            <w:pPr>
              <w:topLinePunct/>
              <w:snapToGrid w:val="0"/>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2.3</w:t>
            </w:r>
          </w:p>
        </w:tc>
        <w:tc>
          <w:tcPr>
            <w:tcW w:w="884" w:type="dxa"/>
            <w:tcBorders>
              <w:top w:val="single" w:color="auto" w:sz="4" w:space="0"/>
              <w:left w:val="single" w:color="auto" w:sz="4" w:space="0"/>
              <w:bottom w:val="single" w:color="auto" w:sz="4" w:space="0"/>
              <w:right w:val="single" w:color="auto" w:sz="4" w:space="0"/>
            </w:tcBorders>
            <w:vAlign w:val="center"/>
          </w:tcPr>
          <w:p w14:paraId="1D3A5123">
            <w:pPr>
              <w:widowControl/>
              <w:topLinePunct/>
              <w:rPr>
                <w:color w:val="000000" w:themeColor="text1"/>
                <w:sz w:val="20"/>
                <w:szCs w:val="20"/>
                <w14:textFill>
                  <w14:solidFill>
                    <w14:schemeClr w14:val="tx1"/>
                  </w14:solidFill>
                </w14:textFill>
              </w:rPr>
            </w:pPr>
            <w:r>
              <w:rPr>
                <w:color w:val="000000" w:themeColor="text1"/>
                <w:kern w:val="0"/>
                <w:sz w:val="20"/>
                <w:szCs w:val="20"/>
                <w14:textFill>
                  <w14:solidFill>
                    <w14:schemeClr w14:val="tx1"/>
                  </w14:solidFill>
                </w14:textFill>
              </w:rPr>
              <w:t>预期性</w:t>
            </w:r>
          </w:p>
        </w:tc>
      </w:tr>
      <w:tr w14:paraId="04D941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0" w:type="dxa"/>
            <w:tcBorders>
              <w:top w:val="single" w:color="auto" w:sz="4" w:space="0"/>
              <w:left w:val="single" w:color="auto" w:sz="4" w:space="0"/>
              <w:bottom w:val="single" w:color="auto" w:sz="4" w:space="0"/>
              <w:right w:val="single" w:color="auto" w:sz="4" w:space="0"/>
            </w:tcBorders>
            <w:vAlign w:val="center"/>
          </w:tcPr>
          <w:p w14:paraId="40C64799">
            <w:pPr>
              <w:widowControl/>
              <w:topLinePunct/>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3</w:t>
            </w:r>
          </w:p>
        </w:tc>
        <w:tc>
          <w:tcPr>
            <w:tcW w:w="621" w:type="dxa"/>
            <w:vMerge w:val="continue"/>
            <w:tcBorders>
              <w:left w:val="single" w:color="auto" w:sz="4" w:space="0"/>
              <w:right w:val="single" w:color="auto" w:sz="4" w:space="0"/>
            </w:tcBorders>
            <w:vAlign w:val="center"/>
          </w:tcPr>
          <w:p w14:paraId="3E744E97">
            <w:pPr>
              <w:widowControl/>
              <w:topLinePunct/>
              <w:rPr>
                <w:color w:val="000000" w:themeColor="text1"/>
                <w:sz w:val="20"/>
                <w:szCs w:val="20"/>
                <w14:textFill>
                  <w14:solidFill>
                    <w14:schemeClr w14:val="tx1"/>
                  </w14:solidFill>
                </w14:textFill>
              </w:rPr>
            </w:pPr>
          </w:p>
        </w:tc>
        <w:tc>
          <w:tcPr>
            <w:tcW w:w="3859" w:type="dxa"/>
            <w:tcBorders>
              <w:top w:val="single" w:color="auto" w:sz="4" w:space="0"/>
              <w:left w:val="single" w:color="auto" w:sz="4" w:space="0"/>
              <w:bottom w:val="single" w:color="auto" w:sz="4" w:space="0"/>
              <w:right w:val="single" w:color="auto" w:sz="4" w:space="0"/>
            </w:tcBorders>
            <w:vAlign w:val="center"/>
          </w:tcPr>
          <w:p w14:paraId="602D6D1A">
            <w:pPr>
              <w:widowControl/>
              <w:topLinePunct/>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制造业增加值占GDP比重</w:t>
            </w:r>
          </w:p>
        </w:tc>
        <w:tc>
          <w:tcPr>
            <w:tcW w:w="885" w:type="dxa"/>
            <w:tcBorders>
              <w:top w:val="single" w:color="auto" w:sz="4" w:space="0"/>
              <w:left w:val="single" w:color="auto" w:sz="4" w:space="0"/>
              <w:bottom w:val="single" w:color="auto" w:sz="4" w:space="0"/>
              <w:right w:val="single" w:color="auto" w:sz="4" w:space="0"/>
            </w:tcBorders>
            <w:vAlign w:val="center"/>
          </w:tcPr>
          <w:p w14:paraId="13FA7C84">
            <w:pPr>
              <w:widowControl/>
              <w:topLinePunct/>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w:t>
            </w:r>
          </w:p>
        </w:tc>
        <w:tc>
          <w:tcPr>
            <w:tcW w:w="1005" w:type="dxa"/>
            <w:tcBorders>
              <w:top w:val="single" w:color="auto" w:sz="4" w:space="0"/>
              <w:left w:val="single" w:color="auto" w:sz="4" w:space="0"/>
              <w:bottom w:val="single" w:color="auto" w:sz="4" w:space="0"/>
              <w:right w:val="single" w:color="auto" w:sz="4" w:space="0"/>
            </w:tcBorders>
            <w:vAlign w:val="center"/>
          </w:tcPr>
          <w:p w14:paraId="19DE6A92">
            <w:pPr>
              <w:widowControl/>
              <w:topLinePunct/>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4.65</w:t>
            </w:r>
          </w:p>
        </w:tc>
        <w:tc>
          <w:tcPr>
            <w:tcW w:w="1395" w:type="dxa"/>
            <w:tcBorders>
              <w:top w:val="single" w:color="auto" w:sz="4" w:space="0"/>
              <w:left w:val="single" w:color="auto" w:sz="4" w:space="0"/>
              <w:bottom w:val="single" w:color="auto" w:sz="4" w:space="0"/>
              <w:right w:val="single" w:color="auto" w:sz="4" w:space="0"/>
            </w:tcBorders>
            <w:vAlign w:val="center"/>
          </w:tcPr>
          <w:p w14:paraId="16D1A769">
            <w:pPr>
              <w:topLinePunct/>
              <w:snapToGrid w:val="0"/>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5</w:t>
            </w:r>
          </w:p>
        </w:tc>
        <w:tc>
          <w:tcPr>
            <w:tcW w:w="884" w:type="dxa"/>
            <w:tcBorders>
              <w:top w:val="single" w:color="auto" w:sz="4" w:space="0"/>
              <w:left w:val="single" w:color="auto" w:sz="4" w:space="0"/>
              <w:bottom w:val="single" w:color="auto" w:sz="4" w:space="0"/>
              <w:right w:val="single" w:color="auto" w:sz="4" w:space="0"/>
            </w:tcBorders>
            <w:vAlign w:val="center"/>
          </w:tcPr>
          <w:p w14:paraId="20C3AA7D">
            <w:pPr>
              <w:topLinePunct/>
              <w:rPr>
                <w:color w:val="000000" w:themeColor="text1"/>
                <w:sz w:val="20"/>
                <w:szCs w:val="20"/>
                <w14:textFill>
                  <w14:solidFill>
                    <w14:schemeClr w14:val="tx1"/>
                  </w14:solidFill>
                </w14:textFill>
              </w:rPr>
            </w:pPr>
            <w:r>
              <w:rPr>
                <w:color w:val="000000" w:themeColor="text1"/>
                <w:kern w:val="0"/>
                <w:sz w:val="20"/>
                <w:szCs w:val="20"/>
                <w14:textFill>
                  <w14:solidFill>
                    <w14:schemeClr w14:val="tx1"/>
                  </w14:solidFill>
                </w14:textFill>
              </w:rPr>
              <w:t>预期性</w:t>
            </w:r>
          </w:p>
        </w:tc>
      </w:tr>
      <w:tr w14:paraId="068915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0" w:type="dxa"/>
            <w:tcBorders>
              <w:top w:val="single" w:color="auto" w:sz="4" w:space="0"/>
              <w:left w:val="single" w:color="auto" w:sz="4" w:space="0"/>
              <w:bottom w:val="single" w:color="auto" w:sz="4" w:space="0"/>
              <w:right w:val="single" w:color="auto" w:sz="4" w:space="0"/>
            </w:tcBorders>
            <w:vAlign w:val="center"/>
          </w:tcPr>
          <w:p w14:paraId="0C2FEFF4">
            <w:pPr>
              <w:widowControl/>
              <w:topLinePunct/>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4</w:t>
            </w:r>
          </w:p>
        </w:tc>
        <w:tc>
          <w:tcPr>
            <w:tcW w:w="621" w:type="dxa"/>
            <w:vMerge w:val="continue"/>
            <w:tcBorders>
              <w:left w:val="single" w:color="auto" w:sz="4" w:space="0"/>
              <w:right w:val="single" w:color="auto" w:sz="4" w:space="0"/>
            </w:tcBorders>
            <w:vAlign w:val="center"/>
          </w:tcPr>
          <w:p w14:paraId="2D499485">
            <w:pPr>
              <w:widowControl/>
              <w:topLinePunct/>
              <w:rPr>
                <w:color w:val="000000" w:themeColor="text1"/>
                <w:sz w:val="20"/>
                <w:szCs w:val="20"/>
                <w14:textFill>
                  <w14:solidFill>
                    <w14:schemeClr w14:val="tx1"/>
                  </w14:solidFill>
                </w14:textFill>
              </w:rPr>
            </w:pPr>
          </w:p>
        </w:tc>
        <w:tc>
          <w:tcPr>
            <w:tcW w:w="3859" w:type="dxa"/>
            <w:tcBorders>
              <w:top w:val="single" w:color="auto" w:sz="4" w:space="0"/>
              <w:left w:val="single" w:color="auto" w:sz="4" w:space="0"/>
              <w:bottom w:val="single" w:color="auto" w:sz="4" w:space="0"/>
              <w:right w:val="single" w:color="auto" w:sz="4" w:space="0"/>
            </w:tcBorders>
            <w:vAlign w:val="center"/>
          </w:tcPr>
          <w:p w14:paraId="323D3E2C">
            <w:pPr>
              <w:widowControl/>
              <w:topLinePunct/>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健康产业增加值占GDP比重</w:t>
            </w:r>
          </w:p>
        </w:tc>
        <w:tc>
          <w:tcPr>
            <w:tcW w:w="885" w:type="dxa"/>
            <w:tcBorders>
              <w:top w:val="single" w:color="auto" w:sz="4" w:space="0"/>
              <w:left w:val="single" w:color="auto" w:sz="4" w:space="0"/>
              <w:bottom w:val="single" w:color="auto" w:sz="4" w:space="0"/>
              <w:right w:val="single" w:color="auto" w:sz="4" w:space="0"/>
            </w:tcBorders>
            <w:vAlign w:val="center"/>
          </w:tcPr>
          <w:p w14:paraId="72DE8E58">
            <w:pPr>
              <w:widowControl/>
              <w:topLinePunct/>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w:t>
            </w:r>
          </w:p>
        </w:tc>
        <w:tc>
          <w:tcPr>
            <w:tcW w:w="1005" w:type="dxa"/>
            <w:tcBorders>
              <w:top w:val="single" w:color="auto" w:sz="4" w:space="0"/>
              <w:left w:val="single" w:color="auto" w:sz="4" w:space="0"/>
              <w:bottom w:val="single" w:color="auto" w:sz="4" w:space="0"/>
              <w:right w:val="single" w:color="auto" w:sz="4" w:space="0"/>
            </w:tcBorders>
            <w:vAlign w:val="center"/>
          </w:tcPr>
          <w:p w14:paraId="19E912BF">
            <w:pPr>
              <w:widowControl/>
              <w:topLinePunct/>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18.07</w:t>
            </w:r>
          </w:p>
        </w:tc>
        <w:tc>
          <w:tcPr>
            <w:tcW w:w="1395" w:type="dxa"/>
            <w:tcBorders>
              <w:top w:val="single" w:color="auto" w:sz="4" w:space="0"/>
              <w:left w:val="single" w:color="auto" w:sz="4" w:space="0"/>
              <w:bottom w:val="single" w:color="auto" w:sz="4" w:space="0"/>
              <w:right w:val="single" w:color="auto" w:sz="4" w:space="0"/>
            </w:tcBorders>
            <w:vAlign w:val="center"/>
          </w:tcPr>
          <w:p w14:paraId="01B99936">
            <w:pPr>
              <w:topLinePunct/>
              <w:snapToGrid w:val="0"/>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20</w:t>
            </w:r>
          </w:p>
        </w:tc>
        <w:tc>
          <w:tcPr>
            <w:tcW w:w="884" w:type="dxa"/>
            <w:tcBorders>
              <w:top w:val="single" w:color="auto" w:sz="4" w:space="0"/>
              <w:left w:val="single" w:color="auto" w:sz="4" w:space="0"/>
              <w:bottom w:val="single" w:color="auto" w:sz="4" w:space="0"/>
              <w:right w:val="single" w:color="auto" w:sz="4" w:space="0"/>
            </w:tcBorders>
            <w:vAlign w:val="center"/>
          </w:tcPr>
          <w:p w14:paraId="4080BBB0">
            <w:pPr>
              <w:widowControl/>
              <w:topLinePunct/>
              <w:rPr>
                <w:color w:val="000000" w:themeColor="text1"/>
                <w:sz w:val="20"/>
                <w:szCs w:val="20"/>
                <w14:textFill>
                  <w14:solidFill>
                    <w14:schemeClr w14:val="tx1"/>
                  </w14:solidFill>
                </w14:textFill>
              </w:rPr>
            </w:pPr>
            <w:r>
              <w:rPr>
                <w:color w:val="000000" w:themeColor="text1"/>
                <w:kern w:val="0"/>
                <w:sz w:val="20"/>
                <w:szCs w:val="20"/>
                <w14:textFill>
                  <w14:solidFill>
                    <w14:schemeClr w14:val="tx1"/>
                  </w14:solidFill>
                </w14:textFill>
              </w:rPr>
              <w:t>预期性</w:t>
            </w:r>
          </w:p>
        </w:tc>
      </w:tr>
      <w:tr w14:paraId="716A0F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0" w:type="dxa"/>
            <w:tcBorders>
              <w:top w:val="single" w:color="auto" w:sz="4" w:space="0"/>
              <w:left w:val="single" w:color="auto" w:sz="4" w:space="0"/>
              <w:bottom w:val="single" w:color="auto" w:sz="4" w:space="0"/>
              <w:right w:val="single" w:color="auto" w:sz="4" w:space="0"/>
            </w:tcBorders>
            <w:vAlign w:val="center"/>
          </w:tcPr>
          <w:p w14:paraId="4831C7F6">
            <w:pPr>
              <w:widowControl/>
              <w:topLinePunct/>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5</w:t>
            </w:r>
          </w:p>
        </w:tc>
        <w:tc>
          <w:tcPr>
            <w:tcW w:w="621" w:type="dxa"/>
            <w:vMerge w:val="restart"/>
            <w:tcBorders>
              <w:left w:val="single" w:color="auto" w:sz="4" w:space="0"/>
              <w:right w:val="single" w:color="auto" w:sz="4" w:space="0"/>
            </w:tcBorders>
            <w:vAlign w:val="center"/>
          </w:tcPr>
          <w:p w14:paraId="441D4F50">
            <w:pPr>
              <w:widowControl/>
              <w:topLinePunct/>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创新发展</w:t>
            </w:r>
          </w:p>
        </w:tc>
        <w:tc>
          <w:tcPr>
            <w:tcW w:w="3859" w:type="dxa"/>
            <w:tcBorders>
              <w:top w:val="single" w:color="auto" w:sz="4" w:space="0"/>
              <w:left w:val="single" w:color="auto" w:sz="4" w:space="0"/>
              <w:bottom w:val="single" w:color="auto" w:sz="4" w:space="0"/>
              <w:right w:val="single" w:color="auto" w:sz="4" w:space="0"/>
            </w:tcBorders>
            <w:vAlign w:val="center"/>
          </w:tcPr>
          <w:p w14:paraId="28C4F547">
            <w:pPr>
              <w:widowControl/>
              <w:topLinePunct/>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研究与试验发展（R&amp;D）经费投入</w:t>
            </w:r>
          </w:p>
        </w:tc>
        <w:tc>
          <w:tcPr>
            <w:tcW w:w="885" w:type="dxa"/>
            <w:tcBorders>
              <w:top w:val="single" w:color="auto" w:sz="4" w:space="0"/>
              <w:left w:val="single" w:color="auto" w:sz="4" w:space="0"/>
              <w:bottom w:val="single" w:color="auto" w:sz="4" w:space="0"/>
              <w:right w:val="single" w:color="auto" w:sz="4" w:space="0"/>
            </w:tcBorders>
            <w:vAlign w:val="center"/>
          </w:tcPr>
          <w:p w14:paraId="0D813F1D">
            <w:pPr>
              <w:widowControl/>
              <w:topLinePunct/>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亿元</w:t>
            </w:r>
          </w:p>
        </w:tc>
        <w:tc>
          <w:tcPr>
            <w:tcW w:w="1005" w:type="dxa"/>
            <w:tcBorders>
              <w:top w:val="single" w:color="auto" w:sz="4" w:space="0"/>
              <w:left w:val="single" w:color="auto" w:sz="4" w:space="0"/>
              <w:bottom w:val="single" w:color="auto" w:sz="4" w:space="0"/>
              <w:right w:val="single" w:color="auto" w:sz="4" w:space="0"/>
            </w:tcBorders>
            <w:vAlign w:val="center"/>
          </w:tcPr>
          <w:p w14:paraId="7EFE6863">
            <w:pPr>
              <w:widowControl/>
              <w:topLinePunct/>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13.6亿元</w:t>
            </w:r>
          </w:p>
        </w:tc>
        <w:tc>
          <w:tcPr>
            <w:tcW w:w="1395" w:type="dxa"/>
            <w:tcBorders>
              <w:top w:val="single" w:color="auto" w:sz="4" w:space="0"/>
              <w:left w:val="single" w:color="auto" w:sz="4" w:space="0"/>
              <w:bottom w:val="single" w:color="auto" w:sz="4" w:space="0"/>
              <w:right w:val="single" w:color="auto" w:sz="4" w:space="0"/>
            </w:tcBorders>
            <w:vAlign w:val="center"/>
          </w:tcPr>
          <w:p w14:paraId="589B2B23">
            <w:pPr>
              <w:topLinePunct/>
              <w:snapToGrid w:val="0"/>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25亿元，年均</w:t>
            </w:r>
            <w:r>
              <w:rPr>
                <w:color w:val="000000" w:themeColor="text1"/>
                <w:spacing w:val="-4"/>
                <w:sz w:val="20"/>
                <w:szCs w:val="20"/>
                <w14:textFill>
                  <w14:solidFill>
                    <w14:schemeClr w14:val="tx1"/>
                  </w14:solidFill>
                </w14:textFill>
              </w:rPr>
              <w:t>增长12%左右</w:t>
            </w:r>
          </w:p>
        </w:tc>
        <w:tc>
          <w:tcPr>
            <w:tcW w:w="884" w:type="dxa"/>
            <w:tcBorders>
              <w:top w:val="single" w:color="auto" w:sz="4" w:space="0"/>
              <w:left w:val="single" w:color="auto" w:sz="4" w:space="0"/>
              <w:bottom w:val="single" w:color="auto" w:sz="4" w:space="0"/>
              <w:right w:val="single" w:color="auto" w:sz="4" w:space="0"/>
            </w:tcBorders>
            <w:vAlign w:val="center"/>
          </w:tcPr>
          <w:p w14:paraId="4220EE60">
            <w:pPr>
              <w:widowControl/>
              <w:topLinePunct/>
              <w:rPr>
                <w:color w:val="000000" w:themeColor="text1"/>
                <w:sz w:val="20"/>
                <w:szCs w:val="20"/>
                <w14:textFill>
                  <w14:solidFill>
                    <w14:schemeClr w14:val="tx1"/>
                  </w14:solidFill>
                </w14:textFill>
              </w:rPr>
            </w:pPr>
            <w:r>
              <w:rPr>
                <w:color w:val="000000" w:themeColor="text1"/>
                <w:kern w:val="0"/>
                <w:sz w:val="20"/>
                <w:szCs w:val="20"/>
                <w14:textFill>
                  <w14:solidFill>
                    <w14:schemeClr w14:val="tx1"/>
                  </w14:solidFill>
                </w14:textFill>
              </w:rPr>
              <w:t>预期性</w:t>
            </w:r>
          </w:p>
        </w:tc>
      </w:tr>
      <w:tr w14:paraId="4E0CC3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0" w:type="dxa"/>
            <w:tcBorders>
              <w:top w:val="single" w:color="auto" w:sz="4" w:space="0"/>
              <w:left w:val="single" w:color="auto" w:sz="4" w:space="0"/>
              <w:bottom w:val="single" w:color="auto" w:sz="4" w:space="0"/>
              <w:right w:val="single" w:color="auto" w:sz="4" w:space="0"/>
            </w:tcBorders>
            <w:vAlign w:val="center"/>
          </w:tcPr>
          <w:p w14:paraId="342DC399">
            <w:pPr>
              <w:widowControl/>
              <w:topLinePunct/>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6</w:t>
            </w:r>
          </w:p>
        </w:tc>
        <w:tc>
          <w:tcPr>
            <w:tcW w:w="621" w:type="dxa"/>
            <w:vMerge w:val="continue"/>
            <w:tcBorders>
              <w:left w:val="single" w:color="auto" w:sz="4" w:space="0"/>
              <w:right w:val="single" w:color="auto" w:sz="4" w:space="0"/>
            </w:tcBorders>
            <w:vAlign w:val="center"/>
          </w:tcPr>
          <w:p w14:paraId="7E664008">
            <w:pPr>
              <w:widowControl/>
              <w:topLinePunct/>
              <w:rPr>
                <w:color w:val="000000" w:themeColor="text1"/>
                <w:sz w:val="20"/>
                <w:szCs w:val="20"/>
                <w14:textFill>
                  <w14:solidFill>
                    <w14:schemeClr w14:val="tx1"/>
                  </w14:solidFill>
                </w14:textFill>
              </w:rPr>
            </w:pPr>
          </w:p>
        </w:tc>
        <w:tc>
          <w:tcPr>
            <w:tcW w:w="3859" w:type="dxa"/>
            <w:tcBorders>
              <w:top w:val="single" w:color="auto" w:sz="4" w:space="0"/>
              <w:left w:val="single" w:color="auto" w:sz="4" w:space="0"/>
              <w:bottom w:val="single" w:color="auto" w:sz="4" w:space="0"/>
              <w:right w:val="single" w:color="auto" w:sz="4" w:space="0"/>
            </w:tcBorders>
            <w:vAlign w:val="center"/>
          </w:tcPr>
          <w:p w14:paraId="27D8655A">
            <w:pPr>
              <w:widowControl/>
              <w:topLinePunct/>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每万人发明专利拥有量</w:t>
            </w:r>
          </w:p>
        </w:tc>
        <w:tc>
          <w:tcPr>
            <w:tcW w:w="885" w:type="dxa"/>
            <w:tcBorders>
              <w:top w:val="single" w:color="auto" w:sz="4" w:space="0"/>
              <w:left w:val="single" w:color="auto" w:sz="4" w:space="0"/>
              <w:bottom w:val="single" w:color="auto" w:sz="4" w:space="0"/>
              <w:right w:val="single" w:color="auto" w:sz="4" w:space="0"/>
            </w:tcBorders>
            <w:vAlign w:val="center"/>
          </w:tcPr>
          <w:p w14:paraId="6A839E76">
            <w:pPr>
              <w:widowControl/>
              <w:topLinePunct/>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件</w:t>
            </w:r>
          </w:p>
        </w:tc>
        <w:tc>
          <w:tcPr>
            <w:tcW w:w="1005" w:type="dxa"/>
            <w:tcBorders>
              <w:top w:val="single" w:color="auto" w:sz="4" w:space="0"/>
              <w:left w:val="single" w:color="auto" w:sz="4" w:space="0"/>
              <w:bottom w:val="single" w:color="auto" w:sz="4" w:space="0"/>
              <w:right w:val="single" w:color="auto" w:sz="4" w:space="0"/>
            </w:tcBorders>
            <w:vAlign w:val="center"/>
          </w:tcPr>
          <w:p w14:paraId="1E5693BC">
            <w:pPr>
              <w:widowControl/>
              <w:topLinePunct/>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7.8</w:t>
            </w:r>
          </w:p>
        </w:tc>
        <w:tc>
          <w:tcPr>
            <w:tcW w:w="1395" w:type="dxa"/>
            <w:tcBorders>
              <w:top w:val="single" w:color="auto" w:sz="4" w:space="0"/>
              <w:left w:val="single" w:color="auto" w:sz="4" w:space="0"/>
              <w:bottom w:val="single" w:color="auto" w:sz="4" w:space="0"/>
              <w:right w:val="single" w:color="auto" w:sz="4" w:space="0"/>
            </w:tcBorders>
            <w:vAlign w:val="center"/>
          </w:tcPr>
          <w:p w14:paraId="4EA8C60C">
            <w:pPr>
              <w:topLinePunct/>
              <w:snapToGrid w:val="0"/>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10</w:t>
            </w:r>
          </w:p>
        </w:tc>
        <w:tc>
          <w:tcPr>
            <w:tcW w:w="884" w:type="dxa"/>
            <w:tcBorders>
              <w:top w:val="single" w:color="auto" w:sz="4" w:space="0"/>
              <w:left w:val="single" w:color="auto" w:sz="4" w:space="0"/>
              <w:bottom w:val="single" w:color="auto" w:sz="4" w:space="0"/>
              <w:right w:val="single" w:color="auto" w:sz="4" w:space="0"/>
            </w:tcBorders>
            <w:vAlign w:val="center"/>
          </w:tcPr>
          <w:p w14:paraId="1BE53DEE">
            <w:pPr>
              <w:widowControl/>
              <w:topLinePunct/>
              <w:rPr>
                <w:color w:val="000000" w:themeColor="text1"/>
                <w:sz w:val="20"/>
                <w:szCs w:val="20"/>
                <w14:textFill>
                  <w14:solidFill>
                    <w14:schemeClr w14:val="tx1"/>
                  </w14:solidFill>
                </w14:textFill>
              </w:rPr>
            </w:pPr>
            <w:r>
              <w:rPr>
                <w:color w:val="000000" w:themeColor="text1"/>
                <w:kern w:val="0"/>
                <w:sz w:val="20"/>
                <w:szCs w:val="20"/>
                <w14:textFill>
                  <w14:solidFill>
                    <w14:schemeClr w14:val="tx1"/>
                  </w14:solidFill>
                </w14:textFill>
              </w:rPr>
              <w:t>预期性</w:t>
            </w:r>
          </w:p>
        </w:tc>
      </w:tr>
      <w:tr w14:paraId="5F80A6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0" w:type="dxa"/>
            <w:tcBorders>
              <w:top w:val="single" w:color="auto" w:sz="4" w:space="0"/>
              <w:left w:val="single" w:color="auto" w:sz="4" w:space="0"/>
              <w:bottom w:val="single" w:color="auto" w:sz="4" w:space="0"/>
              <w:right w:val="single" w:color="auto" w:sz="4" w:space="0"/>
            </w:tcBorders>
            <w:vAlign w:val="center"/>
          </w:tcPr>
          <w:p w14:paraId="70EA74C2">
            <w:pPr>
              <w:widowControl/>
              <w:topLinePunct/>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7</w:t>
            </w:r>
          </w:p>
        </w:tc>
        <w:tc>
          <w:tcPr>
            <w:tcW w:w="621" w:type="dxa"/>
            <w:vMerge w:val="continue"/>
            <w:tcBorders>
              <w:left w:val="single" w:color="auto" w:sz="4" w:space="0"/>
              <w:right w:val="single" w:color="auto" w:sz="4" w:space="0"/>
            </w:tcBorders>
            <w:vAlign w:val="center"/>
          </w:tcPr>
          <w:p w14:paraId="659DEE2C">
            <w:pPr>
              <w:widowControl/>
              <w:topLinePunct/>
              <w:rPr>
                <w:color w:val="000000" w:themeColor="text1"/>
                <w:sz w:val="20"/>
                <w:szCs w:val="20"/>
                <w14:textFill>
                  <w14:solidFill>
                    <w14:schemeClr w14:val="tx1"/>
                  </w14:solidFill>
                </w14:textFill>
              </w:rPr>
            </w:pPr>
          </w:p>
        </w:tc>
        <w:tc>
          <w:tcPr>
            <w:tcW w:w="3859" w:type="dxa"/>
            <w:tcBorders>
              <w:top w:val="single" w:color="auto" w:sz="4" w:space="0"/>
              <w:left w:val="single" w:color="auto" w:sz="4" w:space="0"/>
              <w:bottom w:val="single" w:color="auto" w:sz="4" w:space="0"/>
              <w:right w:val="single" w:color="auto" w:sz="4" w:space="0"/>
            </w:tcBorders>
            <w:vAlign w:val="center"/>
          </w:tcPr>
          <w:p w14:paraId="0195D853">
            <w:pPr>
              <w:widowControl/>
              <w:topLinePunct/>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数字经济增加值</w:t>
            </w:r>
          </w:p>
        </w:tc>
        <w:tc>
          <w:tcPr>
            <w:tcW w:w="885" w:type="dxa"/>
            <w:tcBorders>
              <w:top w:val="single" w:color="auto" w:sz="4" w:space="0"/>
              <w:left w:val="single" w:color="auto" w:sz="4" w:space="0"/>
              <w:bottom w:val="single" w:color="auto" w:sz="4" w:space="0"/>
              <w:right w:val="single" w:color="auto" w:sz="4" w:space="0"/>
            </w:tcBorders>
            <w:vAlign w:val="center"/>
          </w:tcPr>
          <w:p w14:paraId="19DC04E3">
            <w:pPr>
              <w:widowControl/>
              <w:topLinePunct/>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w:t>
            </w:r>
          </w:p>
        </w:tc>
        <w:tc>
          <w:tcPr>
            <w:tcW w:w="1005" w:type="dxa"/>
            <w:tcBorders>
              <w:top w:val="single" w:color="auto" w:sz="4" w:space="0"/>
              <w:left w:val="single" w:color="auto" w:sz="4" w:space="0"/>
              <w:bottom w:val="single" w:color="auto" w:sz="4" w:space="0"/>
              <w:right w:val="single" w:color="auto" w:sz="4" w:space="0"/>
            </w:tcBorders>
            <w:vAlign w:val="center"/>
          </w:tcPr>
          <w:p w14:paraId="10A08E03">
            <w:pPr>
              <w:widowControl/>
              <w:topLinePunct/>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7.89亿元</w:t>
            </w:r>
          </w:p>
        </w:tc>
        <w:tc>
          <w:tcPr>
            <w:tcW w:w="1395" w:type="dxa"/>
            <w:tcBorders>
              <w:top w:val="single" w:color="auto" w:sz="4" w:space="0"/>
              <w:left w:val="single" w:color="auto" w:sz="4" w:space="0"/>
              <w:bottom w:val="single" w:color="auto" w:sz="4" w:space="0"/>
              <w:right w:val="single" w:color="auto" w:sz="4" w:space="0"/>
            </w:tcBorders>
            <w:vAlign w:val="center"/>
          </w:tcPr>
          <w:p w14:paraId="50877BAC">
            <w:pPr>
              <w:topLinePunct/>
              <w:snapToGrid w:val="0"/>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15亿元，年均增长14%左右</w:t>
            </w:r>
          </w:p>
        </w:tc>
        <w:tc>
          <w:tcPr>
            <w:tcW w:w="884" w:type="dxa"/>
            <w:tcBorders>
              <w:top w:val="single" w:color="auto" w:sz="4" w:space="0"/>
              <w:left w:val="single" w:color="auto" w:sz="4" w:space="0"/>
              <w:bottom w:val="single" w:color="auto" w:sz="4" w:space="0"/>
              <w:right w:val="single" w:color="auto" w:sz="4" w:space="0"/>
            </w:tcBorders>
            <w:vAlign w:val="center"/>
          </w:tcPr>
          <w:p w14:paraId="684FF75B">
            <w:pPr>
              <w:widowControl/>
              <w:topLinePunct/>
              <w:rPr>
                <w:color w:val="000000" w:themeColor="text1"/>
                <w:sz w:val="20"/>
                <w:szCs w:val="20"/>
                <w14:textFill>
                  <w14:solidFill>
                    <w14:schemeClr w14:val="tx1"/>
                  </w14:solidFill>
                </w14:textFill>
              </w:rPr>
            </w:pPr>
            <w:r>
              <w:rPr>
                <w:color w:val="000000" w:themeColor="text1"/>
                <w:kern w:val="0"/>
                <w:sz w:val="20"/>
                <w:szCs w:val="20"/>
                <w14:textFill>
                  <w14:solidFill>
                    <w14:schemeClr w14:val="tx1"/>
                  </w14:solidFill>
                </w14:textFill>
              </w:rPr>
              <w:t>预期性</w:t>
            </w:r>
          </w:p>
        </w:tc>
      </w:tr>
      <w:tr w14:paraId="5C81AB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0" w:type="dxa"/>
            <w:tcBorders>
              <w:top w:val="single" w:color="auto" w:sz="4" w:space="0"/>
              <w:left w:val="single" w:color="auto" w:sz="4" w:space="0"/>
              <w:bottom w:val="single" w:color="auto" w:sz="4" w:space="0"/>
              <w:right w:val="single" w:color="auto" w:sz="4" w:space="0"/>
            </w:tcBorders>
            <w:vAlign w:val="center"/>
          </w:tcPr>
          <w:p w14:paraId="67417289">
            <w:pPr>
              <w:widowControl/>
              <w:topLinePunct/>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8</w:t>
            </w:r>
          </w:p>
        </w:tc>
        <w:tc>
          <w:tcPr>
            <w:tcW w:w="621" w:type="dxa"/>
            <w:vMerge w:val="continue"/>
            <w:tcBorders>
              <w:left w:val="single" w:color="auto" w:sz="4" w:space="0"/>
              <w:right w:val="single" w:color="auto" w:sz="4" w:space="0"/>
            </w:tcBorders>
            <w:vAlign w:val="center"/>
          </w:tcPr>
          <w:p w14:paraId="3F0FC590">
            <w:pPr>
              <w:widowControl/>
              <w:topLinePunct/>
              <w:rPr>
                <w:color w:val="000000" w:themeColor="text1"/>
                <w:sz w:val="20"/>
                <w:szCs w:val="20"/>
                <w14:textFill>
                  <w14:solidFill>
                    <w14:schemeClr w14:val="tx1"/>
                  </w14:solidFill>
                </w14:textFill>
              </w:rPr>
            </w:pPr>
          </w:p>
        </w:tc>
        <w:tc>
          <w:tcPr>
            <w:tcW w:w="3859" w:type="dxa"/>
            <w:tcBorders>
              <w:top w:val="single" w:color="auto" w:sz="4" w:space="0"/>
              <w:left w:val="single" w:color="auto" w:sz="4" w:space="0"/>
              <w:bottom w:val="single" w:color="auto" w:sz="4" w:space="0"/>
              <w:right w:val="single" w:color="auto" w:sz="4" w:space="0"/>
            </w:tcBorders>
            <w:vAlign w:val="center"/>
          </w:tcPr>
          <w:p w14:paraId="100248C1">
            <w:pPr>
              <w:widowControl/>
              <w:topLinePunct/>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金融业增加值占GDP比重</w:t>
            </w:r>
          </w:p>
        </w:tc>
        <w:tc>
          <w:tcPr>
            <w:tcW w:w="885" w:type="dxa"/>
            <w:tcBorders>
              <w:top w:val="single" w:color="auto" w:sz="4" w:space="0"/>
              <w:left w:val="single" w:color="auto" w:sz="4" w:space="0"/>
              <w:bottom w:val="single" w:color="auto" w:sz="4" w:space="0"/>
              <w:right w:val="single" w:color="auto" w:sz="4" w:space="0"/>
            </w:tcBorders>
            <w:vAlign w:val="center"/>
          </w:tcPr>
          <w:p w14:paraId="6BDF71E1">
            <w:pPr>
              <w:widowControl/>
              <w:topLinePunct/>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w:t>
            </w:r>
          </w:p>
        </w:tc>
        <w:tc>
          <w:tcPr>
            <w:tcW w:w="1005" w:type="dxa"/>
            <w:tcBorders>
              <w:top w:val="single" w:color="auto" w:sz="4" w:space="0"/>
              <w:left w:val="single" w:color="auto" w:sz="4" w:space="0"/>
              <w:bottom w:val="single" w:color="auto" w:sz="4" w:space="0"/>
              <w:right w:val="single" w:color="auto" w:sz="4" w:space="0"/>
            </w:tcBorders>
            <w:vAlign w:val="center"/>
          </w:tcPr>
          <w:p w14:paraId="3460E115">
            <w:pPr>
              <w:widowControl/>
              <w:topLinePunct/>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13</w:t>
            </w:r>
          </w:p>
        </w:tc>
        <w:tc>
          <w:tcPr>
            <w:tcW w:w="1395" w:type="dxa"/>
            <w:tcBorders>
              <w:top w:val="single" w:color="auto" w:sz="4" w:space="0"/>
              <w:left w:val="single" w:color="auto" w:sz="4" w:space="0"/>
              <w:bottom w:val="single" w:color="auto" w:sz="4" w:space="0"/>
              <w:right w:val="single" w:color="auto" w:sz="4" w:space="0"/>
            </w:tcBorders>
            <w:vAlign w:val="center"/>
          </w:tcPr>
          <w:p w14:paraId="2437648E">
            <w:pPr>
              <w:topLinePunct/>
              <w:snapToGrid w:val="0"/>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13</w:t>
            </w:r>
          </w:p>
        </w:tc>
        <w:tc>
          <w:tcPr>
            <w:tcW w:w="884" w:type="dxa"/>
            <w:tcBorders>
              <w:top w:val="single" w:color="auto" w:sz="4" w:space="0"/>
              <w:left w:val="single" w:color="auto" w:sz="4" w:space="0"/>
              <w:bottom w:val="single" w:color="auto" w:sz="4" w:space="0"/>
              <w:right w:val="single" w:color="auto" w:sz="4" w:space="0"/>
            </w:tcBorders>
            <w:vAlign w:val="center"/>
          </w:tcPr>
          <w:p w14:paraId="51A385D9">
            <w:pPr>
              <w:topLinePunct/>
              <w:snapToGrid w:val="0"/>
              <w:rPr>
                <w:color w:val="000000" w:themeColor="text1"/>
                <w:sz w:val="20"/>
                <w:szCs w:val="20"/>
                <w14:textFill>
                  <w14:solidFill>
                    <w14:schemeClr w14:val="tx1"/>
                  </w14:solidFill>
                </w14:textFill>
              </w:rPr>
            </w:pPr>
            <w:r>
              <w:rPr>
                <w:color w:val="000000" w:themeColor="text1"/>
                <w:kern w:val="0"/>
                <w:sz w:val="20"/>
                <w:szCs w:val="20"/>
                <w14:textFill>
                  <w14:solidFill>
                    <w14:schemeClr w14:val="tx1"/>
                  </w14:solidFill>
                </w14:textFill>
              </w:rPr>
              <w:t>预期性</w:t>
            </w:r>
          </w:p>
        </w:tc>
      </w:tr>
      <w:tr w14:paraId="0C1489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0" w:type="dxa"/>
            <w:tcBorders>
              <w:top w:val="single" w:color="auto" w:sz="4" w:space="0"/>
              <w:left w:val="single" w:color="auto" w:sz="4" w:space="0"/>
              <w:bottom w:val="single" w:color="auto" w:sz="4" w:space="0"/>
              <w:right w:val="single" w:color="auto" w:sz="4" w:space="0"/>
            </w:tcBorders>
            <w:vAlign w:val="center"/>
          </w:tcPr>
          <w:p w14:paraId="3A3944C1">
            <w:pPr>
              <w:widowControl/>
              <w:topLinePunct/>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9</w:t>
            </w:r>
          </w:p>
        </w:tc>
        <w:tc>
          <w:tcPr>
            <w:tcW w:w="621" w:type="dxa"/>
            <w:vMerge w:val="continue"/>
            <w:tcBorders>
              <w:left w:val="single" w:color="auto" w:sz="4" w:space="0"/>
              <w:right w:val="single" w:color="auto" w:sz="4" w:space="0"/>
            </w:tcBorders>
            <w:vAlign w:val="center"/>
          </w:tcPr>
          <w:p w14:paraId="7E855574">
            <w:pPr>
              <w:widowControl/>
              <w:topLinePunct/>
              <w:rPr>
                <w:color w:val="000000" w:themeColor="text1"/>
                <w:sz w:val="20"/>
                <w:szCs w:val="20"/>
                <w14:textFill>
                  <w14:solidFill>
                    <w14:schemeClr w14:val="tx1"/>
                  </w14:solidFill>
                </w14:textFill>
              </w:rPr>
            </w:pPr>
          </w:p>
        </w:tc>
        <w:tc>
          <w:tcPr>
            <w:tcW w:w="3859" w:type="dxa"/>
            <w:tcBorders>
              <w:top w:val="single" w:color="auto" w:sz="4" w:space="0"/>
              <w:left w:val="single" w:color="auto" w:sz="4" w:space="0"/>
              <w:bottom w:val="single" w:color="auto" w:sz="4" w:space="0"/>
              <w:right w:val="single" w:color="auto" w:sz="4" w:space="0"/>
            </w:tcBorders>
            <w:vAlign w:val="center"/>
          </w:tcPr>
          <w:p w14:paraId="0B3E090B">
            <w:pPr>
              <w:widowControl/>
              <w:topLinePunct/>
              <w:rPr>
                <w:color w:val="000000" w:themeColor="text1"/>
                <w:kern w:val="0"/>
                <w:sz w:val="20"/>
                <w:szCs w:val="20"/>
                <w14:textFill>
                  <w14:solidFill>
                    <w14:schemeClr w14:val="tx1"/>
                  </w14:solidFill>
                </w14:textFill>
              </w:rPr>
            </w:pPr>
            <w:r>
              <w:rPr>
                <w:color w:val="000000" w:themeColor="text1"/>
                <w:kern w:val="0"/>
                <w:sz w:val="24"/>
                <w14:textFill>
                  <w14:solidFill>
                    <w14:schemeClr w14:val="tx1"/>
                  </w14:solidFill>
                </w14:textFill>
              </w:rPr>
              <w:t>累计引进市外资金</w:t>
            </w:r>
          </w:p>
        </w:tc>
        <w:tc>
          <w:tcPr>
            <w:tcW w:w="885" w:type="dxa"/>
            <w:tcBorders>
              <w:top w:val="single" w:color="auto" w:sz="4" w:space="0"/>
              <w:left w:val="single" w:color="auto" w:sz="4" w:space="0"/>
              <w:bottom w:val="single" w:color="auto" w:sz="4" w:space="0"/>
              <w:right w:val="single" w:color="auto" w:sz="4" w:space="0"/>
            </w:tcBorders>
            <w:vAlign w:val="center"/>
          </w:tcPr>
          <w:p w14:paraId="360AF8D8">
            <w:pPr>
              <w:widowControl/>
              <w:topLinePunct/>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亿元</w:t>
            </w:r>
          </w:p>
        </w:tc>
        <w:tc>
          <w:tcPr>
            <w:tcW w:w="1005" w:type="dxa"/>
            <w:tcBorders>
              <w:top w:val="single" w:color="auto" w:sz="4" w:space="0"/>
              <w:left w:val="single" w:color="auto" w:sz="4" w:space="0"/>
              <w:bottom w:val="single" w:color="auto" w:sz="4" w:space="0"/>
              <w:right w:val="single" w:color="auto" w:sz="4" w:space="0"/>
            </w:tcBorders>
            <w:vAlign w:val="center"/>
          </w:tcPr>
          <w:p w14:paraId="5BF57270">
            <w:pPr>
              <w:widowControl/>
              <w:topLinePunct/>
              <w:jc w:val="center"/>
              <w:rPr>
                <w:color w:val="000000" w:themeColor="text1"/>
                <w:sz w:val="20"/>
                <w:szCs w:val="20"/>
                <w14:textFill>
                  <w14:solidFill>
                    <w14:schemeClr w14:val="tx1"/>
                  </w14:solidFill>
                </w14:textFill>
              </w:rPr>
            </w:pPr>
            <w:r>
              <w:rPr>
                <w:bCs/>
                <w:color w:val="000000" w:themeColor="text1"/>
                <w:sz w:val="28"/>
                <w:szCs w:val="28"/>
                <w14:textFill>
                  <w14:solidFill>
                    <w14:schemeClr w14:val="tx1"/>
                  </w14:solidFill>
                </w14:textFill>
              </w:rPr>
              <w:t>[</w:t>
            </w:r>
            <w:r>
              <w:rPr>
                <w:color w:val="000000" w:themeColor="text1"/>
                <w:sz w:val="20"/>
                <w:szCs w:val="20"/>
                <w14:textFill>
                  <w14:solidFill>
                    <w14:schemeClr w14:val="tx1"/>
                  </w14:solidFill>
                </w14:textFill>
              </w:rPr>
              <w:t>550</w:t>
            </w:r>
            <w:r>
              <w:rPr>
                <w:bCs/>
                <w:color w:val="000000" w:themeColor="text1"/>
                <w:sz w:val="28"/>
                <w:szCs w:val="28"/>
                <w14:textFill>
                  <w14:solidFill>
                    <w14:schemeClr w14:val="tx1"/>
                  </w14:solidFill>
                </w14:textFill>
              </w:rPr>
              <w:t>]</w:t>
            </w:r>
          </w:p>
        </w:tc>
        <w:tc>
          <w:tcPr>
            <w:tcW w:w="1395" w:type="dxa"/>
            <w:tcBorders>
              <w:top w:val="single" w:color="auto" w:sz="4" w:space="0"/>
              <w:left w:val="single" w:color="auto" w:sz="4" w:space="0"/>
              <w:bottom w:val="single" w:color="auto" w:sz="4" w:space="0"/>
              <w:right w:val="single" w:color="auto" w:sz="4" w:space="0"/>
            </w:tcBorders>
            <w:vAlign w:val="center"/>
          </w:tcPr>
          <w:p w14:paraId="04A9C4A4">
            <w:pPr>
              <w:topLinePunct/>
              <w:snapToGrid w:val="0"/>
              <w:jc w:val="center"/>
              <w:rPr>
                <w:color w:val="000000" w:themeColor="text1"/>
                <w:sz w:val="20"/>
                <w:szCs w:val="20"/>
                <w14:textFill>
                  <w14:solidFill>
                    <w14:schemeClr w14:val="tx1"/>
                  </w14:solidFill>
                </w14:textFill>
              </w:rPr>
            </w:pPr>
            <w:r>
              <w:rPr>
                <w:bCs/>
                <w:color w:val="000000" w:themeColor="text1"/>
                <w:sz w:val="28"/>
                <w:szCs w:val="28"/>
                <w14:textFill>
                  <w14:solidFill>
                    <w14:schemeClr w14:val="tx1"/>
                  </w14:solidFill>
                </w14:textFill>
              </w:rPr>
              <w:t>[</w:t>
            </w:r>
            <w:r>
              <w:rPr>
                <w:color w:val="000000" w:themeColor="text1"/>
                <w:sz w:val="20"/>
                <w:szCs w:val="20"/>
                <w14:textFill>
                  <w14:solidFill>
                    <w14:schemeClr w14:val="tx1"/>
                  </w14:solidFill>
                </w14:textFill>
              </w:rPr>
              <w:t>650</w:t>
            </w:r>
            <w:r>
              <w:rPr>
                <w:bCs/>
                <w:color w:val="000000" w:themeColor="text1"/>
                <w:sz w:val="28"/>
                <w:szCs w:val="28"/>
                <w14:textFill>
                  <w14:solidFill>
                    <w14:schemeClr w14:val="tx1"/>
                  </w14:solidFill>
                </w14:textFill>
              </w:rPr>
              <w:t>]</w:t>
            </w:r>
          </w:p>
        </w:tc>
        <w:tc>
          <w:tcPr>
            <w:tcW w:w="884" w:type="dxa"/>
            <w:tcBorders>
              <w:top w:val="single" w:color="auto" w:sz="4" w:space="0"/>
              <w:left w:val="single" w:color="auto" w:sz="4" w:space="0"/>
              <w:bottom w:val="single" w:color="auto" w:sz="4" w:space="0"/>
              <w:right w:val="single" w:color="auto" w:sz="4" w:space="0"/>
            </w:tcBorders>
            <w:vAlign w:val="center"/>
          </w:tcPr>
          <w:p w14:paraId="637C9FB8">
            <w:pPr>
              <w:widowControl/>
              <w:topLinePunct/>
              <w:rPr>
                <w:color w:val="000000" w:themeColor="text1"/>
                <w:sz w:val="20"/>
                <w:szCs w:val="20"/>
                <w14:textFill>
                  <w14:solidFill>
                    <w14:schemeClr w14:val="tx1"/>
                  </w14:solidFill>
                </w14:textFill>
              </w:rPr>
            </w:pPr>
            <w:r>
              <w:rPr>
                <w:color w:val="000000" w:themeColor="text1"/>
                <w:kern w:val="0"/>
                <w:sz w:val="20"/>
                <w:szCs w:val="20"/>
                <w14:textFill>
                  <w14:solidFill>
                    <w14:schemeClr w14:val="tx1"/>
                  </w14:solidFill>
                </w14:textFill>
              </w:rPr>
              <w:t>预期性</w:t>
            </w:r>
          </w:p>
        </w:tc>
      </w:tr>
      <w:tr w14:paraId="70B929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0" w:type="dxa"/>
            <w:tcBorders>
              <w:top w:val="single" w:color="auto" w:sz="4" w:space="0"/>
              <w:left w:val="single" w:color="auto" w:sz="4" w:space="0"/>
              <w:bottom w:val="single" w:color="auto" w:sz="4" w:space="0"/>
              <w:right w:val="single" w:color="auto" w:sz="4" w:space="0"/>
            </w:tcBorders>
            <w:vAlign w:val="center"/>
          </w:tcPr>
          <w:p w14:paraId="3749CA81">
            <w:pPr>
              <w:widowControl/>
              <w:topLinePunct/>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10</w:t>
            </w:r>
          </w:p>
        </w:tc>
        <w:tc>
          <w:tcPr>
            <w:tcW w:w="621" w:type="dxa"/>
            <w:vMerge w:val="continue"/>
            <w:tcBorders>
              <w:left w:val="single" w:color="auto" w:sz="4" w:space="0"/>
              <w:right w:val="single" w:color="auto" w:sz="4" w:space="0"/>
            </w:tcBorders>
            <w:vAlign w:val="center"/>
          </w:tcPr>
          <w:p w14:paraId="5F00BA5A">
            <w:pPr>
              <w:widowControl/>
              <w:topLinePunct/>
              <w:rPr>
                <w:color w:val="000000" w:themeColor="text1"/>
                <w:sz w:val="20"/>
                <w:szCs w:val="20"/>
                <w14:textFill>
                  <w14:solidFill>
                    <w14:schemeClr w14:val="tx1"/>
                  </w14:solidFill>
                </w14:textFill>
              </w:rPr>
            </w:pPr>
          </w:p>
        </w:tc>
        <w:tc>
          <w:tcPr>
            <w:tcW w:w="3859" w:type="dxa"/>
            <w:tcBorders>
              <w:top w:val="single" w:color="auto" w:sz="4" w:space="0"/>
              <w:left w:val="single" w:color="auto" w:sz="4" w:space="0"/>
              <w:bottom w:val="single" w:color="auto" w:sz="4" w:space="0"/>
              <w:right w:val="single" w:color="auto" w:sz="4" w:space="0"/>
            </w:tcBorders>
            <w:vAlign w:val="center"/>
          </w:tcPr>
          <w:p w14:paraId="05060BAB">
            <w:pPr>
              <w:widowControl/>
              <w:topLinePunct/>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累计实际利用外资</w:t>
            </w:r>
          </w:p>
        </w:tc>
        <w:tc>
          <w:tcPr>
            <w:tcW w:w="885" w:type="dxa"/>
            <w:tcBorders>
              <w:top w:val="single" w:color="auto" w:sz="4" w:space="0"/>
              <w:left w:val="single" w:color="auto" w:sz="4" w:space="0"/>
              <w:bottom w:val="single" w:color="auto" w:sz="4" w:space="0"/>
              <w:right w:val="single" w:color="auto" w:sz="4" w:space="0"/>
            </w:tcBorders>
            <w:vAlign w:val="center"/>
          </w:tcPr>
          <w:p w14:paraId="04007681">
            <w:pPr>
              <w:widowControl/>
              <w:topLinePunct/>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亿美元</w:t>
            </w:r>
          </w:p>
        </w:tc>
        <w:tc>
          <w:tcPr>
            <w:tcW w:w="1005" w:type="dxa"/>
            <w:tcBorders>
              <w:top w:val="single" w:color="auto" w:sz="4" w:space="0"/>
              <w:left w:val="single" w:color="auto" w:sz="4" w:space="0"/>
              <w:bottom w:val="single" w:color="auto" w:sz="4" w:space="0"/>
              <w:right w:val="single" w:color="auto" w:sz="4" w:space="0"/>
            </w:tcBorders>
            <w:vAlign w:val="center"/>
          </w:tcPr>
          <w:p w14:paraId="3CD0FAC4">
            <w:pPr>
              <w:topLinePunct/>
              <w:snapToGrid w:val="0"/>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[3]</w:t>
            </w:r>
          </w:p>
        </w:tc>
        <w:tc>
          <w:tcPr>
            <w:tcW w:w="1395" w:type="dxa"/>
            <w:tcBorders>
              <w:top w:val="single" w:color="auto" w:sz="4" w:space="0"/>
              <w:left w:val="single" w:color="auto" w:sz="4" w:space="0"/>
              <w:bottom w:val="single" w:color="auto" w:sz="4" w:space="0"/>
              <w:right w:val="single" w:color="auto" w:sz="4" w:space="0"/>
            </w:tcBorders>
            <w:vAlign w:val="center"/>
          </w:tcPr>
          <w:p w14:paraId="43DEE8CD">
            <w:pPr>
              <w:topLinePunct/>
              <w:snapToGrid w:val="0"/>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[3.5]</w:t>
            </w:r>
          </w:p>
        </w:tc>
        <w:tc>
          <w:tcPr>
            <w:tcW w:w="884" w:type="dxa"/>
            <w:tcBorders>
              <w:top w:val="single" w:color="auto" w:sz="4" w:space="0"/>
              <w:left w:val="single" w:color="auto" w:sz="4" w:space="0"/>
              <w:bottom w:val="single" w:color="auto" w:sz="4" w:space="0"/>
              <w:right w:val="single" w:color="auto" w:sz="4" w:space="0"/>
            </w:tcBorders>
            <w:vAlign w:val="center"/>
          </w:tcPr>
          <w:p w14:paraId="491EB617">
            <w:pPr>
              <w:widowControl/>
              <w:topLinePunct/>
              <w:rPr>
                <w:color w:val="000000" w:themeColor="text1"/>
                <w:sz w:val="20"/>
                <w:szCs w:val="20"/>
                <w14:textFill>
                  <w14:solidFill>
                    <w14:schemeClr w14:val="tx1"/>
                  </w14:solidFill>
                </w14:textFill>
              </w:rPr>
            </w:pPr>
            <w:r>
              <w:rPr>
                <w:color w:val="000000" w:themeColor="text1"/>
                <w:kern w:val="0"/>
                <w:sz w:val="20"/>
                <w:szCs w:val="20"/>
                <w14:textFill>
                  <w14:solidFill>
                    <w14:schemeClr w14:val="tx1"/>
                  </w14:solidFill>
                </w14:textFill>
              </w:rPr>
              <w:t>预期性</w:t>
            </w:r>
          </w:p>
        </w:tc>
      </w:tr>
      <w:tr w14:paraId="458D0B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0" w:type="dxa"/>
            <w:tcBorders>
              <w:top w:val="single" w:color="auto" w:sz="4" w:space="0"/>
              <w:left w:val="single" w:color="auto" w:sz="4" w:space="0"/>
              <w:bottom w:val="single" w:color="auto" w:sz="4" w:space="0"/>
              <w:right w:val="single" w:color="auto" w:sz="4" w:space="0"/>
            </w:tcBorders>
            <w:vAlign w:val="center"/>
          </w:tcPr>
          <w:p w14:paraId="2361F748">
            <w:pPr>
              <w:widowControl/>
              <w:topLinePunct/>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11</w:t>
            </w:r>
          </w:p>
        </w:tc>
        <w:tc>
          <w:tcPr>
            <w:tcW w:w="621" w:type="dxa"/>
            <w:vMerge w:val="restart"/>
            <w:tcBorders>
              <w:left w:val="single" w:color="auto" w:sz="4" w:space="0"/>
              <w:right w:val="single" w:color="auto" w:sz="4" w:space="0"/>
            </w:tcBorders>
            <w:vAlign w:val="center"/>
          </w:tcPr>
          <w:p w14:paraId="246F407D">
            <w:pPr>
              <w:widowControl/>
              <w:topLinePunct/>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绿色发展</w:t>
            </w:r>
          </w:p>
        </w:tc>
        <w:tc>
          <w:tcPr>
            <w:tcW w:w="3859" w:type="dxa"/>
            <w:tcBorders>
              <w:top w:val="single" w:color="auto" w:sz="4" w:space="0"/>
              <w:left w:val="single" w:color="auto" w:sz="4" w:space="0"/>
              <w:bottom w:val="single" w:color="auto" w:sz="4" w:space="0"/>
              <w:right w:val="single" w:color="auto" w:sz="4" w:space="0"/>
            </w:tcBorders>
            <w:vAlign w:val="center"/>
          </w:tcPr>
          <w:p w14:paraId="42065904">
            <w:pPr>
              <w:widowControl/>
              <w:topLinePunct/>
              <w:rPr>
                <w:color w:val="000000" w:themeColor="text1"/>
                <w:sz w:val="20"/>
                <w:szCs w:val="20"/>
                <w14:textFill>
                  <w14:solidFill>
                    <w14:schemeClr w14:val="tx1"/>
                  </w14:solidFill>
                </w14:textFill>
              </w:rPr>
            </w:pPr>
            <w:r>
              <w:rPr>
                <w:color w:val="000000" w:themeColor="text1"/>
                <w:kern w:val="0"/>
                <w:sz w:val="24"/>
                <w14:textFill>
                  <w14:solidFill>
                    <w14:schemeClr w14:val="tx1"/>
                  </w14:solidFill>
                </w14:textFill>
              </w:rPr>
              <w:t>单位GDP能源消耗降幅</w:t>
            </w:r>
          </w:p>
        </w:tc>
        <w:tc>
          <w:tcPr>
            <w:tcW w:w="885" w:type="dxa"/>
            <w:tcBorders>
              <w:top w:val="single" w:color="auto" w:sz="4" w:space="0"/>
              <w:left w:val="single" w:color="auto" w:sz="4" w:space="0"/>
              <w:bottom w:val="single" w:color="auto" w:sz="4" w:space="0"/>
              <w:right w:val="single" w:color="auto" w:sz="4" w:space="0"/>
            </w:tcBorders>
            <w:vAlign w:val="center"/>
          </w:tcPr>
          <w:p w14:paraId="0A491091">
            <w:pPr>
              <w:widowControl/>
              <w:topLinePunct/>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w:t>
            </w:r>
          </w:p>
        </w:tc>
        <w:tc>
          <w:tcPr>
            <w:tcW w:w="1005" w:type="dxa"/>
            <w:tcBorders>
              <w:top w:val="single" w:color="auto" w:sz="4" w:space="0"/>
              <w:left w:val="single" w:color="auto" w:sz="4" w:space="0"/>
              <w:bottom w:val="single" w:color="auto" w:sz="4" w:space="0"/>
              <w:right w:val="single" w:color="auto" w:sz="4" w:space="0"/>
            </w:tcBorders>
            <w:vAlign w:val="center"/>
          </w:tcPr>
          <w:p w14:paraId="3CF7C4DE">
            <w:pPr>
              <w:widowControl/>
              <w:topLinePunct/>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w:t>
            </w:r>
          </w:p>
        </w:tc>
        <w:tc>
          <w:tcPr>
            <w:tcW w:w="1395" w:type="dxa"/>
            <w:vMerge w:val="restart"/>
            <w:tcBorders>
              <w:top w:val="single" w:color="auto" w:sz="4" w:space="0"/>
              <w:left w:val="single" w:color="auto" w:sz="4" w:space="0"/>
              <w:right w:val="single" w:color="auto" w:sz="4" w:space="0"/>
            </w:tcBorders>
            <w:vAlign w:val="center"/>
          </w:tcPr>
          <w:p w14:paraId="17E1BDB5">
            <w:pPr>
              <w:widowControl/>
              <w:topLinePunct/>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不低于市下达指标</w:t>
            </w:r>
          </w:p>
        </w:tc>
        <w:tc>
          <w:tcPr>
            <w:tcW w:w="884" w:type="dxa"/>
            <w:tcBorders>
              <w:top w:val="single" w:color="auto" w:sz="4" w:space="0"/>
              <w:left w:val="single" w:color="auto" w:sz="4" w:space="0"/>
              <w:bottom w:val="single" w:color="auto" w:sz="4" w:space="0"/>
              <w:right w:val="single" w:color="auto" w:sz="4" w:space="0"/>
            </w:tcBorders>
            <w:vAlign w:val="center"/>
          </w:tcPr>
          <w:p w14:paraId="2384DFF7">
            <w:pPr>
              <w:widowControl/>
              <w:topLinePunct/>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约束性</w:t>
            </w:r>
          </w:p>
        </w:tc>
      </w:tr>
      <w:tr w14:paraId="2F48EF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0" w:type="dxa"/>
            <w:vAlign w:val="center"/>
          </w:tcPr>
          <w:p w14:paraId="214BEC32">
            <w:pPr>
              <w:widowControl/>
              <w:topLinePunct/>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12</w:t>
            </w:r>
          </w:p>
        </w:tc>
        <w:tc>
          <w:tcPr>
            <w:tcW w:w="621" w:type="dxa"/>
            <w:vMerge w:val="continue"/>
            <w:tcBorders>
              <w:left w:val="single" w:color="auto" w:sz="4" w:space="0"/>
              <w:right w:val="single" w:color="auto" w:sz="4" w:space="0"/>
            </w:tcBorders>
          </w:tcPr>
          <w:p w14:paraId="5990F2B5">
            <w:pPr>
              <w:widowControl/>
              <w:topLinePunct/>
              <w:rPr>
                <w:color w:val="000000" w:themeColor="text1"/>
                <w:sz w:val="20"/>
                <w:szCs w:val="20"/>
                <w14:textFill>
                  <w14:solidFill>
                    <w14:schemeClr w14:val="tx1"/>
                  </w14:solidFill>
                </w14:textFill>
              </w:rPr>
            </w:pPr>
          </w:p>
        </w:tc>
        <w:tc>
          <w:tcPr>
            <w:tcW w:w="3859" w:type="dxa"/>
            <w:vAlign w:val="center"/>
          </w:tcPr>
          <w:p w14:paraId="52D8263B">
            <w:pPr>
              <w:widowControl/>
              <w:topLinePunct/>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单位GDP二氧化碳排放降幅</w:t>
            </w:r>
          </w:p>
        </w:tc>
        <w:tc>
          <w:tcPr>
            <w:tcW w:w="885" w:type="dxa"/>
            <w:vAlign w:val="center"/>
          </w:tcPr>
          <w:p w14:paraId="6E4FCC91">
            <w:pPr>
              <w:widowControl/>
              <w:topLinePunct/>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w:t>
            </w:r>
          </w:p>
        </w:tc>
        <w:tc>
          <w:tcPr>
            <w:tcW w:w="1005" w:type="dxa"/>
            <w:vAlign w:val="center"/>
          </w:tcPr>
          <w:p w14:paraId="2F83D32E">
            <w:pPr>
              <w:widowControl/>
              <w:topLinePunct/>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w:t>
            </w:r>
          </w:p>
        </w:tc>
        <w:tc>
          <w:tcPr>
            <w:tcW w:w="1395" w:type="dxa"/>
            <w:vMerge w:val="continue"/>
            <w:tcBorders>
              <w:left w:val="single" w:color="auto" w:sz="4" w:space="0"/>
              <w:right w:val="single" w:color="auto" w:sz="4" w:space="0"/>
            </w:tcBorders>
            <w:vAlign w:val="center"/>
          </w:tcPr>
          <w:p w14:paraId="51AB7EDB">
            <w:pPr>
              <w:topLinePunct/>
              <w:snapToGrid w:val="0"/>
              <w:rPr>
                <w:color w:val="000000" w:themeColor="text1"/>
                <w:sz w:val="20"/>
                <w:szCs w:val="20"/>
                <w14:textFill>
                  <w14:solidFill>
                    <w14:schemeClr w14:val="tx1"/>
                  </w14:solidFill>
                </w14:textFill>
              </w:rPr>
            </w:pPr>
          </w:p>
        </w:tc>
        <w:tc>
          <w:tcPr>
            <w:tcW w:w="884" w:type="dxa"/>
            <w:vAlign w:val="center"/>
          </w:tcPr>
          <w:p w14:paraId="085B789C">
            <w:pPr>
              <w:topLinePunct/>
              <w:snapToGrid w:val="0"/>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约束性</w:t>
            </w:r>
          </w:p>
        </w:tc>
      </w:tr>
      <w:tr w14:paraId="636F1E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0" w:type="dxa"/>
            <w:vAlign w:val="center"/>
          </w:tcPr>
          <w:p w14:paraId="4FED3A17">
            <w:pPr>
              <w:widowControl/>
              <w:topLinePunct/>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13</w:t>
            </w:r>
          </w:p>
        </w:tc>
        <w:tc>
          <w:tcPr>
            <w:tcW w:w="621" w:type="dxa"/>
            <w:vMerge w:val="continue"/>
            <w:tcBorders>
              <w:left w:val="single" w:color="auto" w:sz="4" w:space="0"/>
              <w:right w:val="single" w:color="auto" w:sz="4" w:space="0"/>
            </w:tcBorders>
          </w:tcPr>
          <w:p w14:paraId="5307EFEF">
            <w:pPr>
              <w:widowControl/>
              <w:topLinePunct/>
              <w:rPr>
                <w:color w:val="000000" w:themeColor="text1"/>
                <w:sz w:val="20"/>
                <w:szCs w:val="20"/>
                <w14:textFill>
                  <w14:solidFill>
                    <w14:schemeClr w14:val="tx1"/>
                  </w14:solidFill>
                </w14:textFill>
              </w:rPr>
            </w:pPr>
          </w:p>
        </w:tc>
        <w:tc>
          <w:tcPr>
            <w:tcW w:w="3859" w:type="dxa"/>
            <w:vAlign w:val="center"/>
          </w:tcPr>
          <w:p w14:paraId="112EC45C">
            <w:pPr>
              <w:widowControl/>
              <w:topLinePunct/>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地表水达到或好于</w:t>
            </w:r>
            <w:r>
              <w:rPr>
                <w:rFonts w:hint="eastAsia" w:ascii="宋体" w:hAnsi="宋体" w:cs="宋体"/>
                <w:color w:val="000000" w:themeColor="text1"/>
                <w:kern w:val="0"/>
                <w:sz w:val="24"/>
                <w14:textFill>
                  <w14:solidFill>
                    <w14:schemeClr w14:val="tx1"/>
                  </w14:solidFill>
                </w14:textFill>
              </w:rPr>
              <w:t>Ⅲ</w:t>
            </w:r>
            <w:r>
              <w:rPr>
                <w:color w:val="000000" w:themeColor="text1"/>
                <w:kern w:val="0"/>
                <w:sz w:val="24"/>
                <w14:textFill>
                  <w14:solidFill>
                    <w14:schemeClr w14:val="tx1"/>
                  </w14:solidFill>
                </w14:textFill>
              </w:rPr>
              <w:t>类水体比例</w:t>
            </w:r>
          </w:p>
        </w:tc>
        <w:tc>
          <w:tcPr>
            <w:tcW w:w="885" w:type="dxa"/>
            <w:vAlign w:val="center"/>
          </w:tcPr>
          <w:p w14:paraId="7090A0E2">
            <w:pPr>
              <w:widowControl/>
              <w:topLinePunct/>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w:t>
            </w:r>
          </w:p>
        </w:tc>
        <w:tc>
          <w:tcPr>
            <w:tcW w:w="1005" w:type="dxa"/>
            <w:vAlign w:val="center"/>
          </w:tcPr>
          <w:p w14:paraId="5147F981">
            <w:pPr>
              <w:widowControl/>
              <w:topLinePunct/>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63.63</w:t>
            </w:r>
          </w:p>
        </w:tc>
        <w:tc>
          <w:tcPr>
            <w:tcW w:w="1395" w:type="dxa"/>
            <w:vMerge w:val="continue"/>
            <w:tcBorders>
              <w:left w:val="single" w:color="auto" w:sz="4" w:space="0"/>
              <w:right w:val="single" w:color="auto" w:sz="4" w:space="0"/>
            </w:tcBorders>
            <w:vAlign w:val="center"/>
          </w:tcPr>
          <w:p w14:paraId="1CDDE941">
            <w:pPr>
              <w:topLinePunct/>
              <w:snapToGrid w:val="0"/>
              <w:rPr>
                <w:color w:val="000000" w:themeColor="text1"/>
                <w:sz w:val="20"/>
                <w:szCs w:val="20"/>
                <w14:textFill>
                  <w14:solidFill>
                    <w14:schemeClr w14:val="tx1"/>
                  </w14:solidFill>
                </w14:textFill>
              </w:rPr>
            </w:pPr>
          </w:p>
        </w:tc>
        <w:tc>
          <w:tcPr>
            <w:tcW w:w="884" w:type="dxa"/>
            <w:vAlign w:val="center"/>
          </w:tcPr>
          <w:p w14:paraId="690FB08C">
            <w:pPr>
              <w:topLinePunct/>
              <w:snapToGrid w:val="0"/>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约束性</w:t>
            </w:r>
          </w:p>
        </w:tc>
      </w:tr>
      <w:tr w14:paraId="35E07C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0" w:type="dxa"/>
            <w:vAlign w:val="center"/>
          </w:tcPr>
          <w:p w14:paraId="09741B8F">
            <w:pPr>
              <w:widowControl/>
              <w:topLinePunct/>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14</w:t>
            </w:r>
          </w:p>
        </w:tc>
        <w:tc>
          <w:tcPr>
            <w:tcW w:w="621" w:type="dxa"/>
            <w:vMerge w:val="continue"/>
            <w:tcBorders>
              <w:left w:val="single" w:color="auto" w:sz="4" w:space="0"/>
              <w:right w:val="single" w:color="auto" w:sz="4" w:space="0"/>
            </w:tcBorders>
          </w:tcPr>
          <w:p w14:paraId="10972DEC">
            <w:pPr>
              <w:widowControl/>
              <w:topLinePunct/>
              <w:rPr>
                <w:color w:val="000000" w:themeColor="text1"/>
                <w:sz w:val="20"/>
                <w:szCs w:val="20"/>
                <w14:textFill>
                  <w14:solidFill>
                    <w14:schemeClr w14:val="tx1"/>
                  </w14:solidFill>
                </w14:textFill>
              </w:rPr>
            </w:pPr>
          </w:p>
        </w:tc>
        <w:tc>
          <w:tcPr>
            <w:tcW w:w="3859" w:type="dxa"/>
            <w:vAlign w:val="center"/>
          </w:tcPr>
          <w:p w14:paraId="45763185">
            <w:pPr>
              <w:widowControl/>
              <w:topLinePunct/>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城市空气质量优良天数比例</w:t>
            </w:r>
          </w:p>
        </w:tc>
        <w:tc>
          <w:tcPr>
            <w:tcW w:w="885" w:type="dxa"/>
            <w:vAlign w:val="center"/>
          </w:tcPr>
          <w:p w14:paraId="5392ECD0">
            <w:pPr>
              <w:widowControl/>
              <w:topLinePunct/>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w:t>
            </w:r>
          </w:p>
        </w:tc>
        <w:tc>
          <w:tcPr>
            <w:tcW w:w="1005" w:type="dxa"/>
            <w:vAlign w:val="center"/>
          </w:tcPr>
          <w:p w14:paraId="516F4A98">
            <w:pPr>
              <w:widowControl/>
              <w:topLinePunct/>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99.7</w:t>
            </w:r>
          </w:p>
        </w:tc>
        <w:tc>
          <w:tcPr>
            <w:tcW w:w="1395" w:type="dxa"/>
            <w:vAlign w:val="center"/>
          </w:tcPr>
          <w:p w14:paraId="22B5EBEA">
            <w:pPr>
              <w:topLinePunct/>
              <w:snapToGrid w:val="0"/>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&gt;98</w:t>
            </w:r>
          </w:p>
        </w:tc>
        <w:tc>
          <w:tcPr>
            <w:tcW w:w="884" w:type="dxa"/>
            <w:vAlign w:val="center"/>
          </w:tcPr>
          <w:p w14:paraId="06D0F7A0">
            <w:pPr>
              <w:topLinePunct/>
              <w:snapToGrid w:val="0"/>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约束性</w:t>
            </w:r>
          </w:p>
        </w:tc>
      </w:tr>
      <w:tr w14:paraId="6404A7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0" w:type="dxa"/>
            <w:vAlign w:val="center"/>
          </w:tcPr>
          <w:p w14:paraId="6096DFFA">
            <w:pPr>
              <w:widowControl/>
              <w:topLinePunct/>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15</w:t>
            </w:r>
          </w:p>
        </w:tc>
        <w:tc>
          <w:tcPr>
            <w:tcW w:w="621" w:type="dxa"/>
            <w:vMerge w:val="continue"/>
            <w:tcBorders>
              <w:left w:val="single" w:color="auto" w:sz="4" w:space="0"/>
              <w:right w:val="single" w:color="auto" w:sz="4" w:space="0"/>
            </w:tcBorders>
          </w:tcPr>
          <w:p w14:paraId="73C4E319">
            <w:pPr>
              <w:widowControl/>
              <w:topLinePunct/>
              <w:rPr>
                <w:color w:val="000000" w:themeColor="text1"/>
                <w:sz w:val="20"/>
                <w:szCs w:val="20"/>
                <w14:textFill>
                  <w14:solidFill>
                    <w14:schemeClr w14:val="tx1"/>
                  </w14:solidFill>
                </w14:textFill>
              </w:rPr>
            </w:pPr>
          </w:p>
        </w:tc>
        <w:tc>
          <w:tcPr>
            <w:tcW w:w="3859" w:type="dxa"/>
            <w:vAlign w:val="center"/>
          </w:tcPr>
          <w:p w14:paraId="74E43534">
            <w:pPr>
              <w:widowControl/>
              <w:topLinePunct/>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森林覆盖率</w:t>
            </w:r>
          </w:p>
        </w:tc>
        <w:tc>
          <w:tcPr>
            <w:tcW w:w="885" w:type="dxa"/>
            <w:vAlign w:val="center"/>
          </w:tcPr>
          <w:p w14:paraId="28385CD9">
            <w:pPr>
              <w:widowControl/>
              <w:topLinePunct/>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w:t>
            </w:r>
          </w:p>
        </w:tc>
        <w:tc>
          <w:tcPr>
            <w:tcW w:w="1005" w:type="dxa"/>
            <w:vAlign w:val="center"/>
          </w:tcPr>
          <w:p w14:paraId="395B6B65">
            <w:pPr>
              <w:widowControl/>
              <w:topLinePunct/>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52以上</w:t>
            </w:r>
          </w:p>
        </w:tc>
        <w:tc>
          <w:tcPr>
            <w:tcW w:w="1395" w:type="dxa"/>
            <w:vAlign w:val="center"/>
          </w:tcPr>
          <w:p w14:paraId="7CE53DCB">
            <w:pPr>
              <w:topLinePunct/>
              <w:snapToGrid w:val="0"/>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52.88</w:t>
            </w:r>
          </w:p>
        </w:tc>
        <w:tc>
          <w:tcPr>
            <w:tcW w:w="884" w:type="dxa"/>
            <w:vAlign w:val="center"/>
          </w:tcPr>
          <w:p w14:paraId="776D6603">
            <w:pPr>
              <w:topLinePunct/>
              <w:snapToGrid w:val="0"/>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约束性</w:t>
            </w:r>
          </w:p>
        </w:tc>
      </w:tr>
      <w:tr w14:paraId="52EAE8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0" w:type="dxa"/>
            <w:vAlign w:val="center"/>
          </w:tcPr>
          <w:p w14:paraId="70F164E0">
            <w:pPr>
              <w:widowControl/>
              <w:topLinePunct/>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16</w:t>
            </w:r>
          </w:p>
        </w:tc>
        <w:tc>
          <w:tcPr>
            <w:tcW w:w="621" w:type="dxa"/>
            <w:vMerge w:val="restart"/>
            <w:tcBorders>
              <w:left w:val="single" w:color="auto" w:sz="4" w:space="0"/>
              <w:right w:val="single" w:color="auto" w:sz="4" w:space="0"/>
            </w:tcBorders>
            <w:vAlign w:val="center"/>
          </w:tcPr>
          <w:p w14:paraId="0DA000A4">
            <w:pPr>
              <w:widowControl/>
              <w:topLinePunct/>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共享发展</w:t>
            </w:r>
          </w:p>
        </w:tc>
        <w:tc>
          <w:tcPr>
            <w:tcW w:w="3859" w:type="dxa"/>
            <w:vAlign w:val="center"/>
          </w:tcPr>
          <w:p w14:paraId="66941A95">
            <w:pPr>
              <w:widowControl/>
              <w:topLinePunct/>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城镇居民人均可支配收入</w:t>
            </w:r>
          </w:p>
        </w:tc>
        <w:tc>
          <w:tcPr>
            <w:tcW w:w="885" w:type="dxa"/>
            <w:vAlign w:val="center"/>
          </w:tcPr>
          <w:p w14:paraId="7F16C321">
            <w:pPr>
              <w:widowControl/>
              <w:topLinePunct/>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w:t>
            </w:r>
          </w:p>
        </w:tc>
        <w:tc>
          <w:tcPr>
            <w:tcW w:w="1005" w:type="dxa"/>
            <w:vAlign w:val="center"/>
          </w:tcPr>
          <w:p w14:paraId="1C65B457">
            <w:pPr>
              <w:widowControl/>
              <w:topLinePunct/>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49015元</w:t>
            </w:r>
          </w:p>
        </w:tc>
        <w:tc>
          <w:tcPr>
            <w:tcW w:w="1395" w:type="dxa"/>
            <w:vAlign w:val="center"/>
          </w:tcPr>
          <w:p w14:paraId="097F7D3A">
            <w:pPr>
              <w:topLinePunct/>
              <w:snapToGrid w:val="0"/>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增速与经济增长同步</w:t>
            </w:r>
          </w:p>
        </w:tc>
        <w:tc>
          <w:tcPr>
            <w:tcW w:w="884" w:type="dxa"/>
            <w:vAlign w:val="center"/>
          </w:tcPr>
          <w:p w14:paraId="0E1AA9F4">
            <w:pPr>
              <w:widowControl/>
              <w:topLinePunct/>
              <w:rPr>
                <w:color w:val="000000" w:themeColor="text1"/>
                <w:sz w:val="20"/>
                <w:szCs w:val="20"/>
                <w14:textFill>
                  <w14:solidFill>
                    <w14:schemeClr w14:val="tx1"/>
                  </w14:solidFill>
                </w14:textFill>
              </w:rPr>
            </w:pPr>
            <w:r>
              <w:rPr>
                <w:color w:val="000000" w:themeColor="text1"/>
                <w:kern w:val="0"/>
                <w:sz w:val="20"/>
                <w:szCs w:val="20"/>
                <w14:textFill>
                  <w14:solidFill>
                    <w14:schemeClr w14:val="tx1"/>
                  </w14:solidFill>
                </w14:textFill>
              </w:rPr>
              <w:t>预期性</w:t>
            </w:r>
          </w:p>
        </w:tc>
      </w:tr>
      <w:tr w14:paraId="7852D4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0" w:type="dxa"/>
            <w:vAlign w:val="center"/>
          </w:tcPr>
          <w:p w14:paraId="7D6F8257">
            <w:pPr>
              <w:widowControl/>
              <w:topLinePunct/>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17</w:t>
            </w:r>
          </w:p>
        </w:tc>
        <w:tc>
          <w:tcPr>
            <w:tcW w:w="621" w:type="dxa"/>
            <w:vMerge w:val="continue"/>
            <w:tcBorders>
              <w:left w:val="single" w:color="auto" w:sz="4" w:space="0"/>
              <w:right w:val="single" w:color="auto" w:sz="4" w:space="0"/>
            </w:tcBorders>
          </w:tcPr>
          <w:p w14:paraId="4756FE8F">
            <w:pPr>
              <w:widowControl/>
              <w:topLinePunct/>
              <w:rPr>
                <w:color w:val="000000" w:themeColor="text1"/>
                <w:sz w:val="20"/>
                <w:szCs w:val="20"/>
                <w14:textFill>
                  <w14:solidFill>
                    <w14:schemeClr w14:val="tx1"/>
                  </w14:solidFill>
                </w14:textFill>
              </w:rPr>
            </w:pPr>
          </w:p>
        </w:tc>
        <w:tc>
          <w:tcPr>
            <w:tcW w:w="3859" w:type="dxa"/>
            <w:vAlign w:val="center"/>
          </w:tcPr>
          <w:p w14:paraId="22DE22B4">
            <w:pPr>
              <w:widowControl/>
              <w:topLinePunct/>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农村居民人均可支配收入</w:t>
            </w:r>
          </w:p>
        </w:tc>
        <w:tc>
          <w:tcPr>
            <w:tcW w:w="885" w:type="dxa"/>
            <w:vAlign w:val="center"/>
          </w:tcPr>
          <w:p w14:paraId="1C8A4B8C">
            <w:pPr>
              <w:widowControl/>
              <w:topLinePunct/>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w:t>
            </w:r>
          </w:p>
        </w:tc>
        <w:tc>
          <w:tcPr>
            <w:tcW w:w="1005" w:type="dxa"/>
            <w:vAlign w:val="center"/>
          </w:tcPr>
          <w:p w14:paraId="0070619B">
            <w:pPr>
              <w:widowControl/>
              <w:topLinePunct/>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23595元</w:t>
            </w:r>
          </w:p>
        </w:tc>
        <w:tc>
          <w:tcPr>
            <w:tcW w:w="1395" w:type="dxa"/>
            <w:vAlign w:val="center"/>
          </w:tcPr>
          <w:p w14:paraId="6A872874">
            <w:pPr>
              <w:topLinePunct/>
              <w:snapToGrid w:val="0"/>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增速高于城镇居民人均可支配收入</w:t>
            </w:r>
          </w:p>
        </w:tc>
        <w:tc>
          <w:tcPr>
            <w:tcW w:w="884" w:type="dxa"/>
            <w:vAlign w:val="center"/>
          </w:tcPr>
          <w:p w14:paraId="6C16B43D">
            <w:pPr>
              <w:widowControl/>
              <w:topLinePunct/>
              <w:rPr>
                <w:color w:val="000000" w:themeColor="text1"/>
                <w:sz w:val="20"/>
                <w:szCs w:val="20"/>
                <w14:textFill>
                  <w14:solidFill>
                    <w14:schemeClr w14:val="tx1"/>
                  </w14:solidFill>
                </w14:textFill>
              </w:rPr>
            </w:pPr>
            <w:r>
              <w:rPr>
                <w:color w:val="000000" w:themeColor="text1"/>
                <w:kern w:val="0"/>
                <w:sz w:val="20"/>
                <w:szCs w:val="20"/>
                <w14:textFill>
                  <w14:solidFill>
                    <w14:schemeClr w14:val="tx1"/>
                  </w14:solidFill>
                </w14:textFill>
              </w:rPr>
              <w:t>预期性</w:t>
            </w:r>
          </w:p>
        </w:tc>
      </w:tr>
      <w:tr w14:paraId="03B7B0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0" w:type="dxa"/>
            <w:vAlign w:val="center"/>
          </w:tcPr>
          <w:p w14:paraId="3A546E90">
            <w:pPr>
              <w:widowControl/>
              <w:topLinePunct/>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18</w:t>
            </w:r>
          </w:p>
        </w:tc>
        <w:tc>
          <w:tcPr>
            <w:tcW w:w="621" w:type="dxa"/>
            <w:vMerge w:val="continue"/>
            <w:tcBorders>
              <w:left w:val="single" w:color="auto" w:sz="4" w:space="0"/>
              <w:right w:val="single" w:color="auto" w:sz="4" w:space="0"/>
            </w:tcBorders>
          </w:tcPr>
          <w:p w14:paraId="4AB572F7">
            <w:pPr>
              <w:widowControl/>
              <w:topLinePunct/>
              <w:rPr>
                <w:color w:val="000000" w:themeColor="text1"/>
                <w:sz w:val="20"/>
                <w:szCs w:val="20"/>
                <w14:textFill>
                  <w14:solidFill>
                    <w14:schemeClr w14:val="tx1"/>
                  </w14:solidFill>
                </w14:textFill>
              </w:rPr>
            </w:pPr>
          </w:p>
        </w:tc>
        <w:tc>
          <w:tcPr>
            <w:tcW w:w="3859" w:type="dxa"/>
            <w:vAlign w:val="center"/>
          </w:tcPr>
          <w:p w14:paraId="0B3A9DD5">
            <w:pPr>
              <w:widowControl/>
              <w:topLinePunct/>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城镇登记失业率</w:t>
            </w:r>
          </w:p>
        </w:tc>
        <w:tc>
          <w:tcPr>
            <w:tcW w:w="885" w:type="dxa"/>
            <w:vAlign w:val="center"/>
          </w:tcPr>
          <w:p w14:paraId="12AC0F7E">
            <w:pPr>
              <w:widowControl/>
              <w:topLinePunct/>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w:t>
            </w:r>
          </w:p>
        </w:tc>
        <w:tc>
          <w:tcPr>
            <w:tcW w:w="1005" w:type="dxa"/>
            <w:vAlign w:val="center"/>
          </w:tcPr>
          <w:p w14:paraId="3EDF8FB4">
            <w:pPr>
              <w:widowControl/>
              <w:topLinePunct/>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控制在3.72</w:t>
            </w:r>
          </w:p>
        </w:tc>
        <w:tc>
          <w:tcPr>
            <w:tcW w:w="1395" w:type="dxa"/>
            <w:vAlign w:val="center"/>
          </w:tcPr>
          <w:p w14:paraId="7E8F4114">
            <w:pPr>
              <w:topLinePunct/>
              <w:snapToGrid w:val="0"/>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5以内</w:t>
            </w:r>
          </w:p>
        </w:tc>
        <w:tc>
          <w:tcPr>
            <w:tcW w:w="884" w:type="dxa"/>
            <w:vAlign w:val="center"/>
          </w:tcPr>
          <w:p w14:paraId="2FB12AE1">
            <w:pPr>
              <w:widowControl/>
              <w:topLinePunct/>
              <w:rPr>
                <w:color w:val="000000" w:themeColor="text1"/>
                <w:sz w:val="20"/>
                <w:szCs w:val="20"/>
                <w14:textFill>
                  <w14:solidFill>
                    <w14:schemeClr w14:val="tx1"/>
                  </w14:solidFill>
                </w14:textFill>
              </w:rPr>
            </w:pPr>
            <w:r>
              <w:rPr>
                <w:color w:val="000000" w:themeColor="text1"/>
                <w:kern w:val="0"/>
                <w:sz w:val="20"/>
                <w:szCs w:val="20"/>
                <w14:textFill>
                  <w14:solidFill>
                    <w14:schemeClr w14:val="tx1"/>
                  </w14:solidFill>
                </w14:textFill>
              </w:rPr>
              <w:t>预期性</w:t>
            </w:r>
          </w:p>
        </w:tc>
      </w:tr>
      <w:tr w14:paraId="3CE2C6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0" w:type="dxa"/>
            <w:vAlign w:val="center"/>
          </w:tcPr>
          <w:p w14:paraId="3DCC2DD3">
            <w:pPr>
              <w:widowControl/>
              <w:topLinePunct/>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19</w:t>
            </w:r>
          </w:p>
        </w:tc>
        <w:tc>
          <w:tcPr>
            <w:tcW w:w="621" w:type="dxa"/>
            <w:vMerge w:val="continue"/>
            <w:tcBorders>
              <w:left w:val="single" w:color="auto" w:sz="4" w:space="0"/>
              <w:right w:val="single" w:color="auto" w:sz="4" w:space="0"/>
            </w:tcBorders>
          </w:tcPr>
          <w:p w14:paraId="561F58B5">
            <w:pPr>
              <w:widowControl/>
              <w:topLinePunct/>
              <w:rPr>
                <w:color w:val="000000" w:themeColor="text1"/>
                <w:sz w:val="20"/>
                <w:szCs w:val="20"/>
                <w14:textFill>
                  <w14:solidFill>
                    <w14:schemeClr w14:val="tx1"/>
                  </w14:solidFill>
                </w14:textFill>
              </w:rPr>
            </w:pPr>
          </w:p>
        </w:tc>
        <w:tc>
          <w:tcPr>
            <w:tcW w:w="3859" w:type="dxa"/>
            <w:vAlign w:val="center"/>
          </w:tcPr>
          <w:p w14:paraId="2273879F">
            <w:pPr>
              <w:widowControl/>
              <w:topLinePunct/>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人均预期寿命</w:t>
            </w:r>
          </w:p>
        </w:tc>
        <w:tc>
          <w:tcPr>
            <w:tcW w:w="885" w:type="dxa"/>
            <w:vAlign w:val="center"/>
          </w:tcPr>
          <w:p w14:paraId="31B89EB3">
            <w:pPr>
              <w:widowControl/>
              <w:topLinePunct/>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岁</w:t>
            </w:r>
          </w:p>
        </w:tc>
        <w:tc>
          <w:tcPr>
            <w:tcW w:w="1005" w:type="dxa"/>
            <w:vAlign w:val="center"/>
          </w:tcPr>
          <w:p w14:paraId="2FEF5B46">
            <w:pPr>
              <w:widowControl/>
              <w:topLinePunct/>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80.62</w:t>
            </w:r>
          </w:p>
        </w:tc>
        <w:tc>
          <w:tcPr>
            <w:tcW w:w="1395" w:type="dxa"/>
            <w:vAlign w:val="center"/>
          </w:tcPr>
          <w:p w14:paraId="4E6144AD">
            <w:pPr>
              <w:topLinePunct/>
              <w:snapToGrid w:val="0"/>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&gt;80</w:t>
            </w:r>
          </w:p>
        </w:tc>
        <w:tc>
          <w:tcPr>
            <w:tcW w:w="884" w:type="dxa"/>
            <w:vAlign w:val="center"/>
          </w:tcPr>
          <w:p w14:paraId="714B760B">
            <w:pPr>
              <w:widowControl/>
              <w:topLinePunct/>
              <w:rPr>
                <w:color w:val="000000" w:themeColor="text1"/>
                <w:sz w:val="20"/>
                <w:szCs w:val="20"/>
                <w14:textFill>
                  <w14:solidFill>
                    <w14:schemeClr w14:val="tx1"/>
                  </w14:solidFill>
                </w14:textFill>
              </w:rPr>
            </w:pPr>
            <w:r>
              <w:rPr>
                <w:color w:val="000000" w:themeColor="text1"/>
                <w:kern w:val="0"/>
                <w:sz w:val="20"/>
                <w:szCs w:val="20"/>
                <w14:textFill>
                  <w14:solidFill>
                    <w14:schemeClr w14:val="tx1"/>
                  </w14:solidFill>
                </w14:textFill>
              </w:rPr>
              <w:t>预期性</w:t>
            </w:r>
          </w:p>
        </w:tc>
      </w:tr>
      <w:tr w14:paraId="450247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0" w:type="dxa"/>
            <w:vAlign w:val="center"/>
          </w:tcPr>
          <w:p w14:paraId="29EAE1BC">
            <w:pPr>
              <w:widowControl/>
              <w:topLinePunct/>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20</w:t>
            </w:r>
          </w:p>
        </w:tc>
        <w:tc>
          <w:tcPr>
            <w:tcW w:w="621" w:type="dxa"/>
            <w:vMerge w:val="continue"/>
            <w:tcBorders>
              <w:left w:val="single" w:color="auto" w:sz="4" w:space="0"/>
              <w:right w:val="single" w:color="auto" w:sz="4" w:space="0"/>
            </w:tcBorders>
          </w:tcPr>
          <w:p w14:paraId="5E1F9D71">
            <w:pPr>
              <w:widowControl/>
              <w:topLinePunct/>
              <w:rPr>
                <w:color w:val="000000" w:themeColor="text1"/>
                <w:sz w:val="20"/>
                <w:szCs w:val="20"/>
                <w14:textFill>
                  <w14:solidFill>
                    <w14:schemeClr w14:val="tx1"/>
                  </w14:solidFill>
                </w14:textFill>
              </w:rPr>
            </w:pPr>
          </w:p>
        </w:tc>
        <w:tc>
          <w:tcPr>
            <w:tcW w:w="3859" w:type="dxa"/>
            <w:vAlign w:val="center"/>
          </w:tcPr>
          <w:p w14:paraId="3EA036E0">
            <w:pPr>
              <w:widowControl/>
              <w:topLinePunct/>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每千人执业（助理）医师数</w:t>
            </w:r>
          </w:p>
        </w:tc>
        <w:tc>
          <w:tcPr>
            <w:tcW w:w="885" w:type="dxa"/>
            <w:vAlign w:val="center"/>
          </w:tcPr>
          <w:p w14:paraId="61152918">
            <w:pPr>
              <w:widowControl/>
              <w:topLinePunct/>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人</w:t>
            </w:r>
          </w:p>
        </w:tc>
        <w:tc>
          <w:tcPr>
            <w:tcW w:w="1005" w:type="dxa"/>
            <w:vAlign w:val="center"/>
          </w:tcPr>
          <w:p w14:paraId="65CE39A5">
            <w:pPr>
              <w:widowControl/>
              <w:topLinePunct/>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9.62</w:t>
            </w:r>
          </w:p>
        </w:tc>
        <w:tc>
          <w:tcPr>
            <w:tcW w:w="1395" w:type="dxa"/>
            <w:vAlign w:val="center"/>
          </w:tcPr>
          <w:p w14:paraId="484E61AA">
            <w:pPr>
              <w:topLinePunct/>
              <w:snapToGrid w:val="0"/>
              <w:jc w:val="center"/>
              <w:rPr>
                <w:color w:val="000000" w:themeColor="text1"/>
                <w:sz w:val="20"/>
                <w:szCs w:val="20"/>
                <w14:textFill>
                  <w14:solidFill>
                    <w14:schemeClr w14:val="tx1"/>
                  </w14:solidFill>
                </w14:textFill>
              </w:rPr>
            </w:pPr>
            <w:r>
              <w:rPr>
                <w:rFonts w:eastAsia="仿宋_GB2312"/>
                <w:color w:val="000000" w:themeColor="text1"/>
                <w:sz w:val="20"/>
                <w:szCs w:val="20"/>
                <w14:textFill>
                  <w14:solidFill>
                    <w14:schemeClr w14:val="tx1"/>
                  </w14:solidFill>
                </w14:textFill>
              </w:rPr>
              <w:t>≥10</w:t>
            </w:r>
          </w:p>
        </w:tc>
        <w:tc>
          <w:tcPr>
            <w:tcW w:w="884" w:type="dxa"/>
            <w:vAlign w:val="center"/>
          </w:tcPr>
          <w:p w14:paraId="4727A56E">
            <w:pPr>
              <w:widowControl/>
              <w:topLinePunct/>
              <w:rPr>
                <w:color w:val="000000" w:themeColor="text1"/>
                <w:sz w:val="20"/>
                <w:szCs w:val="20"/>
                <w14:textFill>
                  <w14:solidFill>
                    <w14:schemeClr w14:val="tx1"/>
                  </w14:solidFill>
                </w14:textFill>
              </w:rPr>
            </w:pPr>
            <w:r>
              <w:rPr>
                <w:color w:val="000000" w:themeColor="text1"/>
                <w:kern w:val="0"/>
                <w:sz w:val="20"/>
                <w:szCs w:val="20"/>
                <w14:textFill>
                  <w14:solidFill>
                    <w14:schemeClr w14:val="tx1"/>
                  </w14:solidFill>
                </w14:textFill>
              </w:rPr>
              <w:t>预期性</w:t>
            </w:r>
          </w:p>
        </w:tc>
      </w:tr>
      <w:tr w14:paraId="5B50E3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0" w:type="dxa"/>
            <w:vAlign w:val="center"/>
          </w:tcPr>
          <w:p w14:paraId="376A7025">
            <w:pPr>
              <w:widowControl/>
              <w:topLinePunct/>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21</w:t>
            </w:r>
          </w:p>
        </w:tc>
        <w:tc>
          <w:tcPr>
            <w:tcW w:w="621" w:type="dxa"/>
            <w:vMerge w:val="continue"/>
            <w:tcBorders>
              <w:left w:val="single" w:color="auto" w:sz="4" w:space="0"/>
              <w:right w:val="single" w:color="auto" w:sz="4" w:space="0"/>
            </w:tcBorders>
          </w:tcPr>
          <w:p w14:paraId="5F994F95">
            <w:pPr>
              <w:widowControl/>
              <w:topLinePunct/>
              <w:rPr>
                <w:color w:val="000000" w:themeColor="text1"/>
                <w:sz w:val="20"/>
                <w:szCs w:val="20"/>
                <w14:textFill>
                  <w14:solidFill>
                    <w14:schemeClr w14:val="tx1"/>
                  </w14:solidFill>
                </w14:textFill>
              </w:rPr>
            </w:pPr>
          </w:p>
        </w:tc>
        <w:tc>
          <w:tcPr>
            <w:tcW w:w="3859" w:type="dxa"/>
            <w:vAlign w:val="center"/>
          </w:tcPr>
          <w:p w14:paraId="06CC3CD4">
            <w:pPr>
              <w:widowControl/>
              <w:topLinePunct/>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劳动年龄人口平均受教育年限</w:t>
            </w:r>
          </w:p>
        </w:tc>
        <w:tc>
          <w:tcPr>
            <w:tcW w:w="885" w:type="dxa"/>
            <w:vAlign w:val="center"/>
          </w:tcPr>
          <w:p w14:paraId="7A2EBAEB">
            <w:pPr>
              <w:widowControl/>
              <w:topLinePunct/>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年</w:t>
            </w:r>
          </w:p>
        </w:tc>
        <w:tc>
          <w:tcPr>
            <w:tcW w:w="1005" w:type="dxa"/>
            <w:vAlign w:val="center"/>
          </w:tcPr>
          <w:p w14:paraId="5D2408EB">
            <w:pPr>
              <w:widowControl/>
              <w:topLinePunct/>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11</w:t>
            </w:r>
          </w:p>
        </w:tc>
        <w:tc>
          <w:tcPr>
            <w:tcW w:w="1395" w:type="dxa"/>
            <w:vAlign w:val="center"/>
          </w:tcPr>
          <w:p w14:paraId="6AB55B8D">
            <w:pPr>
              <w:topLinePunct/>
              <w:snapToGrid w:val="0"/>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12</w:t>
            </w:r>
          </w:p>
        </w:tc>
        <w:tc>
          <w:tcPr>
            <w:tcW w:w="884" w:type="dxa"/>
            <w:vAlign w:val="center"/>
          </w:tcPr>
          <w:p w14:paraId="1E399EEA">
            <w:pPr>
              <w:widowControl/>
              <w:topLinePunct/>
              <w:rPr>
                <w:color w:val="000000" w:themeColor="text1"/>
                <w:sz w:val="20"/>
                <w:szCs w:val="20"/>
                <w14:textFill>
                  <w14:solidFill>
                    <w14:schemeClr w14:val="tx1"/>
                  </w14:solidFill>
                </w14:textFill>
              </w:rPr>
            </w:pPr>
            <w:r>
              <w:rPr>
                <w:color w:val="000000" w:themeColor="text1"/>
                <w:kern w:val="0"/>
                <w:sz w:val="20"/>
                <w:szCs w:val="20"/>
                <w14:textFill>
                  <w14:solidFill>
                    <w14:schemeClr w14:val="tx1"/>
                  </w14:solidFill>
                </w14:textFill>
              </w:rPr>
              <w:t>预期性</w:t>
            </w:r>
          </w:p>
        </w:tc>
      </w:tr>
      <w:tr w14:paraId="2D8894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0" w:type="dxa"/>
            <w:vAlign w:val="center"/>
          </w:tcPr>
          <w:p w14:paraId="06FE2BF0">
            <w:pPr>
              <w:widowControl/>
              <w:topLinePunct/>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22</w:t>
            </w:r>
          </w:p>
        </w:tc>
        <w:tc>
          <w:tcPr>
            <w:tcW w:w="621" w:type="dxa"/>
            <w:vMerge w:val="restart"/>
            <w:tcBorders>
              <w:left w:val="single" w:color="auto" w:sz="4" w:space="0"/>
              <w:right w:val="single" w:color="auto" w:sz="4" w:space="0"/>
            </w:tcBorders>
            <w:vAlign w:val="center"/>
          </w:tcPr>
          <w:p w14:paraId="3A3E8750">
            <w:pPr>
              <w:widowControl/>
              <w:topLinePunct/>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安全发展</w:t>
            </w:r>
          </w:p>
        </w:tc>
        <w:tc>
          <w:tcPr>
            <w:tcW w:w="3859" w:type="dxa"/>
            <w:vAlign w:val="center"/>
          </w:tcPr>
          <w:p w14:paraId="5956C450">
            <w:pPr>
              <w:widowControl/>
              <w:topLinePunct/>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粮食总产量</w:t>
            </w:r>
          </w:p>
        </w:tc>
        <w:tc>
          <w:tcPr>
            <w:tcW w:w="885" w:type="dxa"/>
            <w:vAlign w:val="center"/>
          </w:tcPr>
          <w:p w14:paraId="5B580A31">
            <w:pPr>
              <w:widowControl/>
              <w:topLinePunct/>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万吨</w:t>
            </w:r>
          </w:p>
        </w:tc>
        <w:tc>
          <w:tcPr>
            <w:tcW w:w="1005" w:type="dxa"/>
            <w:vAlign w:val="center"/>
          </w:tcPr>
          <w:p w14:paraId="0DF26F9C">
            <w:pPr>
              <w:widowControl/>
              <w:topLinePunct/>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1.21</w:t>
            </w:r>
          </w:p>
        </w:tc>
        <w:tc>
          <w:tcPr>
            <w:tcW w:w="1395" w:type="dxa"/>
            <w:vAlign w:val="center"/>
          </w:tcPr>
          <w:p w14:paraId="5BE335C7">
            <w:pPr>
              <w:topLinePunct/>
              <w:snapToGrid w:val="0"/>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增长1%左右</w:t>
            </w:r>
          </w:p>
        </w:tc>
        <w:tc>
          <w:tcPr>
            <w:tcW w:w="884" w:type="dxa"/>
            <w:vAlign w:val="center"/>
          </w:tcPr>
          <w:p w14:paraId="0AE6C901">
            <w:pPr>
              <w:widowControl/>
              <w:topLinePunct/>
              <w:rPr>
                <w:color w:val="000000" w:themeColor="text1"/>
                <w:sz w:val="20"/>
                <w:szCs w:val="20"/>
                <w14:textFill>
                  <w14:solidFill>
                    <w14:schemeClr w14:val="tx1"/>
                  </w14:solidFill>
                </w14:textFill>
              </w:rPr>
            </w:pPr>
            <w:r>
              <w:rPr>
                <w:color w:val="000000" w:themeColor="text1"/>
                <w:kern w:val="0"/>
                <w:sz w:val="20"/>
                <w:szCs w:val="20"/>
                <w14:textFill>
                  <w14:solidFill>
                    <w14:schemeClr w14:val="tx1"/>
                  </w14:solidFill>
                </w14:textFill>
              </w:rPr>
              <w:t>预期性</w:t>
            </w:r>
          </w:p>
        </w:tc>
      </w:tr>
      <w:tr w14:paraId="691831B1">
        <w:tblPrEx>
          <w:tblCellMar>
            <w:top w:w="0" w:type="dxa"/>
            <w:left w:w="108" w:type="dxa"/>
            <w:bottom w:w="0" w:type="dxa"/>
            <w:right w:w="108" w:type="dxa"/>
          </w:tblCellMar>
        </w:tblPrEx>
        <w:trPr>
          <w:trHeight w:val="454" w:hRule="atLeast"/>
          <w:jc w:val="center"/>
        </w:trPr>
        <w:tc>
          <w:tcPr>
            <w:tcW w:w="640" w:type="dxa"/>
            <w:vAlign w:val="center"/>
          </w:tcPr>
          <w:p w14:paraId="48CA5333">
            <w:pPr>
              <w:widowControl/>
              <w:topLinePunct/>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23</w:t>
            </w:r>
          </w:p>
        </w:tc>
        <w:tc>
          <w:tcPr>
            <w:tcW w:w="621" w:type="dxa"/>
            <w:vMerge w:val="continue"/>
            <w:tcBorders>
              <w:left w:val="single" w:color="auto" w:sz="4" w:space="0"/>
              <w:right w:val="single" w:color="auto" w:sz="4" w:space="0"/>
            </w:tcBorders>
          </w:tcPr>
          <w:p w14:paraId="15E537AC">
            <w:pPr>
              <w:widowControl/>
              <w:topLinePunct/>
              <w:rPr>
                <w:color w:val="000000" w:themeColor="text1"/>
                <w:sz w:val="20"/>
                <w:szCs w:val="20"/>
                <w14:textFill>
                  <w14:solidFill>
                    <w14:schemeClr w14:val="tx1"/>
                  </w14:solidFill>
                </w14:textFill>
              </w:rPr>
            </w:pPr>
          </w:p>
        </w:tc>
        <w:tc>
          <w:tcPr>
            <w:tcW w:w="3859" w:type="dxa"/>
            <w:vAlign w:val="center"/>
          </w:tcPr>
          <w:p w14:paraId="70C5A316">
            <w:pPr>
              <w:widowControl/>
              <w:topLinePunct/>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粮食总储备量</w:t>
            </w:r>
          </w:p>
        </w:tc>
        <w:tc>
          <w:tcPr>
            <w:tcW w:w="885" w:type="dxa"/>
            <w:vAlign w:val="center"/>
          </w:tcPr>
          <w:p w14:paraId="03EF62DF">
            <w:pPr>
              <w:widowControl/>
              <w:topLinePunct/>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万吨</w:t>
            </w:r>
          </w:p>
        </w:tc>
        <w:tc>
          <w:tcPr>
            <w:tcW w:w="1005" w:type="dxa"/>
            <w:vAlign w:val="center"/>
          </w:tcPr>
          <w:p w14:paraId="7B7871E9">
            <w:pPr>
              <w:widowControl/>
              <w:topLinePunct/>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1.8</w:t>
            </w:r>
          </w:p>
        </w:tc>
        <w:tc>
          <w:tcPr>
            <w:tcW w:w="1395" w:type="dxa"/>
            <w:vAlign w:val="center"/>
          </w:tcPr>
          <w:p w14:paraId="3ABC8E99">
            <w:pPr>
              <w:topLinePunct/>
              <w:snapToGrid w:val="0"/>
              <w:jc w:val="center"/>
              <w:rPr>
                <w:color w:val="000000" w:themeColor="text1"/>
                <w:sz w:val="20"/>
                <w:szCs w:val="20"/>
                <w14:textFill>
                  <w14:solidFill>
                    <w14:schemeClr w14:val="tx1"/>
                  </w14:solidFill>
                </w14:textFill>
              </w:rPr>
            </w:pPr>
            <w:r>
              <w:rPr>
                <w:color w:val="000000" w:themeColor="text1"/>
                <w:sz w:val="20"/>
                <w:szCs w:val="20"/>
                <w14:textFill>
                  <w14:solidFill>
                    <w14:schemeClr w14:val="tx1"/>
                  </w14:solidFill>
                </w14:textFill>
              </w:rPr>
              <w:t>1.9</w:t>
            </w:r>
          </w:p>
        </w:tc>
        <w:tc>
          <w:tcPr>
            <w:tcW w:w="884" w:type="dxa"/>
            <w:vAlign w:val="center"/>
          </w:tcPr>
          <w:p w14:paraId="35B4BFDA">
            <w:pPr>
              <w:widowControl/>
              <w:topLinePunct/>
              <w:rPr>
                <w:color w:val="000000" w:themeColor="text1"/>
                <w:kern w:val="0"/>
                <w:sz w:val="20"/>
                <w:szCs w:val="20"/>
                <w14:textFill>
                  <w14:solidFill>
                    <w14:schemeClr w14:val="tx1"/>
                  </w14:solidFill>
                </w14:textFill>
              </w:rPr>
            </w:pPr>
            <w:r>
              <w:rPr>
                <w:color w:val="000000" w:themeColor="text1"/>
                <w:kern w:val="0"/>
                <w:sz w:val="20"/>
                <w:szCs w:val="20"/>
                <w14:textFill>
                  <w14:solidFill>
                    <w14:schemeClr w14:val="tx1"/>
                  </w14:solidFill>
                </w14:textFill>
              </w:rPr>
              <w:t>预期性</w:t>
            </w:r>
          </w:p>
        </w:tc>
      </w:tr>
      <w:tr w14:paraId="7FB801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5" w:hRule="atLeast"/>
          <w:jc w:val="center"/>
        </w:trPr>
        <w:tc>
          <w:tcPr>
            <w:tcW w:w="640" w:type="dxa"/>
            <w:vAlign w:val="center"/>
          </w:tcPr>
          <w:p w14:paraId="0DDCD602">
            <w:pPr>
              <w:widowControl/>
              <w:topLinePunct/>
              <w:jc w:val="center"/>
              <w:rPr>
                <w:color w:val="000000" w:themeColor="text1"/>
                <w:sz w:val="24"/>
                <w14:textFill>
                  <w14:solidFill>
                    <w14:schemeClr w14:val="tx1"/>
                  </w14:solidFill>
                </w14:textFill>
              </w:rPr>
            </w:pPr>
          </w:p>
        </w:tc>
        <w:tc>
          <w:tcPr>
            <w:tcW w:w="8649" w:type="dxa"/>
            <w:gridSpan w:val="6"/>
            <w:tcBorders>
              <w:left w:val="single" w:color="auto" w:sz="4" w:space="0"/>
            </w:tcBorders>
            <w:vAlign w:val="center"/>
          </w:tcPr>
          <w:p w14:paraId="4DB9A69B">
            <w:pPr>
              <w:topLinePunct/>
              <w:spacing w:line="520" w:lineRule="exact"/>
              <w:ind w:firstLine="482"/>
              <w:jc w:val="left"/>
              <w:rPr>
                <w:rFonts w:eastAsia="仿宋_GB2312"/>
                <w:b/>
                <w:bCs/>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约束性、预期性指标说明</w:t>
            </w:r>
          </w:p>
          <w:p w14:paraId="18DD39FC">
            <w:pPr>
              <w:topLinePunct/>
              <w:spacing w:line="520" w:lineRule="exact"/>
              <w:ind w:firstLine="482"/>
              <w:jc w:val="left"/>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约束性指标</w:t>
            </w:r>
            <w:r>
              <w:rPr>
                <w:rFonts w:eastAsia="仿宋_GB2312"/>
                <w:color w:val="000000" w:themeColor="text1"/>
                <w:sz w:val="24"/>
                <w14:textFill>
                  <w14:solidFill>
                    <w14:schemeClr w14:val="tx1"/>
                  </w14:solidFill>
                </w14:textFill>
              </w:rPr>
              <w:t>：就是政府在公共服务和涉及公共利益领域对有关部门提出的工作要求，政府要通过合理配置公共资源和有效运用行政力量，确保有关指标的实现。约束性指标体现政府职责，带有政府向人民承诺的性质。</w:t>
            </w:r>
          </w:p>
          <w:p w14:paraId="3074E220">
            <w:pPr>
              <w:topLinePunct/>
              <w:spacing w:line="520" w:lineRule="exact"/>
              <w:ind w:firstLine="450"/>
              <w:jc w:val="left"/>
              <w:rPr>
                <w:rFonts w:eastAsia="仿宋_GB2312"/>
                <w:bCs/>
                <w:color w:val="000000" w:themeColor="text1"/>
                <w:spacing w:val="-8"/>
                <w:sz w:val="24"/>
                <w14:textFill>
                  <w14:solidFill>
                    <w14:schemeClr w14:val="tx1"/>
                  </w14:solidFill>
                </w14:textFill>
              </w:rPr>
            </w:pPr>
            <w:r>
              <w:rPr>
                <w:rFonts w:eastAsia="仿宋_GB2312"/>
                <w:b/>
                <w:bCs/>
                <w:color w:val="000000" w:themeColor="text1"/>
                <w:spacing w:val="-8"/>
                <w:sz w:val="24"/>
                <w14:textFill>
                  <w14:solidFill>
                    <w14:schemeClr w14:val="tx1"/>
                  </w14:solidFill>
                </w14:textFill>
              </w:rPr>
              <w:t>预期性指标：</w:t>
            </w:r>
            <w:r>
              <w:rPr>
                <w:rFonts w:eastAsia="仿宋_GB2312"/>
                <w:bCs/>
                <w:color w:val="000000" w:themeColor="text1"/>
                <w:spacing w:val="-8"/>
                <w:sz w:val="24"/>
                <w14:textFill>
                  <w14:solidFill>
                    <w14:schemeClr w14:val="tx1"/>
                  </w14:solidFill>
                </w14:textFill>
              </w:rPr>
              <w:t>就是国家期望的发展目标，主要依靠市场主体的自主行为来实现。政府的主要职责是通过适时调整宏观调控方向和力度，综合运用财政、产业、投资等政策，创造一个好的宏观环境、制度环境和市场环境，使市场配置资源的决定性作用能够发挥得更好。</w:t>
            </w:r>
          </w:p>
          <w:p w14:paraId="23729060">
            <w:pPr>
              <w:widowControl/>
              <w:topLinePunct/>
              <w:spacing w:line="520" w:lineRule="exact"/>
              <w:ind w:firstLine="450"/>
              <w:jc w:val="left"/>
              <w:rPr>
                <w:color w:val="000000" w:themeColor="text1"/>
                <w:kern w:val="0"/>
                <w:sz w:val="20"/>
                <w:szCs w:val="20"/>
                <w14:textFill>
                  <w14:solidFill>
                    <w14:schemeClr w14:val="tx1"/>
                  </w14:solidFill>
                </w14:textFill>
              </w:rPr>
            </w:pPr>
            <w:r>
              <w:rPr>
                <w:rFonts w:eastAsia="仿宋_GB2312"/>
                <w:b/>
                <w:color w:val="000000" w:themeColor="text1"/>
                <w:spacing w:val="-8"/>
                <w:sz w:val="24"/>
                <w14:textFill>
                  <w14:solidFill>
                    <w14:schemeClr w14:val="tx1"/>
                  </w14:solidFill>
                </w14:textFill>
              </w:rPr>
              <w:t>备注：</w:t>
            </w:r>
            <w:r>
              <w:rPr>
                <w:rFonts w:eastAsia="仿宋_GB2312"/>
                <w:bCs/>
                <w:color w:val="000000" w:themeColor="text1"/>
                <w:sz w:val="24"/>
                <w14:textFill>
                  <w14:solidFill>
                    <w14:schemeClr w14:val="tx1"/>
                  </w14:solidFill>
                </w14:textFill>
              </w:rPr>
              <w:t>[  ]中所列数据为五年累计数</w:t>
            </w:r>
          </w:p>
        </w:tc>
      </w:tr>
    </w:tbl>
    <w:p w14:paraId="52136A7E">
      <w:pPr>
        <w:spacing w:line="560" w:lineRule="exact"/>
        <w:jc w:val="center"/>
        <w:rPr>
          <w:rFonts w:eastAsia="黑体"/>
          <w:sz w:val="32"/>
          <w:szCs w:val="32"/>
        </w:rPr>
      </w:pPr>
      <w:bookmarkStart w:id="100" w:name="_Toc61644777"/>
      <w:r>
        <w:rPr>
          <w:rFonts w:eastAsia="黑体"/>
          <w:sz w:val="32"/>
          <w:szCs w:val="32"/>
        </w:rPr>
        <w:t>第三章 融入重大战略，形成新发展格局</w:t>
      </w:r>
      <w:bookmarkEnd w:id="100"/>
    </w:p>
    <w:p w14:paraId="2D73F58D">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找准融入新发展格局的发力点和突破口，提升西山区在“大循环、双循环”中的贡献度，畅通生产分配流通各环节、供给和需求、产业链上下游、虚拟经济和实体经济等国内大循环，加快培育完整的内需体系，围绕云南打造面向南亚东南亚辐射中心的战略目标，融入昆明市建设区域性国际中心城市的进程，锚定西山区打造“更具活力的区域性国际中心城市中枢门户区”目标，有序推动西山区“666”发展战略落实。</w:t>
      </w:r>
      <w:bookmarkStart w:id="101" w:name="_Toc61644778"/>
    </w:p>
    <w:p w14:paraId="683CFCBF">
      <w:pPr>
        <w:topLinePunct/>
        <w:spacing w:line="560" w:lineRule="exact"/>
        <w:ind w:firstLine="640"/>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一、融入国内国际双循环战略，持续扩大消费和投资</w:t>
      </w:r>
      <w:bookmarkEnd w:id="101"/>
    </w:p>
    <w:p w14:paraId="653D80D9">
      <w:pPr>
        <w:topLinePunct/>
        <w:spacing w:line="560" w:lineRule="exact"/>
        <w:ind w:firstLine="640"/>
        <w:rPr>
          <w:rFonts w:eastAsia="楷体_GB2312"/>
          <w:bCs/>
          <w:color w:val="000000" w:themeColor="text1"/>
          <w:sz w:val="32"/>
          <w:szCs w:val="32"/>
          <w14:textFill>
            <w14:solidFill>
              <w14:schemeClr w14:val="tx1"/>
            </w14:solidFill>
          </w14:textFill>
        </w:rPr>
      </w:pPr>
      <w:r>
        <w:rPr>
          <w:rFonts w:eastAsia="楷体_GB2312"/>
          <w:bCs/>
          <w:color w:val="000000" w:themeColor="text1"/>
          <w:sz w:val="32"/>
          <w:szCs w:val="32"/>
          <w14:textFill>
            <w14:solidFill>
              <w14:schemeClr w14:val="tx1"/>
            </w14:solidFill>
          </w14:textFill>
        </w:rPr>
        <w:t>（一）全面持续促进消费</w:t>
      </w:r>
    </w:p>
    <w:p w14:paraId="6556B526">
      <w:pPr>
        <w:topLinePunct/>
        <w:spacing w:line="560" w:lineRule="exact"/>
        <w:ind w:firstLine="643"/>
        <w:rPr>
          <w:rFonts w:eastAsia="仿宋_GB2312"/>
          <w:bCs/>
          <w:color w:val="000000" w:themeColor="text1"/>
          <w:sz w:val="32"/>
          <w:szCs w:val="32"/>
          <w14:textFill>
            <w14:solidFill>
              <w14:schemeClr w14:val="tx1"/>
            </w14:solidFill>
          </w14:textFill>
        </w:rPr>
      </w:pPr>
      <w:r>
        <w:rPr>
          <w:rFonts w:eastAsia="仿宋_GB2312"/>
          <w:b/>
          <w:bCs/>
          <w:color w:val="000000" w:themeColor="text1"/>
          <w:sz w:val="32"/>
          <w:szCs w:val="32"/>
          <w14:textFill>
            <w14:solidFill>
              <w14:schemeClr w14:val="tx1"/>
            </w14:solidFill>
          </w14:textFill>
        </w:rPr>
        <w:t>提升传统消费。</w:t>
      </w:r>
      <w:r>
        <w:rPr>
          <w:rFonts w:eastAsia="仿宋_GB2312"/>
          <w:bCs/>
          <w:color w:val="000000" w:themeColor="text1"/>
          <w:sz w:val="32"/>
          <w:szCs w:val="32"/>
          <w14:textFill>
            <w14:solidFill>
              <w14:schemeClr w14:val="tx1"/>
            </w14:solidFill>
          </w14:textFill>
        </w:rPr>
        <w:t>深度挖掘零售批发、餐饮住宿等消费潜力，促进消费回补和潜力释放。依托区内和度假区海埂片区12个品牌酒店，整合商贸、文旅、康体等产业资源。提升会议产业品牌化水平，打造区域性国际会议目的地。依托“八大商圈”商贸经济发展基础，重点打造昆明融创文旅城、万达广场、南亚风情第壹城、金马碧鸡商城、大悦城和春雨937工业遗产文化街区等夜间经济聚集带动街区。鼓励体育、旅游、养老、文化、健康、教育消费，推动消费升级扩容。打造便民消费，引导家政服务业专业化、规范化发展，支持家政服务和品牌建设。落实带薪休假制度，扩大节假日消费。改善消费环境，强化消费者权益保护。</w:t>
      </w:r>
    </w:p>
    <w:p w14:paraId="502A9E7F">
      <w:pPr>
        <w:topLinePunct/>
        <w:spacing w:line="560" w:lineRule="exact"/>
        <w:ind w:firstLine="643"/>
        <w:rPr>
          <w:rFonts w:eastAsia="仿宋_GB2312"/>
          <w:bCs/>
          <w:color w:val="000000" w:themeColor="text1"/>
          <w:sz w:val="32"/>
          <w:szCs w:val="32"/>
          <w14:textFill>
            <w14:solidFill>
              <w14:schemeClr w14:val="tx1"/>
            </w14:solidFill>
          </w14:textFill>
        </w:rPr>
      </w:pPr>
      <w:r>
        <w:rPr>
          <w:rFonts w:eastAsia="仿宋_GB2312"/>
          <w:b/>
          <w:bCs/>
          <w:color w:val="000000" w:themeColor="text1"/>
          <w:sz w:val="32"/>
          <w:szCs w:val="32"/>
          <w14:textFill>
            <w14:solidFill>
              <w14:schemeClr w14:val="tx1"/>
            </w14:solidFill>
          </w14:textFill>
        </w:rPr>
        <w:t>培育新型消费。</w:t>
      </w:r>
      <w:r>
        <w:rPr>
          <w:rFonts w:eastAsia="仿宋_GB2312"/>
          <w:bCs/>
          <w:color w:val="000000" w:themeColor="text1"/>
          <w:sz w:val="32"/>
          <w:szCs w:val="32"/>
          <w14:textFill>
            <w14:solidFill>
              <w14:schemeClr w14:val="tx1"/>
            </w14:solidFill>
          </w14:textFill>
        </w:rPr>
        <w:t>推动汽车消费等消费品由购买管理向使用管理转变。发展服务消费，放宽服务消费领域市场准入。引导数字消费，培育壮大“互联网+”消费新模式，支持智慧零售、跨界零售、无人零售等新模式。支持新兴消费业态，培育跨境消费、户外消费等新业态，持续发展首店经济、小店经济，打造新零售“试验田”和“竞技场”。深入推进零售业数字化，谋划建设一批智慧商圈、智慧街区、智慧门店、智慧药房，加快无人体验店、智慧社区店、自提柜、云柜等新业态布局。倡导绿色消费，促进新能源汽车消费，打造绿色低碳供应链。拓展定制消费，增强个性化、精准化服务水平，形成新的消费热点。</w:t>
      </w:r>
    </w:p>
    <w:p w14:paraId="57F3E9E8">
      <w:pPr>
        <w:topLinePunct/>
        <w:spacing w:line="580" w:lineRule="exact"/>
        <w:ind w:firstLine="643"/>
        <w:rPr>
          <w:rFonts w:eastAsia="仿宋_GB2312"/>
          <w:bCs/>
          <w:color w:val="000000" w:themeColor="text1"/>
          <w:sz w:val="32"/>
          <w:szCs w:val="32"/>
          <w14:textFill>
            <w14:solidFill>
              <w14:schemeClr w14:val="tx1"/>
            </w14:solidFill>
          </w14:textFill>
        </w:rPr>
      </w:pPr>
      <w:r>
        <w:rPr>
          <w:rFonts w:eastAsia="仿宋_GB2312"/>
          <w:b/>
          <w:bCs/>
          <w:color w:val="000000" w:themeColor="text1"/>
          <w:sz w:val="32"/>
          <w:szCs w:val="32"/>
          <w14:textFill>
            <w14:solidFill>
              <w14:schemeClr w14:val="tx1"/>
            </w14:solidFill>
          </w14:textFill>
        </w:rPr>
        <w:t>鼓励消费领域创新。</w:t>
      </w:r>
      <w:r>
        <w:rPr>
          <w:rFonts w:eastAsia="仿宋_GB2312"/>
          <w:bCs/>
          <w:color w:val="000000" w:themeColor="text1"/>
          <w:sz w:val="32"/>
          <w:szCs w:val="32"/>
          <w14:textFill>
            <w14:solidFill>
              <w14:schemeClr w14:val="tx1"/>
            </w14:solidFill>
          </w14:textFill>
        </w:rPr>
        <w:t>鼓励传统商贸企业与电商、新媒体合作，推广社交营销、直播卖货、云逛街等新商业模式。引导企业与社区合作，推广直销配送新模式。加快建立城乡农产品销售对接机制，激活农村消费，推动电子商务向涉农地区延伸覆盖。构建“生产基地+物流配送+末端配送网点”的销售模式，促进农产品批零规模扩大。运用大数据、云计算和移动互联网等技术建立商贸促销平台，或利用现有平台促进商品销售。整合现有系统和供应链上下游数据，对商贸销售数据实施实时监控，健全涉农现代物流网络体系，有效降低涉农地区物流成本。</w:t>
      </w:r>
    </w:p>
    <w:p w14:paraId="0176E6D5">
      <w:pPr>
        <w:topLinePunct/>
        <w:spacing w:line="580" w:lineRule="exact"/>
        <w:ind w:firstLine="640" w:firstLineChars="200"/>
        <w:rPr>
          <w:rFonts w:eastAsia="楷体_GB2312"/>
          <w:bCs/>
          <w:color w:val="000000" w:themeColor="text1"/>
          <w:sz w:val="32"/>
          <w:szCs w:val="32"/>
          <w14:textFill>
            <w14:solidFill>
              <w14:schemeClr w14:val="tx1"/>
            </w14:solidFill>
          </w14:textFill>
        </w:rPr>
      </w:pPr>
      <w:r>
        <w:rPr>
          <w:rFonts w:eastAsia="楷体_GB2312"/>
          <w:bCs/>
          <w:color w:val="000000" w:themeColor="text1"/>
          <w:sz w:val="32"/>
          <w:szCs w:val="32"/>
          <w14:textFill>
            <w14:solidFill>
              <w14:schemeClr w14:val="tx1"/>
            </w14:solidFill>
          </w14:textFill>
        </w:rPr>
        <w:t>（二）精准扩大有效投资</w:t>
      </w:r>
    </w:p>
    <w:p w14:paraId="02436CA0">
      <w:pPr>
        <w:topLinePunct/>
        <w:spacing w:line="580" w:lineRule="exact"/>
        <w:ind w:firstLine="640" w:firstLineChars="200"/>
        <w:rPr>
          <w:rFonts w:eastAsia="仿宋_GB2312"/>
          <w:bCs/>
          <w:color w:val="000000" w:themeColor="text1"/>
          <w:sz w:val="32"/>
          <w:szCs w:val="32"/>
          <w14:textFill>
            <w14:solidFill>
              <w14:schemeClr w14:val="tx1"/>
            </w14:solidFill>
          </w14:textFill>
        </w:rPr>
      </w:pPr>
      <w:r>
        <w:rPr>
          <w:rFonts w:eastAsia="仿宋_GB2312"/>
          <w:bCs/>
          <w:color w:val="000000" w:themeColor="text1"/>
          <w:sz w:val="32"/>
          <w:szCs w:val="32"/>
          <w14:textFill>
            <w14:solidFill>
              <w14:schemeClr w14:val="tx1"/>
            </w14:solidFill>
          </w14:textFill>
        </w:rPr>
        <w:t>聚焦关键领域和薄弱环节，以“加快推进产业现代化和产业链现代化”为投资导向，发挥投资对优化供给结构的关键作用，实现生产要素循环流转，推动投资和融资联动发展。围绕“一带一路”倡议、“长江经济带”等国家战略和云南省世界一流“三张牌”、面向南亚东南亚辐射中心建设及区域性国际中心城市中枢门户区目标，重点投向综合交通、水利、能源、现代物流等基础设施领域；</w:t>
      </w:r>
      <w:r>
        <w:rPr>
          <w:rFonts w:eastAsia="仿宋_GB2312"/>
          <w:b/>
          <w:bCs/>
          <w:color w:val="000000" w:themeColor="text1"/>
          <w:sz w:val="32"/>
          <w:szCs w:val="32"/>
          <w14:textFill>
            <w14:solidFill>
              <w14:schemeClr w14:val="tx1"/>
            </w14:solidFill>
          </w14:textFill>
        </w:rPr>
        <w:t>重点投向</w:t>
      </w:r>
      <w:r>
        <w:rPr>
          <w:rFonts w:eastAsia="仿宋_GB2312"/>
          <w:bCs/>
          <w:color w:val="000000" w:themeColor="text1"/>
          <w:sz w:val="32"/>
          <w:szCs w:val="32"/>
          <w14:textFill>
            <w14:solidFill>
              <w14:schemeClr w14:val="tx1"/>
            </w14:solidFill>
          </w14:textFill>
        </w:rPr>
        <w:t>以信息网络、数据中心、人工智能、工业互联网、物联网等新型基础设施领域；</w:t>
      </w:r>
      <w:r>
        <w:rPr>
          <w:rFonts w:eastAsia="仿宋_GB2312"/>
          <w:b/>
          <w:bCs/>
          <w:color w:val="000000" w:themeColor="text1"/>
          <w:sz w:val="32"/>
          <w:szCs w:val="32"/>
          <w14:textFill>
            <w14:solidFill>
              <w14:schemeClr w14:val="tx1"/>
            </w14:solidFill>
          </w14:textFill>
        </w:rPr>
        <w:t>重点投向</w:t>
      </w:r>
      <w:r>
        <w:rPr>
          <w:rFonts w:eastAsia="仿宋_GB2312"/>
          <w:bCs/>
          <w:color w:val="000000" w:themeColor="text1"/>
          <w:sz w:val="32"/>
          <w:szCs w:val="32"/>
          <w14:textFill>
            <w14:solidFill>
              <w14:schemeClr w14:val="tx1"/>
            </w14:solidFill>
          </w14:textFill>
        </w:rPr>
        <w:t>高端制造和战略新兴产业领域，推进传统产业转型升级，打造一批科技创新平台，加大工业互联网赋能、智能制造等投入，对传统产业进行升级改造；</w:t>
      </w:r>
      <w:r>
        <w:rPr>
          <w:rFonts w:eastAsia="仿宋_GB2312"/>
          <w:b/>
          <w:color w:val="000000" w:themeColor="text1"/>
          <w:sz w:val="32"/>
          <w:szCs w:val="32"/>
          <w14:textFill>
            <w14:solidFill>
              <w14:schemeClr w14:val="tx1"/>
            </w14:solidFill>
          </w14:textFill>
        </w:rPr>
        <w:t>重点投向</w:t>
      </w:r>
      <w:r>
        <w:rPr>
          <w:rFonts w:eastAsia="仿宋_GB2312"/>
          <w:bCs/>
          <w:color w:val="000000" w:themeColor="text1"/>
          <w:sz w:val="32"/>
          <w:szCs w:val="32"/>
          <w14:textFill>
            <w14:solidFill>
              <w14:schemeClr w14:val="tx1"/>
            </w14:solidFill>
          </w14:textFill>
        </w:rPr>
        <w:t>以人为核心的新型城镇化建设领域，全面推进城市更新改造，持续推进老旧小区、城中村改造，聚焦公共服务设施提标扩面、环境卫生提升扩能、市政公用设施提档升级等领域；</w:t>
      </w:r>
      <w:r>
        <w:rPr>
          <w:rFonts w:eastAsia="仿宋_GB2312"/>
          <w:b/>
          <w:bCs/>
          <w:color w:val="000000" w:themeColor="text1"/>
          <w:sz w:val="32"/>
          <w:szCs w:val="32"/>
          <w14:textFill>
            <w14:solidFill>
              <w14:schemeClr w14:val="tx1"/>
            </w14:solidFill>
          </w14:textFill>
        </w:rPr>
        <w:t>重点投向</w:t>
      </w:r>
      <w:r>
        <w:rPr>
          <w:rFonts w:eastAsia="仿宋_GB2312"/>
          <w:bCs/>
          <w:color w:val="000000" w:themeColor="text1"/>
          <w:sz w:val="32"/>
          <w:szCs w:val="32"/>
          <w14:textFill>
            <w14:solidFill>
              <w14:schemeClr w14:val="tx1"/>
            </w14:solidFill>
          </w14:textFill>
        </w:rPr>
        <w:t>人民群众关心的社会保障和社会领域，持续加大基础教育、基本医疗、公共卫生、就业、生态环境保护、物资储备、应急救援、防灾减灾等投入，加快补齐发展短板。</w:t>
      </w:r>
    </w:p>
    <w:p w14:paraId="2CA2A1EC">
      <w:pPr>
        <w:topLinePunct/>
        <w:spacing w:line="580" w:lineRule="exact"/>
        <w:ind w:firstLine="640" w:firstLineChars="200"/>
        <w:rPr>
          <w:rFonts w:eastAsia="楷体_GB2312"/>
          <w:bCs/>
          <w:color w:val="000000" w:themeColor="text1"/>
          <w:sz w:val="32"/>
          <w:szCs w:val="32"/>
          <w14:textFill>
            <w14:solidFill>
              <w14:schemeClr w14:val="tx1"/>
            </w14:solidFill>
          </w14:textFill>
        </w:rPr>
      </w:pPr>
      <w:r>
        <w:rPr>
          <w:rFonts w:eastAsia="楷体_GB2312"/>
          <w:bCs/>
          <w:color w:val="000000" w:themeColor="text1"/>
          <w:sz w:val="32"/>
          <w:szCs w:val="32"/>
          <w14:textFill>
            <w14:solidFill>
              <w14:schemeClr w14:val="tx1"/>
            </w14:solidFill>
          </w14:textFill>
        </w:rPr>
        <w:t>（三）系统谋划重大投资项目布局和运营</w:t>
      </w:r>
    </w:p>
    <w:p w14:paraId="44627988">
      <w:pPr>
        <w:topLinePunct/>
        <w:spacing w:line="580" w:lineRule="exact"/>
        <w:ind w:firstLine="640" w:firstLineChars="200"/>
        <w:rPr>
          <w:rFonts w:eastAsia="仿宋_GB2312"/>
          <w:bCs/>
          <w:color w:val="000000" w:themeColor="text1"/>
          <w:sz w:val="32"/>
          <w:szCs w:val="32"/>
          <w14:textFill>
            <w14:solidFill>
              <w14:schemeClr w14:val="tx1"/>
            </w14:solidFill>
          </w14:textFill>
        </w:rPr>
      </w:pPr>
      <w:r>
        <w:rPr>
          <w:rFonts w:eastAsia="仿宋_GB2312"/>
          <w:bCs/>
          <w:color w:val="000000" w:themeColor="text1"/>
          <w:sz w:val="32"/>
          <w:szCs w:val="32"/>
          <w14:textFill>
            <w14:solidFill>
              <w14:schemeClr w14:val="tx1"/>
            </w14:solidFill>
          </w14:textFill>
        </w:rPr>
        <w:t>健全重大项目储备体系，推动重大项目建设。因地制宜谋划推动西山科技创新、数字经济、产业生态、金融生态发展等市经济项目，推动西山智慧城市、海绵城市、城市更新、城市双修、人居环境、城乡基础设施等城经济项目，促进人才集聚、创新创业、共生共享、文化提升的社会生态发展项目，孵化重点工程、示范工程、基础配套、能力平台等一系列重大项目。做实做优重大项目库，全景构建重大项目作战图，充分完善重大项目管理体系，协同推进重大项目建设，加快重大项目运营增效进程。</w:t>
      </w:r>
      <w:bookmarkStart w:id="102" w:name="_Toc61644779"/>
    </w:p>
    <w:p w14:paraId="2000910D">
      <w:pPr>
        <w:topLinePunct/>
        <w:spacing w:line="580" w:lineRule="exact"/>
        <w:ind w:firstLine="200"/>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二、围绕云南省“辐射中心”目标，强化“六中枢”功能</w:t>
      </w:r>
      <w:bookmarkEnd w:id="102"/>
    </w:p>
    <w:p w14:paraId="593662FD">
      <w:pPr>
        <w:topLinePunct/>
        <w:spacing w:line="580" w:lineRule="exact"/>
        <w:ind w:firstLine="20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深入贯彻云南省打造面向南亚东南亚辐射中心的战略目标，强化“云南政治中心服务承载、滇中生态枢纽、昆明南亚交通门户和区域性国际数字中心、传媒中心、结算中心”六大中枢功能。以云南政治中心服务承载区的站位，高标准推动区域特色化发展；以滇中生态枢纽的理念，高品位谋划生态文明建设；以南亚交通门户的眼光，大视野开创改革开放新格局；充分利用数字、传媒、结算要素，激活数字中心、传媒中心、结算中心的核心引擎作用，占领数字生态与科技创新、文化交流与文化创意、结算经济与平台经济的制高点。</w:t>
      </w:r>
      <w:bookmarkStart w:id="103" w:name="_Toc61644780"/>
    </w:p>
    <w:p w14:paraId="5FD0D7A3">
      <w:pPr>
        <w:topLinePunct/>
        <w:spacing w:line="580" w:lineRule="exact"/>
        <w:ind w:firstLine="200"/>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三、融入昆明“区域性中心城市”进程，推进“六能力”提升</w:t>
      </w:r>
      <w:bookmarkEnd w:id="103"/>
    </w:p>
    <w:p w14:paraId="49EE8E82">
      <w:pPr>
        <w:topLinePunct/>
        <w:spacing w:line="580" w:lineRule="exact"/>
        <w:ind w:firstLine="20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融入昆明市建设区域性国际中心城市的进程，积极落实“ 一枢纽、四中心、三品牌”工作任务，将西山区打造为——区域性国际中心城市中枢门户区。重点挖掘云南省政治中心服务承载、生态枢纽、交通门户的聚集辐射能力；激活数据中心、传媒中心、结算中心的核心引擎能力；塑造会议胜地、三创宝地、服贸高地的要素融合能力；提升文旅圣地、健康福地、商贸旺地的综合引流能力；增强新理念、新要素、新平台、新模式的动能汇聚能力；挖掘新价值、新功能、新需求、新业态的经济链接能力。</w:t>
      </w:r>
      <w:bookmarkStart w:id="104" w:name="_Toc61644781"/>
    </w:p>
    <w:p w14:paraId="1F8D5EDE">
      <w:pPr>
        <w:topLinePunct/>
        <w:spacing w:line="580" w:lineRule="exact"/>
        <w:ind w:firstLine="200"/>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四、推动西山“中枢门户区”建设，加快“六名片”打造</w:t>
      </w:r>
      <w:bookmarkEnd w:id="104"/>
    </w:p>
    <w:p w14:paraId="59299C4A">
      <w:pPr>
        <w:topLinePunct/>
        <w:spacing w:line="580" w:lineRule="exact"/>
        <w:ind w:firstLine="200"/>
        <w:contextualSpacing/>
        <w:rPr>
          <w:rFonts w:eastAsia="仿宋_GB2312"/>
          <w:b/>
          <w:snapToGrid w:val="0"/>
          <w:color w:val="000000" w:themeColor="text1"/>
          <w:kern w:val="0"/>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拓宽“省市战略短板补位发展，占领省市战略高点抢位发展，抢滩区县竞争错位发展，全域三元联动谋位发展，突出亮点错位发展”思路，构建差异化发展格局。重点围绕“三张牌”战略部署，做大文旅产业，促进传统文化与现代科技结合、民族特色与国际元素互动、生态环境与人文场景交融，打造全域全景全时</w:t>
      </w:r>
      <w:r>
        <w:rPr>
          <w:rFonts w:eastAsia="仿宋_GB2312"/>
          <w:b/>
          <w:bCs/>
          <w:color w:val="000000" w:themeColor="text1"/>
          <w:sz w:val="32"/>
          <w:szCs w:val="32"/>
          <w14:textFill>
            <w14:solidFill>
              <w14:schemeClr w14:val="tx1"/>
            </w14:solidFill>
          </w14:textFill>
        </w:rPr>
        <w:t>文旅圣地</w:t>
      </w:r>
      <w:r>
        <w:rPr>
          <w:rFonts w:eastAsia="仿宋_GB2312"/>
          <w:color w:val="000000" w:themeColor="text1"/>
          <w:sz w:val="32"/>
          <w:szCs w:val="32"/>
          <w14:textFill>
            <w14:solidFill>
              <w14:schemeClr w14:val="tx1"/>
            </w14:solidFill>
          </w14:textFill>
        </w:rPr>
        <w:t>；围绕“</w:t>
      </w:r>
      <w:r>
        <w:rPr>
          <w:rFonts w:eastAsia="仿宋_GB2312"/>
          <w:color w:val="333333"/>
          <w:sz w:val="32"/>
          <w:szCs w:val="32"/>
          <w:shd w:val="clear" w:color="auto" w:fill="FFFFFF"/>
        </w:rPr>
        <w:t>国际大健康名城</w:t>
      </w:r>
      <w:r>
        <w:rPr>
          <w:rFonts w:eastAsia="仿宋_GB2312"/>
          <w:color w:val="000000" w:themeColor="text1"/>
          <w:sz w:val="32"/>
          <w:szCs w:val="32"/>
          <w14:textFill>
            <w14:solidFill>
              <w14:schemeClr w14:val="tx1"/>
            </w14:solidFill>
          </w14:textFill>
        </w:rPr>
        <w:t>”部署，发展大健康产业，营造新场景新体验，发展涵盖医疗服务、健康管理、美容美妆、森林康养、民族养生、生物制药、中药种植的美丽健康产业生态圈，打造有区域影响力的</w:t>
      </w:r>
      <w:r>
        <w:rPr>
          <w:rFonts w:eastAsia="仿宋_GB2312"/>
          <w:b/>
          <w:bCs/>
          <w:color w:val="000000" w:themeColor="text1"/>
          <w:sz w:val="32"/>
          <w:szCs w:val="32"/>
          <w14:textFill>
            <w14:solidFill>
              <w14:schemeClr w14:val="tx1"/>
            </w14:solidFill>
          </w14:textFill>
        </w:rPr>
        <w:t>健康福地</w:t>
      </w:r>
      <w:r>
        <w:rPr>
          <w:rFonts w:eastAsia="仿宋_GB2312"/>
          <w:color w:val="000000" w:themeColor="text1"/>
          <w:sz w:val="32"/>
          <w:szCs w:val="32"/>
          <w14:textFill>
            <w14:solidFill>
              <w14:schemeClr w14:val="tx1"/>
            </w14:solidFill>
          </w14:textFill>
        </w:rPr>
        <w:t>；发展大商贸产业，促进新零售与新消费场景融合、现代物流与现代商贸平台联动、国际服务贸易与国际商品贸易互动，打造区域人流、物流、信息流、资金流汇聚的</w:t>
      </w:r>
      <w:r>
        <w:rPr>
          <w:rFonts w:eastAsia="仿宋_GB2312"/>
          <w:b/>
          <w:bCs/>
          <w:color w:val="000000" w:themeColor="text1"/>
          <w:sz w:val="32"/>
          <w:szCs w:val="32"/>
          <w14:textFill>
            <w14:solidFill>
              <w14:schemeClr w14:val="tx1"/>
            </w14:solidFill>
          </w14:textFill>
        </w:rPr>
        <w:t>商贸旺地</w:t>
      </w:r>
      <w:r>
        <w:rPr>
          <w:rFonts w:eastAsia="仿宋_GB2312"/>
          <w:color w:val="000000" w:themeColor="text1"/>
          <w:sz w:val="32"/>
          <w:szCs w:val="32"/>
          <w14:textFill>
            <w14:solidFill>
              <w14:schemeClr w14:val="tx1"/>
            </w14:solidFill>
          </w14:textFill>
        </w:rPr>
        <w:t>；借助省会议中心、云安会都、省委党校、高端酒店等载体功能，积极打造</w:t>
      </w:r>
      <w:r>
        <w:rPr>
          <w:rFonts w:eastAsia="仿宋_GB2312"/>
          <w:b/>
          <w:bCs/>
          <w:color w:val="000000" w:themeColor="text1"/>
          <w:sz w:val="32"/>
          <w:szCs w:val="32"/>
          <w14:textFill>
            <w14:solidFill>
              <w14:schemeClr w14:val="tx1"/>
            </w14:solidFill>
          </w14:textFill>
        </w:rPr>
        <w:t>会议胜地</w:t>
      </w:r>
      <w:r>
        <w:rPr>
          <w:rFonts w:eastAsia="仿宋_GB2312"/>
          <w:color w:val="000000" w:themeColor="text1"/>
          <w:sz w:val="32"/>
          <w:szCs w:val="32"/>
          <w14:textFill>
            <w14:solidFill>
              <w14:schemeClr w14:val="tx1"/>
            </w14:solidFill>
          </w14:textFill>
        </w:rPr>
        <w:t>，促进高端要素融合，扩大西山区域影响力和软实力；激活新机制，打造新载体，以科技创新和数字经济赋能产业发展，以文化创意和特色IP扩大品牌影响，以绿色创新和生态经济引领区域发展，打造科创文创绿创融合发展的</w:t>
      </w:r>
      <w:r>
        <w:rPr>
          <w:rFonts w:eastAsia="仿宋_GB2312"/>
          <w:b/>
          <w:bCs/>
          <w:color w:val="000000" w:themeColor="text1"/>
          <w:sz w:val="32"/>
          <w:szCs w:val="32"/>
          <w14:textFill>
            <w14:solidFill>
              <w14:schemeClr w14:val="tx1"/>
            </w14:solidFill>
          </w14:textFill>
        </w:rPr>
        <w:t>三创宝地</w:t>
      </w:r>
      <w:r>
        <w:rPr>
          <w:rFonts w:eastAsia="仿宋_GB2312"/>
          <w:color w:val="000000" w:themeColor="text1"/>
          <w:sz w:val="32"/>
          <w:szCs w:val="32"/>
          <w14:textFill>
            <w14:solidFill>
              <w14:schemeClr w14:val="tx1"/>
            </w14:solidFill>
          </w14:textFill>
        </w:rPr>
        <w:t>；重塑空间价值，承载昆明区域性国际中心城市战略，错位竞争和协同发展，发力数字经济、金融结算、健康医疗、传媒出版、文化创意、主题旅游、会议培训，打造面向南亚东南亚的</w:t>
      </w:r>
      <w:r>
        <w:rPr>
          <w:rFonts w:eastAsia="仿宋_GB2312"/>
          <w:b/>
          <w:bCs/>
          <w:color w:val="000000" w:themeColor="text1"/>
          <w:sz w:val="32"/>
          <w:szCs w:val="32"/>
          <w14:textFill>
            <w14:solidFill>
              <w14:schemeClr w14:val="tx1"/>
            </w14:solidFill>
          </w14:textFill>
        </w:rPr>
        <w:t>服务贸易高地</w:t>
      </w:r>
      <w:r>
        <w:rPr>
          <w:rFonts w:eastAsia="仿宋_GB2312"/>
          <w:color w:val="000000" w:themeColor="text1"/>
          <w:sz w:val="32"/>
          <w:szCs w:val="32"/>
          <w14:textFill>
            <w14:solidFill>
              <w14:schemeClr w14:val="tx1"/>
            </w14:solidFill>
          </w14:textFill>
        </w:rPr>
        <w:t>；全</w:t>
      </w:r>
      <w:r>
        <w:rPr>
          <w:rFonts w:eastAsia="仿宋_GB2312"/>
          <w:snapToGrid w:val="0"/>
          <w:color w:val="000000" w:themeColor="text1"/>
          <w:kern w:val="0"/>
          <w:sz w:val="32"/>
          <w:szCs w:val="32"/>
          <w14:textFill>
            <w14:solidFill>
              <w14:schemeClr w14:val="tx1"/>
            </w14:solidFill>
          </w14:textFill>
        </w:rPr>
        <w:t>力将西山建设成为充分凸显云南政治中心服务承载、山水都市品质和现代服务业活力特质的</w:t>
      </w:r>
      <w:r>
        <w:rPr>
          <w:rFonts w:eastAsia="仿宋_GB2312"/>
          <w:b/>
          <w:snapToGrid w:val="0"/>
          <w:color w:val="000000" w:themeColor="text1"/>
          <w:kern w:val="0"/>
          <w:sz w:val="32"/>
          <w:szCs w:val="32"/>
          <w14:textFill>
            <w14:solidFill>
              <w14:schemeClr w14:val="tx1"/>
            </w14:solidFill>
          </w14:textFill>
        </w:rPr>
        <w:t>区域性国际中心城市中枢门户区。</w:t>
      </w:r>
      <w:bookmarkEnd w:id="89"/>
      <w:bookmarkEnd w:id="90"/>
      <w:bookmarkEnd w:id="91"/>
      <w:bookmarkEnd w:id="92"/>
      <w:bookmarkEnd w:id="93"/>
      <w:bookmarkEnd w:id="94"/>
      <w:bookmarkEnd w:id="95"/>
      <w:bookmarkEnd w:id="96"/>
      <w:bookmarkEnd w:id="97"/>
      <w:bookmarkStart w:id="105" w:name="_Toc61644782"/>
      <w:bookmarkStart w:id="106" w:name="_Toc2377"/>
      <w:bookmarkStart w:id="107" w:name="_Toc29391"/>
      <w:bookmarkStart w:id="108" w:name="_Toc29665"/>
      <w:bookmarkStart w:id="109" w:name="_Toc26224"/>
      <w:bookmarkStart w:id="110" w:name="_Toc20812"/>
      <w:bookmarkStart w:id="111" w:name="_Toc24784"/>
      <w:bookmarkStart w:id="112" w:name="_Toc8353"/>
      <w:bookmarkStart w:id="113" w:name="_Toc28902"/>
      <w:bookmarkStart w:id="114" w:name="_Toc6552"/>
      <w:bookmarkStart w:id="115" w:name="_Toc17984"/>
      <w:bookmarkStart w:id="116" w:name="_Toc4566"/>
      <w:bookmarkStart w:id="117" w:name="_Toc29733"/>
      <w:bookmarkStart w:id="118" w:name="_Toc20659"/>
      <w:bookmarkStart w:id="119" w:name="_Toc3126"/>
      <w:bookmarkStart w:id="120" w:name="_Toc7932"/>
      <w:bookmarkStart w:id="121" w:name="_Toc8874"/>
      <w:bookmarkStart w:id="122" w:name="_Toc15918"/>
      <w:bookmarkStart w:id="123" w:name="_Toc4327"/>
    </w:p>
    <w:p w14:paraId="1553D242">
      <w:pPr>
        <w:topLinePunct/>
        <w:spacing w:line="580" w:lineRule="exact"/>
        <w:ind w:firstLine="640"/>
        <w:contextualSpacing/>
        <w:jc w:val="center"/>
        <w:rPr>
          <w:rFonts w:eastAsia="黑体"/>
          <w:b/>
          <w:sz w:val="32"/>
          <w:szCs w:val="32"/>
        </w:rPr>
      </w:pPr>
      <w:r>
        <w:rPr>
          <w:rFonts w:eastAsia="黑体"/>
          <w:sz w:val="32"/>
          <w:szCs w:val="32"/>
        </w:rPr>
        <w:t>第四章 深化改革创新开放，激发新发展活力</w:t>
      </w:r>
      <w:bookmarkEnd w:id="105"/>
    </w:p>
    <w:p w14:paraId="2747BD9E">
      <w:pPr>
        <w:topLinePunct/>
        <w:spacing w:line="58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深入实施科教兴区、人才强区、创新驱动发展战略，面向世界科技前沿、面向经济主战场、面向国家重大需求、面向人民生命健康，把创新摆在发展全局的战略高度，加快科技强区建设。积极承载省委、省人大、省政协等省级重要机关办公驻地的服务功能，增强主动服务的行动自觉，深化改革创新开放，营造优良发展环境，努力建设成为展示云南省会形象的重要窗口。</w:t>
      </w:r>
      <w:bookmarkStart w:id="124" w:name="_Toc58957622"/>
      <w:bookmarkStart w:id="125" w:name="_Toc61644783"/>
    </w:p>
    <w:p w14:paraId="689614B3">
      <w:pPr>
        <w:topLinePunct/>
        <w:spacing w:line="580" w:lineRule="exact"/>
        <w:ind w:firstLine="640"/>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一、深入实施创新驱动</w:t>
      </w:r>
      <w:bookmarkEnd w:id="124"/>
      <w:r>
        <w:rPr>
          <w:rFonts w:eastAsia="黑体"/>
          <w:bCs/>
          <w:color w:val="000000" w:themeColor="text1"/>
          <w:sz w:val="32"/>
          <w:szCs w:val="32"/>
          <w14:textFill>
            <w14:solidFill>
              <w14:schemeClr w14:val="tx1"/>
            </w14:solidFill>
          </w14:textFill>
        </w:rPr>
        <w:t>战略</w:t>
      </w:r>
      <w:bookmarkEnd w:id="125"/>
    </w:p>
    <w:p w14:paraId="5F4D68C0">
      <w:pPr>
        <w:topLinePunct/>
        <w:spacing w:line="580" w:lineRule="exact"/>
        <w:ind w:firstLine="643"/>
        <w:rPr>
          <w:rFonts w:eastAsia="仿宋_GB2312"/>
          <w:bCs/>
          <w:color w:val="000000" w:themeColor="text1"/>
          <w:sz w:val="32"/>
          <w:szCs w:val="32"/>
          <w14:textFill>
            <w14:solidFill>
              <w14:schemeClr w14:val="tx1"/>
            </w14:solidFill>
          </w14:textFill>
        </w:rPr>
      </w:pPr>
      <w:r>
        <w:rPr>
          <w:rFonts w:eastAsia="仿宋_GB2312"/>
          <w:b/>
          <w:bCs/>
          <w:color w:val="000000" w:themeColor="text1"/>
          <w:sz w:val="32"/>
          <w:szCs w:val="32"/>
          <w14:textFill>
            <w14:solidFill>
              <w14:schemeClr w14:val="tx1"/>
            </w14:solidFill>
          </w14:textFill>
        </w:rPr>
        <w:t>强化科技创新支撑力度。</w:t>
      </w:r>
      <w:r>
        <w:rPr>
          <w:rFonts w:eastAsia="仿宋_GB2312"/>
          <w:snapToGrid w:val="0"/>
          <w:color w:val="000000" w:themeColor="text1"/>
          <w:sz w:val="32"/>
          <w:szCs w:val="32"/>
          <w14:textFill>
            <w14:solidFill>
              <w14:schemeClr w14:val="tx1"/>
            </w14:solidFill>
          </w14:textFill>
        </w:rPr>
        <w:t>保持R&amp;D经费投入强度稳步提升，</w:t>
      </w:r>
      <w:r>
        <w:rPr>
          <w:rFonts w:eastAsia="仿宋_GB2312"/>
          <w:bCs/>
          <w:color w:val="000000" w:themeColor="text1"/>
          <w:sz w:val="32"/>
          <w:szCs w:val="32"/>
          <w14:textFill>
            <w14:solidFill>
              <w14:schemeClr w14:val="tx1"/>
            </w14:solidFill>
          </w14:textFill>
        </w:rPr>
        <w:t>强化科技支撑催生新发展动能，加强基础研究、打好关键核心技术攻坚战。推进公民科学素质建设。</w:t>
      </w:r>
      <w:r>
        <w:rPr>
          <w:rFonts w:eastAsia="仿宋_GB2312"/>
          <w:b/>
          <w:bCs/>
          <w:color w:val="000000" w:themeColor="text1"/>
          <w:sz w:val="32"/>
          <w:szCs w:val="32"/>
          <w14:textFill>
            <w14:solidFill>
              <w14:schemeClr w14:val="tx1"/>
            </w14:solidFill>
          </w14:textFill>
        </w:rPr>
        <w:t>积极布局创新基础平台。</w:t>
      </w:r>
      <w:r>
        <w:rPr>
          <w:rFonts w:eastAsia="仿宋_GB2312"/>
          <w:bCs/>
          <w:color w:val="000000" w:themeColor="text1"/>
          <w:sz w:val="32"/>
          <w:szCs w:val="32"/>
          <w14:textFill>
            <w14:solidFill>
              <w14:schemeClr w14:val="tx1"/>
            </w14:solidFill>
          </w14:textFill>
        </w:rPr>
        <w:t>切实提高科技进步贡献率、战略性新兴产业增加值比重。加快智能工厂、智能车间建设，支持企业加强科技研发和应用，大力实施高新技术企业、科技型企业、中小微企业培育工程。加强科技合作，持续发展各级各类科技创新中心、企业技术中心、院士（博士）工作站、重点实验室、工程实验室等研发机构，加快提升公共创新平台融合程度。在智慧政务、智慧城市、智慧交通、数字公安、数字医疗、数字环保等领域率先实施一批示范带动项目。加快推动“城建投、健康投、文旅投、绿发投、创发投、教育投”六大引导平台的建设和完善。</w:t>
      </w:r>
      <w:r>
        <w:rPr>
          <w:rFonts w:eastAsia="仿宋_GB2312"/>
          <w:b/>
          <w:bCs/>
          <w:color w:val="000000" w:themeColor="text1"/>
          <w:sz w:val="32"/>
          <w:szCs w:val="32"/>
          <w14:textFill>
            <w14:solidFill>
              <w14:schemeClr w14:val="tx1"/>
            </w14:solidFill>
          </w14:textFill>
        </w:rPr>
        <w:t>强化培育创新主体。</w:t>
      </w:r>
      <w:r>
        <w:rPr>
          <w:rFonts w:eastAsia="仿宋_GB2312"/>
          <w:bCs/>
          <w:color w:val="000000" w:themeColor="text1"/>
          <w:sz w:val="32"/>
          <w:szCs w:val="32"/>
          <w14:textFill>
            <w14:solidFill>
              <w14:schemeClr w14:val="tx1"/>
            </w14:solidFill>
          </w14:textFill>
        </w:rPr>
        <w:t>壮大高新技术企业后备培育库。着力培育一批有核心竞争力的骨干企业和科技型中小企业，梯度培育、差异培育、推动全区科技型中小企业数量和质量双提升。鼓励有条件的科技企业到科创板、创业板上市及新三板挂牌融资，培育一批质量效益优良的“隐形冠军”和专精新特的“小巨人”企业。搭建一批政产学研用联盟平台，提升校院（所）企地协同创新能力。积极促进大众创业万众创新，探索形成覆盖创新创业全过程的服务链。大力推进知识产权改革及保护，健全多元化、多层次的科技创新投入机制。</w:t>
      </w:r>
      <w:r>
        <w:rPr>
          <w:rFonts w:eastAsia="仿宋_GB2312"/>
          <w:b/>
          <w:color w:val="000000" w:themeColor="text1"/>
          <w:sz w:val="32"/>
          <w:szCs w:val="32"/>
          <w14:textFill>
            <w14:solidFill>
              <w14:schemeClr w14:val="tx1"/>
            </w14:solidFill>
          </w14:textFill>
        </w:rPr>
        <w:t>营造良好科普工作环境和氛围。</w:t>
      </w:r>
      <w:r>
        <w:rPr>
          <w:rFonts w:eastAsia="仿宋_GB2312"/>
          <w:bCs/>
          <w:color w:val="000000" w:themeColor="text1"/>
          <w:sz w:val="32"/>
          <w:szCs w:val="32"/>
          <w14:textFill>
            <w14:solidFill>
              <w14:schemeClr w14:val="tx1"/>
            </w14:solidFill>
          </w14:textFill>
        </w:rPr>
        <w:t>重视科普工作，积极创建2021-2025年全国科普示范县（市、区），以重点人群科学素质行动带动全民科学素质的整体提高；加强科学教育与培训，强化科普资源开发利用与共享，积极利用大众传媒开展科技传播，在广播电台、电视台、报纸和杂志等媒体开设科普宣传栏目，拓展全民提高自身科学素质的机会与途径。吸引社会各方面力量兴办科普事业或参与活动，兴建西山区科技馆，充分利用各类综合性科普活动场所、新时代文明实践中心、党群活动中心、社区、街道、学校等开展精准化、多样化科普活动。充分发挥科普工作在提高公民科学素养，促进科技创新、经济社会发展和谐社会建设等方面的积极作用，探索提高全民科学素质的有效手段和方式，创新开拓基层科普阵地，提高科普条件和能力，提升科普成效。</w:t>
      </w:r>
    </w:p>
    <w:tbl>
      <w:tblPr>
        <w:tblStyle w:val="42"/>
        <w:tblW w:w="88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73"/>
      </w:tblGrid>
      <w:tr w14:paraId="78374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8873" w:type="dxa"/>
            <w:tcBorders>
              <w:top w:val="single" w:color="auto" w:sz="4" w:space="0"/>
              <w:left w:val="single" w:color="auto" w:sz="4" w:space="0"/>
              <w:bottom w:val="single" w:color="auto" w:sz="4" w:space="0"/>
              <w:right w:val="single" w:color="auto" w:sz="4" w:space="0"/>
            </w:tcBorders>
            <w:vAlign w:val="center"/>
          </w:tcPr>
          <w:p w14:paraId="1D52D231">
            <w:pPr>
              <w:topLinePunct/>
              <w:jc w:val="center"/>
              <w:rPr>
                <w:rFonts w:eastAsia="黑体"/>
                <w:color w:val="000000" w:themeColor="text1"/>
                <w:kern w:val="0"/>
                <w:sz w:val="28"/>
                <w:szCs w:val="28"/>
                <w14:textFill>
                  <w14:solidFill>
                    <w14:schemeClr w14:val="tx1"/>
                  </w14:solidFill>
                </w14:textFill>
              </w:rPr>
            </w:pPr>
            <w:r>
              <w:rPr>
                <w:rFonts w:eastAsia="黑体"/>
                <w:color w:val="000000" w:themeColor="text1"/>
                <w:kern w:val="0"/>
                <w:sz w:val="28"/>
                <w:szCs w:val="28"/>
                <w14:textFill>
                  <w14:solidFill>
                    <w14:schemeClr w14:val="tx1"/>
                  </w14:solidFill>
                </w14:textFill>
              </w:rPr>
              <w:t>专栏2 西山区创新驱动培育工程</w:t>
            </w:r>
          </w:p>
        </w:tc>
      </w:tr>
      <w:tr w14:paraId="52A142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873" w:type="dxa"/>
            <w:tcBorders>
              <w:top w:val="single" w:color="auto" w:sz="4" w:space="0"/>
              <w:left w:val="single" w:color="auto" w:sz="4" w:space="0"/>
              <w:bottom w:val="single" w:color="auto" w:sz="4" w:space="0"/>
              <w:right w:val="single" w:color="auto" w:sz="4" w:space="0"/>
            </w:tcBorders>
          </w:tcPr>
          <w:p w14:paraId="0FE7CE06">
            <w:pPr>
              <w:topLinePunct/>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1.健康西山培育创新工程。</w:t>
            </w:r>
            <w:r>
              <w:rPr>
                <w:rFonts w:eastAsia="仿宋_GB2312"/>
                <w:color w:val="000000" w:themeColor="text1"/>
                <w:sz w:val="24"/>
                <w14:textFill>
                  <w14:solidFill>
                    <w14:schemeClr w14:val="tx1"/>
                  </w14:solidFill>
                </w14:textFill>
              </w:rPr>
              <w:t>擦亮健康福地地区名片，探索生命、生产、生活、生态互动的体制机制创新，营造健康文化、健康产业、健康生活的美丽健康的科创场景、应用场景、体验场景，力争构建全市最完整的大健康产业生态圈。</w:t>
            </w:r>
          </w:p>
          <w:p w14:paraId="51CAB320">
            <w:pPr>
              <w:topLinePunct/>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2.数字西山培育创新工程。</w:t>
            </w:r>
            <w:r>
              <w:rPr>
                <w:rFonts w:eastAsia="仿宋_GB2312"/>
                <w:color w:val="000000" w:themeColor="text1"/>
                <w:sz w:val="24"/>
                <w14:textFill>
                  <w14:solidFill>
                    <w14:schemeClr w14:val="tx1"/>
                  </w14:solidFill>
                </w14:textFill>
              </w:rPr>
              <w:t>构建地区数字生态，设立数字化产业基金，搭建数字经济战略协作联盟，打造数字化应用创新场景，创新数字化社区建设等系列体制机制。</w:t>
            </w:r>
          </w:p>
          <w:p w14:paraId="64341DBF">
            <w:pPr>
              <w:topLinePunct/>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3.绿色西山培育创新工程。</w:t>
            </w:r>
            <w:r>
              <w:rPr>
                <w:rFonts w:eastAsia="仿宋_GB2312"/>
                <w:color w:val="000000" w:themeColor="text1"/>
                <w:sz w:val="24"/>
                <w14:textFill>
                  <w14:solidFill>
                    <w14:schemeClr w14:val="tx1"/>
                  </w14:solidFill>
                </w14:textFill>
              </w:rPr>
              <w:t>坚持绿色发展理念，全面探索科创文创绿创融合发展模式，成立西山区绿色发展投资集团引领绿色发展，率先打造云南特色产业地区品牌、认证平台、溯源平台、博览平台、交易平台，发展生态农业、森林康养等。</w:t>
            </w:r>
          </w:p>
          <w:p w14:paraId="1C4740C7">
            <w:pPr>
              <w:topLinePunct/>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4.传媒西山培育创新工程。</w:t>
            </w:r>
            <w:r>
              <w:rPr>
                <w:rFonts w:eastAsia="仿宋_GB2312"/>
                <w:color w:val="000000" w:themeColor="text1"/>
                <w:sz w:val="24"/>
                <w14:textFill>
                  <w14:solidFill>
                    <w14:schemeClr w14:val="tx1"/>
                  </w14:solidFill>
                </w14:textFill>
              </w:rPr>
              <w:t>发挥省主要传媒机构、传媒平台、高端会场集聚的优势，大力发展内容制作、新闻出版、广告传播、创意设计、印刷包装、会议会展产业，引导国际合作，面向南亚东南亚开展文化交流、版权交易、文化输出等服务。</w:t>
            </w:r>
          </w:p>
          <w:p w14:paraId="2A6031AD">
            <w:pPr>
              <w:topLinePunct/>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5.服贸西山发展培育创新工程。</w:t>
            </w:r>
            <w:r>
              <w:rPr>
                <w:rFonts w:eastAsia="仿宋_GB2312"/>
                <w:color w:val="000000" w:themeColor="text1"/>
                <w:sz w:val="24"/>
                <w14:textFill>
                  <w14:solidFill>
                    <w14:schemeClr w14:val="tx1"/>
                  </w14:solidFill>
                </w14:textFill>
              </w:rPr>
              <w:t>推动服务贸易引领现代服务业高质量发展，打造辐射南亚东南亚的服务贸易高地。运用中国云南自贸试验区的体制机制创新经验，激励政策创新、产业链创新、产业平台创新、消费场景创新，大力推动服务贸易创新发展。</w:t>
            </w:r>
          </w:p>
          <w:p w14:paraId="777BF880">
            <w:pPr>
              <w:topLinePunct/>
              <w:rPr>
                <w:rFonts w:eastAsia="仿宋_GB2312"/>
                <w:b/>
                <w:bCs/>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6.结算西山培育创新工程。</w:t>
            </w:r>
            <w:r>
              <w:rPr>
                <w:rFonts w:eastAsia="仿宋_GB2312"/>
                <w:color w:val="000000" w:themeColor="text1"/>
                <w:sz w:val="24"/>
                <w14:textFill>
                  <w14:solidFill>
                    <w14:schemeClr w14:val="tx1"/>
                  </w14:solidFill>
                </w14:textFill>
              </w:rPr>
              <w:t>大力发展结算经济，抢占区域性国际中心城市结算中心功能。做活总部楼宇与总部基地，发展总部结算；加强互联网与区块链创新，发展数字结算；发展招商区域总部和行业联盟，发展运营结算；争取打造普惠金融、绿色金融、供应链金融中心，强化金融结算。</w:t>
            </w:r>
          </w:p>
        </w:tc>
      </w:tr>
    </w:tbl>
    <w:p w14:paraId="6A1D4E20">
      <w:pPr>
        <w:spacing w:line="560" w:lineRule="exact"/>
        <w:ind w:firstLine="640" w:firstLineChars="200"/>
        <w:rPr>
          <w:rFonts w:eastAsia="黑体"/>
          <w:sz w:val="32"/>
          <w:szCs w:val="32"/>
        </w:rPr>
      </w:pPr>
      <w:bookmarkStart w:id="126" w:name="_Toc58957623"/>
      <w:bookmarkStart w:id="127" w:name="_Toc61644784"/>
      <w:r>
        <w:rPr>
          <w:rFonts w:eastAsia="黑体"/>
          <w:sz w:val="32"/>
          <w:szCs w:val="32"/>
        </w:rPr>
        <w:t>二、</w:t>
      </w:r>
      <w:bookmarkEnd w:id="126"/>
      <w:r>
        <w:rPr>
          <w:rFonts w:eastAsia="黑体"/>
          <w:sz w:val="32"/>
          <w:szCs w:val="32"/>
        </w:rPr>
        <w:t>全面激发人才创新活力</w:t>
      </w:r>
      <w:bookmarkEnd w:id="127"/>
    </w:p>
    <w:p w14:paraId="4CD2EDB8">
      <w:pPr>
        <w:topLinePunct/>
        <w:spacing w:line="560" w:lineRule="exact"/>
        <w:ind w:firstLine="643"/>
        <w:rPr>
          <w:rFonts w:eastAsia="仿宋_GB2312"/>
          <w:color w:val="000000" w:themeColor="text1"/>
          <w:sz w:val="32"/>
          <w:szCs w:val="32"/>
          <w14:textFill>
            <w14:solidFill>
              <w14:schemeClr w14:val="tx1"/>
            </w14:solidFill>
          </w14:textFill>
        </w:rPr>
      </w:pPr>
      <w:bookmarkStart w:id="128" w:name="_Toc58957624"/>
      <w:r>
        <w:rPr>
          <w:rFonts w:eastAsia="仿宋_GB2312"/>
          <w:b/>
          <w:bCs/>
          <w:color w:val="000000" w:themeColor="text1"/>
          <w:sz w:val="32"/>
          <w:szCs w:val="32"/>
          <w14:textFill>
            <w14:solidFill>
              <w14:schemeClr w14:val="tx1"/>
            </w14:solidFill>
          </w14:textFill>
        </w:rPr>
        <w:t>构建人才培育体系。</w:t>
      </w:r>
      <w:r>
        <w:rPr>
          <w:rFonts w:eastAsia="仿宋_GB2312"/>
          <w:color w:val="000000" w:themeColor="text1"/>
          <w:sz w:val="32"/>
          <w:szCs w:val="32"/>
          <w14:textFill>
            <w14:solidFill>
              <w14:schemeClr w14:val="tx1"/>
            </w14:solidFill>
          </w14:textFill>
        </w:rPr>
        <w:t>深化人才发展体制机制改革，全方位培养</w:t>
      </w:r>
      <w:r>
        <w:rPr>
          <w:rFonts w:eastAsia="仿宋_GB2312"/>
          <w:bCs/>
          <w:color w:val="000000" w:themeColor="text1"/>
          <w:sz w:val="32"/>
          <w:szCs w:val="32"/>
          <w14:textFill>
            <w14:solidFill>
              <w14:schemeClr w14:val="tx1"/>
            </w14:solidFill>
          </w14:textFill>
        </w:rPr>
        <w:t>、引进、用好人才，培养具有竞争力的青年科技人才后备军。明晰人才工作部门权责，明确专职人才工作人员，加大人才工作专项经费支持，系统实施人才工作组合政策，分类别、分层次制定各类人才政策和计划（《西山区人才名家培养支持计划》《西山区重点产业紧缺人才政策》《西山区高校毕业生留存计划</w:t>
      </w:r>
      <w:r>
        <w:rPr>
          <w:rFonts w:eastAsia="仿宋_GB2312"/>
          <w:color w:val="000000" w:themeColor="text1"/>
          <w:sz w:val="32"/>
          <w:szCs w:val="32"/>
          <w14:textFill>
            <w14:solidFill>
              <w14:schemeClr w14:val="tx1"/>
            </w14:solidFill>
          </w14:textFill>
        </w:rPr>
        <w:t>》《西山区城乡人才融合政策》）。</w:t>
      </w:r>
      <w:r>
        <w:rPr>
          <w:rFonts w:eastAsia="仿宋_GB2312"/>
          <w:b/>
          <w:bCs/>
          <w:color w:val="000000" w:themeColor="text1"/>
          <w:sz w:val="32"/>
          <w:szCs w:val="32"/>
          <w14:textFill>
            <w14:solidFill>
              <w14:schemeClr w14:val="tx1"/>
            </w14:solidFill>
          </w14:textFill>
        </w:rPr>
        <w:t>搭建人才服务平台。</w:t>
      </w:r>
      <w:r>
        <w:rPr>
          <w:rFonts w:eastAsia="仿宋_GB2312"/>
          <w:color w:val="000000" w:themeColor="text1"/>
          <w:sz w:val="32"/>
          <w:szCs w:val="32"/>
          <w14:textFill>
            <w14:solidFill>
              <w14:schemeClr w14:val="tx1"/>
            </w14:solidFill>
          </w14:textFill>
        </w:rPr>
        <w:t>提升人才服务效率，建设西山区人才服务信息化系统，全面实现“互联网+人才服务”，集成人才申报、人才服务、人才评估、政策长廊等功能，提升人才服务效率。</w:t>
      </w:r>
      <w:r>
        <w:rPr>
          <w:rFonts w:eastAsia="仿宋_GB2312"/>
          <w:b/>
          <w:bCs/>
          <w:color w:val="000000" w:themeColor="text1"/>
          <w:sz w:val="32"/>
          <w:szCs w:val="32"/>
          <w14:textFill>
            <w14:solidFill>
              <w14:schemeClr w14:val="tx1"/>
            </w14:solidFill>
          </w14:textFill>
        </w:rPr>
        <w:t>打造“贤聚西山”人才工作品牌。</w:t>
      </w:r>
      <w:r>
        <w:rPr>
          <w:rFonts w:eastAsia="仿宋_GB2312"/>
          <w:bCs/>
          <w:color w:val="000000" w:themeColor="text1"/>
          <w:sz w:val="32"/>
          <w:szCs w:val="32"/>
          <w14:textFill>
            <w14:solidFill>
              <w14:schemeClr w14:val="tx1"/>
            </w14:solidFill>
          </w14:textFill>
        </w:rPr>
        <w:t>聚焦高层次人才和团队，大力实施产才融合战略，</w:t>
      </w:r>
      <w:r>
        <w:rPr>
          <w:rFonts w:eastAsia="仿宋_GB2312"/>
          <w:color w:val="000000" w:themeColor="text1"/>
          <w:sz w:val="32"/>
          <w:szCs w:val="32"/>
          <w14:textFill>
            <w14:solidFill>
              <w14:schemeClr w14:val="tx1"/>
            </w14:solidFill>
          </w14:textFill>
        </w:rPr>
        <w:t>深入推进人才工作“五、十、百”工程，大力推进教育人才“三名工程”、社工人才“三社联动”、名中医工作室等各项重点人才工作，吸引更多创新创业人才汇聚西山。</w:t>
      </w:r>
      <w:r>
        <w:rPr>
          <w:rFonts w:eastAsia="仿宋_GB2312"/>
          <w:b/>
          <w:bCs/>
          <w:color w:val="000000" w:themeColor="text1"/>
          <w:sz w:val="32"/>
          <w:szCs w:val="32"/>
          <w14:textFill>
            <w14:solidFill>
              <w14:schemeClr w14:val="tx1"/>
            </w14:solidFill>
          </w14:textFill>
        </w:rPr>
        <w:t>完善人才引进与交流合作。</w:t>
      </w:r>
      <w:r>
        <w:rPr>
          <w:rFonts w:eastAsia="仿宋_GB2312"/>
          <w:color w:val="000000" w:themeColor="text1"/>
          <w:sz w:val="32"/>
          <w:szCs w:val="32"/>
          <w14:textFill>
            <w14:solidFill>
              <w14:schemeClr w14:val="tx1"/>
            </w14:solidFill>
          </w14:textFill>
        </w:rPr>
        <w:t>建立健全人才引进的创新激励和保障机制，妥善构建各类人才住房、医疗、子女入学、社会保障、配套随迁、职称评定等引进体系，为引进人才和留住人才提供优质服务。加强与国际友好城市的科技合作与交流，搭建大学生就业实践、创新创业平台，探索建立区域性国际科技人才合作机制与平台。</w:t>
      </w:r>
    </w:p>
    <w:tbl>
      <w:tblPr>
        <w:tblStyle w:val="42"/>
        <w:tblW w:w="88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73"/>
      </w:tblGrid>
      <w:tr w14:paraId="388648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8873" w:type="dxa"/>
            <w:tcBorders>
              <w:top w:val="single" w:color="auto" w:sz="4" w:space="0"/>
              <w:left w:val="single" w:color="auto" w:sz="4" w:space="0"/>
              <w:bottom w:val="single" w:color="auto" w:sz="4" w:space="0"/>
              <w:right w:val="single" w:color="auto" w:sz="4" w:space="0"/>
            </w:tcBorders>
            <w:vAlign w:val="center"/>
          </w:tcPr>
          <w:p w14:paraId="02DDC4F5">
            <w:pPr>
              <w:topLinePunct/>
              <w:jc w:val="center"/>
              <w:rPr>
                <w:color w:val="000000" w:themeColor="text1"/>
                <w:kern w:val="0"/>
                <w:sz w:val="28"/>
                <w:szCs w:val="28"/>
                <w14:textFill>
                  <w14:solidFill>
                    <w14:schemeClr w14:val="tx1"/>
                  </w14:solidFill>
                </w14:textFill>
              </w:rPr>
            </w:pPr>
            <w:r>
              <w:rPr>
                <w:rFonts w:eastAsia="黑体"/>
                <w:color w:val="000000" w:themeColor="text1"/>
                <w:sz w:val="28"/>
                <w:szCs w:val="28"/>
                <w14:textFill>
                  <w14:solidFill>
                    <w14:schemeClr w14:val="tx1"/>
                  </w14:solidFill>
                </w14:textFill>
              </w:rPr>
              <w:t>专栏3 人才队伍建设工程</w:t>
            </w:r>
          </w:p>
        </w:tc>
      </w:tr>
      <w:tr w14:paraId="64FFB9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873" w:type="dxa"/>
            <w:tcBorders>
              <w:top w:val="single" w:color="auto" w:sz="4" w:space="0"/>
              <w:left w:val="single" w:color="auto" w:sz="4" w:space="0"/>
              <w:bottom w:val="single" w:color="auto" w:sz="4" w:space="0"/>
              <w:right w:val="single" w:color="auto" w:sz="4" w:space="0"/>
            </w:tcBorders>
          </w:tcPr>
          <w:p w14:paraId="5C3C6777">
            <w:pPr>
              <w:kinsoku w:val="0"/>
              <w:overflowPunct w:val="0"/>
              <w:topLinePunct/>
              <w:autoSpaceDE w:val="0"/>
              <w:autoSpaceDN w:val="0"/>
              <w:adjustRightInd w:val="0"/>
              <w:snapToGrid w:val="0"/>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1.高技能人才培育项目。</w:t>
            </w:r>
            <w:r>
              <w:rPr>
                <w:rFonts w:eastAsia="仿宋_GB2312"/>
                <w:color w:val="000000" w:themeColor="text1"/>
                <w:sz w:val="24"/>
                <w14:textFill>
                  <w14:solidFill>
                    <w14:schemeClr w14:val="tx1"/>
                  </w14:solidFill>
                </w14:textFill>
              </w:rPr>
              <w:t>广泛开展岗位大练兵、技能大比武活动，通过职业技能大赛选拔产生技术能手。结合重点产业和重点工程项目，大力引进国内外具有技术攻关、技术革新等重大成果的高端技能人才。建立和完善高技能人才评选表彰制度，形成以政府奖励为导向，用人单位和社会力量奖励为主体的高技能人才奖励体系。</w:t>
            </w:r>
          </w:p>
          <w:p w14:paraId="62437F8A">
            <w:pPr>
              <w:kinsoku w:val="0"/>
              <w:overflowPunct w:val="0"/>
              <w:topLinePunct/>
              <w:autoSpaceDE w:val="0"/>
              <w:autoSpaceDN w:val="0"/>
              <w:adjustRightInd w:val="0"/>
              <w:snapToGrid w:val="0"/>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2.技能大师工作室项目。</w:t>
            </w:r>
            <w:r>
              <w:rPr>
                <w:rFonts w:eastAsia="仿宋_GB2312"/>
                <w:color w:val="000000" w:themeColor="text1"/>
                <w:sz w:val="24"/>
                <w14:textFill>
                  <w14:solidFill>
                    <w14:schemeClr w14:val="tx1"/>
                  </w14:solidFill>
                </w14:textFill>
              </w:rPr>
              <w:t>鼓励企业选拔生产和服务一线的技能大师，依托其单位建设一批技能大师工作室，开展带徒传技、技能攻关、技艺传承、技能推广等工作，培育一批具有绝技绝活的能工巧匠，扶持一批能够继承传统技术工艺的优秀人才。</w:t>
            </w:r>
          </w:p>
          <w:p w14:paraId="2ECF33ED">
            <w:pPr>
              <w:keepNext/>
              <w:kinsoku w:val="0"/>
              <w:topLinePunct/>
              <w:rPr>
                <w:rFonts w:eastAsia="仿宋_GB2312"/>
                <w:b/>
                <w:bCs/>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3.民营企业聚才爱才项目。</w:t>
            </w:r>
            <w:r>
              <w:rPr>
                <w:rFonts w:eastAsia="仿宋_GB2312"/>
                <w:color w:val="000000" w:themeColor="text1"/>
                <w:sz w:val="24"/>
                <w14:textFill>
                  <w14:solidFill>
                    <w14:schemeClr w14:val="tx1"/>
                  </w14:solidFill>
                </w14:textFill>
              </w:rPr>
              <w:t>在民营企业中运用柔性人才引进政策，根据用人单位和人才的需求，创新用工形式，真正做到以用为本。鼓励民营企业进一步完善高层次人才特殊待遇制度，对重才爱才民营企业和民营企业家进行鼓励和表彰。</w:t>
            </w:r>
          </w:p>
          <w:p w14:paraId="5283B75A">
            <w:pPr>
              <w:topLinePunct/>
              <w:rPr>
                <w:rFonts w:eastAsia="方正仿宋_GBK"/>
                <w:b/>
                <w:bCs/>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4.企业家培育引入项目。</w:t>
            </w:r>
            <w:r>
              <w:rPr>
                <w:rFonts w:eastAsia="仿宋_GB2312"/>
                <w:color w:val="000000" w:themeColor="text1"/>
                <w:sz w:val="24"/>
                <w14:textFill>
                  <w14:solidFill>
                    <w14:schemeClr w14:val="tx1"/>
                  </w14:solidFill>
                </w14:textFill>
              </w:rPr>
              <w:t>重点聚焦自主创业青年企业家、第二代青年企业家，围绕“互联网+”、“中国制造2025”、西山区“4×3”现代产业体系，以培育和提升新生代企业家战略规划能力、协同创新能力、团队管理能力、市场拓展能力为出发点，通过政策支持、金融保障、拓展培训、个性服务等方式，为西山区经济转型升级注入新动力。</w:t>
            </w:r>
          </w:p>
        </w:tc>
      </w:tr>
    </w:tbl>
    <w:p w14:paraId="013D4D53">
      <w:pPr>
        <w:spacing w:line="560" w:lineRule="exact"/>
        <w:ind w:firstLine="640" w:firstLineChars="200"/>
        <w:rPr>
          <w:rFonts w:eastAsia="黑体"/>
          <w:sz w:val="32"/>
          <w:szCs w:val="32"/>
        </w:rPr>
      </w:pPr>
      <w:bookmarkStart w:id="129" w:name="_Toc61644785"/>
      <w:r>
        <w:rPr>
          <w:rFonts w:eastAsia="黑体"/>
          <w:sz w:val="32"/>
          <w:szCs w:val="32"/>
        </w:rPr>
        <w:t>三、扎实推进各项改革</w:t>
      </w:r>
      <w:bookmarkEnd w:id="128"/>
      <w:r>
        <w:rPr>
          <w:rFonts w:eastAsia="黑体"/>
          <w:sz w:val="32"/>
          <w:szCs w:val="32"/>
        </w:rPr>
        <w:t>事业</w:t>
      </w:r>
      <w:bookmarkEnd w:id="129"/>
    </w:p>
    <w:p w14:paraId="44A69496">
      <w:pPr>
        <w:topLinePunct/>
        <w:spacing w:line="560" w:lineRule="exact"/>
        <w:ind w:firstLine="643"/>
        <w:rPr>
          <w:rFonts w:eastAsia="仿宋_GB2312"/>
          <w:color w:val="000000" w:themeColor="text1"/>
          <w:sz w:val="32"/>
          <w:szCs w:val="32"/>
          <w14:textFill>
            <w14:solidFill>
              <w14:schemeClr w14:val="tx1"/>
            </w14:solidFill>
          </w14:textFill>
        </w:rPr>
      </w:pPr>
      <w:r>
        <w:rPr>
          <w:rFonts w:eastAsia="仿宋_GB2312"/>
          <w:b/>
          <w:color w:val="000000" w:themeColor="text1"/>
          <w:sz w:val="32"/>
          <w:szCs w:val="32"/>
          <w14:textFill>
            <w14:solidFill>
              <w14:schemeClr w14:val="tx1"/>
            </w14:solidFill>
          </w14:textFill>
        </w:rPr>
        <w:t>深化经济体制改革。</w:t>
      </w:r>
      <w:r>
        <w:rPr>
          <w:rFonts w:eastAsia="仿宋_GB2312"/>
          <w:bCs/>
          <w:color w:val="000000" w:themeColor="text1"/>
          <w:sz w:val="32"/>
          <w:szCs w:val="32"/>
          <w14:textFill>
            <w14:solidFill>
              <w14:schemeClr w14:val="tx1"/>
            </w14:solidFill>
          </w14:textFill>
        </w:rPr>
        <w:t>不断完善有利于现代产业体系发展的体制机制。</w:t>
      </w:r>
      <w:r>
        <w:rPr>
          <w:rFonts w:eastAsia="仿宋_GB2312"/>
          <w:bCs/>
          <w:snapToGrid w:val="0"/>
          <w:color w:val="000000" w:themeColor="text1"/>
          <w:sz w:val="32"/>
          <w:szCs w:val="32"/>
          <w14:textFill>
            <w14:solidFill>
              <w14:schemeClr w14:val="tx1"/>
            </w14:solidFill>
          </w14:textFill>
        </w:rPr>
        <w:t>深入实施质量强区和标准化战略</w:t>
      </w:r>
      <w:r>
        <w:rPr>
          <w:rFonts w:eastAsia="仿宋_GB2312"/>
          <w:bCs/>
          <w:color w:val="000000" w:themeColor="text1"/>
          <w:sz w:val="32"/>
          <w:szCs w:val="32"/>
          <w14:textFill>
            <w14:solidFill>
              <w14:schemeClr w14:val="tx1"/>
            </w14:solidFill>
          </w14:textFill>
        </w:rPr>
        <w:t>，加快建设高标准市场体系，坚持底线思维、强化风险意识，持续深化财税体制改革，守住不发生系统性金融风险底线。加快财政体制改革，健全财政收支预算管理，培植和健全地方税税源，全面实施预算绩效管理。推进税制改革，深化税收征管制度改革。</w:t>
      </w:r>
      <w:r>
        <w:rPr>
          <w:rFonts w:eastAsia="仿宋_GB2312"/>
          <w:b/>
          <w:bCs/>
          <w:color w:val="000000" w:themeColor="text1"/>
          <w:sz w:val="32"/>
          <w:szCs w:val="32"/>
          <w14:textFill>
            <w14:solidFill>
              <w14:schemeClr w14:val="tx1"/>
            </w14:solidFill>
          </w14:textFill>
        </w:rPr>
        <w:t>深化投融资体制改革。</w:t>
      </w:r>
      <w:r>
        <w:rPr>
          <w:rFonts w:eastAsia="仿宋_GB2312"/>
          <w:bCs/>
          <w:color w:val="000000" w:themeColor="text1"/>
          <w:sz w:val="32"/>
          <w:szCs w:val="32"/>
          <w14:textFill>
            <w14:solidFill>
              <w14:schemeClr w14:val="tx1"/>
            </w14:solidFill>
          </w14:textFill>
        </w:rPr>
        <w:t>发挥资本的引导作用，促进供应链金融、消费金融环环贯通，形成整体联动的投融资体系。拓展投融资渠道，加大政府投融资平台整合力度，完善政府投融资管理体制</w:t>
      </w:r>
      <w:r>
        <w:rPr>
          <w:rFonts w:eastAsia="仿宋_GB2312"/>
          <w:color w:val="000000" w:themeColor="text1"/>
          <w:sz w:val="32"/>
          <w:szCs w:val="32"/>
          <w14:textFill>
            <w14:solidFill>
              <w14:schemeClr w14:val="tx1"/>
            </w14:solidFill>
          </w14:textFill>
        </w:rPr>
        <w:t>。强化反垄断和防止资本无序扩张。完善投资项目资本金制度，加快化解地方政府隐性债务，补齐投融资管理体制和运行机制的制度短板。</w:t>
      </w:r>
      <w:r>
        <w:rPr>
          <w:rFonts w:eastAsia="仿宋_GB2312"/>
          <w:b/>
          <w:color w:val="000000" w:themeColor="text1"/>
          <w:sz w:val="32"/>
          <w:szCs w:val="32"/>
          <w14:textFill>
            <w14:solidFill>
              <w14:schemeClr w14:val="tx1"/>
            </w14:solidFill>
          </w14:textFill>
        </w:rPr>
        <w:t>强化要素市场改革</w:t>
      </w:r>
      <w:r>
        <w:rPr>
          <w:rFonts w:eastAsia="仿宋_GB2312"/>
          <w:color w:val="000000" w:themeColor="text1"/>
          <w:sz w:val="32"/>
          <w:szCs w:val="32"/>
          <w14:textFill>
            <w14:solidFill>
              <w14:schemeClr w14:val="tx1"/>
            </w14:solidFill>
          </w14:textFill>
        </w:rPr>
        <w:t>，规范土地市场，健全城乡用地增减挂钩制度，在符合规划、用途管制和依法取得的前提下，推进农村集体经营性建设用地与国有建设用地同等入市、同权同价。完善被征用土地农民权益保障机制。</w:t>
      </w:r>
      <w:r>
        <w:rPr>
          <w:rFonts w:eastAsia="仿宋_GB2312"/>
          <w:b/>
          <w:color w:val="000000" w:themeColor="text1"/>
          <w:sz w:val="32"/>
          <w:szCs w:val="32"/>
          <w14:textFill>
            <w14:solidFill>
              <w14:schemeClr w14:val="tx1"/>
            </w14:solidFill>
          </w14:textFill>
        </w:rPr>
        <w:t>加快推进能源体制改革。</w:t>
      </w:r>
      <w:r>
        <w:rPr>
          <w:rFonts w:eastAsia="仿宋_GB2312"/>
          <w:color w:val="000000" w:themeColor="text1"/>
          <w:sz w:val="32"/>
          <w:szCs w:val="32"/>
          <w14:textFill>
            <w14:solidFill>
              <w14:schemeClr w14:val="tx1"/>
            </w14:solidFill>
          </w14:textFill>
        </w:rPr>
        <w:t>深化电力体制改革，建立清洁能源生态价格补偿机制，落实国家可再生电力消纳保障机制政策。推行居民用水、用电、用气阶梯价格制度，健全节能减排差别价格机制，推动公益事业价格改革。</w:t>
      </w:r>
      <w:r>
        <w:rPr>
          <w:rFonts w:eastAsia="仿宋_GB2312"/>
          <w:b/>
          <w:color w:val="000000" w:themeColor="text1"/>
          <w:sz w:val="32"/>
          <w:szCs w:val="32"/>
          <w14:textFill>
            <w14:solidFill>
              <w14:schemeClr w14:val="tx1"/>
            </w14:solidFill>
          </w14:textFill>
        </w:rPr>
        <w:t>深化农村改革。</w:t>
      </w:r>
      <w:r>
        <w:rPr>
          <w:rFonts w:eastAsia="仿宋_GB2312"/>
          <w:color w:val="000000" w:themeColor="text1"/>
          <w:sz w:val="32"/>
          <w:szCs w:val="32"/>
          <w14:textFill>
            <w14:solidFill>
              <w14:schemeClr w14:val="tx1"/>
            </w14:solidFill>
          </w14:textFill>
        </w:rPr>
        <w:t>深入推进农村土地制度改革。积极推进农村承包地所有权、承包权、经营权“三权分置”。支持土地经营权入股从事农业产业化经营。深化农村宅基地制度改革，探索宅基地所有权、资格权、使用权“三权分置”，稳妥开展农村闲置宅基地和闲置住宅盘活利用。深化供销合作社综合改革，加快构建农业科技创新支持体系。加快培育技术市场，加快培育发展数据要素市场。</w:t>
      </w:r>
      <w:r>
        <w:rPr>
          <w:rFonts w:eastAsia="仿宋_GB2312"/>
          <w:b/>
          <w:bCs/>
          <w:color w:val="000000" w:themeColor="text1"/>
          <w:sz w:val="32"/>
          <w:szCs w:val="32"/>
          <w14:textFill>
            <w14:solidFill>
              <w14:schemeClr w14:val="tx1"/>
            </w14:solidFill>
          </w14:textFill>
        </w:rPr>
        <w:t>深化行政执法体制改革。</w:t>
      </w:r>
      <w:r>
        <w:rPr>
          <w:rFonts w:eastAsia="仿宋_GB2312"/>
          <w:color w:val="000000" w:themeColor="text1"/>
          <w:sz w:val="32"/>
          <w:szCs w:val="32"/>
          <w14:textFill>
            <w14:solidFill>
              <w14:schemeClr w14:val="tx1"/>
            </w14:solidFill>
          </w14:textFill>
        </w:rPr>
        <w:t>推进执法重心向街道、社区下移，健全行政执法责任制。加快完善以“双随机、一公开”监管为基本手段、以重点监管为补充、以信用监管为基础的新型监管机制。</w:t>
      </w:r>
      <w:r>
        <w:rPr>
          <w:rFonts w:eastAsia="仿宋_GB2312"/>
          <w:b/>
          <w:bCs/>
          <w:color w:val="000000" w:themeColor="text1"/>
          <w:sz w:val="32"/>
          <w:szCs w:val="32"/>
          <w14:textFill>
            <w14:solidFill>
              <w14:schemeClr w14:val="tx1"/>
            </w14:solidFill>
          </w14:textFill>
        </w:rPr>
        <w:t>健全生态文明制度体系。</w:t>
      </w:r>
      <w:r>
        <w:rPr>
          <w:rFonts w:eastAsia="仿宋_GB2312"/>
          <w:color w:val="000000" w:themeColor="text1"/>
          <w:sz w:val="32"/>
          <w:szCs w:val="32"/>
          <w14:textFill>
            <w14:solidFill>
              <w14:schemeClr w14:val="tx1"/>
            </w14:solidFill>
          </w14:textFill>
        </w:rPr>
        <w:t>建立健全生态环境治理体系，及时公布环境信息、健全举报制度，加强社会监督。实行资源有偿使用制度和生态补偿制度。健全生态文明科技创新机制，营造绿色科技创新环境。坚决打好污染防治攻坚战，全面加强生态环境保护，不断推进生态文明和“美丽西山”建设。</w:t>
      </w:r>
      <w:r>
        <w:rPr>
          <w:rFonts w:eastAsia="仿宋_GB2312"/>
          <w:b/>
          <w:bCs/>
          <w:color w:val="000000" w:themeColor="text1"/>
          <w:sz w:val="32"/>
          <w:szCs w:val="32"/>
          <w14:textFill>
            <w14:solidFill>
              <w14:schemeClr w14:val="tx1"/>
            </w14:solidFill>
          </w14:textFill>
        </w:rPr>
        <w:t>深化国有企业改革。</w:t>
      </w:r>
      <w:r>
        <w:rPr>
          <w:rFonts w:eastAsia="仿宋_GB2312"/>
          <w:bCs/>
          <w:color w:val="000000" w:themeColor="text1"/>
          <w:sz w:val="32"/>
          <w:szCs w:val="32"/>
          <w14:textFill>
            <w14:solidFill>
              <w14:schemeClr w14:val="tx1"/>
            </w14:solidFill>
          </w14:textFill>
        </w:rPr>
        <w:t>优化国有资本布局，完善以管资本为主的国有资本监管体制。加强党建，充分发挥企业家价值。全面开展竞争性行业国企混合所有制改革，加大业务同类、资产同质的国企重组整合力度，提高国有企业资产证券化率。</w:t>
      </w:r>
      <w:r>
        <w:rPr>
          <w:rFonts w:eastAsia="仿宋_GB2312"/>
          <w:color w:val="000000" w:themeColor="text1"/>
          <w:sz w:val="32"/>
          <w:szCs w:val="32"/>
          <w14:textFill>
            <w14:solidFill>
              <w14:schemeClr w14:val="tx1"/>
            </w14:solidFill>
          </w14:textFill>
        </w:rPr>
        <w:t>完善国有企业法人治理结构和市场化经营机制。落实好国有企业改革三年行动计划。防范化解国企债务风险，推进国有企业转型升级。</w:t>
      </w:r>
      <w:bookmarkStart w:id="130" w:name="_Toc59205893"/>
      <w:r>
        <w:rPr>
          <w:rFonts w:eastAsia="仿宋_GB2312"/>
          <w:b/>
          <w:bCs/>
          <w:color w:val="000000" w:themeColor="text1"/>
          <w:sz w:val="32"/>
          <w:szCs w:val="32"/>
          <w14:textFill>
            <w14:solidFill>
              <w14:schemeClr w14:val="tx1"/>
            </w14:solidFill>
          </w14:textFill>
        </w:rPr>
        <w:t>促进民营企业</w:t>
      </w:r>
      <w:bookmarkEnd w:id="130"/>
      <w:r>
        <w:rPr>
          <w:rFonts w:eastAsia="仿宋_GB2312"/>
          <w:b/>
          <w:bCs/>
          <w:color w:val="000000" w:themeColor="text1"/>
          <w:sz w:val="32"/>
          <w:szCs w:val="32"/>
          <w14:textFill>
            <w14:solidFill>
              <w14:schemeClr w14:val="tx1"/>
            </w14:solidFill>
          </w14:textFill>
        </w:rPr>
        <w:t>健康发展。</w:t>
      </w:r>
      <w:r>
        <w:rPr>
          <w:rFonts w:eastAsia="仿宋_GB2312"/>
          <w:bCs/>
          <w:color w:val="000000" w:themeColor="text1"/>
          <w:sz w:val="32"/>
          <w:szCs w:val="32"/>
          <w14:textFill>
            <w14:solidFill>
              <w14:schemeClr w14:val="tx1"/>
            </w14:solidFill>
          </w14:textFill>
        </w:rPr>
        <w:t>放宽市场准入。积极引导扶持一批具有发展潜力和创新意识的民营企业，在数字经济、大健康、服务贸易等重点领域快速发展。依法保护民营企业开展与企业性质挂钩的行业准入、资质标准等规定的清理工作，全面排查、系统清理各种显性和隐性的壁垒。缓解民营企业融资难、融资贵问题，鼓励政策性融资担保机构重点支持单户金额500万元及以下的小微企业和三农主体。完善对企业全生命周期的服务模式和服务链条，构建“亲清新型”政商关系。</w:t>
      </w:r>
      <w:r>
        <w:rPr>
          <w:rFonts w:eastAsia="仿宋_GB2312"/>
          <w:b/>
          <w:bCs/>
          <w:color w:val="000000" w:themeColor="text1"/>
          <w:sz w:val="32"/>
          <w:szCs w:val="32"/>
          <w14:textFill>
            <w14:solidFill>
              <w14:schemeClr w14:val="tx1"/>
            </w14:solidFill>
          </w14:textFill>
        </w:rPr>
        <w:t>切实减轻企业负担。</w:t>
      </w:r>
      <w:r>
        <w:rPr>
          <w:rFonts w:eastAsia="仿宋_GB2312"/>
          <w:color w:val="000000" w:themeColor="text1"/>
          <w:sz w:val="32"/>
          <w:szCs w:val="32"/>
          <w14:textFill>
            <w14:solidFill>
              <w14:schemeClr w14:val="tx1"/>
            </w14:solidFill>
          </w14:textFill>
        </w:rPr>
        <w:t>清理物流、认证、检验检测、公用事业等领域经营服务性收费，整治中介机构乱收费行为，降低涉企保证金和社保费率，落实好各项税收优惠政策，加大中小微企业扶持力度。</w:t>
      </w:r>
      <w:r>
        <w:rPr>
          <w:rFonts w:eastAsia="仿宋_GB2312"/>
          <w:b/>
          <w:bCs/>
          <w:color w:val="000000" w:themeColor="text1"/>
          <w:sz w:val="32"/>
          <w:szCs w:val="32"/>
          <w14:textFill>
            <w14:solidFill>
              <w14:schemeClr w14:val="tx1"/>
            </w14:solidFill>
          </w14:textFill>
        </w:rPr>
        <w:t>深化教育、卫生、社会保障体制改革。</w:t>
      </w:r>
      <w:r>
        <w:rPr>
          <w:rFonts w:eastAsia="仿宋_GB2312"/>
          <w:color w:val="000000" w:themeColor="text1"/>
          <w:sz w:val="32"/>
          <w:szCs w:val="32"/>
          <w14:textFill>
            <w14:solidFill>
              <w14:schemeClr w14:val="tx1"/>
            </w14:solidFill>
          </w14:textFill>
        </w:rPr>
        <w:t>牢固树立宗旨意识，认真解决好群众最关切、最直接、最重视的医疗教育卫生保障等问题，全力提升人民群众幸福指数。</w:t>
      </w:r>
      <w:bookmarkStart w:id="131" w:name="_Toc61644786"/>
      <w:bookmarkStart w:id="132" w:name="_Toc58957625"/>
    </w:p>
    <w:p w14:paraId="1061384B">
      <w:pPr>
        <w:topLinePunct/>
        <w:spacing w:line="560" w:lineRule="exact"/>
        <w:ind w:firstLine="643"/>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四、全力营造一流营商环境</w:t>
      </w:r>
      <w:bookmarkEnd w:id="131"/>
      <w:bookmarkEnd w:id="132"/>
    </w:p>
    <w:p w14:paraId="30A3A673">
      <w:pPr>
        <w:topLinePunct/>
        <w:spacing w:line="540" w:lineRule="exact"/>
        <w:ind w:firstLine="641"/>
        <w:rPr>
          <w:rFonts w:eastAsia="仿宋_GB2312"/>
          <w:color w:val="000000" w:themeColor="text1"/>
          <w:sz w:val="32"/>
          <w:szCs w:val="32"/>
          <w14:textFill>
            <w14:solidFill>
              <w14:schemeClr w14:val="tx1"/>
            </w14:solidFill>
          </w14:textFill>
        </w:rPr>
      </w:pPr>
      <w:r>
        <w:rPr>
          <w:rFonts w:eastAsia="仿宋_GB2312"/>
          <w:b/>
          <w:bCs/>
          <w:color w:val="000000" w:themeColor="text1"/>
          <w:sz w:val="32"/>
          <w:szCs w:val="32"/>
          <w14:textFill>
            <w14:solidFill>
              <w14:schemeClr w14:val="tx1"/>
            </w14:solidFill>
          </w14:textFill>
        </w:rPr>
        <w:t>深化放管服改革。</w:t>
      </w:r>
      <w:r>
        <w:rPr>
          <w:rFonts w:eastAsia="仿宋_GB2312"/>
          <w:color w:val="000000" w:themeColor="text1"/>
          <w:sz w:val="32"/>
          <w:szCs w:val="32"/>
          <w14:textFill>
            <w14:solidFill>
              <w14:schemeClr w14:val="tx1"/>
            </w14:solidFill>
          </w14:textFill>
        </w:rPr>
        <w:t>全面深化“放管服”改革，为各类市场主体营造稳定、公平、透明、可预期的良好环境。加大行政审批制度改革，深化营商环境提升“十大行动”，健全完善政府权责清单制度。以构建“不见面审批”模式为重点，进一步简化企业投资审批流程，压减行政许可事项，有力落实“五减一增”，推进政务服务标准化。大力推行“互联网+政务服务”，提升完善政务服务实体大厅功能，提升市场准入及退出便利化、智能化水平，提速推广运用“一部手机办事通”，压缩办事时限，优化办事流程，精简办事环节，推动“只进一门”“一网通办”“最多跑一次”全面落地。</w:t>
      </w:r>
      <w:r>
        <w:rPr>
          <w:rFonts w:eastAsia="仿宋_GB2312"/>
          <w:b/>
          <w:bCs/>
          <w:color w:val="000000" w:themeColor="text1"/>
          <w:sz w:val="32"/>
          <w:szCs w:val="32"/>
          <w14:textFill>
            <w14:solidFill>
              <w14:schemeClr w14:val="tx1"/>
            </w14:solidFill>
          </w14:textFill>
        </w:rPr>
        <w:t>加大营商环境监管。</w:t>
      </w:r>
      <w:r>
        <w:rPr>
          <w:rFonts w:eastAsia="仿宋_GB2312"/>
          <w:color w:val="000000" w:themeColor="text1"/>
          <w:sz w:val="32"/>
          <w:szCs w:val="32"/>
          <w14:textFill>
            <w14:solidFill>
              <w14:schemeClr w14:val="tx1"/>
            </w14:solidFill>
          </w14:textFill>
        </w:rPr>
        <w:t>完善优化营商环境长效评价机制。围绕“便民利企”打造西山政务服务品牌。开展“法律暖企”和“法治体检”行动。做好“互联网+监管”工作，对照监管事项目录清单，持续采集推送监管行为数据，及时发布监管工作动态和违法违规曝光信息，严厉打击破坏市场经营秩序的黑恶势力，用良法善治推动营商环境不断优化。到2025年，市场监管执法基本装备配备率达到90%。</w:t>
      </w:r>
      <w:r>
        <w:rPr>
          <w:rFonts w:eastAsia="仿宋_GB2312"/>
          <w:b/>
          <w:bCs/>
          <w:color w:val="000000" w:themeColor="text1"/>
          <w:sz w:val="32"/>
          <w:szCs w:val="32"/>
          <w14:textFill>
            <w14:solidFill>
              <w14:schemeClr w14:val="tx1"/>
            </w14:solidFill>
          </w14:textFill>
        </w:rPr>
        <w:t>加强信用体系建设。</w:t>
      </w:r>
      <w:r>
        <w:rPr>
          <w:rFonts w:eastAsia="仿宋_GB2312"/>
          <w:bCs/>
          <w:color w:val="000000" w:themeColor="text1"/>
          <w:sz w:val="32"/>
          <w:szCs w:val="32"/>
          <w14:textFill>
            <w14:solidFill>
              <w14:schemeClr w14:val="tx1"/>
            </w14:solidFill>
          </w14:textFill>
        </w:rPr>
        <w:t>以构建新型信用监管机制和信用惠民便企为目标，扎实开展好信息归集、联合奖惩、信用评价、“信易+”等重点工作，推动“信用西山”建设再上新台阶。完善失信约束制度，构建诚信建设长效机制</w:t>
      </w:r>
      <w:r>
        <w:rPr>
          <w:rFonts w:eastAsia="仿宋_GB2312"/>
          <w:color w:val="000000" w:themeColor="text1"/>
          <w:sz w:val="32"/>
          <w:szCs w:val="32"/>
          <w14:textFill>
            <w14:solidFill>
              <w14:schemeClr w14:val="tx1"/>
            </w14:solidFill>
          </w14:textFill>
        </w:rPr>
        <w:t>，建设专业监管队伍，提高监管水平。加强信用信息平台建设，完成公共信用信息共享交换平台和门户网站的一体化改造，形成互联互通、业务协同、信息共享的公共信用信息平台“大系统”。拓宽信用服务渠道，规范信用信息查询流程，切实保障信用信息安全。加大信用信息公示力度，加大对严重失信行为的曝光力度，形成良好的舆论引导。提升政府诚信行政水平，加强行政问责，严格责任追究，健全容错纠错制度。</w:t>
      </w:r>
    </w:p>
    <w:tbl>
      <w:tblPr>
        <w:tblStyle w:val="42"/>
        <w:tblW w:w="88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73"/>
      </w:tblGrid>
      <w:tr w14:paraId="2A9626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8873" w:type="dxa"/>
            <w:tcBorders>
              <w:top w:val="single" w:color="auto" w:sz="4" w:space="0"/>
              <w:left w:val="single" w:color="auto" w:sz="4" w:space="0"/>
              <w:bottom w:val="single" w:color="auto" w:sz="4" w:space="0"/>
              <w:right w:val="single" w:color="auto" w:sz="4" w:space="0"/>
            </w:tcBorders>
          </w:tcPr>
          <w:p w14:paraId="41FB6819">
            <w:pPr>
              <w:pStyle w:val="41"/>
              <w:topLinePunct/>
              <w:spacing w:after="0"/>
              <w:ind w:left="0" w:leftChars="0" w:firstLine="0" w:firstLineChars="0"/>
              <w:jc w:val="center"/>
              <w:rPr>
                <w:color w:val="000000" w:themeColor="text1"/>
                <w:kern w:val="0"/>
                <w:sz w:val="22"/>
                <w14:textFill>
                  <w14:solidFill>
                    <w14:schemeClr w14:val="tx1"/>
                  </w14:solidFill>
                </w14:textFill>
              </w:rPr>
            </w:pPr>
            <w:r>
              <w:rPr>
                <w:rFonts w:eastAsia="黑体"/>
                <w:color w:val="000000" w:themeColor="text1"/>
                <w:kern w:val="0"/>
                <w:sz w:val="28"/>
                <w:szCs w:val="28"/>
                <w14:textFill>
                  <w14:solidFill>
                    <w14:schemeClr w14:val="tx1"/>
                  </w14:solidFill>
                </w14:textFill>
              </w:rPr>
              <w:t>专栏4 营商环境优化提升工程</w:t>
            </w:r>
          </w:p>
        </w:tc>
      </w:tr>
      <w:tr w14:paraId="29E79E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873" w:type="dxa"/>
            <w:tcBorders>
              <w:top w:val="single" w:color="auto" w:sz="4" w:space="0"/>
              <w:left w:val="single" w:color="auto" w:sz="4" w:space="0"/>
              <w:bottom w:val="single" w:color="auto" w:sz="4" w:space="0"/>
              <w:right w:val="single" w:color="auto" w:sz="4" w:space="0"/>
            </w:tcBorders>
          </w:tcPr>
          <w:p w14:paraId="0055DE4F">
            <w:pPr>
              <w:topLinePunct/>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1.提升政务服务质量</w:t>
            </w:r>
            <w:r>
              <w:rPr>
                <w:rFonts w:eastAsia="仿宋_GB2312"/>
                <w:color w:val="000000" w:themeColor="text1"/>
                <w:sz w:val="24"/>
                <w14:textFill>
                  <w14:solidFill>
                    <w14:schemeClr w14:val="tx1"/>
                  </w14:solidFill>
                </w14:textFill>
              </w:rPr>
              <w:t>。强化“一网四中心”综合服务功能，对标上海提升“全程网办”事项比例，增加24小时“不打烊”政务自助服务区，提升“即办件”事项比例，推动数据共享减证照、政务服务“好差评”与国家、省管理系统互联互通，</w:t>
            </w:r>
            <w:r>
              <w:rPr>
                <w:rFonts w:eastAsia="仿宋_GB2312"/>
                <w:color w:val="000000" w:themeColor="text1"/>
                <w:spacing w:val="-10"/>
                <w:sz w:val="24"/>
                <w14:textFill>
                  <w14:solidFill>
                    <w14:schemeClr w14:val="tx1"/>
                  </w14:solidFill>
                </w14:textFill>
              </w:rPr>
              <w:t>强化云南省投资项目审批在线监管平台运用，</w:t>
            </w:r>
            <w:r>
              <w:rPr>
                <w:rFonts w:eastAsia="仿宋_GB2312"/>
                <w:color w:val="000000" w:themeColor="text1"/>
                <w:sz w:val="24"/>
                <w14:textFill>
                  <w14:solidFill>
                    <w14:schemeClr w14:val="tx1"/>
                  </w14:solidFill>
                </w14:textFill>
              </w:rPr>
              <w:t>杜绝办件超时。</w:t>
            </w:r>
          </w:p>
          <w:p w14:paraId="41FF6CD0">
            <w:pPr>
              <w:topLinePunct/>
              <w:rPr>
                <w:rFonts w:eastAsia="仿宋_GB2312"/>
                <w:color w:val="000000" w:themeColor="text1"/>
                <w:sz w:val="24"/>
                <w14:textFill>
                  <w14:solidFill>
                    <w14:schemeClr w14:val="tx1"/>
                  </w14:solidFill>
                </w14:textFill>
              </w:rPr>
            </w:pPr>
            <w:r>
              <w:rPr>
                <w:rFonts w:eastAsia="仿宋_GB2312"/>
                <w:b/>
                <w:bCs/>
                <w:color w:val="000000" w:themeColor="text1"/>
                <w:spacing w:val="-12"/>
                <w:sz w:val="24"/>
                <w14:textFill>
                  <w14:solidFill>
                    <w14:schemeClr w14:val="tx1"/>
                  </w14:solidFill>
                </w14:textFill>
              </w:rPr>
              <w:t>2.开办企业全程网办和流程再造</w:t>
            </w:r>
            <w:r>
              <w:rPr>
                <w:rFonts w:eastAsia="仿宋_GB2312"/>
                <w:color w:val="000000" w:themeColor="text1"/>
                <w:spacing w:val="-12"/>
                <w:sz w:val="24"/>
                <w14:textFill>
                  <w14:solidFill>
                    <w14:schemeClr w14:val="tx1"/>
                  </w14:solidFill>
                </w14:textFill>
              </w:rPr>
              <w:t>。申报</w:t>
            </w:r>
            <w:r>
              <w:rPr>
                <w:rFonts w:eastAsia="仿宋_GB2312"/>
                <w:color w:val="000000" w:themeColor="text1"/>
                <w:sz w:val="24"/>
                <w14:textFill>
                  <w14:solidFill>
                    <w14:schemeClr w14:val="tx1"/>
                  </w14:solidFill>
                </w14:textFill>
              </w:rPr>
              <w:t>事项“一表填报”“一个窗口”领取全部材料，企业开办2天办结，新设企业首次刻制公章免费、100%发放电子营业执照和电子印章。</w:t>
            </w:r>
          </w:p>
          <w:p w14:paraId="5ADDF93B">
            <w:pPr>
              <w:topLinePunct/>
              <w:rPr>
                <w:rFonts w:eastAsia="仿宋_GB2312"/>
                <w:color w:val="000000" w:themeColor="text1"/>
                <w:sz w:val="24"/>
                <w14:textFill>
                  <w14:solidFill>
                    <w14:schemeClr w14:val="tx1"/>
                  </w14:solidFill>
                </w14:textFill>
              </w:rPr>
            </w:pPr>
            <w:r>
              <w:rPr>
                <w:rFonts w:eastAsia="仿宋_GB2312"/>
                <w:b/>
                <w:color w:val="000000" w:themeColor="text1"/>
                <w:sz w:val="24"/>
                <w14:textFill>
                  <w14:solidFill>
                    <w14:schemeClr w14:val="tx1"/>
                  </w14:solidFill>
                </w14:textFill>
              </w:rPr>
              <w:t>3.工程建设项目审批。</w:t>
            </w:r>
            <w:r>
              <w:rPr>
                <w:rFonts w:eastAsia="仿宋_GB2312"/>
                <w:color w:val="000000" w:themeColor="text1"/>
                <w:sz w:val="24"/>
                <w14:textFill>
                  <w14:solidFill>
                    <w14:schemeClr w14:val="tx1"/>
                  </w14:solidFill>
                </w14:textFill>
              </w:rPr>
              <w:t>“多规合一”的“一张蓝图”各部门共享共用，合并规划预审和建设批准，区域评估替代对市场主体进行单独评估，工程建设项目审批“统一申报、并联审批、一网通办”，政府投资项目审批时间不超过90个工作日，社会投资项目审批时间不超过70个工作日。</w:t>
            </w:r>
          </w:p>
          <w:p w14:paraId="71B43C76">
            <w:pPr>
              <w:topLinePunct/>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4.获得用水、</w:t>
            </w:r>
            <w:r>
              <w:rPr>
                <w:rFonts w:eastAsia="仿宋_GB2312"/>
                <w:b/>
                <w:bCs/>
                <w:color w:val="000000" w:themeColor="text1"/>
                <w:kern w:val="0"/>
                <w:sz w:val="24"/>
                <w14:textFill>
                  <w14:solidFill>
                    <w14:schemeClr w14:val="tx1"/>
                  </w14:solidFill>
                </w14:textFill>
              </w:rPr>
              <w:t>电力、</w:t>
            </w:r>
            <w:r>
              <w:rPr>
                <w:rFonts w:eastAsia="仿宋_GB2312"/>
                <w:b/>
                <w:bCs/>
                <w:color w:val="000000" w:themeColor="text1"/>
                <w:sz w:val="24"/>
                <w14:textFill>
                  <w14:solidFill>
                    <w14:schemeClr w14:val="tx1"/>
                  </w14:solidFill>
                </w14:textFill>
              </w:rPr>
              <w:t>用气、信贷</w:t>
            </w:r>
            <w:r>
              <w:rPr>
                <w:rFonts w:eastAsia="仿宋_GB2312"/>
                <w:color w:val="000000" w:themeColor="text1"/>
                <w:sz w:val="24"/>
                <w14:textFill>
                  <w14:solidFill>
                    <w14:schemeClr w14:val="tx1"/>
                  </w14:solidFill>
                </w14:textFill>
              </w:rPr>
              <w:t>。依托电子证照查验信息平台，实现“0材料”受理获得用水，无外线工程4个工作日以内，有外线工程9个工作日以内完成接入通水。低压用户“用电申请”、“现场勘查和装表接电”8个工作日完成，高压用户“用电申请”、“供电方案答复”、“竣工检验和装表接电”40个工作日完成。无需建设专用外线的用户全流程通气时间控制在4个工作日内，需建设专用外线管道的控制在12个工作日内，力争用气办理“零见面”。重点支持单户担保金额500万元及以下的小微企业和“三农”主体，发挥财政基金的撬动作用，提升信贷便利度。</w:t>
            </w:r>
          </w:p>
          <w:p w14:paraId="0B60E272">
            <w:pPr>
              <w:topLinePunct/>
              <w:rPr>
                <w:rFonts w:eastAsia="仿宋_GB2312"/>
                <w:color w:val="000000" w:themeColor="text1"/>
                <w:kern w:val="0"/>
                <w:sz w:val="24"/>
                <w14:textFill>
                  <w14:solidFill>
                    <w14:schemeClr w14:val="tx1"/>
                  </w14:solidFill>
                </w14:textFill>
              </w:rPr>
            </w:pPr>
            <w:r>
              <w:rPr>
                <w:rFonts w:eastAsia="仿宋_GB2312"/>
                <w:b/>
                <w:bCs/>
                <w:color w:val="000000" w:themeColor="text1"/>
                <w:sz w:val="24"/>
                <w14:textFill>
                  <w14:solidFill>
                    <w14:schemeClr w14:val="tx1"/>
                  </w14:solidFill>
                </w14:textFill>
              </w:rPr>
              <w:t>5.营造包容普惠创新环境</w:t>
            </w:r>
            <w:r>
              <w:rPr>
                <w:rFonts w:eastAsia="仿宋_GB2312"/>
                <w:color w:val="000000" w:themeColor="text1"/>
                <w:sz w:val="24"/>
                <w14:textFill>
                  <w14:solidFill>
                    <w14:schemeClr w14:val="tx1"/>
                  </w14:solidFill>
                </w14:textFill>
              </w:rPr>
              <w:t>。为各类创新创业人员提供公益性、开放式、低成本的创新创业空间，增强创新创业活跃度。深入实施“春城计划”人才政策体系，引进培养国内外高层次人才和急需紧缺人才，增强人才流动便利度。进一步放宽服务业准入，以文化、医疗、教育等领域为重点，取消证照办理、设备购置、人才聘用等方面不合理限制，增强市场开放度。深入实施名校名师名长“三名”工程、引入优质医疗资源，</w:t>
            </w:r>
            <w:r>
              <w:rPr>
                <w:rFonts w:eastAsia="仿宋_GB2312"/>
                <w:color w:val="000000" w:themeColor="text1"/>
                <w:spacing w:val="-4"/>
                <w:sz w:val="24"/>
                <w14:textFill>
                  <w14:solidFill>
                    <w14:schemeClr w14:val="tx1"/>
                  </w14:solidFill>
                </w14:textFill>
              </w:rPr>
              <w:t>推行公建民营、民办公助的养老服务运营模式，</w:t>
            </w:r>
            <w:r>
              <w:rPr>
                <w:rFonts w:eastAsia="仿宋_GB2312"/>
                <w:color w:val="000000" w:themeColor="text1"/>
                <w:sz w:val="24"/>
                <w14:textFill>
                  <w14:solidFill>
                    <w14:schemeClr w14:val="tx1"/>
                  </w14:solidFill>
                </w14:textFill>
              </w:rPr>
              <w:t>增强基本公共服务满意度。</w:t>
            </w:r>
          </w:p>
          <w:p w14:paraId="3053D06C">
            <w:pPr>
              <w:topLinePunct/>
              <w:rPr>
                <w:rFonts w:eastAsia="仿宋_GB2312"/>
                <w:color w:val="000000" w:themeColor="text1"/>
                <w:sz w:val="24"/>
                <w14:textFill>
                  <w14:solidFill>
                    <w14:schemeClr w14:val="tx1"/>
                  </w14:solidFill>
                </w14:textFill>
              </w:rPr>
            </w:pPr>
            <w:r>
              <w:rPr>
                <w:rFonts w:eastAsia="仿宋_GB2312"/>
                <w:b/>
                <w:bCs/>
                <w:color w:val="000000" w:themeColor="text1"/>
                <w:spacing w:val="-10"/>
                <w:sz w:val="24"/>
                <w14:textFill>
                  <w14:solidFill>
                    <w14:schemeClr w14:val="tx1"/>
                  </w14:solidFill>
                </w14:textFill>
              </w:rPr>
              <w:t>6.创新税收征管</w:t>
            </w:r>
            <w:r>
              <w:rPr>
                <w:rFonts w:eastAsia="仿宋_GB2312"/>
                <w:color w:val="000000" w:themeColor="text1"/>
                <w:spacing w:val="-10"/>
                <w:sz w:val="24"/>
                <w14:textFill>
                  <w14:solidFill>
                    <w14:schemeClr w14:val="tx1"/>
                  </w14:solidFill>
                </w14:textFill>
              </w:rPr>
              <w:t>。</w:t>
            </w:r>
            <w:r>
              <w:rPr>
                <w:rFonts w:eastAsia="仿宋_GB2312"/>
                <w:color w:val="000000" w:themeColor="text1"/>
                <w:sz w:val="24"/>
                <w14:textFill>
                  <w14:solidFill>
                    <w14:schemeClr w14:val="tx1"/>
                  </w14:solidFill>
                </w14:textFill>
              </w:rPr>
              <w:t>全行业符合条件的纳税人实施增量留抵退税，巩固减税降费成效，优化社保、公积金缴费流程，纳税时间压缩到100小时以内，推广纸质发票“线上申领—线下配送”模式。</w:t>
            </w:r>
          </w:p>
          <w:p w14:paraId="4B41D912">
            <w:pPr>
              <w:topLinePunct/>
              <w:rPr>
                <w:rFonts w:eastAsia="仿宋_GB2312"/>
                <w:color w:val="000000" w:themeColor="text1"/>
                <w:sz w:val="24"/>
                <w14:textFill>
                  <w14:solidFill>
                    <w14:schemeClr w14:val="tx1"/>
                  </w14:solidFill>
                </w14:textFill>
              </w:rPr>
            </w:pPr>
            <w:r>
              <w:rPr>
                <w:rFonts w:eastAsia="仿宋_GB2312"/>
                <w:b/>
                <w:color w:val="000000" w:themeColor="text1"/>
                <w:sz w:val="24"/>
                <w14:textFill>
                  <w14:solidFill>
                    <w14:schemeClr w14:val="tx1"/>
                  </w14:solidFill>
                </w14:textFill>
              </w:rPr>
              <w:t>7.健全市场监管体系</w:t>
            </w:r>
            <w:r>
              <w:rPr>
                <w:rFonts w:eastAsia="仿宋_GB2312"/>
                <w:bCs/>
                <w:color w:val="000000" w:themeColor="text1"/>
                <w:sz w:val="24"/>
                <w14:textFill>
                  <w14:solidFill>
                    <w14:schemeClr w14:val="tx1"/>
                  </w14:solidFill>
                </w14:textFill>
              </w:rPr>
              <w:t>。</w:t>
            </w:r>
            <w:r>
              <w:rPr>
                <w:rFonts w:eastAsia="仿宋_GB2312"/>
                <w:color w:val="000000" w:themeColor="text1"/>
                <w:sz w:val="24"/>
                <w14:textFill>
                  <w14:solidFill>
                    <w14:schemeClr w14:val="tx1"/>
                  </w14:solidFill>
                </w14:textFill>
              </w:rPr>
              <w:t>推进市场监管领域部门联合“双随机、一公开”监管，实现“进一次门、查多项事”，加强对疫苗、食品、药品、化妆品、医疗器械、危险化学品等涉及人民生命安全、社会关注度高的重点领域监管，实行全主体、全品种、全链条严格监管。建立“容错”机制，指导公民、法人和其他组织自觉改正轻微违法行为。</w:t>
            </w:r>
          </w:p>
          <w:p w14:paraId="27E21D5F">
            <w:pPr>
              <w:topLinePunct/>
            </w:pPr>
            <w:r>
              <w:rPr>
                <w:rFonts w:eastAsia="仿宋_GB2312"/>
                <w:b/>
                <w:bCs/>
                <w:color w:val="000000" w:themeColor="text1"/>
                <w:sz w:val="24"/>
                <w14:textFill>
                  <w14:solidFill>
                    <w14:schemeClr w14:val="tx1"/>
                  </w14:solidFill>
                </w14:textFill>
              </w:rPr>
              <w:t>8.抓好惠企政策兑现。</w:t>
            </w:r>
            <w:r>
              <w:rPr>
                <w:rFonts w:eastAsia="仿宋_GB2312"/>
                <w:color w:val="000000" w:themeColor="text1"/>
                <w:sz w:val="24"/>
                <w14:textFill>
                  <w14:solidFill>
                    <w14:schemeClr w14:val="tx1"/>
                  </w14:solidFill>
                </w14:textFill>
              </w:rPr>
              <w:t>梳理公布惠企政策清单，主动精准推送政策。鼓励推行惠企政策“免申即享”。对确需企业提出申请的惠企政策，合理设置并公开申请条件，简化申报手续，加快实现一次申报、全程网办、快速兑现。</w:t>
            </w:r>
          </w:p>
        </w:tc>
      </w:tr>
    </w:tbl>
    <w:p w14:paraId="76F24113">
      <w:pPr>
        <w:spacing w:line="560" w:lineRule="exact"/>
        <w:ind w:firstLine="640" w:firstLineChars="200"/>
        <w:rPr>
          <w:rFonts w:eastAsia="黑体"/>
          <w:sz w:val="32"/>
          <w:szCs w:val="32"/>
        </w:rPr>
      </w:pPr>
      <w:bookmarkStart w:id="133" w:name="_Toc61644787"/>
      <w:bookmarkStart w:id="134" w:name="_Toc58957626"/>
    </w:p>
    <w:p w14:paraId="4EAD7297">
      <w:pPr>
        <w:spacing w:line="560" w:lineRule="exact"/>
        <w:ind w:firstLine="640" w:firstLineChars="200"/>
        <w:rPr>
          <w:rFonts w:eastAsia="黑体"/>
          <w:sz w:val="32"/>
          <w:szCs w:val="32"/>
        </w:rPr>
      </w:pPr>
    </w:p>
    <w:p w14:paraId="59B8E564">
      <w:pPr>
        <w:spacing w:line="560" w:lineRule="exact"/>
        <w:ind w:firstLine="640" w:firstLineChars="200"/>
        <w:rPr>
          <w:rFonts w:eastAsia="黑体"/>
          <w:sz w:val="32"/>
          <w:szCs w:val="32"/>
        </w:rPr>
      </w:pPr>
      <w:r>
        <w:rPr>
          <w:rFonts w:eastAsia="黑体"/>
          <w:sz w:val="32"/>
          <w:szCs w:val="32"/>
        </w:rPr>
        <w:t>五、全面扩大对内对外开放</w:t>
      </w:r>
      <w:bookmarkEnd w:id="133"/>
      <w:bookmarkEnd w:id="134"/>
    </w:p>
    <w:p w14:paraId="6FADA81C">
      <w:pPr>
        <w:pStyle w:val="13"/>
        <w:topLinePunct/>
        <w:spacing w:after="0" w:line="560" w:lineRule="exact"/>
        <w:ind w:firstLine="643"/>
        <w:rPr>
          <w:rFonts w:eastAsia="仿宋_GB2312"/>
          <w:color w:val="000000" w:themeColor="text1"/>
          <w:sz w:val="32"/>
          <w:szCs w:val="32"/>
          <w14:textFill>
            <w14:solidFill>
              <w14:schemeClr w14:val="tx1"/>
            </w14:solidFill>
          </w14:textFill>
        </w:rPr>
      </w:pPr>
      <w:r>
        <w:rPr>
          <w:rFonts w:eastAsia="仿宋_GB2312"/>
          <w:bCs/>
          <w:color w:val="000000" w:themeColor="text1"/>
          <w:sz w:val="32"/>
          <w:szCs w:val="32"/>
          <w14:textFill>
            <w14:solidFill>
              <w14:schemeClr w14:val="tx1"/>
            </w14:solidFill>
          </w14:textFill>
        </w:rPr>
        <w:t>构建更高层次开放合作格局。</w:t>
      </w:r>
      <w:r>
        <w:rPr>
          <w:rFonts w:eastAsia="仿宋_GB2312"/>
          <w:color w:val="000000" w:themeColor="text1"/>
          <w:sz w:val="32"/>
          <w:szCs w:val="32"/>
          <w14:textFill>
            <w14:solidFill>
              <w14:schemeClr w14:val="tx1"/>
            </w14:solidFill>
          </w14:textFill>
        </w:rPr>
        <w:t>深入落实“一带一路”倡议、“长江经济带发展”等国家战略，主动把握长三角一体化、粤港澳大湾区、成渝“双城”都市圈等发展机会，积极参与RCEP协定落地分工及中国—东盟框架合作，融入中国—中南半岛、孟中印缅等国际经济走廊建设，参与数字丝路、文化丝路建设，承接并对接自贸区产业创新发展，着力建设对外开放战略枢纽和支点。坚持扩大出口与增加进口并重、货物贸易与服务贸易并举，转变贸易发展方式，优化贸易结构，扩大先进服务、先进技术进口，推动高水平的开放，带动产业转型升级，打造高端服务开放发展先行区。</w:t>
      </w:r>
      <w:bookmarkStart w:id="135" w:name="_Toc14858"/>
      <w:bookmarkStart w:id="136" w:name="_Toc15111"/>
      <w:bookmarkStart w:id="137" w:name="_Toc26209"/>
      <w:bookmarkStart w:id="138" w:name="_Toc45464539"/>
      <w:bookmarkStart w:id="139" w:name="_Toc26565"/>
      <w:r>
        <w:rPr>
          <w:rFonts w:eastAsia="仿宋_GB2312"/>
          <w:bCs/>
          <w:color w:val="000000" w:themeColor="text1"/>
          <w:sz w:val="32"/>
          <w:szCs w:val="32"/>
          <w14:textFill>
            <w14:solidFill>
              <w14:schemeClr w14:val="tx1"/>
            </w14:solidFill>
          </w14:textFill>
        </w:rPr>
        <w:t>创新培育招商引资综合竞争优势。</w:t>
      </w:r>
      <w:r>
        <w:rPr>
          <w:rFonts w:eastAsia="仿宋_GB2312"/>
          <w:color w:val="000000" w:themeColor="text1"/>
          <w:sz w:val="32"/>
          <w:szCs w:val="32"/>
          <w14:textFill>
            <w14:solidFill>
              <w14:schemeClr w14:val="tx1"/>
            </w14:solidFill>
          </w14:textFill>
        </w:rPr>
        <w:t>稳步拓展规则、规制、管理、标准等制度型开放，促进内需和外需、进口和出口、引进外资和对外投资协调发展。落实外商投资准入前国民待遇加负面清单管理模式和服务业领域外资准入限制规定，大力引进全球服务业跨国公司，吸引世界500强企业、境外大型企业在我区设立运营总部、研发中心、采购中心、分销中心、物流中心、结算中心、品牌培育中心、外包中心等具有贸易营运和管理功能的贸易型总部。</w:t>
      </w:r>
      <w:bookmarkStart w:id="140" w:name="_Hlk45456526"/>
      <w:r>
        <w:rPr>
          <w:rFonts w:eastAsia="仿宋_GB2312"/>
          <w:color w:val="000000" w:themeColor="text1"/>
          <w:sz w:val="32"/>
          <w:szCs w:val="32"/>
          <w14:textFill>
            <w14:solidFill>
              <w14:schemeClr w14:val="tx1"/>
            </w14:solidFill>
          </w14:textFill>
        </w:rPr>
        <w:t>统筹好产业招商、楼宇招商、片区招商3个重点，提升开放合作能力融入新发展格局。构建与自贸片区协调对接机制</w:t>
      </w:r>
      <w:bookmarkEnd w:id="135"/>
      <w:bookmarkEnd w:id="136"/>
      <w:bookmarkEnd w:id="137"/>
      <w:bookmarkEnd w:id="138"/>
      <w:bookmarkEnd w:id="139"/>
      <w:bookmarkEnd w:id="140"/>
      <w:r>
        <w:rPr>
          <w:rFonts w:eastAsia="仿宋_GB2312"/>
          <w:color w:val="000000" w:themeColor="text1"/>
          <w:sz w:val="32"/>
          <w:szCs w:val="32"/>
          <w14:textFill>
            <w14:solidFill>
              <w14:schemeClr w14:val="tx1"/>
            </w14:solidFill>
          </w14:textFill>
        </w:rPr>
        <w:t>。积极申报创建云南</w:t>
      </w:r>
      <w:r>
        <w:rPr>
          <w:rFonts w:hint="eastAsia" w:eastAsia="仿宋_GB2312"/>
          <w:color w:val="000000" w:themeColor="text1"/>
          <w:sz w:val="32"/>
          <w:szCs w:val="32"/>
          <w:lang w:eastAsia="zh-CN"/>
          <w14:textFill>
            <w14:solidFill>
              <w14:schemeClr w14:val="tx1"/>
            </w14:solidFill>
          </w14:textFill>
        </w:rPr>
        <w:t>自贸试验区</w:t>
      </w:r>
      <w:r>
        <w:rPr>
          <w:rFonts w:eastAsia="仿宋_GB2312"/>
          <w:color w:val="000000" w:themeColor="text1"/>
          <w:sz w:val="32"/>
          <w:szCs w:val="32"/>
          <w14:textFill>
            <w14:solidFill>
              <w14:schemeClr w14:val="tx1"/>
            </w14:solidFill>
          </w14:textFill>
        </w:rPr>
        <w:t>昆明片区功能拓展区，争取与既有片区实现政策对接互融，重点产业分工互补、公共服务共享互联的工作机制。到2025年，实际利用外资累计达到3.5亿美元，引进市外资金累计达到650亿元，全区总部企业不少于55户。</w:t>
      </w:r>
    </w:p>
    <w:tbl>
      <w:tblPr>
        <w:tblStyle w:val="43"/>
        <w:tblW w:w="90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54"/>
      </w:tblGrid>
      <w:tr w14:paraId="7E2BC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9054" w:type="dxa"/>
            <w:vAlign w:val="center"/>
          </w:tcPr>
          <w:p w14:paraId="6088EB51">
            <w:pPr>
              <w:topLinePunct/>
              <w:ind w:firstLine="560"/>
              <w:jc w:val="center"/>
              <w:rPr>
                <w:rFonts w:eastAsiaTheme="majorEastAsia"/>
                <w:color w:val="000000" w:themeColor="text1"/>
                <w14:textFill>
                  <w14:solidFill>
                    <w14:schemeClr w14:val="tx1"/>
                  </w14:solidFill>
                </w14:textFill>
              </w:rPr>
            </w:pPr>
            <w:r>
              <w:rPr>
                <w:rFonts w:eastAsia="黑体"/>
                <w:color w:val="000000" w:themeColor="text1"/>
                <w:kern w:val="0"/>
                <w:sz w:val="28"/>
                <w:szCs w:val="28"/>
                <w14:textFill>
                  <w14:solidFill>
                    <w14:schemeClr w14:val="tx1"/>
                  </w14:solidFill>
                </w14:textFill>
              </w:rPr>
              <w:t>专栏5 对外贸易转型提升工程</w:t>
            </w:r>
          </w:p>
        </w:tc>
      </w:tr>
      <w:tr w14:paraId="03DE35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54" w:type="dxa"/>
          </w:tcPr>
          <w:p w14:paraId="1106E7C3">
            <w:pPr>
              <w:topLinePunct/>
              <w:rPr>
                <w:rFonts w:eastAsia="仿宋_GB2312"/>
                <w:color w:val="000000" w:themeColor="text1"/>
                <w:kern w:val="0"/>
                <w:sz w:val="24"/>
                <w14:textFill>
                  <w14:solidFill>
                    <w14:schemeClr w14:val="tx1"/>
                  </w14:solidFill>
                </w14:textFill>
              </w:rPr>
            </w:pPr>
            <w:r>
              <w:rPr>
                <w:rFonts w:eastAsia="仿宋_GB2312"/>
                <w:b/>
                <w:bCs/>
                <w:color w:val="000000" w:themeColor="text1"/>
                <w:kern w:val="0"/>
                <w:sz w:val="24"/>
                <w14:textFill>
                  <w14:solidFill>
                    <w14:schemeClr w14:val="tx1"/>
                  </w14:solidFill>
                </w14:textFill>
              </w:rPr>
              <w:t>1.提升贸易便利化水平。</w:t>
            </w:r>
            <w:r>
              <w:rPr>
                <w:rFonts w:eastAsia="仿宋_GB2312"/>
                <w:color w:val="000000" w:themeColor="text1"/>
                <w:kern w:val="0"/>
                <w:sz w:val="24"/>
                <w14:textFill>
                  <w14:solidFill>
                    <w14:schemeClr w14:val="tx1"/>
                  </w14:solidFill>
                </w14:textFill>
              </w:rPr>
              <w:t>大力发展检验、检测、标准、认证等第三方服务，扩大第三方检验结果采信商品和机构范围。创新出口货物专利纠纷担保放行方式。研究开展贸易调整援助试点。</w:t>
            </w:r>
          </w:p>
          <w:p w14:paraId="3007444D">
            <w:pPr>
              <w:topLinePunct/>
              <w:rPr>
                <w:rFonts w:eastAsia="仿宋_GB2312"/>
                <w:color w:val="000000" w:themeColor="text1"/>
                <w:kern w:val="0"/>
                <w:sz w:val="24"/>
                <w14:textFill>
                  <w14:solidFill>
                    <w14:schemeClr w14:val="tx1"/>
                  </w14:solidFill>
                </w14:textFill>
              </w:rPr>
            </w:pPr>
            <w:r>
              <w:rPr>
                <w:rFonts w:eastAsia="仿宋_GB2312"/>
                <w:b/>
                <w:bCs/>
                <w:color w:val="000000" w:themeColor="text1"/>
                <w:kern w:val="0"/>
                <w:sz w:val="24"/>
                <w14:textFill>
                  <w14:solidFill>
                    <w14:schemeClr w14:val="tx1"/>
                  </w14:solidFill>
                </w14:textFill>
              </w:rPr>
              <w:t>2.创新推进跨境电子商务发展。</w:t>
            </w:r>
            <w:r>
              <w:rPr>
                <w:rFonts w:eastAsia="仿宋_GB2312"/>
                <w:color w:val="000000" w:themeColor="text1"/>
                <w:kern w:val="0"/>
                <w:sz w:val="24"/>
                <w14:textFill>
                  <w14:solidFill>
                    <w14:schemeClr w14:val="tx1"/>
                  </w14:solidFill>
                </w14:textFill>
              </w:rPr>
              <w:t>鼓励建设出口产品公共“海外仓”和海外运营中心。依法依规开展跨境电商人民币结算。推动跨境电商线上融资及担保方式创新、试点航空快件国际中转集拼业务。探索开展跨境电商结汇涉及的人民币与南亚东南亚小币种直接兑换，优化跨境电商支付和结售汇服务，构建一站式跨境电商综合金融服务平台。</w:t>
            </w:r>
          </w:p>
          <w:p w14:paraId="4B7A3197">
            <w:pPr>
              <w:topLinePunct/>
              <w:rPr>
                <w:rFonts w:eastAsiaTheme="majorEastAsia"/>
                <w:color w:val="000000" w:themeColor="text1"/>
                <w14:textFill>
                  <w14:solidFill>
                    <w14:schemeClr w14:val="tx1"/>
                  </w14:solidFill>
                </w14:textFill>
              </w:rPr>
            </w:pPr>
            <w:r>
              <w:rPr>
                <w:rFonts w:eastAsia="仿宋_GB2312"/>
                <w:b/>
                <w:bCs/>
                <w:color w:val="000000" w:themeColor="text1"/>
                <w:kern w:val="0"/>
                <w:sz w:val="24"/>
                <w14:textFill>
                  <w14:solidFill>
                    <w14:schemeClr w14:val="tx1"/>
                  </w14:solidFill>
                </w14:textFill>
              </w:rPr>
              <w:t>3.培育对外贸易新业态新模式。</w:t>
            </w:r>
            <w:r>
              <w:rPr>
                <w:rFonts w:eastAsia="仿宋_GB2312"/>
                <w:color w:val="000000" w:themeColor="text1"/>
                <w:kern w:val="0"/>
                <w:sz w:val="24"/>
                <w14:textFill>
                  <w14:solidFill>
                    <w14:schemeClr w14:val="tx1"/>
                  </w14:solidFill>
                </w14:textFill>
              </w:rPr>
              <w:t>加快构建5G产业体系，推动互联网、大数据、人工智能与实体经济深度融合。对海关特殊监管区域外有条件企业开展高附加值、高技术含量、符合环保要求的“两头在外”检测、维修业态实行保税监管。探索先进技术装备、关键零部件及其他机电产品（医疗器械等高风险产品除外）等平行进口。医疗机构可按照规定开展干细胞临床前沿医疗技术研究项目。大力发展中医药服务贸易，推动中医药海外创新发展。支持开展全球动植物种质资源引进和中转等业务。</w:t>
            </w:r>
          </w:p>
        </w:tc>
      </w:tr>
    </w:tbl>
    <w:p w14:paraId="5A9CD353">
      <w:pPr>
        <w:spacing w:line="540" w:lineRule="exact"/>
        <w:jc w:val="center"/>
        <w:rPr>
          <w:rFonts w:eastAsia="黑体"/>
          <w:sz w:val="32"/>
          <w:szCs w:val="32"/>
        </w:rPr>
      </w:pPr>
      <w:bookmarkStart w:id="141" w:name="_Toc61644788"/>
      <w:r>
        <w:rPr>
          <w:rFonts w:eastAsia="黑体"/>
          <w:sz w:val="32"/>
          <w:szCs w:val="32"/>
        </w:rPr>
        <w:t>第五章 构建“4×3”现代产业体系，</w:t>
      </w:r>
      <w:bookmarkEnd w:id="106"/>
      <w:bookmarkEnd w:id="107"/>
      <w:bookmarkEnd w:id="108"/>
      <w:bookmarkEnd w:id="109"/>
      <w:bookmarkEnd w:id="110"/>
      <w:bookmarkEnd w:id="111"/>
      <w:bookmarkEnd w:id="112"/>
      <w:bookmarkEnd w:id="113"/>
      <w:bookmarkEnd w:id="114"/>
      <w:r>
        <w:rPr>
          <w:rFonts w:eastAsia="黑体"/>
          <w:sz w:val="32"/>
          <w:szCs w:val="32"/>
        </w:rPr>
        <w:t>强化新发展动能</w:t>
      </w:r>
      <w:bookmarkEnd w:id="141"/>
    </w:p>
    <w:p w14:paraId="636A8566">
      <w:pPr>
        <w:topLinePunct/>
        <w:spacing w:line="540" w:lineRule="exact"/>
        <w:ind w:firstLine="640"/>
        <w:rPr>
          <w:rFonts w:eastAsia="仿宋_GB2312"/>
          <w:bCs/>
          <w:snapToGrid w:val="0"/>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drawing>
          <wp:anchor distT="0" distB="0" distL="114300" distR="114300" simplePos="0" relativeHeight="251663360" behindDoc="0" locked="0" layoutInCell="1" allowOverlap="1">
            <wp:simplePos x="0" y="0"/>
            <wp:positionH relativeFrom="column">
              <wp:posOffset>126365</wp:posOffset>
            </wp:positionH>
            <wp:positionV relativeFrom="paragraph">
              <wp:posOffset>3585845</wp:posOffset>
            </wp:positionV>
            <wp:extent cx="5238750" cy="2362200"/>
            <wp:effectExtent l="0" t="0" r="0" b="0"/>
            <wp:wrapSquare wrapText="bothSides"/>
            <wp:docPr id="2" name="图片 5" descr="C:\Users\Administrator\Desktop\图片1.pn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5" descr="C:\Users\Administrator\Desktop\图片1.png图片1"/>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5238750" cy="2362200"/>
                    </a:xfrm>
                    <a:prstGeom prst="rect">
                      <a:avLst/>
                    </a:prstGeom>
                    <a:noFill/>
                    <a:ln>
                      <a:noFill/>
                    </a:ln>
                  </pic:spPr>
                </pic:pic>
              </a:graphicData>
            </a:graphic>
          </wp:anchor>
        </w:drawing>
      </w:r>
      <w:r>
        <w:rPr>
          <w:rFonts w:eastAsia="仿宋_GB2312"/>
          <w:snapToGrid w:val="0"/>
          <w:color w:val="000000" w:themeColor="text1"/>
          <w:sz w:val="32"/>
          <w:szCs w:val="32"/>
          <w14:textFill>
            <w14:solidFill>
              <w14:schemeClr w14:val="tx1"/>
            </w14:solidFill>
          </w14:textFill>
        </w:rPr>
        <w:t>深化供给侧结构性改革，关注需求侧管理，围绕打造世界一流“三张牌”，</w:t>
      </w:r>
      <w:r>
        <w:rPr>
          <w:rFonts w:eastAsia="仿宋_GB2312"/>
          <w:bCs/>
          <w:snapToGrid w:val="0"/>
          <w:color w:val="000000" w:themeColor="text1"/>
          <w:sz w:val="32"/>
          <w:szCs w:val="32"/>
          <w14:textFill>
            <w14:solidFill>
              <w14:schemeClr w14:val="tx1"/>
            </w14:solidFill>
          </w14:textFill>
        </w:rPr>
        <w:t>加快构建“主导产业+基础产业+配套产业+机会产业”的“4×3”产业体系，</w:t>
      </w:r>
      <w:r>
        <w:rPr>
          <w:rFonts w:eastAsia="仿宋_GB2312"/>
          <w:bCs/>
          <w:snapToGrid w:val="0"/>
          <w:color w:val="000000" w:themeColor="text1"/>
          <w:kern w:val="0"/>
          <w:sz w:val="32"/>
          <w:szCs w:val="32"/>
          <w14:textFill>
            <w14:solidFill>
              <w14:schemeClr w14:val="tx1"/>
            </w14:solidFill>
          </w14:textFill>
        </w:rPr>
        <w:t>做强大健康、数字经济、服务贸易三个主导产业；做优房地产、新型化工、装备智造三个基础产业；做活生态农业、金融结算、军民融合三个机会产业；做大商贸物流、文化创意、主题旅游三个配套产业，</w:t>
      </w:r>
      <w:r>
        <w:rPr>
          <w:rFonts w:eastAsia="仿宋_GB2312"/>
          <w:snapToGrid w:val="0"/>
          <w:color w:val="000000" w:themeColor="text1"/>
          <w:kern w:val="0"/>
          <w:sz w:val="32"/>
          <w:szCs w:val="32"/>
          <w14:textFill>
            <w14:solidFill>
              <w14:schemeClr w14:val="tx1"/>
            </w14:solidFill>
          </w14:textFill>
        </w:rPr>
        <w:t>分行业做好供应链战略设计和精准施策，</w:t>
      </w:r>
      <w:r>
        <w:rPr>
          <w:rFonts w:eastAsia="仿宋_GB2312"/>
          <w:bCs/>
          <w:snapToGrid w:val="0"/>
          <w:color w:val="000000" w:themeColor="text1"/>
          <w:sz w:val="32"/>
          <w:szCs w:val="32"/>
          <w14:textFill>
            <w14:solidFill>
              <w14:schemeClr w14:val="tx1"/>
            </w14:solidFill>
          </w14:textFill>
        </w:rPr>
        <w:t>提升产业链供应链现代化水平，推进产业基础高级化、产业链现代化，着力发展实体经济，保持制造业比重基本稳定，提高经济质量效益和核心竞争力，加速现代服务业活力区建设，为全区经济高质量发展增强新活力。</w:t>
      </w:r>
      <w:bookmarkStart w:id="142" w:name="_Toc21774"/>
      <w:bookmarkStart w:id="143" w:name="_Toc22609"/>
      <w:bookmarkStart w:id="144" w:name="_Toc25171"/>
      <w:bookmarkStart w:id="145" w:name="_Toc14309"/>
      <w:bookmarkStart w:id="146" w:name="_Toc29673"/>
      <w:bookmarkStart w:id="147" w:name="_Toc23748"/>
      <w:bookmarkStart w:id="148" w:name="_Toc61644789"/>
      <w:bookmarkStart w:id="149" w:name="_Toc4431"/>
      <w:bookmarkStart w:id="150" w:name="_Toc3067"/>
      <w:bookmarkStart w:id="151" w:name="_Toc11462"/>
      <w:bookmarkStart w:id="152" w:name="_Toc1444"/>
    </w:p>
    <w:p w14:paraId="63DC3559">
      <w:pPr>
        <w:topLinePunct/>
        <w:spacing w:line="560" w:lineRule="exact"/>
        <w:ind w:firstLine="640"/>
        <w:rPr>
          <w:rFonts w:eastAsia="黑体"/>
          <w:sz w:val="32"/>
          <w:szCs w:val="32"/>
        </w:rPr>
      </w:pPr>
      <w:r>
        <w:rPr>
          <w:rFonts w:eastAsia="黑体"/>
          <w:sz w:val="32"/>
          <w:szCs w:val="32"/>
        </w:rPr>
        <w:t>一、做强三个主导</w:t>
      </w:r>
      <w:bookmarkEnd w:id="142"/>
      <w:bookmarkEnd w:id="143"/>
      <w:bookmarkEnd w:id="144"/>
      <w:bookmarkEnd w:id="145"/>
      <w:bookmarkEnd w:id="146"/>
      <w:bookmarkEnd w:id="147"/>
      <w:r>
        <w:rPr>
          <w:rFonts w:eastAsia="黑体"/>
          <w:sz w:val="32"/>
          <w:szCs w:val="32"/>
        </w:rPr>
        <w:t>产业</w:t>
      </w:r>
      <w:bookmarkEnd w:id="148"/>
      <w:bookmarkEnd w:id="149"/>
      <w:bookmarkEnd w:id="150"/>
      <w:bookmarkEnd w:id="151"/>
      <w:bookmarkEnd w:id="152"/>
      <w:bookmarkStart w:id="153" w:name="_Toc10121"/>
      <w:bookmarkStart w:id="154" w:name="_Toc11483"/>
    </w:p>
    <w:p w14:paraId="2A60115D">
      <w:pPr>
        <w:spacing w:line="560" w:lineRule="exact"/>
        <w:ind w:firstLine="640" w:firstLineChars="200"/>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（一）增强服务贸易</w:t>
      </w:r>
      <w:bookmarkEnd w:id="153"/>
      <w:r>
        <w:rPr>
          <w:rFonts w:eastAsia="楷体_GB2312"/>
          <w:color w:val="000000" w:themeColor="text1"/>
          <w:sz w:val="32"/>
          <w:szCs w:val="32"/>
          <w14:textFill>
            <w14:solidFill>
              <w14:schemeClr w14:val="tx1"/>
            </w14:solidFill>
          </w14:textFill>
        </w:rPr>
        <w:t>引领</w:t>
      </w:r>
      <w:bookmarkEnd w:id="154"/>
    </w:p>
    <w:p w14:paraId="04ECD43C">
      <w:pPr>
        <w:spacing w:line="560" w:lineRule="exact"/>
        <w:ind w:firstLine="643" w:firstLineChars="200"/>
        <w:rPr>
          <w:rFonts w:eastAsia="仿宋_GB2312"/>
          <w:bCs/>
          <w:color w:val="000000" w:themeColor="text1"/>
          <w:sz w:val="32"/>
          <w:szCs w:val="32"/>
          <w14:textFill>
            <w14:solidFill>
              <w14:schemeClr w14:val="tx1"/>
            </w14:solidFill>
          </w14:textFill>
        </w:rPr>
      </w:pPr>
      <w:r>
        <w:rPr>
          <w:rFonts w:eastAsia="仿宋_GB2312"/>
          <w:b/>
          <w:bCs/>
          <w:color w:val="000000" w:themeColor="text1"/>
          <w:sz w:val="32"/>
          <w:szCs w:val="32"/>
          <w14:textFill>
            <w14:solidFill>
              <w14:schemeClr w14:val="tx1"/>
            </w14:solidFill>
          </w14:textFill>
        </w:rPr>
        <w:t>打造面向南亚东南亚的服务贸易高地。</w:t>
      </w:r>
      <w:r>
        <w:rPr>
          <w:rFonts w:eastAsia="仿宋_GB2312"/>
          <w:bCs/>
          <w:color w:val="000000" w:themeColor="text1"/>
          <w:sz w:val="32"/>
          <w:szCs w:val="32"/>
          <w14:textFill>
            <w14:solidFill>
              <w14:schemeClr w14:val="tx1"/>
            </w14:solidFill>
          </w14:textFill>
        </w:rPr>
        <w:t>承载省市战略，发挥省级机关聚集优势，服务贸易深层次改革全面推进，健全服务贸易体制机制，提高服务贸易便利化水平，营商环境更加优化，市场活力更加凸显。高水平开放有序推进，服务业国际化程度不断提高，开放竞争更加充分，服务贸易对“一带一路”沿线南亚东南亚国家出口占比稳步提升。汇聚优势资源，双向优化传媒出版、知识产权贸易、设计服务、信息服务、引流服务、咨询服务、中医服务，以及博览会展、技术外包、休闲娱乐、交易结算、新零售、培训交流、医疗养生等业态发展环境，服务贸易规模显著扩大、结构不断优化，打造服务贸易高地。</w:t>
      </w:r>
      <w:r>
        <w:rPr>
          <w:rFonts w:eastAsia="仿宋_GB2312"/>
          <w:b/>
          <w:color w:val="000000" w:themeColor="text1"/>
          <w:sz w:val="32"/>
          <w:szCs w:val="32"/>
          <w14:textFill>
            <w14:solidFill>
              <w14:schemeClr w14:val="tx1"/>
            </w14:solidFill>
          </w14:textFill>
        </w:rPr>
        <w:t>数字经济驱动服务贸易创新发展</w:t>
      </w:r>
      <w:r>
        <w:rPr>
          <w:rFonts w:eastAsia="仿宋_GB2312"/>
          <w:bCs/>
          <w:color w:val="000000" w:themeColor="text1"/>
          <w:sz w:val="32"/>
          <w:szCs w:val="32"/>
          <w14:textFill>
            <w14:solidFill>
              <w14:schemeClr w14:val="tx1"/>
            </w14:solidFill>
          </w14:textFill>
        </w:rPr>
        <w:t>。推动数字营商环境便利化，支持发展基于工业互联网的大数据采集、存储、处理、分析、挖掘和交易等跨境服务，推动数据资产的商品化、证券化，探索形成大数据交易新模式。加快发展数据加工、清洗、脱敏等大数据加工业，开展大数据服务外包。以楼宇载体和传统商贸基地为基础，依托云南省区块链发展中心、云南数字经济开发区等载体，优先在电子政务、跨境贸易、绿色农业、绿色能源、智慧康养、供应链金融等领域选择一批具有代表性的应用场景，打造“区块链+”产业发展模式，助力</w:t>
      </w:r>
      <w:r>
        <w:rPr>
          <w:rFonts w:eastAsia="仿宋_GB2312"/>
          <w:color w:val="000000" w:themeColor="text1"/>
          <w:sz w:val="32"/>
          <w:szCs w:val="32"/>
          <w14:textFill>
            <w14:solidFill>
              <w14:schemeClr w14:val="tx1"/>
            </w14:solidFill>
          </w14:textFill>
        </w:rPr>
        <w:t>现代服务业活力区建设。</w:t>
      </w:r>
      <w:r>
        <w:rPr>
          <w:rFonts w:eastAsia="仿宋_GB2312"/>
          <w:b/>
          <w:color w:val="000000" w:themeColor="text1"/>
          <w:sz w:val="32"/>
          <w:szCs w:val="32"/>
          <w14:textFill>
            <w14:solidFill>
              <w14:schemeClr w14:val="tx1"/>
            </w14:solidFill>
          </w14:textFill>
        </w:rPr>
        <w:t>强化大健康特色的服务贸易核心优势。</w:t>
      </w:r>
      <w:r>
        <w:rPr>
          <w:rFonts w:eastAsia="仿宋_GB2312"/>
          <w:color w:val="000000" w:themeColor="text1"/>
          <w:sz w:val="32"/>
          <w:szCs w:val="32"/>
          <w14:textFill>
            <w14:solidFill>
              <w14:schemeClr w14:val="tx1"/>
            </w14:solidFill>
          </w14:textFill>
        </w:rPr>
        <w:t>支持重点健康企业加快产品研发、生产，拓宽国内外销售渠道。支持云南省工人疗养院等康养旅游项目发展，吸引国内外高端旅游康养客户。</w:t>
      </w:r>
      <w:r>
        <w:rPr>
          <w:rFonts w:eastAsia="仿宋_GB2312"/>
          <w:bCs/>
          <w:color w:val="000000" w:themeColor="text1"/>
          <w:sz w:val="32"/>
          <w:szCs w:val="32"/>
          <w14:textFill>
            <w14:solidFill>
              <w14:schemeClr w14:val="tx1"/>
            </w14:solidFill>
          </w14:textFill>
        </w:rPr>
        <w:t>创新服务供给与服务场景，重点发展健康管理、中医养生、医疗旅游、美丽健康、健康教育、康复护理、体育健身、生物医药等大健康产业业态，打造区域性国际大健康融合中心与服务目的地，强化大健康特色的服务贸易核心竞争力。</w:t>
      </w:r>
      <w:r>
        <w:rPr>
          <w:rFonts w:eastAsia="仿宋_GB2312"/>
          <w:b/>
          <w:color w:val="000000" w:themeColor="text1"/>
          <w:sz w:val="32"/>
          <w:szCs w:val="32"/>
          <w14:textFill>
            <w14:solidFill>
              <w14:schemeClr w14:val="tx1"/>
            </w14:solidFill>
          </w14:textFill>
        </w:rPr>
        <w:t>发挥大文旅引流服务贸易作用。</w:t>
      </w:r>
      <w:r>
        <w:rPr>
          <w:rFonts w:eastAsia="仿宋_GB2312"/>
          <w:bCs/>
          <w:color w:val="000000" w:themeColor="text1"/>
          <w:sz w:val="32"/>
          <w:szCs w:val="32"/>
          <w14:textFill>
            <w14:solidFill>
              <w14:schemeClr w14:val="tx1"/>
            </w14:solidFill>
          </w14:textFill>
        </w:rPr>
        <w:t>促进传统服务贸易与旅游、会展、体育、文化、商务、中医药等产业的融合，孕育以数字技术为支撑、高端服务为先导的服务贸易新业态，着力发展主题旅游、体育赛事、版权交易、国际会展、创意设计、民族文化交流、跨国自驾游等业态，推动旅游数字化发展，拓宽“走出去”渠道，挖掘“引进来”潜力，为西山服务贸易发展引流。对接“一部手机游云南”平台功能，完善“智慧旅游”服务体系，力争“十四五”期间对</w:t>
      </w:r>
      <w:r>
        <w:rPr>
          <w:rFonts w:eastAsia="仿宋_GB2312"/>
          <w:bCs/>
          <w:color w:val="000000" w:themeColor="text1"/>
          <w:spacing w:val="-4"/>
          <w:sz w:val="32"/>
          <w:szCs w:val="32"/>
          <w14:textFill>
            <w14:solidFill>
              <w14:schemeClr w14:val="tx1"/>
            </w14:solidFill>
          </w14:textFill>
        </w:rPr>
        <w:t>外文化贸易总额年均增速达10%左右。</w:t>
      </w:r>
      <w:r>
        <w:rPr>
          <w:rFonts w:eastAsia="仿宋_GB2312"/>
          <w:b/>
          <w:color w:val="000000" w:themeColor="text1"/>
          <w:spacing w:val="-4"/>
          <w:sz w:val="32"/>
          <w:szCs w:val="32"/>
          <w14:textFill>
            <w14:solidFill>
              <w14:schemeClr w14:val="tx1"/>
            </w14:solidFill>
          </w14:textFill>
        </w:rPr>
        <w:t>完善西山服务贸易高质量</w:t>
      </w:r>
      <w:r>
        <w:rPr>
          <w:rFonts w:eastAsia="仿宋_GB2312"/>
          <w:b/>
          <w:color w:val="000000" w:themeColor="text1"/>
          <w:sz w:val="32"/>
          <w:szCs w:val="32"/>
          <w14:textFill>
            <w14:solidFill>
              <w14:schemeClr w14:val="tx1"/>
            </w14:solidFill>
          </w14:textFill>
        </w:rPr>
        <w:t>发展的生态圈。</w:t>
      </w:r>
      <w:r>
        <w:rPr>
          <w:rFonts w:eastAsia="仿宋_GB2312"/>
          <w:bCs/>
          <w:color w:val="000000" w:themeColor="text1"/>
          <w:sz w:val="32"/>
          <w:szCs w:val="32"/>
          <w14:textFill>
            <w14:solidFill>
              <w14:schemeClr w14:val="tx1"/>
            </w14:solidFill>
          </w14:textFill>
        </w:rPr>
        <w:t>完善服务贸易管理体制，加大服务贸易开放力度，提升服务贸易便利水平，健全服务贸易促进体系，优化服务贸易政策体系，完善服务贸易监管模式，健全服务贸易统计体系。大力发展特色领域服务贸易，以数字经济、共享经济、平台经济等新产业、新模式打造赋能平台，构建现代化服务贸易生态体系。强化龙头企业引领，以现有零售批发、餐饮住宿、文化旅游、农贸种植、物流运输、医疗服务等传统产业聚集区为基础，向产业链附加值高的两端延伸。加强与重点服务贸易伙伴项目合作，支持国际服务贸易合作园区建设。针对重点领域和潜力行业，加大全产业链式的招商引资、引智、引技力度，推动形成具有竞争优势的产业和贸易生态圈、价值链。积极推进服务业扩大开放，创新推进有关领域公务员的国际交流合作。</w:t>
      </w:r>
      <w:bookmarkStart w:id="155" w:name="_Toc18702"/>
      <w:bookmarkStart w:id="156" w:name="_Toc29313"/>
    </w:p>
    <w:p w14:paraId="5C995091">
      <w:pPr>
        <w:spacing w:line="560" w:lineRule="exact"/>
        <w:ind w:firstLine="640" w:firstLineChars="200"/>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（二）促进大健康</w:t>
      </w:r>
      <w:bookmarkEnd w:id="155"/>
      <w:bookmarkEnd w:id="156"/>
      <w:r>
        <w:rPr>
          <w:rFonts w:eastAsia="楷体_GB2312"/>
          <w:color w:val="000000" w:themeColor="text1"/>
          <w:sz w:val="32"/>
          <w:szCs w:val="32"/>
          <w14:textFill>
            <w14:solidFill>
              <w14:schemeClr w14:val="tx1"/>
            </w14:solidFill>
          </w14:textFill>
        </w:rPr>
        <w:t>提效</w:t>
      </w:r>
    </w:p>
    <w:p w14:paraId="33656A61">
      <w:pPr>
        <w:topLinePunct/>
        <w:spacing w:line="540" w:lineRule="exact"/>
        <w:ind w:firstLine="643"/>
        <w:rPr>
          <w:rFonts w:eastAsia="仿宋_GB2312"/>
          <w:bCs/>
          <w:color w:val="000000" w:themeColor="text1"/>
          <w:sz w:val="32"/>
          <w:szCs w:val="32"/>
          <w14:textFill>
            <w14:solidFill>
              <w14:schemeClr w14:val="tx1"/>
            </w14:solidFill>
          </w14:textFill>
        </w:rPr>
      </w:pPr>
      <w:r>
        <w:rPr>
          <w:rFonts w:eastAsia="仿宋_GB2312"/>
          <w:b/>
          <w:color w:val="000000" w:themeColor="text1"/>
          <w:sz w:val="32"/>
          <w:szCs w:val="32"/>
          <w14:textFill>
            <w14:solidFill>
              <w14:schemeClr w14:val="tx1"/>
            </w14:solidFill>
          </w14:textFill>
        </w:rPr>
        <w:t>构建大健康集群生态圈，</w:t>
      </w:r>
      <w:r>
        <w:rPr>
          <w:rFonts w:eastAsia="仿宋_GB2312"/>
          <w:b/>
          <w:bCs/>
          <w:color w:val="000000" w:themeColor="text1"/>
          <w:sz w:val="32"/>
          <w:szCs w:val="32"/>
          <w14:textFill>
            <w14:solidFill>
              <w14:schemeClr w14:val="tx1"/>
            </w14:solidFill>
          </w14:textFill>
        </w:rPr>
        <w:t>助力山水都市品质区发展</w:t>
      </w:r>
      <w:r>
        <w:rPr>
          <w:rFonts w:eastAsia="仿宋_GB2312"/>
          <w:b/>
          <w:color w:val="000000" w:themeColor="text1"/>
          <w:sz w:val="32"/>
          <w:szCs w:val="32"/>
          <w14:textFill>
            <w14:solidFill>
              <w14:schemeClr w14:val="tx1"/>
            </w14:solidFill>
          </w14:textFill>
        </w:rPr>
        <w:t>。</w:t>
      </w:r>
      <w:r>
        <w:rPr>
          <w:rFonts w:eastAsia="仿宋_GB2312"/>
          <w:color w:val="000000" w:themeColor="text1"/>
          <w:sz w:val="32"/>
          <w:szCs w:val="32"/>
          <w14:textFill>
            <w14:solidFill>
              <w14:schemeClr w14:val="tx1"/>
            </w14:solidFill>
          </w14:textFill>
        </w:rPr>
        <w:t>加</w:t>
      </w:r>
      <w:r>
        <w:rPr>
          <w:rFonts w:eastAsia="仿宋_GB2312"/>
          <w:bCs/>
          <w:color w:val="000000" w:themeColor="text1"/>
          <w:sz w:val="32"/>
          <w:szCs w:val="32"/>
          <w14:textFill>
            <w14:solidFill>
              <w14:schemeClr w14:val="tx1"/>
            </w14:solidFill>
          </w14:textFill>
        </w:rPr>
        <w:t>快西山风景区步行栈道建设，打造5A级西山风景区健康森林公园。开发一批康养乡村休闲养生旅游产品。发展中高端医疗旅游服务。通过政府购买服务或引导社会力量管理运营社区医疗养老服务机构和设施，培育一批品牌化、连锁化、规模化的龙头社会组织。培育实施柏寿老年公寓等重点养老综合体项目。举办地域性、季节性、景观性特色体育节活动。</w:t>
      </w:r>
      <w:r>
        <w:rPr>
          <w:rFonts w:eastAsia="仿宋_GB2312"/>
          <w:color w:val="000000" w:themeColor="text1"/>
          <w:sz w:val="32"/>
          <w:szCs w:val="32"/>
          <w14:textFill>
            <w14:solidFill>
              <w14:schemeClr w14:val="tx1"/>
            </w14:solidFill>
          </w14:textFill>
        </w:rPr>
        <w:t>加大引入国际性足球赛事，将西山区建成面向南亚东南亚的赛事运动中心。重点培育一批高端化、品质化、国际化的本土康养制造企业。发展食物营养健康产业。促进智慧健康发展，加快推进全生命周期健康管理，加快云计算、大数据、物联网、移动互联、人工智能、区块链等新一代信息技术在医疗、养老、健身、旅游和药品、食品等大健康关联领域的应用。</w:t>
      </w:r>
      <w:r>
        <w:rPr>
          <w:rFonts w:eastAsia="仿宋_GB2312"/>
          <w:b/>
          <w:color w:val="000000" w:themeColor="text1"/>
          <w:sz w:val="32"/>
          <w:szCs w:val="32"/>
          <w14:textFill>
            <w14:solidFill>
              <w14:schemeClr w14:val="tx1"/>
            </w14:solidFill>
          </w14:textFill>
        </w:rPr>
        <w:t>强化优势产业链，增强中医健康引领效能。</w:t>
      </w:r>
      <w:r>
        <w:rPr>
          <w:rFonts w:eastAsia="仿宋_GB2312"/>
          <w:bCs/>
          <w:color w:val="000000" w:themeColor="text1"/>
          <w:sz w:val="32"/>
          <w:szCs w:val="32"/>
          <w14:textFill>
            <w14:solidFill>
              <w14:schemeClr w14:val="tx1"/>
            </w14:solidFill>
          </w14:textFill>
        </w:rPr>
        <w:t>围绕云南三七、大麻、玛卡等优势中草药创新发展，加快抢占区域品牌、认证中心、授牌中心、检测中心、交易中心、结算中心、创意设计中心、体验中心、新零售中心，占领省市特色产业制高点，以中草药与民族养生带动城乡产业融合，形成“一城多园区多基地”发展格局，助力西山美丽健康产业参与全球价值竞争。</w:t>
      </w:r>
      <w:r>
        <w:rPr>
          <w:rFonts w:eastAsia="仿宋_GB2312"/>
          <w:b/>
          <w:color w:val="000000" w:themeColor="text1"/>
          <w:sz w:val="32"/>
          <w:szCs w:val="32"/>
          <w14:textFill>
            <w14:solidFill>
              <w14:schemeClr w14:val="tx1"/>
            </w14:solidFill>
          </w14:textFill>
        </w:rPr>
        <w:t>创新业态融合，发挥大健康产业的复合效益。</w:t>
      </w:r>
      <w:r>
        <w:rPr>
          <w:rFonts w:eastAsia="仿宋_GB2312"/>
          <w:bCs/>
          <w:color w:val="000000" w:themeColor="text1"/>
          <w:sz w:val="32"/>
          <w:szCs w:val="32"/>
          <w14:textFill>
            <w14:solidFill>
              <w14:schemeClr w14:val="tx1"/>
            </w14:solidFill>
          </w14:textFill>
        </w:rPr>
        <w:t>创新大健康产业与其它产业的深度融合，强化大健康作为主导产业的带动性，鼓励跨产业链接的业态发展，引导形成各产业集群之间优势互补互联、市场互动互促、要素共生共享、价值共创共赢的发展格局。</w:t>
      </w:r>
      <w:bookmarkStart w:id="157" w:name="_Toc24753"/>
      <w:bookmarkStart w:id="158" w:name="_Toc8501"/>
      <w:r>
        <w:rPr>
          <w:rFonts w:eastAsia="仿宋_GB2312"/>
          <w:color w:val="000000" w:themeColor="text1"/>
          <w:sz w:val="32"/>
          <w:szCs w:val="32"/>
          <w14:textFill>
            <w14:solidFill>
              <w14:schemeClr w14:val="tx1"/>
            </w14:solidFill>
          </w14:textFill>
        </w:rPr>
        <w:t>到2025年，基本形成覆盖全生命周期、内涵丰富、特色鲜明、结构合理的大健康体系，产业规模显著扩大。</w:t>
      </w:r>
    </w:p>
    <w:p w14:paraId="170BE8F1">
      <w:pPr>
        <w:topLinePunct/>
        <w:spacing w:line="54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（三）强化数字经济</w:t>
      </w:r>
      <w:bookmarkEnd w:id="157"/>
      <w:r>
        <w:rPr>
          <w:rFonts w:eastAsia="楷体_GB2312"/>
          <w:color w:val="000000" w:themeColor="text1"/>
          <w:sz w:val="32"/>
          <w:szCs w:val="32"/>
          <w14:textFill>
            <w14:solidFill>
              <w14:schemeClr w14:val="tx1"/>
            </w14:solidFill>
          </w14:textFill>
        </w:rPr>
        <w:t>驱动</w:t>
      </w:r>
      <w:bookmarkEnd w:id="158"/>
    </w:p>
    <w:p w14:paraId="40DDA3E9">
      <w:pPr>
        <w:topLinePunct/>
        <w:spacing w:line="540" w:lineRule="exact"/>
        <w:ind w:firstLine="640"/>
        <w:rPr>
          <w:rFonts w:eastAsia="仿宋_GB2312"/>
          <w:bCs/>
          <w:color w:val="000000" w:themeColor="text1"/>
          <w:sz w:val="32"/>
          <w:szCs w:val="32"/>
          <w14:textFill>
            <w14:solidFill>
              <w14:schemeClr w14:val="tx1"/>
            </w14:solidFill>
          </w14:textFill>
        </w:rPr>
      </w:pPr>
      <w:r>
        <w:rPr>
          <w:rFonts w:eastAsia="仿宋_GB2312"/>
          <w:bCs/>
          <w:color w:val="000000" w:themeColor="text1"/>
          <w:sz w:val="32"/>
          <w:szCs w:val="32"/>
          <w14:textFill>
            <w14:solidFill>
              <w14:schemeClr w14:val="tx1"/>
            </w14:solidFill>
          </w14:textFill>
        </w:rPr>
        <w:t>深度推进数字赋能经济。围绕高原特色现代农业，开展农业农村基础信息采集试点和农业物联网试点建设工作；加大工业数字化投入，培育工业互联网平台；深化数字技术和大健康、文化旅游等领域的融合发展，加快康养文旅数字化。</w:t>
      </w:r>
      <w:r>
        <w:rPr>
          <w:rFonts w:eastAsia="仿宋_GB2312"/>
          <w:b/>
          <w:bCs/>
          <w:color w:val="000000" w:themeColor="text1"/>
          <w:sz w:val="32"/>
          <w:szCs w:val="32"/>
          <w14:textFill>
            <w14:solidFill>
              <w14:schemeClr w14:val="tx1"/>
            </w14:solidFill>
          </w14:textFill>
        </w:rPr>
        <w:t>构建三层数字经济结构，发展数字生态。</w:t>
      </w:r>
      <w:r>
        <w:rPr>
          <w:rFonts w:eastAsia="仿宋_GB2312"/>
          <w:bCs/>
          <w:color w:val="000000" w:themeColor="text1"/>
          <w:sz w:val="32"/>
          <w:szCs w:val="32"/>
          <w14:textFill>
            <w14:solidFill>
              <w14:schemeClr w14:val="tx1"/>
            </w14:solidFill>
          </w14:textFill>
        </w:rPr>
        <w:t>加快培育以城市创意设计、创意资源要素整合加工、新物种新经济资源、科创城创意新场景体验等为重点的核心业态圈层；加快建立以城市品牌赋能、创意设计创客孵化、城市设计、大数据应用等为重点的转化业态圈层；加快建设以数字产品创意、智能工厂（车间）、大健康数字体验、数字文旅服务等应用业态圈层。</w:t>
      </w:r>
      <w:r>
        <w:rPr>
          <w:rFonts w:eastAsia="仿宋_GB2312"/>
          <w:b/>
          <w:bCs/>
          <w:color w:val="000000" w:themeColor="text1"/>
          <w:sz w:val="32"/>
          <w:szCs w:val="32"/>
          <w14:textFill>
            <w14:solidFill>
              <w14:schemeClr w14:val="tx1"/>
            </w14:solidFill>
          </w14:textFill>
        </w:rPr>
        <w:t>搭建</w:t>
      </w:r>
      <w:r>
        <w:rPr>
          <w:rFonts w:eastAsia="仿宋_GB2312"/>
          <w:b/>
          <w:color w:val="000000" w:themeColor="text1"/>
          <w:sz w:val="32"/>
          <w:szCs w:val="32"/>
          <w14:textFill>
            <w14:solidFill>
              <w14:schemeClr w14:val="tx1"/>
            </w14:solidFill>
          </w14:textFill>
        </w:rPr>
        <w:t>数字经济三层链接，提升设计生产服务水平。</w:t>
      </w:r>
      <w:r>
        <w:rPr>
          <w:rFonts w:eastAsia="仿宋_GB2312"/>
          <w:bCs/>
          <w:color w:val="000000" w:themeColor="text1"/>
          <w:sz w:val="32"/>
          <w:szCs w:val="32"/>
          <w14:textFill>
            <w14:solidFill>
              <w14:schemeClr w14:val="tx1"/>
            </w14:solidFill>
          </w14:textFill>
        </w:rPr>
        <w:t>打通以科创设计为引领，以智能生产为基础，以服务贸易为渠道，不断拓展产业链接，以数字经济促进上、中、下游协同发展，形成支撑大健康、文化创意、装备智造、新型化工、主题旅游、特色农业等高端发展的数字经济产业链。重点发展数字化设计，强化科创设计，以数字经济平台吸引时尚创意、产品设计、工业设计、包装设计、工程与环境设计创新发展；重点推广数字化生产，促进智能生产，以数字场景实现加工智造、智慧农业、内容创造、智慧城市的个性化、定制化、智能化升级；引导数字化服务，提升服务贸易水平，以“互联网+”打通跨境电商、AR/VR文旅体验、数字新零售、交易结算、版权交易等实现人流、物流、信息流和资金流的高度融合。</w:t>
      </w:r>
      <w:r>
        <w:rPr>
          <w:rFonts w:eastAsia="仿宋_GB2312"/>
          <w:b/>
          <w:color w:val="000000" w:themeColor="text1"/>
          <w:sz w:val="32"/>
          <w:szCs w:val="32"/>
          <w14:textFill>
            <w14:solidFill>
              <w14:schemeClr w14:val="tx1"/>
            </w14:solidFill>
          </w14:textFill>
        </w:rPr>
        <w:t>营造数字城市场景。</w:t>
      </w:r>
      <w:r>
        <w:rPr>
          <w:rFonts w:eastAsia="仿宋_GB2312"/>
          <w:bCs/>
          <w:color w:val="000000" w:themeColor="text1"/>
          <w:sz w:val="32"/>
          <w:szCs w:val="32"/>
          <w14:textFill>
            <w14:solidFill>
              <w14:schemeClr w14:val="tx1"/>
            </w14:solidFill>
          </w14:textFill>
        </w:rPr>
        <w:t>充分利用5G与智能制造、工业互联网、大数据、人工智能、超高清视频、工控安全等技术的深度融合，快速营造车路协同、娱乐体验、互联之家、智慧商业、在线城市、自主生产、专业服务等多方面城市新场景，</w:t>
      </w:r>
      <w:r>
        <w:rPr>
          <w:rFonts w:eastAsia="仿宋_GB2312"/>
          <w:color w:val="000000" w:themeColor="text1"/>
          <w:sz w:val="32"/>
          <w:szCs w:val="32"/>
          <w14:textFill>
            <w14:solidFill>
              <w14:schemeClr w14:val="tx1"/>
            </w14:solidFill>
          </w14:textFill>
        </w:rPr>
        <w:t>加快发展健康医疗大数据应用。</w:t>
      </w:r>
      <w:r>
        <w:rPr>
          <w:rFonts w:eastAsia="仿宋_GB2312"/>
          <w:bCs/>
          <w:color w:val="000000" w:themeColor="text1"/>
          <w:sz w:val="32"/>
          <w:szCs w:val="32"/>
          <w14:textFill>
            <w14:solidFill>
              <w14:schemeClr w14:val="tx1"/>
            </w14:solidFill>
          </w14:textFill>
        </w:rPr>
        <w:t>深化与科技引领型企业、相关科研机构的产学研合作，结合5G应用相关的基础设施建设、科技应用孵化、科技产品生产与服务、新业态导入等方面，展现数字城市新理念、新环境、新面貌、新体验。</w:t>
      </w:r>
      <w:bookmarkStart w:id="159" w:name="_Toc14245"/>
      <w:bookmarkStart w:id="160" w:name="_Toc23664"/>
      <w:bookmarkStart w:id="161" w:name="_Toc27863"/>
      <w:bookmarkStart w:id="162" w:name="_Toc12633"/>
      <w:bookmarkStart w:id="163" w:name="_Toc22449"/>
      <w:bookmarkStart w:id="164" w:name="_Toc16199"/>
      <w:bookmarkStart w:id="165" w:name="_Toc14000"/>
      <w:bookmarkStart w:id="166" w:name="_Toc6824"/>
      <w:bookmarkStart w:id="167" w:name="_Toc24610"/>
      <w:r>
        <w:rPr>
          <w:rFonts w:eastAsia="仿宋_GB2312"/>
          <w:bCs/>
          <w:color w:val="000000" w:themeColor="text1"/>
          <w:sz w:val="32"/>
          <w:szCs w:val="32"/>
          <w14:textFill>
            <w14:solidFill>
              <w14:schemeClr w14:val="tx1"/>
            </w14:solidFill>
          </w14:textFill>
        </w:rPr>
        <w:t>以数字经济为引擎，搭建场景应用平台、生活体验平台、公共服务平台、产业基地支撑平台、智慧城市平台、智慧生态社区平台等系列产业发展平台。支持建设各类产业园区、产业基地、主题街区、数字社区等空间场景。</w:t>
      </w:r>
      <w:bookmarkEnd w:id="115"/>
      <w:bookmarkEnd w:id="116"/>
      <w:bookmarkEnd w:id="117"/>
      <w:bookmarkEnd w:id="118"/>
      <w:bookmarkEnd w:id="119"/>
      <w:bookmarkEnd w:id="120"/>
      <w:bookmarkEnd w:id="121"/>
      <w:bookmarkEnd w:id="122"/>
      <w:bookmarkEnd w:id="123"/>
      <w:bookmarkEnd w:id="159"/>
      <w:bookmarkEnd w:id="160"/>
      <w:bookmarkEnd w:id="161"/>
      <w:bookmarkEnd w:id="162"/>
      <w:bookmarkEnd w:id="163"/>
      <w:bookmarkEnd w:id="164"/>
      <w:bookmarkEnd w:id="165"/>
      <w:bookmarkEnd w:id="166"/>
      <w:bookmarkEnd w:id="167"/>
      <w:bookmarkStart w:id="168" w:name="_Toc58944713"/>
      <w:bookmarkStart w:id="169" w:name="_Toc61644790"/>
      <w:bookmarkStart w:id="170" w:name="_Toc58923529"/>
    </w:p>
    <w:p w14:paraId="36085EFD">
      <w:pPr>
        <w:topLinePunct/>
        <w:spacing w:line="540" w:lineRule="exact"/>
        <w:ind w:firstLine="640"/>
        <w:rPr>
          <w:rFonts w:eastAsia="黑体"/>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二、做优三个基础产业</w:t>
      </w:r>
      <w:bookmarkEnd w:id="168"/>
      <w:bookmarkEnd w:id="169"/>
      <w:bookmarkStart w:id="171" w:name="_Toc7664"/>
      <w:bookmarkStart w:id="172" w:name="_Toc16037"/>
    </w:p>
    <w:p w14:paraId="142BBE08">
      <w:pPr>
        <w:topLinePunct/>
        <w:spacing w:line="540" w:lineRule="exact"/>
        <w:ind w:firstLine="640"/>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（一）引导房地产</w:t>
      </w:r>
      <w:bookmarkEnd w:id="171"/>
      <w:r>
        <w:rPr>
          <w:rFonts w:eastAsia="楷体_GB2312"/>
          <w:color w:val="000000" w:themeColor="text1"/>
          <w:sz w:val="32"/>
          <w:szCs w:val="32"/>
          <w14:textFill>
            <w14:solidFill>
              <w14:schemeClr w14:val="tx1"/>
            </w14:solidFill>
          </w14:textFill>
        </w:rPr>
        <w:t>筑场</w:t>
      </w:r>
      <w:bookmarkEnd w:id="172"/>
    </w:p>
    <w:p w14:paraId="42EBC740">
      <w:pPr>
        <w:topLinePunct/>
        <w:spacing w:line="540" w:lineRule="exact"/>
        <w:ind w:firstLine="643"/>
        <w:rPr>
          <w:rFonts w:eastAsia="仿宋_GB2312"/>
          <w:bCs/>
          <w:color w:val="000000" w:themeColor="text1"/>
          <w:sz w:val="32"/>
          <w:szCs w:val="32"/>
          <w14:textFill>
            <w14:solidFill>
              <w14:schemeClr w14:val="tx1"/>
            </w14:solidFill>
          </w14:textFill>
        </w:rPr>
      </w:pPr>
      <w:r>
        <w:rPr>
          <w:rFonts w:eastAsia="仿宋_GB2312"/>
          <w:b/>
          <w:color w:val="000000" w:themeColor="text1"/>
          <w:sz w:val="32"/>
          <w:szCs w:val="32"/>
          <w14:textFill>
            <w14:solidFill>
              <w14:schemeClr w14:val="tx1"/>
            </w14:solidFill>
          </w14:textFill>
        </w:rPr>
        <w:t>引导房地产发挥多元效益。</w:t>
      </w:r>
      <w:r>
        <w:rPr>
          <w:rFonts w:eastAsia="仿宋_GB2312"/>
          <w:bCs/>
          <w:color w:val="000000" w:themeColor="text1"/>
          <w:sz w:val="32"/>
          <w:szCs w:val="32"/>
          <w14:textFill>
            <w14:solidFill>
              <w14:schemeClr w14:val="tx1"/>
            </w14:solidFill>
          </w14:textFill>
        </w:rPr>
        <w:t>优化房地产发展模式，促进“金产城人文”融合发展。以增强区域创新要素聚集为出发点，以增量提质、存量升级为导向，优化楼宇、街区、社区、镇区、园区、景区载体形态，推动物业服务线上线下融合发展，搭建智慧物业平台，构建线上线下生活服务圈，营造美丽健康新生活、文创旅游新场景、服务贸易新空间、三创融合新载体、特色产业新生态，系统推进城经济和市经济融合发展。</w:t>
      </w:r>
      <w:r>
        <w:rPr>
          <w:rFonts w:eastAsia="仿宋_GB2312"/>
          <w:b/>
          <w:color w:val="000000" w:themeColor="text1"/>
          <w:sz w:val="32"/>
          <w:szCs w:val="32"/>
          <w14:textFill>
            <w14:solidFill>
              <w14:schemeClr w14:val="tx1"/>
            </w14:solidFill>
          </w14:textFill>
        </w:rPr>
        <w:t>构建新载体新空间新场景，强化赋能平台和要素集聚。</w:t>
      </w:r>
      <w:r>
        <w:rPr>
          <w:rFonts w:eastAsia="仿宋_GB2312"/>
          <w:bCs/>
          <w:color w:val="000000" w:themeColor="text1"/>
          <w:sz w:val="32"/>
          <w:szCs w:val="32"/>
          <w14:textFill>
            <w14:solidFill>
              <w14:schemeClr w14:val="tx1"/>
            </w14:solidFill>
          </w14:textFill>
        </w:rPr>
        <w:t>正确引导房地产，带动区域可持续发展；充分挖掘房地产对产业的筑场功能，发挥其要素集聚效能，激活区域联动发展的潜力，推动城市更新，促进产城融合；建设城市发展新载体、打造产业发展新空间、营造现代消费新场景、引领都市未来新生活。</w:t>
      </w:r>
      <w:r>
        <w:rPr>
          <w:rFonts w:eastAsia="仿宋_GB2312"/>
          <w:b/>
          <w:color w:val="000000" w:themeColor="text1"/>
          <w:sz w:val="32"/>
          <w:szCs w:val="32"/>
          <w14:textFill>
            <w14:solidFill>
              <w14:schemeClr w14:val="tx1"/>
            </w14:solidFill>
          </w14:textFill>
        </w:rPr>
        <w:t>打造楼宇经济产业生态圈，推动各大功能区融合发展。</w:t>
      </w:r>
      <w:r>
        <w:rPr>
          <w:rFonts w:eastAsia="仿宋_GB2312"/>
          <w:bCs/>
          <w:color w:val="000000" w:themeColor="text1"/>
          <w:sz w:val="32"/>
          <w:szCs w:val="32"/>
          <w14:textFill>
            <w14:solidFill>
              <w14:schemeClr w14:val="tx1"/>
            </w14:solidFill>
          </w14:textFill>
        </w:rPr>
        <w:t>打造“以楼宇为载体、以生态圈为内核、以产业功能区为核心、以社区为微观环境”的楼宇经济产业生态圈。加快建设人民西路、滇池路、前卫西路“三大”楼宇经济轴带，优化业态、塑造建筑外观、强化优势特色、提升片区形象，协调统筹“五大”楼宇功能区建设，推动全区楼宇经济产业生态圈发展。到2025年，全区重点楼宇规模突破450万平方米，楼宇市场主体数量突破1万家，楼宇经济税收突破30亿元。</w:t>
      </w:r>
    </w:p>
    <w:tbl>
      <w:tblPr>
        <w:tblStyle w:val="42"/>
        <w:tblW w:w="887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73"/>
      </w:tblGrid>
      <w:tr w14:paraId="50E6C0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73" w:type="dxa"/>
            <w:tcBorders>
              <w:top w:val="single" w:color="auto" w:sz="4" w:space="0"/>
              <w:left w:val="single" w:color="auto" w:sz="4" w:space="0"/>
              <w:bottom w:val="single" w:color="auto" w:sz="4" w:space="0"/>
              <w:right w:val="single" w:color="auto" w:sz="4" w:space="0"/>
            </w:tcBorders>
            <w:shd w:val="clear" w:color="auto" w:fill="auto"/>
          </w:tcPr>
          <w:p w14:paraId="36175575">
            <w:pPr>
              <w:topLinePunct/>
              <w:jc w:val="center"/>
              <w:rPr>
                <w:b/>
                <w:color w:val="000000" w:themeColor="text1"/>
                <w:szCs w:val="30"/>
                <w14:textFill>
                  <w14:solidFill>
                    <w14:schemeClr w14:val="tx1"/>
                  </w14:solidFill>
                </w14:textFill>
              </w:rPr>
            </w:pPr>
            <w:r>
              <w:rPr>
                <w:rFonts w:eastAsia="黑体"/>
                <w:color w:val="000000" w:themeColor="text1"/>
                <w:sz w:val="28"/>
                <w:szCs w:val="32"/>
                <w14:textFill>
                  <w14:solidFill>
                    <w14:schemeClr w14:val="tx1"/>
                  </w14:solidFill>
                </w14:textFill>
              </w:rPr>
              <w:t>专栏6 西山区“十四五”楼宇生态圈“</w:t>
            </w:r>
            <w:r>
              <w:rPr>
                <w:rFonts w:eastAsia="黑体"/>
                <w:color w:val="000000" w:themeColor="text1"/>
                <w:sz w:val="28"/>
                <w:szCs w:val="28"/>
                <w14:textFill>
                  <w14:solidFill>
                    <w14:schemeClr w14:val="tx1"/>
                  </w14:solidFill>
                </w14:textFill>
              </w:rPr>
              <w:t>五大”功能区</w:t>
            </w:r>
          </w:p>
        </w:tc>
      </w:tr>
      <w:tr w14:paraId="77033B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73" w:type="dxa"/>
            <w:tcBorders>
              <w:top w:val="single" w:color="auto" w:sz="4" w:space="0"/>
              <w:left w:val="single" w:color="auto" w:sz="4" w:space="0"/>
              <w:bottom w:val="single" w:color="auto" w:sz="4" w:space="0"/>
              <w:right w:val="single" w:color="auto" w:sz="4" w:space="0"/>
            </w:tcBorders>
            <w:shd w:val="clear" w:color="auto" w:fill="auto"/>
          </w:tcPr>
          <w:p w14:paraId="54256559">
            <w:pPr>
              <w:widowControl/>
              <w:topLinePunct/>
              <w:rPr>
                <w:rFonts w:eastAsia="仿宋_GB2312"/>
                <w:color w:val="000000" w:themeColor="text1"/>
                <w:kern w:val="0"/>
                <w:sz w:val="24"/>
                <w14:textFill>
                  <w14:solidFill>
                    <w14:schemeClr w14:val="tx1"/>
                  </w14:solidFill>
                </w14:textFill>
              </w:rPr>
            </w:pPr>
            <w:r>
              <w:rPr>
                <w:rFonts w:eastAsia="仿宋_GB2312"/>
                <w:b/>
                <w:color w:val="000000" w:themeColor="text1"/>
                <w:kern w:val="0"/>
                <w:sz w:val="24"/>
                <w14:textFill>
                  <w14:solidFill>
                    <w14:schemeClr w14:val="tx1"/>
                  </w14:solidFill>
                </w14:textFill>
              </w:rPr>
              <w:t>1</w:t>
            </w:r>
            <w:r>
              <w:rPr>
                <w:rFonts w:eastAsia="仿宋_GB2312"/>
                <w:color w:val="000000" w:themeColor="text1"/>
                <w:kern w:val="0"/>
                <w:sz w:val="24"/>
                <w14:textFill>
                  <w14:solidFill>
                    <w14:schemeClr w14:val="tx1"/>
                  </w14:solidFill>
                </w14:textFill>
              </w:rPr>
              <w:t>.</w:t>
            </w:r>
            <w:r>
              <w:rPr>
                <w:rFonts w:eastAsia="仿宋_GB2312"/>
                <w:b/>
                <w:bCs/>
                <w:color w:val="000000" w:themeColor="text1"/>
                <w:kern w:val="0"/>
                <w:sz w:val="24"/>
                <w14:textFill>
                  <w14:solidFill>
                    <w14:schemeClr w14:val="tx1"/>
                  </w14:solidFill>
                </w14:textFill>
              </w:rPr>
              <w:t>引擎带动片区。</w:t>
            </w:r>
            <w:r>
              <w:rPr>
                <w:rFonts w:eastAsia="仿宋_GB2312"/>
                <w:color w:val="000000" w:themeColor="text1"/>
                <w:kern w:val="0"/>
                <w:sz w:val="24"/>
                <w14:textFill>
                  <w14:solidFill>
                    <w14:schemeClr w14:val="tx1"/>
                  </w14:solidFill>
                </w14:textFill>
              </w:rPr>
              <w:t>功能定位为省属集聚区、平台中枢、文创中心、企业服务核心区、高品质生活服务区、绿色生态五大功能。包括：云投带动区、润城带动区、广福路带动区。</w:t>
            </w:r>
          </w:p>
          <w:p w14:paraId="307FC242">
            <w:pPr>
              <w:topLinePunct/>
              <w:rPr>
                <w:rFonts w:eastAsia="仿宋_GB2312"/>
                <w:color w:val="000000" w:themeColor="text1"/>
                <w:kern w:val="0"/>
                <w:sz w:val="24"/>
                <w14:textFill>
                  <w14:solidFill>
                    <w14:schemeClr w14:val="tx1"/>
                  </w14:solidFill>
                </w14:textFill>
              </w:rPr>
            </w:pPr>
            <w:r>
              <w:rPr>
                <w:rFonts w:eastAsia="仿宋_GB2312"/>
                <w:b/>
                <w:bCs/>
                <w:color w:val="000000" w:themeColor="text1"/>
                <w:kern w:val="0"/>
                <w:sz w:val="24"/>
                <w14:textFill>
                  <w14:solidFill>
                    <w14:schemeClr w14:val="tx1"/>
                  </w14:solidFill>
                </w14:textFill>
              </w:rPr>
              <w:t>2.核心支撑片区。</w:t>
            </w:r>
            <w:r>
              <w:rPr>
                <w:rFonts w:eastAsia="仿宋_GB2312"/>
                <w:color w:val="000000" w:themeColor="text1"/>
                <w:kern w:val="0"/>
                <w:sz w:val="24"/>
                <w14:textFill>
                  <w14:solidFill>
                    <w14:schemeClr w14:val="tx1"/>
                  </w14:solidFill>
                </w14:textFill>
              </w:rPr>
              <w:t>功能定位为名企集聚区、商务次中心、创意商贸消费区、品质生活服务区、优质服务配套区五大功能。包括：万达片区、南亚片区、爱琴海片区。</w:t>
            </w:r>
          </w:p>
          <w:p w14:paraId="3EE8F63D">
            <w:pPr>
              <w:topLinePunct/>
              <w:rPr>
                <w:rFonts w:eastAsia="仿宋_GB2312"/>
                <w:color w:val="000000" w:themeColor="text1"/>
                <w:kern w:val="0"/>
                <w:sz w:val="24"/>
                <w14:textFill>
                  <w14:solidFill>
                    <w14:schemeClr w14:val="tx1"/>
                  </w14:solidFill>
                </w14:textFill>
              </w:rPr>
            </w:pPr>
            <w:r>
              <w:rPr>
                <w:rFonts w:eastAsia="仿宋_GB2312"/>
                <w:b/>
                <w:bCs/>
                <w:color w:val="000000" w:themeColor="text1"/>
                <w:kern w:val="0"/>
                <w:sz w:val="24"/>
                <w14:textFill>
                  <w14:solidFill>
                    <w14:schemeClr w14:val="tx1"/>
                  </w14:solidFill>
                </w14:textFill>
              </w:rPr>
              <w:t>3.特色发展片区。</w:t>
            </w:r>
            <w:r>
              <w:rPr>
                <w:rFonts w:eastAsia="仿宋_GB2312"/>
                <w:color w:val="000000" w:themeColor="text1"/>
                <w:kern w:val="0"/>
                <w:sz w:val="24"/>
                <w14:textFill>
                  <w14:solidFill>
                    <w14:schemeClr w14:val="tx1"/>
                  </w14:solidFill>
                </w14:textFill>
              </w:rPr>
              <w:t>功能定位为人文社区、科创中心、文创中心、主题旅游区、绿色生态配套区五大功能。包括：螺蛳湾片区。</w:t>
            </w:r>
          </w:p>
          <w:p w14:paraId="720FD885">
            <w:pPr>
              <w:topLinePunct/>
              <w:rPr>
                <w:rFonts w:eastAsia="仿宋_GB2312"/>
                <w:color w:val="000000" w:themeColor="text1"/>
                <w:kern w:val="0"/>
                <w:sz w:val="24"/>
                <w14:textFill>
                  <w14:solidFill>
                    <w14:schemeClr w14:val="tx1"/>
                  </w14:solidFill>
                </w14:textFill>
              </w:rPr>
            </w:pPr>
            <w:r>
              <w:rPr>
                <w:rFonts w:eastAsia="仿宋_GB2312"/>
                <w:b/>
                <w:bCs/>
                <w:color w:val="000000" w:themeColor="text1"/>
                <w:kern w:val="0"/>
                <w:sz w:val="24"/>
                <w14:textFill>
                  <w14:solidFill>
                    <w14:schemeClr w14:val="tx1"/>
                  </w14:solidFill>
                </w14:textFill>
              </w:rPr>
              <w:t>4.潜力发展片区。</w:t>
            </w:r>
            <w:r>
              <w:rPr>
                <w:rFonts w:eastAsia="仿宋_GB2312"/>
                <w:color w:val="000000" w:themeColor="text1"/>
                <w:kern w:val="0"/>
                <w:sz w:val="24"/>
                <w14:textFill>
                  <w14:solidFill>
                    <w14:schemeClr w14:val="tx1"/>
                  </w14:solidFill>
                </w14:textFill>
              </w:rPr>
              <w:t>功能定位为创新平台、主题旅游、生活服务、专业会展、文化创意五大功能。包括：春雨路片区（含高铁西站片区）、草海片区。</w:t>
            </w:r>
          </w:p>
          <w:p w14:paraId="7A936BBB">
            <w:pPr>
              <w:topLinePunct/>
              <w:rPr>
                <w:color w:val="000000" w:themeColor="text1"/>
                <w:sz w:val="28"/>
                <w:szCs w:val="28"/>
                <w14:textFill>
                  <w14:solidFill>
                    <w14:schemeClr w14:val="tx1"/>
                  </w14:solidFill>
                </w14:textFill>
              </w:rPr>
            </w:pPr>
            <w:r>
              <w:rPr>
                <w:rFonts w:eastAsia="仿宋_GB2312"/>
                <w:b/>
                <w:bCs/>
                <w:color w:val="000000" w:themeColor="text1"/>
                <w:kern w:val="0"/>
                <w:sz w:val="24"/>
                <w14:textFill>
                  <w14:solidFill>
                    <w14:schemeClr w14:val="tx1"/>
                  </w14:solidFill>
                </w14:textFill>
              </w:rPr>
              <w:t>5.提升改造片区。</w:t>
            </w:r>
            <w:r>
              <w:rPr>
                <w:rFonts w:eastAsia="仿宋_GB2312"/>
                <w:color w:val="000000" w:themeColor="text1"/>
                <w:kern w:val="0"/>
                <w:sz w:val="24"/>
                <w14:textFill>
                  <w14:solidFill>
                    <w14:schemeClr w14:val="tx1"/>
                  </w14:solidFill>
                </w14:textFill>
              </w:rPr>
              <w:t>功能定位为老旧楼宇改造示范区、办公新业态集聚区、楼宇外观美化示范区、夜间城市观光区、区域生活服务承载区五大功能。包括：西苑片区、金碧片区。</w:t>
            </w:r>
          </w:p>
        </w:tc>
      </w:tr>
    </w:tbl>
    <w:p w14:paraId="05978D2B">
      <w:pPr>
        <w:topLinePunct/>
        <w:spacing w:line="560" w:lineRule="exact"/>
        <w:ind w:firstLine="640"/>
        <w:outlineLvl w:val="2"/>
        <w:rPr>
          <w:rFonts w:eastAsia="楷体_GB2312"/>
          <w:color w:val="000000" w:themeColor="text1"/>
          <w:sz w:val="32"/>
          <w:szCs w:val="32"/>
          <w14:textFill>
            <w14:solidFill>
              <w14:schemeClr w14:val="tx1"/>
            </w14:solidFill>
          </w14:textFill>
        </w:rPr>
      </w:pPr>
      <w:bookmarkStart w:id="173" w:name="_Toc17042"/>
      <w:bookmarkStart w:id="174" w:name="_Toc14154"/>
      <w:r>
        <w:rPr>
          <w:rFonts w:eastAsia="楷体_GB2312"/>
          <w:color w:val="000000" w:themeColor="text1"/>
          <w:sz w:val="32"/>
          <w:szCs w:val="32"/>
          <w14:textFill>
            <w14:solidFill>
              <w14:schemeClr w14:val="tx1"/>
            </w14:solidFill>
          </w14:textFill>
        </w:rPr>
        <w:t>（二）提升装备智造</w:t>
      </w:r>
      <w:bookmarkEnd w:id="173"/>
      <w:r>
        <w:rPr>
          <w:rFonts w:eastAsia="楷体_GB2312"/>
          <w:color w:val="000000" w:themeColor="text1"/>
          <w:sz w:val="32"/>
          <w:szCs w:val="32"/>
          <w14:textFill>
            <w14:solidFill>
              <w14:schemeClr w14:val="tx1"/>
            </w14:solidFill>
          </w14:textFill>
        </w:rPr>
        <w:t>扩产</w:t>
      </w:r>
      <w:bookmarkEnd w:id="174"/>
      <w:bookmarkStart w:id="175" w:name="_Hlk46849805"/>
    </w:p>
    <w:p w14:paraId="4E684233">
      <w:pPr>
        <w:topLinePunct/>
        <w:spacing w:line="560" w:lineRule="exact"/>
        <w:ind w:firstLine="640"/>
        <w:outlineLvl w:val="2"/>
        <w:rPr>
          <w:color w:val="000000" w:themeColor="text1"/>
          <w14:textFill>
            <w14:solidFill>
              <w14:schemeClr w14:val="tx1"/>
            </w14:solidFill>
          </w14:textFill>
        </w:rPr>
      </w:pPr>
      <w:r>
        <w:rPr>
          <w:rFonts w:eastAsia="仿宋_GB2312"/>
          <w:bCs/>
          <w:color w:val="000000" w:themeColor="text1"/>
          <w:sz w:val="32"/>
          <w:szCs w:val="32"/>
          <w14:textFill>
            <w14:solidFill>
              <w14:schemeClr w14:val="tx1"/>
            </w14:solidFill>
          </w14:textFill>
        </w:rPr>
        <w:t>全力做好海口工业园区优化提升。加快形成西山海口片区装备智造产业集群和产业社区，助推海口产城融合发展。把握智能化发展趋势，推动先进光学仪器、机械装备系统集成等装备产业向数字化、网络化、智能化发展。依托云光和红外夜视等品牌，做强光学玻璃熔炼、光学冷加工和光学加工设备、光学辅料和光学零件制造。优化现有模具加工、金属构件等产品结构。依托昆明客车制造有限公司，推动改装客车搬迁暨技术升级改造项目二期建设，聚焦新能源客车和专用车等细分领域，做大新能源客车及专用汽车，加快救护车、警用车、冷藏车、电动摩托车等道路机动专用车的发展，加强混合动力、纯电动和燃料电池汽车整车集成技术的开发和应用。到2025年，全区先进装备智造占规上工业总产值比重上升至30%。</w:t>
      </w:r>
      <w:bookmarkEnd w:id="175"/>
    </w:p>
    <w:tbl>
      <w:tblPr>
        <w:tblStyle w:val="42"/>
        <w:tblW w:w="88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73"/>
      </w:tblGrid>
      <w:tr w14:paraId="35F732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73" w:type="dxa"/>
            <w:tcBorders>
              <w:top w:val="single" w:color="auto" w:sz="4" w:space="0"/>
              <w:left w:val="single" w:color="auto" w:sz="4" w:space="0"/>
              <w:bottom w:val="single" w:color="auto" w:sz="4" w:space="0"/>
              <w:right w:val="single" w:color="auto" w:sz="4" w:space="0"/>
            </w:tcBorders>
            <w:shd w:val="clear" w:color="auto" w:fill="auto"/>
          </w:tcPr>
          <w:p w14:paraId="4F12F419">
            <w:pPr>
              <w:topLinePunct/>
              <w:jc w:val="center"/>
              <w:rPr>
                <w:rFonts w:eastAsia="仿宋_GB2312"/>
                <w:b/>
                <w:color w:val="000000" w:themeColor="text1"/>
                <w:sz w:val="24"/>
                <w14:textFill>
                  <w14:solidFill>
                    <w14:schemeClr w14:val="tx1"/>
                  </w14:solidFill>
                </w14:textFill>
              </w:rPr>
            </w:pPr>
            <w:r>
              <w:rPr>
                <w:rFonts w:eastAsia="黑体"/>
                <w:color w:val="000000" w:themeColor="text1"/>
                <w:sz w:val="28"/>
                <w:szCs w:val="28"/>
                <w14:textFill>
                  <w14:solidFill>
                    <w14:schemeClr w14:val="tx1"/>
                  </w14:solidFill>
                </w14:textFill>
              </w:rPr>
              <w:t>专栏7 西山区“十四五”装备智造重点任务</w:t>
            </w:r>
          </w:p>
        </w:tc>
      </w:tr>
      <w:tr w14:paraId="7CD998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73" w:type="dxa"/>
            <w:tcBorders>
              <w:top w:val="single" w:color="auto" w:sz="4" w:space="0"/>
              <w:left w:val="single" w:color="auto" w:sz="4" w:space="0"/>
              <w:bottom w:val="single" w:color="auto" w:sz="4" w:space="0"/>
              <w:right w:val="single" w:color="auto" w:sz="4" w:space="0"/>
            </w:tcBorders>
            <w:shd w:val="clear" w:color="auto" w:fill="auto"/>
          </w:tcPr>
          <w:p w14:paraId="139258D1">
            <w:pPr>
              <w:widowControl/>
              <w:topLinePunct/>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任务一：</w:t>
            </w:r>
            <w:r>
              <w:rPr>
                <w:rFonts w:eastAsia="仿宋_GB2312"/>
                <w:color w:val="000000" w:themeColor="text1"/>
                <w:sz w:val="24"/>
                <w14:textFill>
                  <w14:solidFill>
                    <w14:schemeClr w14:val="tx1"/>
                  </w14:solidFill>
                </w14:textFill>
              </w:rPr>
              <w:t>非球面光学零件加工工艺技术改造项目。昆明勋凯瑞光学仪器有限公司车间内改建非球面光学零件生产线。</w:t>
            </w:r>
          </w:p>
          <w:p w14:paraId="275D5DCD">
            <w:pPr>
              <w:pStyle w:val="41"/>
              <w:topLinePunct/>
              <w:spacing w:after="0"/>
              <w:ind w:left="0" w:leftChars="0" w:firstLine="0" w:firstLineChars="0"/>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任务二：</w:t>
            </w:r>
            <w:r>
              <w:rPr>
                <w:rFonts w:eastAsia="仿宋_GB2312"/>
                <w:color w:val="000000" w:themeColor="text1"/>
                <w:sz w:val="24"/>
                <w14:textFill>
                  <w14:solidFill>
                    <w14:schemeClr w14:val="tx1"/>
                  </w14:solidFill>
                </w14:textFill>
              </w:rPr>
              <w:t>年产10万辆电动三轮摩托车制造项目。昆明客车制造有限公司根据电动三轮摩托车生产特点，进行扩建，新增焊装线、电泳线、高工位悬链装配线等。</w:t>
            </w:r>
          </w:p>
          <w:p w14:paraId="473263F9">
            <w:pPr>
              <w:topLinePunct/>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任务三：</w:t>
            </w:r>
            <w:r>
              <w:rPr>
                <w:rFonts w:eastAsia="仿宋_GB2312"/>
                <w:color w:val="000000" w:themeColor="text1"/>
                <w:sz w:val="24"/>
                <w14:textFill>
                  <w14:solidFill>
                    <w14:schemeClr w14:val="tx1"/>
                  </w14:solidFill>
                </w14:textFill>
              </w:rPr>
              <w:t>昆玻异地搬迁技改项目（二期）。云南滇凯节能科技有限公司昆玻异地搬迁技改项目占地总面积约422亩，产品基地所建厂房面积约为15万平方米，建成一条400t/d0.33mm—1.1mm超薄电子玻璃生产线。</w:t>
            </w:r>
          </w:p>
          <w:p w14:paraId="4CAEDF9A">
            <w:pPr>
              <w:pStyle w:val="41"/>
              <w:topLinePunct/>
              <w:spacing w:after="0"/>
              <w:ind w:left="0" w:leftChars="0" w:firstLine="0" w:firstLineChars="0"/>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任务四：</w:t>
            </w:r>
            <w:r>
              <w:rPr>
                <w:rFonts w:eastAsia="仿宋_GB2312"/>
                <w:color w:val="000000" w:themeColor="text1"/>
                <w:sz w:val="24"/>
                <w14:textFill>
                  <w14:solidFill>
                    <w14:schemeClr w14:val="tx1"/>
                  </w14:solidFill>
                </w14:textFill>
              </w:rPr>
              <w:t>高精铜合金生产线项目。云南新铜人实业有限公司新建高精铜合金研发试验室，新增高精铜合金上引生产线及高精铜轧制生产线、高精分切生产线及配套辅助设备。</w:t>
            </w:r>
          </w:p>
          <w:p w14:paraId="269189A4">
            <w:pPr>
              <w:pStyle w:val="40"/>
              <w:topLinePunct/>
              <w:ind w:firstLine="0" w:firstLineChars="0"/>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任务五：</w:t>
            </w:r>
            <w:r>
              <w:rPr>
                <w:rFonts w:eastAsia="仿宋_GB2312"/>
                <w:color w:val="000000" w:themeColor="text1"/>
                <w:sz w:val="24"/>
                <w14:textFill>
                  <w14:solidFill>
                    <w14:schemeClr w14:val="tx1"/>
                  </w14:solidFill>
                </w14:textFill>
              </w:rPr>
              <w:t>110千伏绿色智能电缆项目。云南龙源电缆有限公司新建13000平方米标准厂房，新建智能家装高端电线生产车间，新建智能电缆研发试验室，新增110千伏交联电缆生产线、110千伏局放测试设备、智能家装电线生产线、200型挤出生产线、3150盘绞成缆机，800铜带屏蔽机、54盘框绞机、13模铜大拉机及配套辅助设备。</w:t>
            </w:r>
          </w:p>
          <w:p w14:paraId="0D584CA9">
            <w:pPr>
              <w:topLinePunct/>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任务六：</w:t>
            </w:r>
            <w:r>
              <w:rPr>
                <w:rFonts w:eastAsia="仿宋_GB2312"/>
                <w:color w:val="000000" w:themeColor="text1"/>
                <w:sz w:val="24"/>
                <w14:textFill>
                  <w14:solidFill>
                    <w14:schemeClr w14:val="tx1"/>
                  </w14:solidFill>
                </w14:textFill>
              </w:rPr>
              <w:t>年产40万吨冷轧热镀锌钢带改扩建项目。云南达海新型材料科技有限公司建设年产40万吨冷轧热镀锌钢带改扩建项目。本次改扩建主要利用原项目成品库进行生产，项目成品库4644</w:t>
            </w:r>
            <w:r>
              <w:rPr>
                <w:color w:val="000000" w:themeColor="text1"/>
                <w:sz w:val="24"/>
                <w14:textFill>
                  <w14:solidFill>
                    <w14:schemeClr w14:val="tx1"/>
                  </w14:solidFill>
                </w14:textFill>
              </w:rPr>
              <w:t>㎡</w:t>
            </w:r>
            <w:r>
              <w:rPr>
                <w:rFonts w:eastAsia="仿宋_GB2312"/>
                <w:color w:val="000000" w:themeColor="text1"/>
                <w:sz w:val="24"/>
                <w14:textFill>
                  <w14:solidFill>
                    <w14:schemeClr w14:val="tx1"/>
                  </w14:solidFill>
                </w14:textFill>
              </w:rPr>
              <w:t>，主要生产设置冷轧生产线1条，热镀锌生产线1条，年产热镀锌产品40万吨。</w:t>
            </w:r>
          </w:p>
          <w:p w14:paraId="5DF9CE03">
            <w:pPr>
              <w:pStyle w:val="41"/>
              <w:topLinePunct/>
              <w:spacing w:after="0"/>
              <w:ind w:left="0" w:leftChars="0" w:firstLine="0" w:firstLineChars="0"/>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任务</w:t>
            </w:r>
            <w:r>
              <w:rPr>
                <w:rFonts w:eastAsia="仿宋_GB2312"/>
                <w:b/>
                <w:bCs/>
                <w:color w:val="000000" w:themeColor="text1"/>
                <w:kern w:val="0"/>
                <w:sz w:val="24"/>
                <w14:textFill>
                  <w14:solidFill>
                    <w14:schemeClr w14:val="tx1"/>
                  </w14:solidFill>
                </w14:textFill>
              </w:rPr>
              <w:t>七：</w:t>
            </w:r>
            <w:r>
              <w:rPr>
                <w:rFonts w:eastAsia="仿宋_GB2312"/>
                <w:color w:val="000000" w:themeColor="text1"/>
                <w:kern w:val="0"/>
                <w:sz w:val="24"/>
                <w14:textFill>
                  <w14:solidFill>
                    <w14:schemeClr w14:val="tx1"/>
                  </w14:solidFill>
                </w14:textFill>
              </w:rPr>
              <w:t>西山区城市生活垃圾焚烧发电改扩建项目。云南绿色能源有限公司扩建1台750d机械炉排焚烧炉、1台C12MW抽汽凝汽式汽轮机组及1台15MW发电机。</w:t>
            </w:r>
          </w:p>
        </w:tc>
      </w:tr>
    </w:tbl>
    <w:p w14:paraId="5DE4270E">
      <w:pPr>
        <w:topLinePunct/>
        <w:spacing w:line="560" w:lineRule="exact"/>
        <w:ind w:firstLine="640"/>
        <w:outlineLvl w:val="2"/>
        <w:rPr>
          <w:rFonts w:eastAsia="楷体_GB2312"/>
          <w:color w:val="000000" w:themeColor="text1"/>
          <w:sz w:val="32"/>
          <w:szCs w:val="32"/>
          <w14:textFill>
            <w14:solidFill>
              <w14:schemeClr w14:val="tx1"/>
            </w14:solidFill>
          </w14:textFill>
        </w:rPr>
      </w:pPr>
      <w:bookmarkStart w:id="176" w:name="_Toc17211"/>
      <w:bookmarkStart w:id="177" w:name="_Toc7837"/>
      <w:r>
        <w:rPr>
          <w:rFonts w:eastAsia="楷体_GB2312"/>
          <w:color w:val="000000" w:themeColor="text1"/>
          <w:sz w:val="32"/>
          <w:szCs w:val="32"/>
          <w14:textFill>
            <w14:solidFill>
              <w14:schemeClr w14:val="tx1"/>
            </w14:solidFill>
          </w14:textFill>
        </w:rPr>
        <w:t>（三）优化新型化工</w:t>
      </w:r>
      <w:bookmarkEnd w:id="176"/>
      <w:r>
        <w:rPr>
          <w:rFonts w:eastAsia="楷体_GB2312"/>
          <w:color w:val="000000" w:themeColor="text1"/>
          <w:sz w:val="32"/>
          <w:szCs w:val="32"/>
          <w14:textFill>
            <w14:solidFill>
              <w14:schemeClr w14:val="tx1"/>
            </w14:solidFill>
          </w14:textFill>
        </w:rPr>
        <w:t>强基</w:t>
      </w:r>
      <w:bookmarkEnd w:id="177"/>
    </w:p>
    <w:p w14:paraId="49C133DE">
      <w:pPr>
        <w:topLinePunct/>
        <w:spacing w:line="560" w:lineRule="exact"/>
        <w:ind w:firstLine="640"/>
        <w:rPr>
          <w:bCs/>
          <w:color w:val="000000" w:themeColor="text1"/>
          <w:sz w:val="32"/>
          <w:szCs w:val="32"/>
          <w14:textFill>
            <w14:solidFill>
              <w14:schemeClr w14:val="tx1"/>
            </w14:solidFill>
          </w14:textFill>
        </w:rPr>
      </w:pPr>
      <w:r>
        <w:rPr>
          <w:rFonts w:eastAsia="仿宋_GB2312"/>
          <w:bCs/>
          <w:color w:val="000000" w:themeColor="text1"/>
          <w:sz w:val="32"/>
          <w:szCs w:val="32"/>
          <w14:textFill>
            <w14:solidFill>
              <w14:schemeClr w14:val="tx1"/>
            </w14:solidFill>
          </w14:textFill>
        </w:rPr>
        <w:t>加快传统磷化工向精细化工升级。重点发展药品添加剂、食品添加剂、饲料添加剂、香料添加剂等，提高产品附加值，加快精细磷化工产品开发与应用，积极推动磷化工向磷酸、磷酸盐、次亚磷酸盐等精细磷化工的深层次加工与制造升级。推动以“黄磷及精细磷化工”为核心的中轻依兰产业园建设，打造精细化工园中园。延伸磷化工产业链、价值链，引导磷化工产业链向电子、医药等下游环节高附加值材料延伸，向特色化工转型，创新体制机制，打造新型化工产业示范区，引导新型化工研发总部、加工总部、仓储总部、结算总部聚集。</w:t>
      </w:r>
    </w:p>
    <w:tbl>
      <w:tblPr>
        <w:tblStyle w:val="42"/>
        <w:tblW w:w="88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73"/>
      </w:tblGrid>
      <w:tr w14:paraId="6B5816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73" w:type="dxa"/>
            <w:tcBorders>
              <w:top w:val="single" w:color="auto" w:sz="4" w:space="0"/>
              <w:left w:val="single" w:color="auto" w:sz="4" w:space="0"/>
              <w:bottom w:val="single" w:color="auto" w:sz="4" w:space="0"/>
              <w:right w:val="single" w:color="auto" w:sz="4" w:space="0"/>
            </w:tcBorders>
            <w:shd w:val="clear" w:color="auto" w:fill="auto"/>
          </w:tcPr>
          <w:p w14:paraId="05B9202D">
            <w:pPr>
              <w:topLinePunct/>
              <w:jc w:val="center"/>
              <w:rPr>
                <w:rFonts w:eastAsia="黑体"/>
                <w:color w:val="000000" w:themeColor="text1"/>
                <w:sz w:val="28"/>
                <w:szCs w:val="28"/>
                <w14:textFill>
                  <w14:solidFill>
                    <w14:schemeClr w14:val="tx1"/>
                  </w14:solidFill>
                </w14:textFill>
              </w:rPr>
            </w:pPr>
            <w:r>
              <w:rPr>
                <w:rFonts w:eastAsia="黑体"/>
                <w:color w:val="000000" w:themeColor="text1"/>
                <w:sz w:val="28"/>
                <w:szCs w:val="28"/>
                <w14:textFill>
                  <w14:solidFill>
                    <w14:schemeClr w14:val="tx1"/>
                  </w14:solidFill>
                </w14:textFill>
              </w:rPr>
              <w:t>专栏8 西山区“十四五”新型化工重点任务</w:t>
            </w:r>
          </w:p>
        </w:tc>
      </w:tr>
      <w:tr w14:paraId="54D4BC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73" w:type="dxa"/>
            <w:tcBorders>
              <w:top w:val="single" w:color="auto" w:sz="4" w:space="0"/>
              <w:left w:val="single" w:color="auto" w:sz="4" w:space="0"/>
              <w:bottom w:val="single" w:color="auto" w:sz="4" w:space="0"/>
              <w:right w:val="single" w:color="auto" w:sz="4" w:space="0"/>
            </w:tcBorders>
            <w:shd w:val="clear" w:color="auto" w:fill="auto"/>
          </w:tcPr>
          <w:p w14:paraId="61EB7729">
            <w:pPr>
              <w:widowControl/>
              <w:topLinePunct/>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任务一：</w:t>
            </w:r>
            <w:r>
              <w:rPr>
                <w:rFonts w:eastAsia="仿宋_GB2312"/>
                <w:color w:val="000000" w:themeColor="text1"/>
                <w:sz w:val="24"/>
                <w14:textFill>
                  <w14:solidFill>
                    <w14:schemeClr w14:val="tx1"/>
                  </w14:solidFill>
                </w14:textFill>
              </w:rPr>
              <w:t>年产10万吨环保型聚羧酸系高性能减水剂母液项目。总投资1.5亿，用地面积12亩。建设标准厂房一栋，计容建筑面积8000平方米，绿化面积1600平方米。计划建成13条10吨反应釜全自动智能化合成生产线和2条20吨反应釜全自动智能化复配生产线，年产10万吨环保型聚羧酸系高性能减水剂母液和20万吨环保型聚羧酸系高性能减水剂复配产品。</w:t>
            </w:r>
          </w:p>
          <w:p w14:paraId="2F32F33E">
            <w:pPr>
              <w:pStyle w:val="41"/>
              <w:topLinePunct/>
              <w:spacing w:after="0"/>
              <w:ind w:left="0" w:leftChars="0" w:firstLine="0" w:firstLineChars="0"/>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任务二：</w:t>
            </w:r>
            <w:r>
              <w:rPr>
                <w:rFonts w:eastAsia="仿宋_GB2312"/>
                <w:color w:val="000000" w:themeColor="text1"/>
                <w:sz w:val="24"/>
                <w14:textFill>
                  <w14:solidFill>
                    <w14:schemeClr w14:val="tx1"/>
                  </w14:solidFill>
                </w14:textFill>
              </w:rPr>
              <w:t>年产10万吨高性能混凝土外加剂建设项目。建成年产混凝土外加剂（减水剂）10万吨，其中聚羧酸系列混凝土外加剂年产7万吨，脂肪族盐系列外加剂1万吨，萘磺酸盐系列外加剂2万吨。</w:t>
            </w:r>
          </w:p>
          <w:p w14:paraId="2454C02E">
            <w:pPr>
              <w:topLinePunct/>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任务三：</w:t>
            </w:r>
            <w:r>
              <w:rPr>
                <w:rFonts w:eastAsia="仿宋_GB2312"/>
                <w:color w:val="000000" w:themeColor="text1"/>
                <w:sz w:val="24"/>
                <w14:textFill>
                  <w14:solidFill>
                    <w14:schemeClr w14:val="tx1"/>
                  </w14:solidFill>
                </w14:textFill>
              </w:rPr>
              <w:t>磷酸装置浓密工序节能技改项目。通过增加1台φ25×8（m）的深锥浓密机，浓密工序处理能力达到250万吨/年，确保磷酸装置具备70万吨/年生产能力。</w:t>
            </w:r>
          </w:p>
          <w:p w14:paraId="7B4929A5">
            <w:pPr>
              <w:pStyle w:val="41"/>
              <w:topLinePunct/>
              <w:spacing w:after="0"/>
              <w:ind w:left="0" w:leftChars="0" w:firstLine="0" w:firstLineChars="0"/>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任务四：</w:t>
            </w:r>
            <w:r>
              <w:rPr>
                <w:rFonts w:eastAsia="仿宋_GB2312"/>
                <w:color w:val="000000" w:themeColor="text1"/>
                <w:sz w:val="24"/>
                <w14:textFill>
                  <w14:solidFill>
                    <w14:schemeClr w14:val="tx1"/>
                  </w14:solidFill>
                </w14:textFill>
              </w:rPr>
              <w:t>7万吨/年环保型胶粘剂（含胶粉）技术改造项目。占地1200平方米，项目分别建成10m</w:t>
            </w:r>
            <w:r>
              <w:rPr>
                <w:color w:val="000000" w:themeColor="text1"/>
                <w:sz w:val="24"/>
                <w14:textFill>
                  <w14:solidFill>
                    <w14:schemeClr w14:val="tx1"/>
                  </w14:solidFill>
                </w14:textFill>
              </w:rPr>
              <w:t>³</w:t>
            </w:r>
            <w:r>
              <w:rPr>
                <w:rFonts w:eastAsia="仿宋_GB2312"/>
                <w:color w:val="000000" w:themeColor="text1"/>
                <w:sz w:val="24"/>
                <w14:textFill>
                  <w14:solidFill>
                    <w14:schemeClr w14:val="tx1"/>
                  </w14:solidFill>
                </w14:textFill>
              </w:rPr>
              <w:t>釜环保型胶粘剂聚合装置（含尾气回收装置）1套，原聚合釜外循环装置1套，可散乳化胶粉装置1套。</w:t>
            </w:r>
          </w:p>
          <w:p w14:paraId="13157861">
            <w:pPr>
              <w:pStyle w:val="40"/>
              <w:topLinePunct/>
              <w:ind w:firstLine="0" w:firstLineChars="0"/>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任务</w:t>
            </w:r>
            <w:r>
              <w:rPr>
                <w:rFonts w:eastAsia="仿宋_GB2312"/>
                <w:b/>
                <w:bCs/>
                <w:color w:val="000000" w:themeColor="text1"/>
                <w:kern w:val="0"/>
                <w:sz w:val="24"/>
                <w14:textFill>
                  <w14:solidFill>
                    <w14:schemeClr w14:val="tx1"/>
                  </w14:solidFill>
                </w14:textFill>
              </w:rPr>
              <w:t>五：</w:t>
            </w:r>
            <w:r>
              <w:rPr>
                <w:rFonts w:eastAsia="仿宋_GB2312"/>
                <w:color w:val="000000" w:themeColor="text1"/>
                <w:kern w:val="0"/>
                <w:sz w:val="24"/>
                <w14:textFill>
                  <w14:solidFill>
                    <w14:schemeClr w14:val="tx1"/>
                  </w14:solidFill>
                </w14:textFill>
              </w:rPr>
              <w:t>20万吨/年磷石膏综合利用项目。以磷石膏为主体原料及炉渣或粉煤灰为辅料，经过煅烧工艺生产建筑用石膏粉，再利用建筑石膏粉生产石膏空心砌块等系列产品。建成年产20万吨建筑石膏粉生产线及年产300万平方米石膏空心砌块生产线的磷石膏综合利用基地。</w:t>
            </w:r>
          </w:p>
        </w:tc>
      </w:tr>
    </w:tbl>
    <w:tbl>
      <w:tblPr>
        <w:tblStyle w:val="43"/>
        <w:tblpPr w:leftFromText="180" w:rightFromText="180" w:vertAnchor="text" w:horzAnchor="page" w:tblpXSpec="center" w:tblpY="479"/>
        <w:tblOverlap w:val="never"/>
        <w:tblW w:w="89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67"/>
      </w:tblGrid>
      <w:tr w14:paraId="2754D7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67" w:type="dxa"/>
          </w:tcPr>
          <w:p w14:paraId="16583777">
            <w:pPr>
              <w:topLinePunct/>
              <w:jc w:val="center"/>
            </w:pPr>
            <w:bookmarkStart w:id="178" w:name="_Toc7937"/>
            <w:bookmarkStart w:id="179" w:name="_Toc61644791"/>
            <w:bookmarkStart w:id="180" w:name="_Toc13876"/>
            <w:bookmarkStart w:id="181" w:name="_Toc7038"/>
            <w:bookmarkStart w:id="182" w:name="_Toc25236"/>
            <w:bookmarkStart w:id="183" w:name="_Toc12683"/>
            <w:bookmarkStart w:id="184" w:name="_Toc27513"/>
            <w:bookmarkStart w:id="185" w:name="_Toc11446"/>
            <w:bookmarkStart w:id="186" w:name="_Toc15912"/>
            <w:bookmarkStart w:id="187" w:name="_Toc10332"/>
            <w:bookmarkStart w:id="188" w:name="_Toc2124837014"/>
            <w:bookmarkStart w:id="189" w:name="_Toc7040"/>
            <w:bookmarkStart w:id="190" w:name="_Toc8973"/>
            <w:r>
              <w:rPr>
                <w:rFonts w:eastAsia="黑体"/>
                <w:color w:val="000000" w:themeColor="text1"/>
                <w:sz w:val="28"/>
                <w:szCs w:val="28"/>
                <w14:textFill>
                  <w14:solidFill>
                    <w14:schemeClr w14:val="tx1"/>
                  </w14:solidFill>
                </w14:textFill>
              </w:rPr>
              <w:t>专栏9 西山区“十四五”新兴产业重点任务</w:t>
            </w:r>
          </w:p>
        </w:tc>
      </w:tr>
      <w:tr w14:paraId="566B13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67" w:type="dxa"/>
          </w:tcPr>
          <w:p w14:paraId="60E0091E">
            <w:pPr>
              <w:widowControl/>
              <w:topLinePunct/>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任务一：</w:t>
            </w:r>
            <w:r>
              <w:rPr>
                <w:rFonts w:eastAsia="仿宋_GB2312"/>
                <w:color w:val="000000" w:themeColor="text1"/>
                <w:sz w:val="24"/>
                <w14:textFill>
                  <w14:solidFill>
                    <w14:schemeClr w14:val="tx1"/>
                  </w14:solidFill>
                </w14:textFill>
              </w:rPr>
              <w:t>按照“三脉一区五链”的发展思路，培育发展新兴产业。“三脉”即，发挥“云南政治中心服务承载区——政脉”优势，谋求新兴产业政策扶持支撑；发挥“山水都市品质区——绿脉”优势，助力新兴产业环境支撑；做大“现代服务业活力区——商脉”优势，大力发展金融、生产性服务业等产业，强化新兴产业的配套支撑。“一区”即，依托海口工业园区作为主城区唯一省级工业园区的产业基础，打造成为全省具有示范效果的新型工业园区；“五链”即，发展大力发展精细磷化工、精细氟化工、高分子材料、光电、汽车配件5大产业链，着力培育精细磷化工和先进装备制造集群。</w:t>
            </w:r>
          </w:p>
          <w:p w14:paraId="61A57385">
            <w:pPr>
              <w:pStyle w:val="40"/>
              <w:topLinePunct/>
              <w:ind w:firstLine="0" w:firstLineChars="0"/>
            </w:pPr>
            <w:r>
              <w:rPr>
                <w:rFonts w:eastAsia="仿宋_GB2312"/>
                <w:b/>
                <w:bCs/>
                <w:color w:val="000000" w:themeColor="text1"/>
                <w:sz w:val="24"/>
                <w14:textFill>
                  <w14:solidFill>
                    <w14:schemeClr w14:val="tx1"/>
                  </w14:solidFill>
                </w14:textFill>
              </w:rPr>
              <w:t>任务二：</w:t>
            </w:r>
            <w:r>
              <w:rPr>
                <w:rFonts w:eastAsia="仿宋_GB2312"/>
                <w:color w:val="000000" w:themeColor="text1"/>
                <w:sz w:val="24"/>
                <w14:textFill>
                  <w14:solidFill>
                    <w14:schemeClr w14:val="tx1"/>
                  </w14:solidFill>
                </w14:textFill>
              </w:rPr>
              <w:t>加快实施“3+2+N”工业新兴产业发展措。即，全力打造精细磷化工、精细氟化工和高分子材料3条产业链，着力打造光电产业、汽车配件2条产业链，积极布局“N”个新兴产业，培育新兴产业增长极。到2025年，力争全区新兴产业增加值占规模以上工业产业比重提升至50%左右；到2035年，力争达60—70%左右。</w:t>
            </w:r>
          </w:p>
        </w:tc>
      </w:tr>
    </w:tbl>
    <w:p w14:paraId="307BABA7">
      <w:pPr>
        <w:spacing w:line="540" w:lineRule="exact"/>
        <w:ind w:firstLine="640" w:firstLineChars="200"/>
        <w:rPr>
          <w:rFonts w:eastAsia="黑体"/>
          <w:sz w:val="32"/>
          <w:szCs w:val="32"/>
        </w:rPr>
      </w:pPr>
      <w:r>
        <w:rPr>
          <w:rFonts w:eastAsia="黑体"/>
          <w:sz w:val="32"/>
          <w:szCs w:val="32"/>
        </w:rPr>
        <w:t>三、做大三个配套产业</w:t>
      </w:r>
      <w:bookmarkEnd w:id="178"/>
      <w:bookmarkEnd w:id="179"/>
      <w:bookmarkEnd w:id="180"/>
      <w:bookmarkEnd w:id="181"/>
      <w:bookmarkEnd w:id="182"/>
      <w:bookmarkEnd w:id="183"/>
      <w:bookmarkEnd w:id="184"/>
      <w:bookmarkEnd w:id="185"/>
      <w:bookmarkEnd w:id="186"/>
      <w:bookmarkEnd w:id="187"/>
      <w:bookmarkEnd w:id="188"/>
      <w:bookmarkEnd w:id="189"/>
      <w:bookmarkEnd w:id="190"/>
    </w:p>
    <w:p w14:paraId="34868922">
      <w:pPr>
        <w:topLinePunct/>
        <w:spacing w:line="540" w:lineRule="exact"/>
        <w:ind w:firstLine="640"/>
        <w:outlineLvl w:val="2"/>
        <w:rPr>
          <w:rFonts w:eastAsia="楷体_GB2312"/>
          <w:color w:val="000000" w:themeColor="text1"/>
          <w:sz w:val="32"/>
          <w:szCs w:val="32"/>
          <w14:textFill>
            <w14:solidFill>
              <w14:schemeClr w14:val="tx1"/>
            </w14:solidFill>
          </w14:textFill>
        </w:rPr>
      </w:pPr>
      <w:bookmarkStart w:id="191" w:name="_Toc21036"/>
      <w:bookmarkStart w:id="192" w:name="_Toc8141"/>
      <w:r>
        <w:rPr>
          <w:rFonts w:eastAsia="楷体_GB2312"/>
          <w:color w:val="000000" w:themeColor="text1"/>
          <w:sz w:val="32"/>
          <w:szCs w:val="32"/>
          <w14:textFill>
            <w14:solidFill>
              <w14:schemeClr w14:val="tx1"/>
            </w14:solidFill>
          </w14:textFill>
        </w:rPr>
        <w:t>（一）文化创意</w:t>
      </w:r>
      <w:bookmarkEnd w:id="191"/>
      <w:r>
        <w:rPr>
          <w:rFonts w:eastAsia="楷体_GB2312"/>
          <w:color w:val="000000" w:themeColor="text1"/>
          <w:sz w:val="32"/>
          <w:szCs w:val="32"/>
          <w14:textFill>
            <w14:solidFill>
              <w14:schemeClr w14:val="tx1"/>
            </w14:solidFill>
          </w14:textFill>
        </w:rPr>
        <w:t>体系化聚气</w:t>
      </w:r>
      <w:bookmarkEnd w:id="192"/>
    </w:p>
    <w:p w14:paraId="024D71FA">
      <w:pPr>
        <w:topLinePunct/>
        <w:spacing w:line="540" w:lineRule="exact"/>
        <w:ind w:firstLine="643"/>
        <w:rPr>
          <w:bCs/>
          <w:color w:val="000000" w:themeColor="text1"/>
          <w:sz w:val="32"/>
          <w:szCs w:val="32"/>
          <w14:textFill>
            <w14:solidFill>
              <w14:schemeClr w14:val="tx1"/>
            </w14:solidFill>
          </w14:textFill>
        </w:rPr>
      </w:pPr>
      <w:r>
        <w:rPr>
          <w:rFonts w:eastAsia="仿宋_GB2312"/>
          <w:b/>
          <w:color w:val="000000" w:themeColor="text1"/>
          <w:sz w:val="32"/>
          <w:szCs w:val="32"/>
          <w14:textFill>
            <w14:solidFill>
              <w14:schemeClr w14:val="tx1"/>
            </w14:solidFill>
          </w14:textFill>
        </w:rPr>
        <w:t>发展文化创意产业体系。</w:t>
      </w:r>
      <w:r>
        <w:rPr>
          <w:rFonts w:eastAsia="仿宋_GB2312"/>
          <w:bCs/>
          <w:color w:val="000000" w:themeColor="text1"/>
          <w:sz w:val="32"/>
          <w:szCs w:val="32"/>
          <w14:textFill>
            <w14:solidFill>
              <w14:schemeClr w14:val="tx1"/>
            </w14:solidFill>
          </w14:textFill>
        </w:rPr>
        <w:t>完善文化创意产业发展体系，加快空间聚集，促进文创引流，实现业态跨界融合。以“1466”文化创意产业战略为引领和抓手，打造“4+4+N”的具有西山特色的文化创意产业发展集群，逐步形成“一核集聚、两廊驱动、四区协调、四向拓展”的“1244”文化创意产业发展格局，努力将西山区打造成为云南文创融合发展示范试验区、全国知名文化旅游消费目的地、辐射南亚东南亚的文旅圣地、区域性国际中心城市文化客厅。到2025年</w:t>
      </w:r>
      <w:r>
        <w:rPr>
          <w:rFonts w:eastAsia="仿宋_GB2312"/>
          <w:color w:val="000000" w:themeColor="text1"/>
          <w:sz w:val="32"/>
          <w:szCs w:val="32"/>
          <w14:textFill>
            <w14:solidFill>
              <w14:schemeClr w14:val="tx1"/>
            </w14:solidFill>
          </w14:textFill>
        </w:rPr>
        <w:t>，</w:t>
      </w:r>
      <w:r>
        <w:rPr>
          <w:rFonts w:eastAsia="仿宋_GB2312"/>
          <w:bCs/>
          <w:color w:val="000000" w:themeColor="text1"/>
          <w:sz w:val="32"/>
          <w:szCs w:val="32"/>
          <w14:textFill>
            <w14:solidFill>
              <w14:schemeClr w14:val="tx1"/>
            </w14:solidFill>
          </w14:textFill>
        </w:rPr>
        <w:t>西山区文化创意产业文化创意产业增加值达到75亿元、全区文化产业法人单位数超过3500家、全区文化创意产业从业人员超过40000人、建成文化创意产业集聚区超过10家、“双70计划”目标基本实现。</w:t>
      </w:r>
      <w:r>
        <w:rPr>
          <w:rFonts w:eastAsia="仿宋_GB2312"/>
          <w:b/>
          <w:color w:val="000000" w:themeColor="text1"/>
          <w:sz w:val="32"/>
          <w:szCs w:val="32"/>
          <w14:textFill>
            <w14:solidFill>
              <w14:schemeClr w14:val="tx1"/>
            </w14:solidFill>
          </w14:textFill>
        </w:rPr>
        <w:t>激活西山文化DNA，打造“睡美人”文化IP品牌。</w:t>
      </w:r>
      <w:r>
        <w:rPr>
          <w:rFonts w:eastAsia="仿宋_GB2312"/>
          <w:bCs/>
          <w:color w:val="000000" w:themeColor="text1"/>
          <w:sz w:val="32"/>
          <w:szCs w:val="32"/>
          <w14:textFill>
            <w14:solidFill>
              <w14:schemeClr w14:val="tx1"/>
            </w14:solidFill>
          </w14:textFill>
        </w:rPr>
        <w:t>结合城市双修与文化复兴工程，以“西山睡美人”IP品牌化为核心，植入互联网、影视、动漫、网游等新元素，挖掘文脉新内涵、赋予文像新功能，构建文化品牌载体，从内容、创意、传播、体验、培训等多个维度实现城市文化品牌复兴和数字化一体化开发运营。</w:t>
      </w:r>
      <w:r>
        <w:rPr>
          <w:rFonts w:eastAsia="仿宋_GB2312"/>
          <w:b/>
          <w:color w:val="000000" w:themeColor="text1"/>
          <w:sz w:val="32"/>
          <w:szCs w:val="32"/>
          <w14:textFill>
            <w14:solidFill>
              <w14:schemeClr w14:val="tx1"/>
            </w14:solidFill>
          </w14:textFill>
        </w:rPr>
        <w:t>发展创意工厂，培育新业态。</w:t>
      </w:r>
      <w:r>
        <w:rPr>
          <w:rFonts w:eastAsia="仿宋_GB2312"/>
          <w:bCs/>
          <w:color w:val="000000" w:themeColor="text1"/>
          <w:sz w:val="32"/>
          <w:szCs w:val="32"/>
          <w14:textFill>
            <w14:solidFill>
              <w14:schemeClr w14:val="tx1"/>
            </w14:solidFill>
          </w14:textFill>
        </w:rPr>
        <w:t>整合国内外文化创意优质资源，塑造以城市品牌赋能中心、创意设计中心、产业协同设计中心、创客育成中心和ODM设计中心为主的城市创意工厂，提升新闻出版业、文化旅游业、文化休闲娱乐业、工艺美术业四个传统文化业态，培育发展文化创意设计服务业、数字内容产业等两个新文化业态，辐射带动会展节庆业、广播影视业、文化批零业等业态发展，丰富文化创意产业门类，打造具有西山特色的文化创意产业发展集群。</w:t>
      </w:r>
      <w:r>
        <w:rPr>
          <w:rFonts w:eastAsia="仿宋_GB2312"/>
          <w:b/>
          <w:color w:val="000000" w:themeColor="text1"/>
          <w:sz w:val="32"/>
          <w:szCs w:val="32"/>
          <w14:textFill>
            <w14:solidFill>
              <w14:schemeClr w14:val="tx1"/>
            </w14:solidFill>
          </w14:textFill>
        </w:rPr>
        <w:t>提升节庆活动品牌。</w:t>
      </w:r>
      <w:r>
        <w:rPr>
          <w:rFonts w:eastAsia="仿宋_GB2312"/>
          <w:bCs/>
          <w:color w:val="000000" w:themeColor="text1"/>
          <w:sz w:val="32"/>
          <w:szCs w:val="32"/>
          <w14:textFill>
            <w14:solidFill>
              <w14:schemeClr w14:val="tx1"/>
            </w14:solidFill>
          </w14:textFill>
        </w:rPr>
        <w:t>深化“文化+”新兴文化业态发展，提升“三月三耍西山”、观音山庙会、西山区团结民族文化艺术节、团结苹果文化暨乡村旅游节、美食文化节、草莓音乐节、中国云南异次元动漫音乐节、“西山睡美人”文化艺术节等节庆品牌，辐射带动相关产业发展。</w:t>
      </w:r>
    </w:p>
    <w:tbl>
      <w:tblPr>
        <w:tblStyle w:val="43"/>
        <w:tblW w:w="90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54"/>
      </w:tblGrid>
      <w:tr w14:paraId="68693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0" w:hRule="atLeast"/>
          <w:jc w:val="center"/>
        </w:trPr>
        <w:tc>
          <w:tcPr>
            <w:tcW w:w="9054" w:type="dxa"/>
          </w:tcPr>
          <w:p w14:paraId="5F48BFAC">
            <w:pPr>
              <w:topLinePunct/>
              <w:ind w:firstLine="560"/>
              <w:outlineLvl w:val="2"/>
              <w:rPr>
                <w:rFonts w:eastAsia="楷体_GB2312"/>
                <w:color w:val="000000" w:themeColor="text1"/>
                <w:szCs w:val="32"/>
                <w14:textFill>
                  <w14:solidFill>
                    <w14:schemeClr w14:val="tx1"/>
                  </w14:solidFill>
                </w14:textFill>
              </w:rPr>
            </w:pPr>
            <w:bookmarkStart w:id="193" w:name="_Toc17710"/>
            <w:bookmarkStart w:id="194" w:name="_Toc10234"/>
            <w:r>
              <w:rPr>
                <w:rFonts w:eastAsia="黑体"/>
                <w:color w:val="000000" w:themeColor="text1"/>
                <w:sz w:val="28"/>
                <w:szCs w:val="28"/>
                <w14:textFill>
                  <w14:solidFill>
                    <w14:schemeClr w14:val="tx1"/>
                  </w14:solidFill>
                </w14:textFill>
              </w:rPr>
              <w:t>专栏10 西山区“十四五”文化创意产业发展规划“1466战略”</w:t>
            </w:r>
          </w:p>
        </w:tc>
      </w:tr>
      <w:tr w14:paraId="5D3411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54" w:type="dxa"/>
          </w:tcPr>
          <w:p w14:paraId="1351CB37">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“1”是指西山区文化创意产业“双70”的发展目标，即力争到2025年规上文化企业达到70家，文化产业增加值达到75亿元。</w:t>
            </w:r>
          </w:p>
          <w:p w14:paraId="578F01BB">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“4”是指“四大发展战略”，即全域文创战略、文创融合战略、品牌发展战略、国际发展战略。</w:t>
            </w:r>
          </w:p>
          <w:p w14:paraId="73628860">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“6”是指“六大工程”，即文创企业培育工程、产业集聚提升工程、文化消费提升工程、文创融合发展工程、文创人才引培工程、重大项目引育工程。</w:t>
            </w:r>
          </w:p>
          <w:p w14:paraId="398E703D">
            <w:pPr>
              <w:topLinePunct/>
              <w:outlineLvl w:val="2"/>
              <w:rPr>
                <w:rFonts w:eastAsia="楷体_GB2312"/>
                <w:color w:val="000000" w:themeColor="text1"/>
                <w:szCs w:val="32"/>
                <w14:textFill>
                  <w14:solidFill>
                    <w14:schemeClr w14:val="tx1"/>
                  </w14:solidFill>
                </w14:textFill>
              </w:rPr>
            </w:pPr>
            <w:r>
              <w:rPr>
                <w:rFonts w:eastAsia="仿宋_GB2312"/>
                <w:color w:val="000000" w:themeColor="text1"/>
                <w:sz w:val="24"/>
                <w14:textFill>
                  <w14:solidFill>
                    <w14:schemeClr w14:val="tx1"/>
                  </w14:solidFill>
                </w14:textFill>
              </w:rPr>
              <w:t>“6”是指“六大保障”，即推进体制机制创新、健全产业发展政策、完善多元投资机制、加大对外营销推广、完善监督考核机制、完善动态监测体系。</w:t>
            </w:r>
          </w:p>
        </w:tc>
      </w:tr>
    </w:tbl>
    <w:p w14:paraId="4B0AD3D8">
      <w:pPr>
        <w:topLinePunct/>
        <w:spacing w:line="53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（二）商贸物流</w:t>
      </w:r>
      <w:bookmarkEnd w:id="193"/>
      <w:r>
        <w:rPr>
          <w:rFonts w:eastAsia="楷体_GB2312"/>
          <w:color w:val="000000" w:themeColor="text1"/>
          <w:sz w:val="32"/>
          <w:szCs w:val="32"/>
          <w14:textFill>
            <w14:solidFill>
              <w14:schemeClr w14:val="tx1"/>
            </w14:solidFill>
          </w14:textFill>
        </w:rPr>
        <w:t>平台化聚市</w:t>
      </w:r>
      <w:bookmarkEnd w:id="194"/>
    </w:p>
    <w:p w14:paraId="3552ECC2">
      <w:pPr>
        <w:topLinePunct/>
        <w:spacing w:line="530" w:lineRule="exact"/>
        <w:ind w:firstLine="643"/>
        <w:rPr>
          <w:color w:val="000000" w:themeColor="text1"/>
          <w14:textFill>
            <w14:solidFill>
              <w14:schemeClr w14:val="tx1"/>
            </w14:solidFill>
          </w14:textFill>
        </w:rPr>
      </w:pPr>
      <w:r>
        <w:rPr>
          <w:rFonts w:eastAsia="仿宋_GB2312"/>
          <w:b/>
          <w:color w:val="000000" w:themeColor="text1"/>
          <w:sz w:val="32"/>
          <w:szCs w:val="32"/>
          <w14:textFill>
            <w14:solidFill>
              <w14:schemeClr w14:val="tx1"/>
            </w14:solidFill>
          </w14:textFill>
        </w:rPr>
        <w:t>提升传统商贸业发展基础，构筑商业核心区。</w:t>
      </w:r>
      <w:r>
        <w:rPr>
          <w:rFonts w:eastAsia="仿宋_GB2312"/>
          <w:color w:val="000000" w:themeColor="text1"/>
          <w:sz w:val="32"/>
          <w:szCs w:val="32"/>
          <w14:textFill>
            <w14:solidFill>
              <w14:schemeClr w14:val="tx1"/>
            </w14:solidFill>
          </w14:textFill>
        </w:rPr>
        <w:t>推动“八大商圈”提质升级，打造一批高标准、高规格的综合性商业商务综合体。加快推进要素交易中心建设。打造“15分钟”便民生活服务圈，筑牢实体经济，</w:t>
      </w:r>
      <w:r>
        <w:rPr>
          <w:rFonts w:eastAsia="仿宋_GB2312"/>
          <w:bCs/>
          <w:color w:val="000000" w:themeColor="text1"/>
          <w:sz w:val="32"/>
          <w:szCs w:val="32"/>
          <w14:textFill>
            <w14:solidFill>
              <w14:schemeClr w14:val="tx1"/>
            </w14:solidFill>
          </w14:textFill>
        </w:rPr>
        <w:t>创新实体商店发展模式，利用电商平台推动实体商店线上线下消费同时发展</w:t>
      </w:r>
      <w:bookmarkStart w:id="195" w:name="_Toc48922588"/>
      <w:bookmarkStart w:id="196" w:name="_Toc56675507"/>
      <w:bookmarkStart w:id="197" w:name="_Hlk56610739"/>
      <w:r>
        <w:rPr>
          <w:rFonts w:eastAsia="仿宋_GB2312"/>
          <w:bCs/>
          <w:color w:val="000000" w:themeColor="text1"/>
          <w:sz w:val="32"/>
          <w:szCs w:val="32"/>
          <w14:textFill>
            <w14:solidFill>
              <w14:schemeClr w14:val="tx1"/>
            </w14:solidFill>
          </w14:textFill>
        </w:rPr>
        <w:t>。</w:t>
      </w:r>
      <w:r>
        <w:rPr>
          <w:rFonts w:eastAsia="仿宋_GB2312"/>
          <w:color w:val="000000" w:themeColor="text1"/>
          <w:sz w:val="32"/>
          <w:szCs w:val="32"/>
          <w14:textFill>
            <w14:solidFill>
              <w14:schemeClr w14:val="tx1"/>
            </w14:solidFill>
          </w14:textFill>
        </w:rPr>
        <w:t>打造“购在西山、吃在西山、乐在西山、住在西山”四大城市品牌，推动西山区特色商贸业发展</w:t>
      </w:r>
      <w:bookmarkEnd w:id="195"/>
      <w:bookmarkEnd w:id="196"/>
      <w:r>
        <w:rPr>
          <w:rFonts w:eastAsia="仿宋_GB2312"/>
          <w:color w:val="000000" w:themeColor="text1"/>
          <w:sz w:val="32"/>
          <w:szCs w:val="32"/>
          <w14:textFill>
            <w14:solidFill>
              <w14:schemeClr w14:val="tx1"/>
            </w14:solidFill>
          </w14:textFill>
        </w:rPr>
        <w:t>。</w:t>
      </w:r>
      <w:bookmarkEnd w:id="197"/>
      <w:r>
        <w:rPr>
          <w:rFonts w:eastAsia="仿宋_GB2312"/>
          <w:b/>
          <w:color w:val="000000" w:themeColor="text1"/>
          <w:sz w:val="32"/>
          <w:szCs w:val="32"/>
          <w14:textFill>
            <w14:solidFill>
              <w14:schemeClr w14:val="tx1"/>
            </w14:solidFill>
          </w14:textFill>
        </w:rPr>
        <w:t>发展智慧商贸服务业，打造商业活力区。</w:t>
      </w:r>
      <w:r>
        <w:rPr>
          <w:rFonts w:eastAsia="仿宋_GB2312"/>
          <w:color w:val="000000" w:themeColor="text1"/>
          <w:sz w:val="32"/>
          <w:szCs w:val="32"/>
          <w14:textFill>
            <w14:solidFill>
              <w14:schemeClr w14:val="tx1"/>
            </w14:solidFill>
          </w14:textFill>
        </w:rPr>
        <w:t>加快构建新的消费生态环境，促进消费升级；大力推广“互联网+”的消费模式，鼓励传统商贸企业与电商、新媒体合作，推广社交营销、直播卖货、云逛街等新商业模式；引导企业与社区合作，推广直销配送新模式；运用大数据、云计算和移动互联网等技术建立商贸促销平台，或利用现有平台促进商品销售；以电子商务和快递物流、云计算、物联网等新业态，加快发展生产性服务业；加强物流业与数字经济、生态农业等重点领域深度融合，以物流为纽带，形成全新的网链结构；继续推动零售稳步增长，以支持大型批发市场，建设大型仓储中心，打造区域性交易中心和商品集散中心；加快国际国内商品流动，将西山区打造成云南省最具商业魅力的县区。</w:t>
      </w:r>
      <w:bookmarkStart w:id="198" w:name="_Toc56675509"/>
      <w:bookmarkStart w:id="199" w:name="_Toc46934167"/>
      <w:bookmarkStart w:id="200" w:name="_Toc48922590"/>
      <w:bookmarkStart w:id="201" w:name="_Hlk56610895"/>
      <w:r>
        <w:rPr>
          <w:rFonts w:eastAsia="仿宋_GB2312"/>
          <w:b/>
          <w:bCs/>
          <w:color w:val="000000" w:themeColor="text1"/>
          <w:sz w:val="32"/>
          <w:szCs w:val="32"/>
          <w14:textFill>
            <w14:solidFill>
              <w14:schemeClr w14:val="tx1"/>
            </w14:solidFill>
          </w14:textFill>
        </w:rPr>
        <w:t>大力推进夜间经济发展</w:t>
      </w:r>
      <w:bookmarkEnd w:id="198"/>
      <w:bookmarkEnd w:id="199"/>
      <w:bookmarkEnd w:id="200"/>
      <w:r>
        <w:rPr>
          <w:rFonts w:eastAsia="仿宋_GB2312"/>
          <w:b/>
          <w:bCs/>
          <w:color w:val="000000" w:themeColor="text1"/>
          <w:sz w:val="32"/>
          <w:szCs w:val="32"/>
          <w14:textFill>
            <w14:solidFill>
              <w14:schemeClr w14:val="tx1"/>
            </w14:solidFill>
          </w14:textFill>
        </w:rPr>
        <w:t>。</w:t>
      </w:r>
      <w:bookmarkEnd w:id="201"/>
      <w:r>
        <w:rPr>
          <w:rFonts w:eastAsia="仿宋_GB2312"/>
          <w:color w:val="000000" w:themeColor="text1"/>
          <w:sz w:val="32"/>
          <w:szCs w:val="32"/>
          <w14:textFill>
            <w14:solidFill>
              <w14:schemeClr w14:val="tx1"/>
            </w14:solidFill>
          </w14:textFill>
        </w:rPr>
        <w:t>依托西山区“八大商圈”商贸基础优势，整合文化、体育、大健康等产业资源，扩展原有商圈经济功能，为开展夜间经济活动提供场地，打造一批具有“历史文化特色鲜明、商业氛围浓厚、宾客游人流连忘返”特色的夜间经济集聚区。围绕4个示范片区，着力打造金碧交辉、万达、南亚、爱琴海购物公园、大悦城—云纺、云投、春雨937、融创文旅城等8个夜间经济示范街区。深度融合大观公园片区“夜经济”与“水经济”，发展夜间水上景观及演出等文创产业，打造“夜游”品牌。做特“夜跑”“夜娱”“夜秀”“夜食”“夜购”消费业态，彰显西山区夜之魅力。</w:t>
      </w:r>
    </w:p>
    <w:tbl>
      <w:tblPr>
        <w:tblStyle w:val="42"/>
        <w:tblW w:w="88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73"/>
      </w:tblGrid>
      <w:tr w14:paraId="005475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873" w:type="dxa"/>
            <w:tcBorders>
              <w:top w:val="single" w:color="auto" w:sz="4" w:space="0"/>
              <w:left w:val="single" w:color="auto" w:sz="4" w:space="0"/>
              <w:bottom w:val="single" w:color="auto" w:sz="4" w:space="0"/>
              <w:right w:val="single" w:color="auto" w:sz="4" w:space="0"/>
            </w:tcBorders>
            <w:shd w:val="clear" w:color="auto" w:fill="auto"/>
          </w:tcPr>
          <w:p w14:paraId="32C0115F">
            <w:pPr>
              <w:topLinePunct/>
              <w:jc w:val="center"/>
              <w:rPr>
                <w:rFonts w:eastAsia="黑体"/>
                <w:color w:val="000000" w:themeColor="text1"/>
                <w:sz w:val="28"/>
                <w:szCs w:val="28"/>
                <w14:textFill>
                  <w14:solidFill>
                    <w14:schemeClr w14:val="tx1"/>
                  </w14:solidFill>
                </w14:textFill>
              </w:rPr>
            </w:pPr>
            <w:r>
              <w:rPr>
                <w:rFonts w:eastAsia="黑体"/>
                <w:color w:val="000000" w:themeColor="text1"/>
                <w:sz w:val="28"/>
                <w:szCs w:val="28"/>
                <w14:textFill>
                  <w14:solidFill>
                    <w14:schemeClr w14:val="tx1"/>
                  </w14:solidFill>
                </w14:textFill>
              </w:rPr>
              <w:t>专栏11 西山区“十四五”夜间经济示范片区</w:t>
            </w:r>
          </w:p>
        </w:tc>
      </w:tr>
      <w:tr w14:paraId="407E14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73" w:type="dxa"/>
            <w:tcBorders>
              <w:top w:val="single" w:color="auto" w:sz="4" w:space="0"/>
              <w:left w:val="single" w:color="auto" w:sz="4" w:space="0"/>
              <w:bottom w:val="single" w:color="auto" w:sz="4" w:space="0"/>
              <w:right w:val="single" w:color="auto" w:sz="4" w:space="0"/>
            </w:tcBorders>
            <w:shd w:val="clear" w:color="auto" w:fill="auto"/>
          </w:tcPr>
          <w:p w14:paraId="1A417896">
            <w:pPr>
              <w:topLinePunct/>
              <w:snapToGrid w:val="0"/>
              <w:rPr>
                <w:rFonts w:eastAsia="仿宋_GB2312"/>
                <w:b/>
                <w:bCs/>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1.金碧片区。</w:t>
            </w:r>
            <w:r>
              <w:rPr>
                <w:rFonts w:eastAsia="仿宋_GB2312"/>
                <w:color w:val="000000" w:themeColor="text1"/>
                <w:sz w:val="24"/>
                <w14:textFill>
                  <w14:solidFill>
                    <w14:schemeClr w14:val="tx1"/>
                  </w14:solidFill>
                </w14:textFill>
              </w:rPr>
              <w:t>以“金碧交辉”为主题，承载老昆明的历史与民族文化，以东寺街为主轴线，东西寺塔和金马碧鸡坊步行街为两个主极点，打造特色文化和旅游消费共融的“金碧特色夜经济区”。</w:t>
            </w:r>
          </w:p>
          <w:p w14:paraId="61206DC0">
            <w:pPr>
              <w:topLinePunct/>
              <w:snapToGrid w:val="0"/>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2.云纺片区。</w:t>
            </w:r>
            <w:r>
              <w:rPr>
                <w:rFonts w:eastAsia="仿宋_GB2312"/>
                <w:color w:val="000000" w:themeColor="text1"/>
                <w:sz w:val="24"/>
                <w14:textFill>
                  <w14:solidFill>
                    <w14:schemeClr w14:val="tx1"/>
                  </w14:solidFill>
                </w14:textFill>
              </w:rPr>
              <w:t>以“都市之夜”为主题，以年轻时尚为基调，打造白领群体的夜间经济，从消费场景打造、丰富文化活动、延长营业时间等提升夜间经济，从交通优化、信息化建设和安全防护等方面建设智慧商圈。</w:t>
            </w:r>
          </w:p>
          <w:p w14:paraId="525F27D8">
            <w:pPr>
              <w:topLinePunct/>
              <w:snapToGrid w:val="0"/>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3.大观—海埂片区。</w:t>
            </w:r>
            <w:r>
              <w:rPr>
                <w:rFonts w:eastAsia="仿宋_GB2312"/>
                <w:color w:val="000000" w:themeColor="text1"/>
                <w:sz w:val="24"/>
                <w14:textFill>
                  <w14:solidFill>
                    <w14:schemeClr w14:val="tx1"/>
                  </w14:solidFill>
                </w14:textFill>
              </w:rPr>
              <w:t>依托海埂公园、海埂大坝、民族村三个景点不同优势，打造不同夜间活动。利用民族村多民族文化特点，打造各民族文化节，包含文化美食节、篝火晚会等内容；海埂大坝可发展滇池夜航，联动大观公园片区打造夜航路线，打造辐射整个海埂片区的“夜明珠2.0”活动；海埂公园可依托后备箱集市、烧烤派对、夜间热气球打造海埂夜市。</w:t>
            </w:r>
          </w:p>
          <w:p w14:paraId="5F254EF7">
            <w:pPr>
              <w:topLinePunct/>
              <w:snapToGrid w:val="0"/>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4.融创文旅城—春雨937片区。</w:t>
            </w:r>
            <w:r>
              <w:rPr>
                <w:rFonts w:eastAsia="仿宋_GB2312"/>
                <w:color w:val="000000" w:themeColor="text1"/>
                <w:sz w:val="24"/>
                <w14:textFill>
                  <w14:solidFill>
                    <w14:schemeClr w14:val="tx1"/>
                  </w14:solidFill>
                </w14:textFill>
              </w:rPr>
              <w:t>融创文旅城和春雨937两大片区距离较近，现有资源皆以“文化+”为主题，可联动发展。依托区域内民族、非遗、文化和特色商业等资源，打造文创夜市赶街，常态化开展现有水上集市活动，打造民族风或中国风主题的夜间水上集市。鼓励区域内娱乐业态延时经营，常态化春雨937异次元动漫年终祭，丰富夜间娱乐业态，引入真人CS、角色扮演密室逃脱等潮流娱乐业态打造全时娱乐异世界。</w:t>
            </w:r>
          </w:p>
        </w:tc>
      </w:tr>
    </w:tbl>
    <w:p w14:paraId="1DFB77B9">
      <w:pPr>
        <w:topLinePunct/>
        <w:spacing w:line="560" w:lineRule="exact"/>
        <w:ind w:firstLine="640"/>
        <w:outlineLvl w:val="2"/>
        <w:rPr>
          <w:rFonts w:eastAsia="楷体_GB2312"/>
          <w:color w:val="000000" w:themeColor="text1"/>
          <w:sz w:val="32"/>
          <w:szCs w:val="32"/>
          <w14:textFill>
            <w14:solidFill>
              <w14:schemeClr w14:val="tx1"/>
            </w14:solidFill>
          </w14:textFill>
        </w:rPr>
      </w:pPr>
      <w:bookmarkStart w:id="202" w:name="_Toc26292"/>
      <w:bookmarkStart w:id="203" w:name="_Toc32343"/>
      <w:r>
        <w:rPr>
          <w:rFonts w:eastAsia="楷体_GB2312"/>
          <w:color w:val="000000" w:themeColor="text1"/>
          <w:sz w:val="32"/>
          <w:szCs w:val="32"/>
          <w14:textFill>
            <w14:solidFill>
              <w14:schemeClr w14:val="tx1"/>
            </w14:solidFill>
          </w14:textFill>
        </w:rPr>
        <w:t>（三）主题旅游</w:t>
      </w:r>
      <w:bookmarkEnd w:id="202"/>
      <w:r>
        <w:rPr>
          <w:rFonts w:eastAsia="楷体_GB2312"/>
          <w:color w:val="000000" w:themeColor="text1"/>
          <w:sz w:val="32"/>
          <w:szCs w:val="32"/>
          <w14:textFill>
            <w14:solidFill>
              <w14:schemeClr w14:val="tx1"/>
            </w14:solidFill>
          </w14:textFill>
        </w:rPr>
        <w:t>集群化引流</w:t>
      </w:r>
      <w:bookmarkEnd w:id="203"/>
    </w:p>
    <w:p w14:paraId="73F09200">
      <w:pPr>
        <w:topLinePunct/>
        <w:spacing w:line="560" w:lineRule="exact"/>
        <w:ind w:firstLine="643"/>
        <w:rPr>
          <w:rFonts w:eastAsia="仿宋_GB2312"/>
          <w:bCs/>
          <w:color w:val="000000" w:themeColor="text1"/>
          <w:sz w:val="32"/>
          <w:szCs w:val="32"/>
          <w14:textFill>
            <w14:solidFill>
              <w14:schemeClr w14:val="tx1"/>
            </w14:solidFill>
          </w14:textFill>
        </w:rPr>
      </w:pPr>
      <w:bookmarkStart w:id="204" w:name="_Toc14292"/>
      <w:bookmarkStart w:id="205" w:name="_Toc32658"/>
      <w:bookmarkStart w:id="206" w:name="_Toc31705"/>
      <w:bookmarkStart w:id="207" w:name="_Toc21954"/>
      <w:bookmarkStart w:id="208" w:name="_Toc22950"/>
      <w:bookmarkStart w:id="209" w:name="_Toc18907"/>
      <w:bookmarkStart w:id="210" w:name="_Toc4976"/>
      <w:bookmarkStart w:id="211" w:name="_Toc4686"/>
      <w:bookmarkStart w:id="212" w:name="_Toc25410"/>
      <w:bookmarkStart w:id="213" w:name="_Toc3006"/>
      <w:bookmarkStart w:id="214" w:name="_Toc58944715"/>
      <w:r>
        <w:rPr>
          <w:rFonts w:eastAsia="仿宋_GB2312"/>
          <w:b/>
          <w:color w:val="000000" w:themeColor="text1"/>
          <w:sz w:val="32"/>
          <w:szCs w:val="32"/>
          <w14:textFill>
            <w14:solidFill>
              <w14:schemeClr w14:val="tx1"/>
            </w14:solidFill>
          </w14:textFill>
        </w:rPr>
        <w:t>丰富新产品新业态，增强主题旅游供给。</w:t>
      </w:r>
      <w:r>
        <w:rPr>
          <w:rFonts w:eastAsia="仿宋_GB2312"/>
          <w:bCs/>
          <w:color w:val="000000" w:themeColor="text1"/>
          <w:sz w:val="32"/>
          <w:szCs w:val="32"/>
          <w14:textFill>
            <w14:solidFill>
              <w14:schemeClr w14:val="tx1"/>
            </w14:solidFill>
          </w14:textFill>
        </w:rPr>
        <w:t>结合昆明市“</w:t>
      </w:r>
      <w:r>
        <w:rPr>
          <w:rFonts w:eastAsia="仿宋_GB2312"/>
          <w:color w:val="333333"/>
          <w:sz w:val="32"/>
          <w:szCs w:val="32"/>
          <w:shd w:val="clear" w:color="auto" w:fill="FFFFFF"/>
        </w:rPr>
        <w:t>中国春城</w:t>
      </w:r>
      <w:r>
        <w:rPr>
          <w:rFonts w:eastAsia="仿宋_GB2312"/>
          <w:bCs/>
          <w:color w:val="000000" w:themeColor="text1"/>
          <w:sz w:val="32"/>
          <w:szCs w:val="32"/>
          <w14:textFill>
            <w14:solidFill>
              <w14:schemeClr w14:val="tx1"/>
            </w14:solidFill>
          </w14:textFill>
        </w:rPr>
        <w:t>”品牌建设，全面推进“旅游革命”，深化文旅融合发展，实现事业和产业的平衡、社会效益和经济效益的统一。重点打造“春城山水·西山印象”文化旅游IP新形象，推出音乐、数字文旅新体验，探索旅游衍生业态；结合特色农业和民族民俗提升乡村文旅产品供给，植入教育、科普、研学等内容开展红色文化旅游，依托第四批国家工业遗产国营第二九八厂生产旧址树立工业“第一”记忆工业旅游品牌，依托渝昆高铁西客站站城一体化建设项目—老工业遗址秀和现代工业综合交通秀，营造形成夜游主题、乐享主题、农耕主题、红色主题、工业主题等主题旅游场景。到2025年，西山区全区接待海内外游客达到3400万人次，年均增长率为6%左右，旅游产业收入达到700亿元。</w:t>
      </w:r>
    </w:p>
    <w:tbl>
      <w:tblPr>
        <w:tblStyle w:val="42"/>
        <w:tblW w:w="88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73"/>
      </w:tblGrid>
      <w:tr w14:paraId="1C67BA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8873" w:type="dxa"/>
            <w:tcBorders>
              <w:top w:val="single" w:color="auto" w:sz="4" w:space="0"/>
              <w:left w:val="single" w:color="auto" w:sz="4" w:space="0"/>
              <w:bottom w:val="single" w:color="auto" w:sz="4" w:space="0"/>
              <w:right w:val="single" w:color="auto" w:sz="4" w:space="0"/>
            </w:tcBorders>
            <w:shd w:val="clear" w:color="auto" w:fill="auto"/>
            <w:vAlign w:val="center"/>
          </w:tcPr>
          <w:p w14:paraId="1E2EE782">
            <w:pPr>
              <w:topLinePunct/>
              <w:jc w:val="center"/>
              <w:rPr>
                <w:rFonts w:eastAsia="黑体"/>
                <w:color w:val="000000" w:themeColor="text1"/>
                <w:sz w:val="28"/>
                <w:szCs w:val="28"/>
                <w14:textFill>
                  <w14:solidFill>
                    <w14:schemeClr w14:val="tx1"/>
                  </w14:solidFill>
                </w14:textFill>
              </w:rPr>
            </w:pPr>
            <w:r>
              <w:rPr>
                <w:rFonts w:eastAsia="黑体"/>
                <w:color w:val="000000" w:themeColor="text1"/>
                <w:sz w:val="28"/>
                <w:szCs w:val="28"/>
                <w14:textFill>
                  <w14:solidFill>
                    <w14:schemeClr w14:val="tx1"/>
                  </w14:solidFill>
                </w14:textFill>
              </w:rPr>
              <w:t>专栏12 西山区“十四五”红色旅游主题资源</w:t>
            </w:r>
          </w:p>
        </w:tc>
      </w:tr>
      <w:tr w14:paraId="3EF4C2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8873" w:type="dxa"/>
            <w:tcBorders>
              <w:top w:val="single" w:color="auto" w:sz="4" w:space="0"/>
              <w:left w:val="single" w:color="auto" w:sz="4" w:space="0"/>
              <w:bottom w:val="single" w:color="auto" w:sz="4" w:space="0"/>
              <w:right w:val="single" w:color="auto" w:sz="4" w:space="0"/>
            </w:tcBorders>
            <w:shd w:val="clear" w:color="auto" w:fill="auto"/>
          </w:tcPr>
          <w:p w14:paraId="06AED265">
            <w:pPr>
              <w:topLinePunct/>
              <w:snapToGrid w:val="0"/>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1.红色文化旅游景点。</w:t>
            </w:r>
            <w:r>
              <w:rPr>
                <w:rFonts w:eastAsia="仿宋_GB2312"/>
                <w:color w:val="000000" w:themeColor="text1"/>
                <w:sz w:val="24"/>
                <w14:textFill>
                  <w14:solidFill>
                    <w14:schemeClr w14:val="tx1"/>
                  </w14:solidFill>
                </w14:textFill>
              </w:rPr>
              <w:t>重点打造包括石龙坝水电站、聂耳墓和聂耳纪念馆、南洋华侨机工抗日纪念碑、升庵祠、周培源旧居、海口林场、一得测侯所、中国远征军将官住所旧址、昆明国际无线电支台旧址之红庙收信台、甘美医院旧址、巡津新村裴氏楼、陈荣昌墓、马氏宅院等具有红色文化和历史沉淀的景点。</w:t>
            </w:r>
          </w:p>
          <w:p w14:paraId="5704324D">
            <w:pPr>
              <w:topLinePunct/>
              <w:snapToGrid w:val="0"/>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2.红色文化旅游线路。</w:t>
            </w:r>
            <w:r>
              <w:rPr>
                <w:rFonts w:eastAsia="仿宋_GB2312"/>
                <w:color w:val="000000" w:themeColor="text1"/>
                <w:sz w:val="24"/>
                <w14:textFill>
                  <w14:solidFill>
                    <w14:schemeClr w14:val="tx1"/>
                  </w14:solidFill>
                </w14:textFill>
              </w:rPr>
              <w:t>昆明国际无线电支台旧址之红庙收信台—甘美医院旧址（昆明市第一人民医院内）—巡津新村裴氏楼—马氏宅院—聂耳墓和纪念馆—南洋华侨机工抗日纪念碑—一得测侯所—升庵祠—周培源旧居—中国远征军将官住所旧址—海口林场—石龙坝水电站。</w:t>
            </w:r>
          </w:p>
        </w:tc>
      </w:tr>
    </w:tbl>
    <w:p w14:paraId="20E7DCEE">
      <w:pPr>
        <w:topLinePunct/>
        <w:spacing w:line="560" w:lineRule="exact"/>
        <w:ind w:firstLine="643"/>
        <w:rPr>
          <w:rFonts w:eastAsia="仿宋_GB2312"/>
          <w:b/>
          <w:color w:val="000000" w:themeColor="text1"/>
          <w:sz w:val="32"/>
          <w:szCs w:val="32"/>
          <w14:textFill>
            <w14:solidFill>
              <w14:schemeClr w14:val="tx1"/>
            </w14:solidFill>
          </w14:textFill>
        </w:rPr>
      </w:pPr>
      <w:r>
        <w:rPr>
          <w:rFonts w:eastAsia="仿宋_GB2312"/>
          <w:b/>
          <w:color w:val="000000" w:themeColor="text1"/>
          <w:sz w:val="32"/>
          <w:szCs w:val="32"/>
          <w14:textFill>
            <w14:solidFill>
              <w14:schemeClr w14:val="tx1"/>
            </w14:solidFill>
          </w14:textFill>
        </w:rPr>
        <w:t>健康生态文旅融合，打造生态康养胜地。</w:t>
      </w:r>
      <w:r>
        <w:rPr>
          <w:rFonts w:eastAsia="仿宋_GB2312"/>
          <w:bCs/>
          <w:color w:val="000000" w:themeColor="text1"/>
          <w:sz w:val="32"/>
          <w:szCs w:val="32"/>
          <w14:textFill>
            <w14:solidFill>
              <w14:schemeClr w14:val="tx1"/>
            </w14:solidFill>
          </w14:textFill>
        </w:rPr>
        <w:t>围绕省、市打造“健康生活目的地”“</w:t>
      </w:r>
      <w:r>
        <w:rPr>
          <w:rFonts w:eastAsia="仿宋_GB2312"/>
          <w:color w:val="333333"/>
          <w:sz w:val="32"/>
          <w:szCs w:val="32"/>
          <w:shd w:val="clear" w:color="auto" w:fill="FFFFFF"/>
        </w:rPr>
        <w:t>国际大健康名城</w:t>
      </w:r>
      <w:r>
        <w:rPr>
          <w:rFonts w:eastAsia="仿宋_GB2312"/>
          <w:bCs/>
          <w:color w:val="000000" w:themeColor="text1"/>
          <w:sz w:val="32"/>
          <w:szCs w:val="32"/>
          <w14:textFill>
            <w14:solidFill>
              <w14:schemeClr w14:val="tx1"/>
            </w14:solidFill>
          </w14:textFill>
        </w:rPr>
        <w:t>”等目标，构建以“体育娱乐”“民族文化”“森林康养”“生态探险猎奇”等为主的产业体系，打造“养身”“养心”“养性”“养智”“养德”的康养胜地；加强西山风景区创建“5A”级旅游景区，擦亮西山名片，彰显昆明历史文化名城的品质。</w:t>
      </w:r>
    </w:p>
    <w:p w14:paraId="77278039">
      <w:pPr>
        <w:topLinePunct/>
        <w:spacing w:line="560" w:lineRule="exact"/>
        <w:ind w:firstLine="643"/>
        <w:rPr>
          <w:rFonts w:eastAsia="仿宋_GB2312"/>
          <w:bCs/>
          <w:color w:val="000000" w:themeColor="text1"/>
          <w:sz w:val="32"/>
          <w:szCs w:val="32"/>
          <w14:textFill>
            <w14:solidFill>
              <w14:schemeClr w14:val="tx1"/>
            </w14:solidFill>
          </w14:textFill>
        </w:rPr>
      </w:pPr>
      <w:r>
        <w:rPr>
          <w:rFonts w:eastAsia="仿宋_GB2312"/>
          <w:b/>
          <w:color w:val="000000" w:themeColor="text1"/>
          <w:sz w:val="32"/>
          <w:szCs w:val="32"/>
          <w14:textFill>
            <w14:solidFill>
              <w14:schemeClr w14:val="tx1"/>
            </w14:solidFill>
          </w14:textFill>
        </w:rPr>
        <w:t>产业集群融合与产业链拓展，发挥主题旅游的引流作用。</w:t>
      </w:r>
      <w:r>
        <w:rPr>
          <w:rFonts w:eastAsia="仿宋_GB2312"/>
          <w:bCs/>
          <w:color w:val="000000" w:themeColor="text1"/>
          <w:sz w:val="32"/>
          <w:szCs w:val="32"/>
          <w14:textFill>
            <w14:solidFill>
              <w14:schemeClr w14:val="tx1"/>
            </w14:solidFill>
          </w14:textFill>
        </w:rPr>
        <w:t>加快产业融合互动与产业链横纵向拓展，深度挖掘提炼现有生态、文化资源，强化内涵式发展，关注与其他产业的联动共生，着力产业链的丰富拓展与价值提升；拓展云安会都的产业链条；打造滇池草海会客厅，创新“全方位、复合型、大视野、深层次”的开发模式，以“水旅游”开发促进城市旅居产业链、文旅体创产业链、旅科教信产业链的联动发展，打造昆明会客厅旅游目的地、城市休闲度假新空间。</w:t>
      </w:r>
      <w:bookmarkStart w:id="215" w:name="_Toc61644792"/>
    </w:p>
    <w:p w14:paraId="228DB1D7">
      <w:pPr>
        <w:topLinePunct/>
        <w:spacing w:line="560" w:lineRule="exact"/>
        <w:ind w:firstLine="643"/>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四、做活三个机会</w:t>
      </w:r>
      <w:bookmarkEnd w:id="204"/>
      <w:bookmarkEnd w:id="205"/>
      <w:bookmarkEnd w:id="206"/>
      <w:bookmarkEnd w:id="207"/>
      <w:bookmarkEnd w:id="208"/>
      <w:bookmarkEnd w:id="209"/>
      <w:bookmarkEnd w:id="210"/>
      <w:r>
        <w:rPr>
          <w:rFonts w:eastAsia="黑体"/>
          <w:bCs/>
          <w:color w:val="000000" w:themeColor="text1"/>
          <w:sz w:val="32"/>
          <w:szCs w:val="32"/>
          <w14:textFill>
            <w14:solidFill>
              <w14:schemeClr w14:val="tx1"/>
            </w14:solidFill>
          </w14:textFill>
        </w:rPr>
        <w:t>产业</w:t>
      </w:r>
      <w:bookmarkEnd w:id="211"/>
      <w:bookmarkEnd w:id="212"/>
      <w:bookmarkEnd w:id="213"/>
      <w:bookmarkEnd w:id="214"/>
      <w:bookmarkEnd w:id="215"/>
      <w:bookmarkStart w:id="216" w:name="_Toc5764"/>
      <w:bookmarkStart w:id="217" w:name="_Toc7793"/>
    </w:p>
    <w:p w14:paraId="11BC2201">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（一）结构性金融结算</w:t>
      </w:r>
      <w:bookmarkEnd w:id="216"/>
      <w:r>
        <w:rPr>
          <w:rFonts w:eastAsia="楷体_GB2312"/>
          <w:color w:val="000000" w:themeColor="text1"/>
          <w:sz w:val="32"/>
          <w:szCs w:val="32"/>
          <w14:textFill>
            <w14:solidFill>
              <w14:schemeClr w14:val="tx1"/>
            </w14:solidFill>
          </w14:textFill>
        </w:rPr>
        <w:t>聚财</w:t>
      </w:r>
      <w:bookmarkEnd w:id="217"/>
    </w:p>
    <w:p w14:paraId="33B7DD7E">
      <w:pPr>
        <w:topLinePunct/>
        <w:spacing w:line="560" w:lineRule="exact"/>
        <w:ind w:firstLine="643"/>
        <w:rPr>
          <w:rFonts w:eastAsia="仿宋_GB2312"/>
          <w:bCs/>
          <w:color w:val="000000" w:themeColor="text1"/>
          <w:sz w:val="32"/>
          <w:szCs w:val="32"/>
          <w14:textFill>
            <w14:solidFill>
              <w14:schemeClr w14:val="tx1"/>
            </w14:solidFill>
          </w14:textFill>
        </w:rPr>
      </w:pPr>
      <w:r>
        <w:rPr>
          <w:rFonts w:eastAsia="仿宋_GB2312"/>
          <w:b/>
          <w:bCs/>
          <w:color w:val="000000" w:themeColor="text1"/>
          <w:sz w:val="32"/>
          <w:szCs w:val="32"/>
          <w14:textFill>
            <w14:solidFill>
              <w14:schemeClr w14:val="tx1"/>
            </w14:solidFill>
          </w14:textFill>
        </w:rPr>
        <w:t>聚焦金融技术创新，深化金融开放，引导金融产业集聚发展。</w:t>
      </w:r>
      <w:r>
        <w:rPr>
          <w:rFonts w:eastAsia="仿宋_GB2312"/>
          <w:bCs/>
          <w:color w:val="000000" w:themeColor="text1"/>
          <w:sz w:val="32"/>
          <w:szCs w:val="32"/>
          <w14:textFill>
            <w14:solidFill>
              <w14:schemeClr w14:val="tx1"/>
            </w14:solidFill>
          </w14:textFill>
        </w:rPr>
        <w:t>借助云计算、区块链、安全技术、大数据技术、互联网技术、人工智能技术等科技金融手段，探索构建“一带一路”金融合作客户身份信息备案平台。争取自由贸易账户（FTA）试点，探索推进本外币合一的银行账户体系。放宽金融业市场准入，支持南亚东南亚国家金融机构到西山区设立外资金融分支机构，争取跨境金融区块链服务平台试点，鼓励保险机构设立跨境保险服务中心，研究制定投资促进政策，推动跨境金融业在片区集聚发展。</w:t>
      </w:r>
    </w:p>
    <w:p w14:paraId="3FFE1C70">
      <w:pPr>
        <w:topLinePunct/>
        <w:spacing w:line="560" w:lineRule="exact"/>
        <w:ind w:firstLine="643"/>
        <w:rPr>
          <w:rFonts w:eastAsia="仿宋_GB2312"/>
          <w:bCs/>
          <w:color w:val="000000" w:themeColor="text1"/>
          <w:sz w:val="32"/>
          <w:szCs w:val="32"/>
          <w14:textFill>
            <w14:solidFill>
              <w14:schemeClr w14:val="tx1"/>
            </w14:solidFill>
          </w14:textFill>
        </w:rPr>
      </w:pPr>
      <w:r>
        <w:rPr>
          <w:rFonts w:eastAsia="仿宋_GB2312"/>
          <w:b/>
          <w:color w:val="000000" w:themeColor="text1"/>
          <w:sz w:val="32"/>
          <w:szCs w:val="32"/>
          <w14:textFill>
            <w14:solidFill>
              <w14:schemeClr w14:val="tx1"/>
            </w14:solidFill>
          </w14:textFill>
        </w:rPr>
        <w:t>推广西山普惠金融一网通，提升普惠金融服务水平</w:t>
      </w:r>
      <w:r>
        <w:rPr>
          <w:rFonts w:eastAsia="仿宋_GB2312"/>
          <w:bCs/>
          <w:color w:val="000000" w:themeColor="text1"/>
          <w:sz w:val="32"/>
          <w:szCs w:val="32"/>
          <w14:textFill>
            <w14:solidFill>
              <w14:schemeClr w14:val="tx1"/>
            </w14:solidFill>
          </w14:textFill>
        </w:rPr>
        <w:t>。发挥省农信集团、省金控集团及新路保险机构聚集和云纺互联网金融聚集基础，放大金融小镇、金融产业聚集区、数字金融创新区的生态作用，大力引导“互联网+”类地方性运营中心，建立“普惠金融一网通”移动金融服务平台，完善金融服务方式、丰富金融服务渠道、提升金融服务覆盖率、可得性和满意度，为城乡居民提供便捷支付、便民查询、金融宣传等服务。</w:t>
      </w:r>
    </w:p>
    <w:p w14:paraId="05F72A4D">
      <w:pPr>
        <w:topLinePunct/>
        <w:spacing w:line="560" w:lineRule="exact"/>
        <w:ind w:firstLine="643"/>
        <w:rPr>
          <w:rFonts w:eastAsia="仿宋_GB2312"/>
          <w:b/>
          <w:color w:val="000000" w:themeColor="text1"/>
          <w:sz w:val="32"/>
          <w:szCs w:val="32"/>
          <w14:textFill>
            <w14:solidFill>
              <w14:schemeClr w14:val="tx1"/>
            </w14:solidFill>
          </w14:textFill>
        </w:rPr>
      </w:pPr>
      <w:r>
        <w:rPr>
          <w:rFonts w:eastAsia="仿宋_GB2312"/>
          <w:b/>
          <w:color w:val="000000" w:themeColor="text1"/>
          <w:sz w:val="32"/>
          <w:szCs w:val="32"/>
          <w14:textFill>
            <w14:solidFill>
              <w14:schemeClr w14:val="tx1"/>
            </w14:solidFill>
          </w14:textFill>
        </w:rPr>
        <w:t>以绿色发展、服务贸易、平台经济为结算经济重点方向。</w:t>
      </w:r>
      <w:r>
        <w:rPr>
          <w:rFonts w:eastAsia="仿宋_GB2312"/>
          <w:bCs/>
          <w:color w:val="000000" w:themeColor="text1"/>
          <w:sz w:val="32"/>
          <w:szCs w:val="32"/>
          <w14:textFill>
            <w14:solidFill>
              <w14:schemeClr w14:val="tx1"/>
            </w14:solidFill>
          </w14:textFill>
        </w:rPr>
        <w:t>以结算经济为牵引，以存量楼宇为载体，面向全省，基于西山中医药材、生态食材、工业大麻等产业带动性强的地方特色产品，完善关联产业的服务链，引入数字经济与服务贸易新业态，以六大赋能平台，促进要素集聚，打造以中草药、工业大麻、高原果蔬等为主的绿色产品交易结算中心；面向全国，吸引各类“互联网+”行业、区域性运营中心、分布式实业型企业，打造平台经济结算中心；辐射南亚东南亚，打造以知识产权、传媒出版、设计服务等为主的服务贸易结算中心。</w:t>
      </w:r>
    </w:p>
    <w:p w14:paraId="5C2B8590">
      <w:pPr>
        <w:topLinePunct/>
        <w:spacing w:line="560" w:lineRule="exact"/>
        <w:ind w:firstLine="643"/>
        <w:rPr>
          <w:rFonts w:eastAsia="仿宋_GB2312"/>
          <w:bCs/>
          <w:color w:val="000000" w:themeColor="text1"/>
          <w:sz w:val="32"/>
          <w:szCs w:val="32"/>
          <w14:textFill>
            <w14:solidFill>
              <w14:schemeClr w14:val="tx1"/>
            </w14:solidFill>
          </w14:textFill>
        </w:rPr>
      </w:pPr>
      <w:r>
        <w:rPr>
          <w:rFonts w:eastAsia="仿宋_GB2312"/>
          <w:b/>
          <w:color w:val="000000" w:themeColor="text1"/>
          <w:sz w:val="32"/>
          <w:szCs w:val="32"/>
          <w14:textFill>
            <w14:solidFill>
              <w14:schemeClr w14:val="tx1"/>
            </w14:solidFill>
          </w14:textFill>
        </w:rPr>
        <w:t>要素融合平台，提升特色产业及其关联产业的集聚力。</w:t>
      </w:r>
      <w:r>
        <w:rPr>
          <w:rFonts w:eastAsia="仿宋_GB2312"/>
          <w:bCs/>
          <w:color w:val="000000" w:themeColor="text1"/>
          <w:sz w:val="32"/>
          <w:szCs w:val="32"/>
          <w14:textFill>
            <w14:solidFill>
              <w14:schemeClr w14:val="tx1"/>
            </w14:solidFill>
          </w14:textFill>
        </w:rPr>
        <w:t>以交易结算平台为载体，依托交易中心进行全产业链控制，以认证中心提升主导产业及关联产业的附加值，结合线上线下电商中心打通要素市场、产品市场与服务市场，保证供需平衡。依托双创中心培育产业生态圈，导入产业基金为产业集群进行资本赋能，打造“产业+科创+金融+人才+大数据+空间”的要素融合平台，提升特色产业及其关联产业的集聚力。</w:t>
      </w:r>
    </w:p>
    <w:p w14:paraId="13DB5320">
      <w:pPr>
        <w:topLinePunct/>
        <w:spacing w:line="560" w:lineRule="exact"/>
        <w:ind w:firstLine="640"/>
        <w:outlineLvl w:val="2"/>
        <w:rPr>
          <w:rFonts w:eastAsia="楷体_GB2312"/>
          <w:color w:val="000000" w:themeColor="text1"/>
          <w:sz w:val="32"/>
          <w:szCs w:val="32"/>
          <w14:textFill>
            <w14:solidFill>
              <w14:schemeClr w14:val="tx1"/>
            </w14:solidFill>
          </w14:textFill>
        </w:rPr>
      </w:pPr>
      <w:bookmarkStart w:id="218" w:name="_Toc31200"/>
      <w:bookmarkStart w:id="219" w:name="_Toc2370"/>
      <w:r>
        <w:rPr>
          <w:rFonts w:eastAsia="楷体_GB2312"/>
          <w:color w:val="000000" w:themeColor="text1"/>
          <w:sz w:val="32"/>
          <w:szCs w:val="32"/>
          <w14:textFill>
            <w14:solidFill>
              <w14:schemeClr w14:val="tx1"/>
            </w14:solidFill>
          </w14:textFill>
        </w:rPr>
        <w:t>（二）融合型生态农业</w:t>
      </w:r>
      <w:bookmarkEnd w:id="218"/>
      <w:r>
        <w:rPr>
          <w:rFonts w:eastAsia="楷体_GB2312"/>
          <w:color w:val="000000" w:themeColor="text1"/>
          <w:sz w:val="32"/>
          <w:szCs w:val="32"/>
          <w14:textFill>
            <w14:solidFill>
              <w14:schemeClr w14:val="tx1"/>
            </w14:solidFill>
          </w14:textFill>
        </w:rPr>
        <w:t>固本</w:t>
      </w:r>
      <w:bookmarkEnd w:id="219"/>
    </w:p>
    <w:p w14:paraId="4E351AD5">
      <w:pPr>
        <w:topLinePunct/>
        <w:spacing w:line="560" w:lineRule="exact"/>
        <w:ind w:firstLine="643"/>
        <w:rPr>
          <w:rFonts w:eastAsia="仿宋_GB2312"/>
          <w:bCs/>
          <w:color w:val="000000" w:themeColor="text1"/>
          <w:sz w:val="32"/>
          <w:szCs w:val="32"/>
          <w14:textFill>
            <w14:solidFill>
              <w14:schemeClr w14:val="tx1"/>
            </w14:solidFill>
          </w14:textFill>
        </w:rPr>
      </w:pPr>
      <w:r>
        <w:rPr>
          <w:rFonts w:eastAsia="仿宋_GB2312"/>
          <w:b/>
          <w:color w:val="000000" w:themeColor="text1"/>
          <w:sz w:val="32"/>
          <w:szCs w:val="32"/>
          <w14:textFill>
            <w14:solidFill>
              <w14:schemeClr w14:val="tx1"/>
            </w14:solidFill>
          </w14:textFill>
        </w:rPr>
        <w:t>构建资源共享、优势互补、循环相生、协调发展的特色生态农业发展模式。</w:t>
      </w:r>
      <w:r>
        <w:rPr>
          <w:rFonts w:eastAsia="仿宋_GB2312"/>
          <w:bCs/>
          <w:color w:val="000000" w:themeColor="text1"/>
          <w:sz w:val="32"/>
          <w:szCs w:val="32"/>
          <w14:textFill>
            <w14:solidFill>
              <w14:schemeClr w14:val="tx1"/>
            </w14:solidFill>
          </w14:textFill>
        </w:rPr>
        <w:t>以保护生态环境为前提，合理利用森林资源，以森林康养与林下经济破题生态农业发展，发挥林业与配套产业的统筹协同作用，突出主体驱动力，增强基础支撑力，拓展特色承载力。实施“四园”“二业”培育工程，以绿色蔬菜、特色水果、园艺花卉、休闲农业、生态养殖业、生物产业等重点方向为抓手，支撑农产品品牌、农产品流通、农业科技创新与推广、农产品质量安全监管、新型农业经营、生态安全保障等体系建设，</w:t>
      </w:r>
      <w:r>
        <w:rPr>
          <w:rFonts w:eastAsia="仿宋_GB2312"/>
          <w:bCs/>
          <w:color w:val="000000" w:themeColor="text1"/>
          <w:spacing w:val="4"/>
          <w:sz w:val="32"/>
          <w:szCs w:val="32"/>
          <w14:textFill>
            <w14:solidFill>
              <w14:schemeClr w14:val="tx1"/>
            </w14:solidFill>
          </w14:textFill>
        </w:rPr>
        <w:t>打造</w:t>
      </w:r>
      <w:r>
        <w:rPr>
          <w:rFonts w:eastAsia="仿宋_GB2312"/>
          <w:bCs/>
          <w:color w:val="000000" w:themeColor="text1"/>
          <w:sz w:val="32"/>
          <w:szCs w:val="32"/>
          <w14:textFill>
            <w14:solidFill>
              <w14:schemeClr w14:val="tx1"/>
            </w14:solidFill>
          </w14:textFill>
        </w:rPr>
        <w:t>高原特色都市现代农业核心示范区。</w:t>
      </w:r>
    </w:p>
    <w:tbl>
      <w:tblPr>
        <w:tblStyle w:val="42"/>
        <w:tblW w:w="88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73"/>
      </w:tblGrid>
      <w:tr w14:paraId="4980F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8873" w:type="dxa"/>
            <w:tcBorders>
              <w:top w:val="single" w:color="auto" w:sz="4" w:space="0"/>
              <w:left w:val="single" w:color="auto" w:sz="4" w:space="0"/>
              <w:bottom w:val="single" w:color="auto" w:sz="4" w:space="0"/>
              <w:right w:val="single" w:color="auto" w:sz="4" w:space="0"/>
            </w:tcBorders>
            <w:shd w:val="clear" w:color="auto" w:fill="auto"/>
            <w:vAlign w:val="center"/>
          </w:tcPr>
          <w:p w14:paraId="2FF7C71C">
            <w:pPr>
              <w:topLinePunct/>
              <w:jc w:val="center"/>
              <w:rPr>
                <w:rFonts w:eastAsia="仿宋_GB2312"/>
                <w:b/>
                <w:bCs/>
                <w:color w:val="000000" w:themeColor="text1"/>
                <w:sz w:val="24"/>
                <w14:textFill>
                  <w14:solidFill>
                    <w14:schemeClr w14:val="tx1"/>
                  </w14:solidFill>
                </w14:textFill>
              </w:rPr>
            </w:pPr>
            <w:r>
              <w:rPr>
                <w:rFonts w:eastAsia="黑体"/>
                <w:color w:val="000000" w:themeColor="text1"/>
                <w:sz w:val="28"/>
                <w:szCs w:val="28"/>
                <w14:textFill>
                  <w14:solidFill>
                    <w14:schemeClr w14:val="tx1"/>
                  </w14:solidFill>
                </w14:textFill>
              </w:rPr>
              <w:t>专栏13 高原特色都市农业“四园”“二业”培育工程</w:t>
            </w:r>
          </w:p>
        </w:tc>
      </w:tr>
      <w:tr w14:paraId="416937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9" w:hRule="atLeast"/>
          <w:jc w:val="center"/>
        </w:trPr>
        <w:tc>
          <w:tcPr>
            <w:tcW w:w="8873" w:type="dxa"/>
            <w:tcBorders>
              <w:top w:val="single" w:color="auto" w:sz="4" w:space="0"/>
              <w:left w:val="single" w:color="auto" w:sz="4" w:space="0"/>
              <w:bottom w:val="single" w:color="auto" w:sz="4" w:space="0"/>
              <w:right w:val="single" w:color="auto" w:sz="4" w:space="0"/>
            </w:tcBorders>
            <w:shd w:val="clear" w:color="auto" w:fill="auto"/>
          </w:tcPr>
          <w:p w14:paraId="3C8190B8">
            <w:pPr>
              <w:topLinePunct/>
              <w:rPr>
                <w:rFonts w:eastAsia="仿宋_GB2312"/>
                <w:bCs/>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“四园”：</w:t>
            </w:r>
            <w:r>
              <w:rPr>
                <w:rFonts w:eastAsia="仿宋_GB2312"/>
                <w:bCs/>
                <w:color w:val="000000" w:themeColor="text1"/>
                <w:sz w:val="24"/>
                <w14:textFill>
                  <w14:solidFill>
                    <w14:schemeClr w14:val="tx1"/>
                  </w14:solidFill>
                </w14:textFill>
              </w:rPr>
              <w:t>都市菜园、都市果园、都市花园、都市乐园。</w:t>
            </w:r>
          </w:p>
          <w:p w14:paraId="571586A3">
            <w:pPr>
              <w:topLinePunct/>
              <w:rPr>
                <w:rFonts w:eastAsia="仿宋_GB2312"/>
                <w:bCs/>
                <w:color w:val="000000" w:themeColor="text1"/>
                <w:sz w:val="24"/>
                <w14:textFill>
                  <w14:solidFill>
                    <w14:schemeClr w14:val="tx1"/>
                  </w14:solidFill>
                </w14:textFill>
              </w:rPr>
            </w:pPr>
            <w:r>
              <w:rPr>
                <w:rFonts w:eastAsia="仿宋_GB2312"/>
                <w:b/>
                <w:color w:val="000000" w:themeColor="text1"/>
                <w:sz w:val="24"/>
                <w14:textFill>
                  <w14:solidFill>
                    <w14:schemeClr w14:val="tx1"/>
                  </w14:solidFill>
                </w14:textFill>
              </w:rPr>
              <w:t>都市菜园：</w:t>
            </w:r>
            <w:r>
              <w:rPr>
                <w:rFonts w:eastAsia="仿宋_GB2312"/>
                <w:bCs/>
                <w:color w:val="000000" w:themeColor="text1"/>
                <w:sz w:val="24"/>
                <w14:textFill>
                  <w14:solidFill>
                    <w14:schemeClr w14:val="tx1"/>
                  </w14:solidFill>
                </w14:textFill>
              </w:rPr>
              <w:t>发展绿色蔬菜、食用菌和魔芋产业、林下蔬菜和野生菌产业。</w:t>
            </w:r>
          </w:p>
          <w:p w14:paraId="08F8173A">
            <w:pPr>
              <w:topLinePunct/>
              <w:rPr>
                <w:rFonts w:eastAsia="仿宋_GB2312"/>
                <w:bCs/>
                <w:color w:val="000000" w:themeColor="text1"/>
                <w:sz w:val="24"/>
                <w14:textFill>
                  <w14:solidFill>
                    <w14:schemeClr w14:val="tx1"/>
                  </w14:solidFill>
                </w14:textFill>
              </w:rPr>
            </w:pPr>
            <w:r>
              <w:rPr>
                <w:rFonts w:eastAsia="仿宋_GB2312"/>
                <w:b/>
                <w:color w:val="000000" w:themeColor="text1"/>
                <w:sz w:val="24"/>
                <w14:textFill>
                  <w14:solidFill>
                    <w14:schemeClr w14:val="tx1"/>
                  </w14:solidFill>
                </w14:textFill>
              </w:rPr>
              <w:t>都市果园：</w:t>
            </w:r>
            <w:r>
              <w:rPr>
                <w:rFonts w:eastAsia="仿宋_GB2312"/>
                <w:bCs/>
                <w:color w:val="000000" w:themeColor="text1"/>
                <w:sz w:val="24"/>
                <w14:textFill>
                  <w14:solidFill>
                    <w14:schemeClr w14:val="tx1"/>
                  </w14:solidFill>
                </w14:textFill>
              </w:rPr>
              <w:t>发展特色水果面积达到2.2万亩，建设苹果、草莓等集散中心，打造西山区高原特色都市现代果业品牌。</w:t>
            </w:r>
          </w:p>
          <w:p w14:paraId="2637726E">
            <w:pPr>
              <w:topLinePunct/>
              <w:rPr>
                <w:rFonts w:eastAsia="仿宋_GB2312"/>
                <w:bCs/>
                <w:color w:val="000000" w:themeColor="text1"/>
                <w:sz w:val="24"/>
                <w14:textFill>
                  <w14:solidFill>
                    <w14:schemeClr w14:val="tx1"/>
                  </w14:solidFill>
                </w14:textFill>
              </w:rPr>
            </w:pPr>
            <w:r>
              <w:rPr>
                <w:rFonts w:eastAsia="仿宋_GB2312"/>
                <w:b/>
                <w:color w:val="000000" w:themeColor="text1"/>
                <w:sz w:val="24"/>
                <w14:textFill>
                  <w14:solidFill>
                    <w14:schemeClr w14:val="tx1"/>
                  </w14:solidFill>
                </w14:textFill>
              </w:rPr>
              <w:t>都市花园：</w:t>
            </w:r>
            <w:r>
              <w:rPr>
                <w:rFonts w:eastAsia="仿宋_GB2312"/>
                <w:bCs/>
                <w:color w:val="000000" w:themeColor="text1"/>
                <w:sz w:val="24"/>
                <w14:textFill>
                  <w14:solidFill>
                    <w14:schemeClr w14:val="tx1"/>
                  </w14:solidFill>
                </w14:textFill>
              </w:rPr>
              <w:t>园艺花卉种植面积1万亩，按标生产，绿色生产与循环发展全覆盖。</w:t>
            </w:r>
          </w:p>
          <w:p w14:paraId="0C713B0A">
            <w:pPr>
              <w:topLinePunct/>
              <w:rPr>
                <w:rFonts w:eastAsia="仿宋_GB2312"/>
                <w:bCs/>
                <w:color w:val="000000" w:themeColor="text1"/>
                <w:sz w:val="24"/>
                <w14:textFill>
                  <w14:solidFill>
                    <w14:schemeClr w14:val="tx1"/>
                  </w14:solidFill>
                </w14:textFill>
              </w:rPr>
            </w:pPr>
            <w:r>
              <w:rPr>
                <w:rFonts w:eastAsia="仿宋_GB2312"/>
                <w:b/>
                <w:color w:val="000000" w:themeColor="text1"/>
                <w:sz w:val="24"/>
                <w14:textFill>
                  <w14:solidFill>
                    <w14:schemeClr w14:val="tx1"/>
                  </w14:solidFill>
                </w14:textFill>
              </w:rPr>
              <w:t>都市乐园：</w:t>
            </w:r>
            <w:r>
              <w:rPr>
                <w:rFonts w:eastAsia="仿宋_GB2312"/>
                <w:bCs/>
                <w:color w:val="000000" w:themeColor="text1"/>
                <w:sz w:val="24"/>
                <w14:textFill>
                  <w14:solidFill>
                    <w14:schemeClr w14:val="tx1"/>
                  </w14:solidFill>
                </w14:textFill>
              </w:rPr>
              <w:t>建设城市周边乡村休闲旅游区、自然风景区周边乡村休闲旅游区、民俗民族风情乡村休闲旅游区。</w:t>
            </w:r>
          </w:p>
          <w:p w14:paraId="7C454342">
            <w:pPr>
              <w:topLinePunct/>
              <w:rPr>
                <w:rFonts w:eastAsia="仿宋_GB2312"/>
                <w:bCs/>
                <w:color w:val="000000" w:themeColor="text1"/>
                <w:sz w:val="24"/>
                <w14:textFill>
                  <w14:solidFill>
                    <w14:schemeClr w14:val="tx1"/>
                  </w14:solidFill>
                </w14:textFill>
              </w:rPr>
            </w:pPr>
            <w:r>
              <w:rPr>
                <w:rFonts w:eastAsia="仿宋_GB2312"/>
                <w:bCs/>
                <w:color w:val="000000" w:themeColor="text1"/>
                <w:sz w:val="24"/>
                <w14:textFill>
                  <w14:solidFill>
                    <w14:schemeClr w14:val="tx1"/>
                  </w14:solidFill>
                </w14:textFill>
              </w:rPr>
              <w:t>“二业”：生态养殖业、生物产业。</w:t>
            </w:r>
          </w:p>
          <w:p w14:paraId="3FA1F8DC">
            <w:pPr>
              <w:topLinePunct/>
              <w:rPr>
                <w:rFonts w:eastAsia="仿宋_GB2312"/>
                <w:bCs/>
                <w:color w:val="000000" w:themeColor="text1"/>
                <w:sz w:val="24"/>
                <w14:textFill>
                  <w14:solidFill>
                    <w14:schemeClr w14:val="tx1"/>
                  </w14:solidFill>
                </w14:textFill>
              </w:rPr>
            </w:pPr>
            <w:r>
              <w:rPr>
                <w:rFonts w:eastAsia="仿宋_GB2312"/>
                <w:b/>
                <w:color w:val="000000" w:themeColor="text1"/>
                <w:sz w:val="24"/>
                <w14:textFill>
                  <w14:solidFill>
                    <w14:schemeClr w14:val="tx1"/>
                  </w14:solidFill>
                </w14:textFill>
              </w:rPr>
              <w:t>生态养殖业：</w:t>
            </w:r>
            <w:r>
              <w:rPr>
                <w:rFonts w:eastAsia="仿宋_GB2312"/>
                <w:bCs/>
                <w:color w:val="000000" w:themeColor="text1"/>
                <w:sz w:val="24"/>
                <w14:textFill>
                  <w14:solidFill>
                    <w14:schemeClr w14:val="tx1"/>
                  </w14:solidFill>
                </w14:textFill>
              </w:rPr>
              <w:t>畜牧生产、养殖场发展、山地牧业科教展示观光园、山地牧业康体娱乐园、休闲观光垂钓园。</w:t>
            </w:r>
          </w:p>
          <w:p w14:paraId="1E1B5FCB">
            <w:pPr>
              <w:topLinePunct/>
              <w:rPr>
                <w:rFonts w:eastAsia="仿宋_GB2312"/>
                <w:bCs/>
                <w:color w:val="000000" w:themeColor="text1"/>
                <w:kern w:val="0"/>
                <w:sz w:val="24"/>
                <w14:textFill>
                  <w14:solidFill>
                    <w14:schemeClr w14:val="tx1"/>
                  </w14:solidFill>
                </w14:textFill>
              </w:rPr>
            </w:pPr>
            <w:r>
              <w:rPr>
                <w:rFonts w:eastAsia="仿宋_GB2312"/>
                <w:b/>
                <w:color w:val="000000" w:themeColor="text1"/>
                <w:sz w:val="24"/>
                <w14:textFill>
                  <w14:solidFill>
                    <w14:schemeClr w14:val="tx1"/>
                  </w14:solidFill>
                </w14:textFill>
              </w:rPr>
              <w:t>生物产业：</w:t>
            </w:r>
            <w:r>
              <w:rPr>
                <w:rFonts w:eastAsia="仿宋_GB2312"/>
                <w:bCs/>
                <w:color w:val="000000" w:themeColor="text1"/>
                <w:sz w:val="24"/>
                <w14:textFill>
                  <w14:solidFill>
                    <w14:schemeClr w14:val="tx1"/>
                  </w14:solidFill>
                </w14:textFill>
              </w:rPr>
              <w:t>发展中药材种植2000亩，打造林下中药材一二三产业融合发展示范区。</w:t>
            </w:r>
          </w:p>
        </w:tc>
      </w:tr>
    </w:tbl>
    <w:p w14:paraId="4B90CABE">
      <w:pPr>
        <w:topLinePunct/>
        <w:spacing w:line="560" w:lineRule="exact"/>
        <w:ind w:firstLine="643"/>
        <w:rPr>
          <w:rFonts w:eastAsia="仿宋_GB2312"/>
          <w:b/>
          <w:color w:val="000000" w:themeColor="text1"/>
          <w:sz w:val="32"/>
          <w:szCs w:val="32"/>
          <w14:textFill>
            <w14:solidFill>
              <w14:schemeClr w14:val="tx1"/>
            </w14:solidFill>
          </w14:textFill>
        </w:rPr>
      </w:pPr>
      <w:r>
        <w:rPr>
          <w:rFonts w:eastAsia="仿宋_GB2312"/>
          <w:b/>
          <w:bCs/>
          <w:color w:val="000000" w:themeColor="text1"/>
          <w:sz w:val="32"/>
          <w:szCs w:val="32"/>
          <w14:textFill>
            <w14:solidFill>
              <w14:schemeClr w14:val="tx1"/>
            </w14:solidFill>
          </w14:textFill>
        </w:rPr>
        <w:t>确保粮食安全和重要农产品供给。</w:t>
      </w:r>
      <w:r>
        <w:rPr>
          <w:rFonts w:eastAsia="仿宋_GB2312"/>
          <w:color w:val="000000" w:themeColor="text1"/>
          <w:sz w:val="32"/>
          <w:szCs w:val="32"/>
          <w14:textFill>
            <w14:solidFill>
              <w14:schemeClr w14:val="tx1"/>
            </w14:solidFill>
          </w14:textFill>
        </w:rPr>
        <w:t>牢牢把住粮食安全主动权，粮食生产年年要抓紧，落实最严格的耕地保护制度，建设高标准农田，调动农民种粮积极性，稳定和加强种粮农民补贴，提升收储调控能力，坚持完善最低收购价政策，扩大健全成本和收入保险范围。打造“绿色食品牌”，促进一二三产业融合，确保“米袋子”“菜篮子”重点品种和重要农产品供给总量充足。</w:t>
      </w:r>
      <w:r>
        <w:rPr>
          <w:rFonts w:eastAsia="仿宋_GB2312"/>
          <w:bCs/>
          <w:color w:val="000000" w:themeColor="text1"/>
          <w:sz w:val="32"/>
          <w:szCs w:val="32"/>
          <w14:textFill>
            <w14:solidFill>
              <w14:schemeClr w14:val="tx1"/>
            </w14:solidFill>
          </w14:textFill>
        </w:rPr>
        <w:t>坚持种子端、电商端和设施化、数字化、有机化发展方向，按照“抓有机、创名牌、育龙头、拓市场、建平台、解难题”要求，推动绿色食品迈向价值链高端。升级乡村第一产业，引导扶持高端林药、林菌、林禽、林菜、林花、林下休闲等特色生态农业；拓展乡村第二产业，以特色农产品加工业为方向，加强培育生物制药和花茶酒饮制品加工，引进菌类干菜加工、蔬果罐头加工等；丰富乡村第三产业，以现代乡村服务业为方向，集聚农业节庆与特产博览、民风民俗与特色艺术品等，创响一批“土字号”“乡字号”特色产品品牌。建设高效的农产品现代物流体系，打通工业品下乡，农产品进城的“最后一公里”。</w:t>
      </w:r>
    </w:p>
    <w:p w14:paraId="5E0A7A20">
      <w:pPr>
        <w:topLinePunct/>
        <w:spacing w:line="560" w:lineRule="exact"/>
        <w:ind w:firstLine="643"/>
        <w:rPr>
          <w:rFonts w:eastAsia="仿宋_GB2312"/>
          <w:bCs/>
          <w:color w:val="000000" w:themeColor="text1"/>
          <w:sz w:val="32"/>
          <w:szCs w:val="32"/>
          <w14:textFill>
            <w14:solidFill>
              <w14:schemeClr w14:val="tx1"/>
            </w14:solidFill>
          </w14:textFill>
        </w:rPr>
      </w:pPr>
      <w:r>
        <w:rPr>
          <w:rFonts w:eastAsia="仿宋_GB2312"/>
          <w:b/>
          <w:color w:val="000000" w:themeColor="text1"/>
          <w:sz w:val="32"/>
          <w:szCs w:val="32"/>
          <w14:textFill>
            <w14:solidFill>
              <w14:schemeClr w14:val="tx1"/>
            </w14:solidFill>
          </w14:textFill>
        </w:rPr>
        <w:t>构建都市庄园带动的“一庄一特色、一庄一品牌”的城乡融合发展载体。</w:t>
      </w:r>
      <w:r>
        <w:rPr>
          <w:rFonts w:eastAsia="仿宋_GB2312"/>
          <w:bCs/>
          <w:color w:val="000000" w:themeColor="text1"/>
          <w:sz w:val="32"/>
          <w:szCs w:val="32"/>
          <w14:textFill>
            <w14:solidFill>
              <w14:schemeClr w14:val="tx1"/>
            </w14:solidFill>
          </w14:textFill>
        </w:rPr>
        <w:t>巩固都市农庄经济发展基础，因地制宜开发健康养生等潜能，打造以农业、生态、文化、旅游、养老等产业为主体复合发展的都市庄园，构建“一庄一特色、一庄一品牌”城乡融合发展载体。</w:t>
      </w:r>
    </w:p>
    <w:tbl>
      <w:tblPr>
        <w:tblStyle w:val="43"/>
        <w:tblW w:w="87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7"/>
      </w:tblGrid>
      <w:tr w14:paraId="773072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7" w:type="dxa"/>
          </w:tcPr>
          <w:p w14:paraId="2DFA09B4">
            <w:r>
              <w:rPr>
                <w:rFonts w:eastAsia="黑体"/>
                <w:color w:val="000000" w:themeColor="text1"/>
                <w:spacing w:val="-4"/>
                <w:sz w:val="28"/>
                <w:szCs w:val="28"/>
                <w14:textFill>
                  <w14:solidFill>
                    <w14:schemeClr w14:val="tx1"/>
                  </w14:solidFill>
                </w14:textFill>
              </w:rPr>
              <w:t>专栏14 西山区“十四五”高原特色都市现代农业发展重点配套建设任务</w:t>
            </w:r>
          </w:p>
        </w:tc>
      </w:tr>
      <w:tr w14:paraId="56DFD4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7" w:type="dxa"/>
          </w:tcPr>
          <w:p w14:paraId="7E82A9B1">
            <w:pPr>
              <w:topLinePunct/>
              <w:rPr>
                <w:rFonts w:eastAsia="仿宋_GB2312"/>
                <w:bCs/>
                <w:color w:val="000000" w:themeColor="text1"/>
                <w:sz w:val="24"/>
                <w14:textFill>
                  <w14:solidFill>
                    <w14:schemeClr w14:val="tx1"/>
                  </w14:solidFill>
                </w14:textFill>
              </w:rPr>
            </w:pPr>
            <w:r>
              <w:rPr>
                <w:rFonts w:eastAsia="仿宋_GB2312"/>
                <w:b/>
                <w:color w:val="000000" w:themeColor="text1"/>
                <w:sz w:val="24"/>
                <w14:textFill>
                  <w14:solidFill>
                    <w14:schemeClr w14:val="tx1"/>
                  </w14:solidFill>
                </w14:textFill>
              </w:rPr>
              <w:t>基础设施建设</w:t>
            </w:r>
            <w:r>
              <w:rPr>
                <w:rFonts w:eastAsia="仿宋_GB2312"/>
                <w:bCs/>
                <w:color w:val="000000" w:themeColor="text1"/>
                <w:sz w:val="24"/>
                <w14:textFill>
                  <w14:solidFill>
                    <w14:schemeClr w14:val="tx1"/>
                  </w14:solidFill>
                </w14:textFill>
              </w:rPr>
              <w:t>：</w:t>
            </w:r>
            <w:r>
              <w:rPr>
                <w:rFonts w:eastAsia="仿宋_GB2312"/>
                <w:color w:val="000000" w:themeColor="text1"/>
                <w:kern w:val="0"/>
                <w:sz w:val="24"/>
                <w14:textFill>
                  <w14:solidFill>
                    <w14:schemeClr w14:val="tx1"/>
                  </w14:solidFill>
                </w14:textFill>
              </w:rPr>
              <w:t>高标准农田建设、机耕路建设。</w:t>
            </w:r>
          </w:p>
          <w:p w14:paraId="65052037">
            <w:pPr>
              <w:topLinePunct/>
              <w:rPr>
                <w:rFonts w:eastAsia="仿宋_GB2312"/>
                <w:bCs/>
                <w:color w:val="000000" w:themeColor="text1"/>
                <w:sz w:val="24"/>
                <w14:textFill>
                  <w14:solidFill>
                    <w14:schemeClr w14:val="tx1"/>
                  </w14:solidFill>
                </w14:textFill>
              </w:rPr>
            </w:pPr>
            <w:r>
              <w:rPr>
                <w:rFonts w:eastAsia="仿宋_GB2312"/>
                <w:b/>
                <w:color w:val="000000" w:themeColor="text1"/>
                <w:sz w:val="24"/>
                <w14:textFill>
                  <w14:solidFill>
                    <w14:schemeClr w14:val="tx1"/>
                  </w14:solidFill>
                </w14:textFill>
              </w:rPr>
              <w:t>产业培植</w:t>
            </w:r>
            <w:r>
              <w:rPr>
                <w:rFonts w:eastAsia="仿宋_GB2312"/>
                <w:bCs/>
                <w:color w:val="000000" w:themeColor="text1"/>
                <w:sz w:val="24"/>
                <w14:textFill>
                  <w14:solidFill>
                    <w14:schemeClr w14:val="tx1"/>
                  </w14:solidFill>
                </w14:textFill>
              </w:rPr>
              <w:t>：</w:t>
            </w:r>
            <w:r>
              <w:rPr>
                <w:rFonts w:eastAsia="仿宋_GB2312"/>
                <w:color w:val="000000" w:themeColor="text1"/>
                <w:kern w:val="0"/>
                <w:sz w:val="24"/>
                <w14:textFill>
                  <w14:solidFill>
                    <w14:schemeClr w14:val="tx1"/>
                  </w14:solidFill>
                </w14:textFill>
              </w:rPr>
              <w:t>蔬菜、水果、花卉、生物产业（中药材）、畜牧水产、休闲农业。</w:t>
            </w:r>
          </w:p>
          <w:p w14:paraId="1A8CCC86">
            <w:pPr>
              <w:topLinePunct/>
              <w:rPr>
                <w:rFonts w:eastAsia="仿宋_GB2312"/>
                <w:bCs/>
                <w:color w:val="000000" w:themeColor="text1"/>
                <w:sz w:val="24"/>
                <w14:textFill>
                  <w14:solidFill>
                    <w14:schemeClr w14:val="tx1"/>
                  </w14:solidFill>
                </w14:textFill>
              </w:rPr>
            </w:pPr>
            <w:r>
              <w:rPr>
                <w:rFonts w:eastAsia="仿宋_GB2312"/>
                <w:b/>
                <w:color w:val="000000" w:themeColor="text1"/>
                <w:sz w:val="24"/>
                <w14:textFill>
                  <w14:solidFill>
                    <w14:schemeClr w14:val="tx1"/>
                  </w14:solidFill>
                </w14:textFill>
              </w:rPr>
              <w:t>农业新型经营主体培育</w:t>
            </w:r>
            <w:r>
              <w:rPr>
                <w:rFonts w:eastAsia="仿宋_GB2312"/>
                <w:bCs/>
                <w:color w:val="000000" w:themeColor="text1"/>
                <w:sz w:val="24"/>
                <w14:textFill>
                  <w14:solidFill>
                    <w14:schemeClr w14:val="tx1"/>
                  </w14:solidFill>
                </w14:textFill>
              </w:rPr>
              <w:t>：龙头企业和家庭农场培育。</w:t>
            </w:r>
          </w:p>
          <w:p w14:paraId="4085503A">
            <w:pPr>
              <w:topLinePunct/>
              <w:rPr>
                <w:rFonts w:eastAsia="仿宋_GB2312"/>
                <w:bCs/>
                <w:color w:val="000000" w:themeColor="text1"/>
                <w:sz w:val="24"/>
                <w14:textFill>
                  <w14:solidFill>
                    <w14:schemeClr w14:val="tx1"/>
                  </w14:solidFill>
                </w14:textFill>
              </w:rPr>
            </w:pPr>
            <w:r>
              <w:rPr>
                <w:rFonts w:eastAsia="仿宋_GB2312"/>
                <w:b/>
                <w:color w:val="000000" w:themeColor="text1"/>
                <w:sz w:val="24"/>
                <w14:textFill>
                  <w14:solidFill>
                    <w14:schemeClr w14:val="tx1"/>
                  </w14:solidFill>
                </w14:textFill>
              </w:rPr>
              <w:t>农产品加工及物流</w:t>
            </w:r>
            <w:r>
              <w:rPr>
                <w:rFonts w:eastAsia="仿宋_GB2312"/>
                <w:bCs/>
                <w:color w:val="000000" w:themeColor="text1"/>
                <w:sz w:val="24"/>
                <w14:textFill>
                  <w14:solidFill>
                    <w14:schemeClr w14:val="tx1"/>
                  </w14:solidFill>
                </w14:textFill>
              </w:rPr>
              <w:t>：特色农产品加工、农产品仓储保鲜设施建设。</w:t>
            </w:r>
          </w:p>
          <w:p w14:paraId="445E537D">
            <w:pPr>
              <w:topLinePunct/>
              <w:rPr>
                <w:rFonts w:eastAsia="仿宋_GB2312"/>
                <w:bCs/>
                <w:color w:val="000000" w:themeColor="text1"/>
                <w:sz w:val="24"/>
                <w14:textFill>
                  <w14:solidFill>
                    <w14:schemeClr w14:val="tx1"/>
                  </w14:solidFill>
                </w14:textFill>
              </w:rPr>
            </w:pPr>
            <w:r>
              <w:rPr>
                <w:rFonts w:eastAsia="仿宋_GB2312"/>
                <w:b/>
                <w:color w:val="000000" w:themeColor="text1"/>
                <w:sz w:val="24"/>
                <w14:textFill>
                  <w14:solidFill>
                    <w14:schemeClr w14:val="tx1"/>
                  </w14:solidFill>
                </w14:textFill>
              </w:rPr>
              <w:t>服务体系建设</w:t>
            </w:r>
            <w:r>
              <w:rPr>
                <w:rFonts w:eastAsia="仿宋_GB2312"/>
                <w:bCs/>
                <w:color w:val="000000" w:themeColor="text1"/>
                <w:sz w:val="24"/>
                <w14:textFill>
                  <w14:solidFill>
                    <w14:schemeClr w14:val="tx1"/>
                  </w14:solidFill>
                </w14:textFill>
              </w:rPr>
              <w:t>：农技推广服务体系、农机推广服务体系、重大动物疫病防疫体系、农作物重大病虫害防控体系、农产品品牌建设体系、市场流通服务体系、信息服务体系。</w:t>
            </w:r>
          </w:p>
          <w:p w14:paraId="38186B6E">
            <w:pPr>
              <w:topLinePunct/>
              <w:rPr>
                <w:rFonts w:eastAsia="仿宋_GB2312"/>
                <w:bCs/>
                <w:color w:val="000000" w:themeColor="text1"/>
                <w:sz w:val="24"/>
                <w14:textFill>
                  <w14:solidFill>
                    <w14:schemeClr w14:val="tx1"/>
                  </w14:solidFill>
                </w14:textFill>
              </w:rPr>
            </w:pPr>
            <w:r>
              <w:rPr>
                <w:rFonts w:eastAsia="仿宋_GB2312"/>
                <w:b/>
                <w:color w:val="000000" w:themeColor="text1"/>
                <w:sz w:val="24"/>
                <w14:textFill>
                  <w14:solidFill>
                    <w14:schemeClr w14:val="tx1"/>
                  </w14:solidFill>
                </w14:textFill>
              </w:rPr>
              <w:t>科技支撑体系建设</w:t>
            </w:r>
            <w:r>
              <w:rPr>
                <w:rFonts w:eastAsia="仿宋_GB2312"/>
                <w:bCs/>
                <w:color w:val="000000" w:themeColor="text1"/>
                <w:sz w:val="24"/>
                <w14:textFill>
                  <w14:solidFill>
                    <w14:schemeClr w14:val="tx1"/>
                  </w14:solidFill>
                </w14:textFill>
              </w:rPr>
              <w:t>：科技支撑。</w:t>
            </w:r>
          </w:p>
          <w:p w14:paraId="589C93AE">
            <w:r>
              <w:rPr>
                <w:rFonts w:eastAsia="仿宋_GB2312"/>
                <w:b/>
                <w:color w:val="000000" w:themeColor="text1"/>
                <w:sz w:val="24"/>
                <w14:textFill>
                  <w14:solidFill>
                    <w14:schemeClr w14:val="tx1"/>
                  </w14:solidFill>
                </w14:textFill>
              </w:rPr>
              <w:t>农业环境和生态保护</w:t>
            </w:r>
            <w:r>
              <w:rPr>
                <w:rFonts w:eastAsia="仿宋_GB2312"/>
                <w:bCs/>
                <w:color w:val="000000" w:themeColor="text1"/>
                <w:sz w:val="24"/>
                <w14:textFill>
                  <w14:solidFill>
                    <w14:schemeClr w14:val="tx1"/>
                  </w14:solidFill>
                </w14:textFill>
              </w:rPr>
              <w:t>：农业农村面源污染治理和农村能源建设。</w:t>
            </w:r>
          </w:p>
        </w:tc>
      </w:tr>
    </w:tbl>
    <w:p w14:paraId="7A70AA15">
      <w:pPr>
        <w:topLinePunct/>
        <w:spacing w:line="560" w:lineRule="exact"/>
        <w:ind w:firstLine="640"/>
        <w:outlineLvl w:val="2"/>
        <w:rPr>
          <w:rFonts w:eastAsia="楷体_GB2312"/>
          <w:color w:val="000000" w:themeColor="text1"/>
          <w:sz w:val="32"/>
          <w:szCs w:val="32"/>
          <w14:textFill>
            <w14:solidFill>
              <w14:schemeClr w14:val="tx1"/>
            </w14:solidFill>
          </w14:textFill>
        </w:rPr>
      </w:pPr>
      <w:bookmarkStart w:id="220" w:name="_Toc12463"/>
      <w:bookmarkStart w:id="221" w:name="_Toc9510"/>
      <w:r>
        <w:rPr>
          <w:rFonts w:eastAsia="楷体_GB2312"/>
          <w:color w:val="000000" w:themeColor="text1"/>
          <w:sz w:val="32"/>
          <w:szCs w:val="32"/>
          <w14:textFill>
            <w14:solidFill>
              <w14:schemeClr w14:val="tx1"/>
            </w14:solidFill>
          </w14:textFill>
        </w:rPr>
        <w:t>（三）智慧型军民融合</w:t>
      </w:r>
      <w:bookmarkEnd w:id="220"/>
      <w:r>
        <w:rPr>
          <w:rFonts w:eastAsia="楷体_GB2312"/>
          <w:color w:val="000000" w:themeColor="text1"/>
          <w:sz w:val="32"/>
          <w:szCs w:val="32"/>
          <w14:textFill>
            <w14:solidFill>
              <w14:schemeClr w14:val="tx1"/>
            </w14:solidFill>
          </w14:textFill>
        </w:rPr>
        <w:t>扩能</w:t>
      </w:r>
      <w:bookmarkEnd w:id="221"/>
    </w:p>
    <w:p w14:paraId="4442374D">
      <w:pPr>
        <w:topLinePunct/>
        <w:spacing w:line="580" w:lineRule="exact"/>
        <w:ind w:firstLine="640"/>
        <w:rPr>
          <w:rFonts w:eastAsia="仿宋_GB2312"/>
          <w:bCs/>
          <w:color w:val="000000" w:themeColor="text1"/>
          <w:sz w:val="32"/>
          <w:szCs w:val="32"/>
          <w14:textFill>
            <w14:solidFill>
              <w14:schemeClr w14:val="tx1"/>
            </w14:solidFill>
          </w14:textFill>
        </w:rPr>
      </w:pPr>
      <w:r>
        <w:rPr>
          <w:rFonts w:eastAsia="仿宋_GB2312"/>
          <w:bCs/>
          <w:color w:val="000000" w:themeColor="text1"/>
          <w:sz w:val="32"/>
          <w:szCs w:val="32"/>
          <w14:textFill>
            <w14:solidFill>
              <w14:schemeClr w14:val="tx1"/>
            </w14:solidFill>
          </w14:textFill>
        </w:rPr>
        <w:t>深度融合国家军民融合产业发展政策，充分利用西仪股份、昆明客车、光学仪器制造、磷矿开采加工技术等发展基础，聚焦军民科技协同研发、双向转化，利用军民理论创新应用，实现军民联合共建；利用军民理论双向转化应用，实现新旧动能转换；利用军民科技协同研发，打造创新发展平台；利用军民应用技术孵化，实现综合发展专项提质；结合装备智造、光电精密仪器材料、军民融合服务等产业集聚，注入新要素，打造光电产业结构，推动交通运输和机械加工制造转型升级，</w:t>
      </w:r>
      <w:r>
        <w:rPr>
          <w:rFonts w:eastAsia="仿宋_GB2312"/>
          <w:color w:val="000000" w:themeColor="text1"/>
          <w:sz w:val="32"/>
          <w:szCs w:val="32"/>
          <w14:textFill>
            <w14:solidFill>
              <w14:schemeClr w14:val="tx1"/>
            </w14:solidFill>
          </w14:textFill>
        </w:rPr>
        <w:t>培育新型载体、新型平台、新型业态，驱动存量升级、增量提升。</w:t>
      </w:r>
      <w:r>
        <w:rPr>
          <w:rFonts w:eastAsia="仿宋_GB2312"/>
          <w:bCs/>
          <w:color w:val="000000" w:themeColor="text1"/>
          <w:sz w:val="32"/>
          <w:szCs w:val="32"/>
          <w14:textFill>
            <w14:solidFill>
              <w14:schemeClr w14:val="tx1"/>
            </w14:solidFill>
          </w14:textFill>
        </w:rPr>
        <w:t>完善军民融合产业发展公共服务体系，</w:t>
      </w:r>
      <w:r>
        <w:rPr>
          <w:rFonts w:eastAsia="仿宋_GB2312"/>
          <w:color w:val="000000" w:themeColor="text1"/>
          <w:sz w:val="32"/>
          <w:szCs w:val="32"/>
          <w14:textFill>
            <w14:solidFill>
              <w14:schemeClr w14:val="tx1"/>
            </w14:solidFill>
          </w14:textFill>
        </w:rPr>
        <w:t>搭建军民信息沟通交流机制，完善双拥联席会议制度，培育打造军民融合产业“双创”平台，</w:t>
      </w:r>
      <w:r>
        <w:rPr>
          <w:rFonts w:eastAsia="仿宋_GB2312"/>
          <w:bCs/>
          <w:color w:val="000000" w:themeColor="text1"/>
          <w:sz w:val="32"/>
          <w:szCs w:val="32"/>
          <w14:textFill>
            <w14:solidFill>
              <w14:schemeClr w14:val="tx1"/>
            </w14:solidFill>
          </w14:textFill>
        </w:rPr>
        <w:t>发展科技创新、人才培训等军民融合的三产服务业。注入智慧科创产业发展要素，</w:t>
      </w:r>
      <w:r>
        <w:rPr>
          <w:rFonts w:eastAsia="仿宋_GB2312"/>
          <w:bCs/>
          <w:color w:val="000000" w:themeColor="text1"/>
          <w:spacing w:val="-6"/>
          <w:sz w:val="32"/>
          <w:szCs w:val="32"/>
          <w14:textFill>
            <w14:solidFill>
              <w14:schemeClr w14:val="tx1"/>
            </w14:solidFill>
          </w14:textFill>
        </w:rPr>
        <w:t>构建智慧军工产业体系；推动海口军民融合科技创新孵化基地建设。</w:t>
      </w:r>
      <w:bookmarkStart w:id="222" w:name="_Toc61644793"/>
    </w:p>
    <w:p w14:paraId="2702F66F">
      <w:pPr>
        <w:topLinePunct/>
        <w:spacing w:line="580" w:lineRule="exact"/>
        <w:ind w:firstLine="640"/>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五、加快打造现代服务业活力区</w:t>
      </w:r>
      <w:bookmarkEnd w:id="222"/>
    </w:p>
    <w:p w14:paraId="78574B23">
      <w:pPr>
        <w:topLinePunct/>
        <w:spacing w:line="58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（一）打造5大产业特色片区，引导优质业态聚集融合</w:t>
      </w:r>
    </w:p>
    <w:p w14:paraId="2CF99C4F">
      <w:pPr>
        <w:topLinePunct/>
        <w:spacing w:line="580" w:lineRule="exact"/>
        <w:ind w:firstLine="643"/>
        <w:rPr>
          <w:rFonts w:eastAsia="仿宋_GB2312"/>
          <w:bCs/>
          <w:color w:val="000000" w:themeColor="text1"/>
          <w:sz w:val="32"/>
          <w:szCs w:val="32"/>
          <w14:textFill>
            <w14:solidFill>
              <w14:schemeClr w14:val="tx1"/>
            </w14:solidFill>
          </w14:textFill>
        </w:rPr>
      </w:pPr>
      <w:r>
        <w:rPr>
          <w:rFonts w:eastAsia="仿宋_GB2312"/>
          <w:b/>
          <w:bCs/>
          <w:color w:val="000000" w:themeColor="text1"/>
          <w:sz w:val="32"/>
          <w:szCs w:val="32"/>
          <w14:textFill>
            <w14:solidFill>
              <w14:schemeClr w14:val="tx1"/>
            </w14:solidFill>
          </w14:textFill>
        </w:rPr>
        <w:t>金融科技文化融合发展区：</w:t>
      </w:r>
      <w:r>
        <w:rPr>
          <w:rFonts w:eastAsia="仿宋_GB2312"/>
          <w:bCs/>
          <w:color w:val="000000" w:themeColor="text1"/>
          <w:sz w:val="32"/>
          <w:szCs w:val="32"/>
          <w14:textFill>
            <w14:solidFill>
              <w14:schemeClr w14:val="tx1"/>
            </w14:solidFill>
          </w14:textFill>
        </w:rPr>
        <w:t>依托万达、云纺、螺蛳湾、南亚、云投等商圈，联动发展数字经济、服务贸易、普惠金融、文化创意产业，促进金融科技文化融合发展。</w:t>
      </w:r>
    </w:p>
    <w:p w14:paraId="58A4FA98">
      <w:pPr>
        <w:topLinePunct/>
        <w:spacing w:line="580" w:lineRule="exact"/>
        <w:ind w:firstLine="643"/>
        <w:rPr>
          <w:rFonts w:eastAsia="仿宋_GB2312"/>
          <w:bCs/>
          <w:color w:val="000000" w:themeColor="text1"/>
          <w:sz w:val="32"/>
          <w:szCs w:val="32"/>
          <w14:textFill>
            <w14:solidFill>
              <w14:schemeClr w14:val="tx1"/>
            </w14:solidFill>
          </w14:textFill>
        </w:rPr>
      </w:pPr>
      <w:r>
        <w:rPr>
          <w:rFonts w:eastAsia="仿宋_GB2312"/>
          <w:b/>
          <w:bCs/>
          <w:color w:val="000000" w:themeColor="text1"/>
          <w:sz w:val="32"/>
          <w:szCs w:val="32"/>
          <w14:textFill>
            <w14:solidFill>
              <w14:schemeClr w14:val="tx1"/>
            </w14:solidFill>
          </w14:textFill>
        </w:rPr>
        <w:t>三创与三场融合互动发展区：</w:t>
      </w:r>
      <w:r>
        <w:rPr>
          <w:rFonts w:eastAsia="仿宋_GB2312"/>
          <w:bCs/>
          <w:color w:val="000000" w:themeColor="text1"/>
          <w:sz w:val="32"/>
          <w:szCs w:val="32"/>
          <w14:textFill>
            <w14:solidFill>
              <w14:schemeClr w14:val="tx1"/>
            </w14:solidFill>
          </w14:textFill>
        </w:rPr>
        <w:t>依托云安会都、春雨937文化创意园、融创文旅城、</w:t>
      </w:r>
      <w:r>
        <w:rPr>
          <w:rFonts w:eastAsia="仿宋_GB2312"/>
          <w:color w:val="000000" w:themeColor="text1"/>
          <w:sz w:val="32"/>
          <w:szCs w:val="32"/>
          <w14:textFill>
            <w14:solidFill>
              <w14:schemeClr w14:val="tx1"/>
            </w14:solidFill>
          </w14:textFill>
        </w:rPr>
        <w:t>渝昆高铁昆明西客站综合交通枢纽</w:t>
      </w:r>
      <w:r>
        <w:rPr>
          <w:rFonts w:eastAsia="仿宋_GB2312"/>
          <w:bCs/>
          <w:color w:val="000000" w:themeColor="text1"/>
          <w:sz w:val="32"/>
          <w:szCs w:val="32"/>
          <w14:textFill>
            <w14:solidFill>
              <w14:schemeClr w14:val="tx1"/>
            </w14:solidFill>
          </w14:textFill>
        </w:rPr>
        <w:t>、马街云南医药物流中心、长坡产业新城、明朗绿创风情谷等，促进科创、文创、绿创融合与产品市场、服务市场、要素市场互动发展。</w:t>
      </w:r>
    </w:p>
    <w:p w14:paraId="4A32EF42">
      <w:pPr>
        <w:topLinePunct/>
        <w:spacing w:line="580" w:lineRule="exact"/>
        <w:ind w:firstLine="643"/>
        <w:rPr>
          <w:rFonts w:eastAsia="仿宋_GB2312"/>
          <w:bCs/>
          <w:color w:val="000000" w:themeColor="text1"/>
          <w:sz w:val="32"/>
          <w:szCs w:val="32"/>
          <w14:textFill>
            <w14:solidFill>
              <w14:schemeClr w14:val="tx1"/>
            </w14:solidFill>
          </w14:textFill>
        </w:rPr>
      </w:pPr>
      <w:r>
        <w:rPr>
          <w:rFonts w:eastAsia="仿宋_GB2312"/>
          <w:b/>
          <w:bCs/>
          <w:color w:val="000000" w:themeColor="text1"/>
          <w:sz w:val="32"/>
          <w:szCs w:val="32"/>
          <w14:textFill>
            <w14:solidFill>
              <w14:schemeClr w14:val="tx1"/>
            </w14:solidFill>
          </w14:textFill>
        </w:rPr>
        <w:t>健康绿色旅游融合发展区：</w:t>
      </w:r>
      <w:r>
        <w:rPr>
          <w:rFonts w:eastAsia="仿宋_GB2312"/>
          <w:bCs/>
          <w:color w:val="000000" w:themeColor="text1"/>
          <w:sz w:val="32"/>
          <w:szCs w:val="32"/>
          <w14:textFill>
            <w14:solidFill>
              <w14:schemeClr w14:val="tx1"/>
            </w14:solidFill>
          </w14:textFill>
        </w:rPr>
        <w:t>依托团结自然保护区、森林公园、中国科学院（昆明）动物研究所、打造康养特色小镇与民族风情乡村庄园，联动发展大健康、生态农业、主题旅游产业，促进健康绿色旅游融合发展。</w:t>
      </w:r>
    </w:p>
    <w:p w14:paraId="35883957">
      <w:pPr>
        <w:topLinePunct/>
        <w:spacing w:line="580" w:lineRule="exact"/>
        <w:ind w:firstLine="643"/>
        <w:rPr>
          <w:rFonts w:eastAsia="仿宋_GB2312"/>
          <w:bCs/>
          <w:color w:val="000000" w:themeColor="text1"/>
          <w:sz w:val="32"/>
          <w:szCs w:val="32"/>
          <w14:textFill>
            <w14:solidFill>
              <w14:schemeClr w14:val="tx1"/>
            </w14:solidFill>
          </w14:textFill>
        </w:rPr>
      </w:pPr>
      <w:r>
        <w:rPr>
          <w:rFonts w:eastAsia="仿宋_GB2312"/>
          <w:b/>
          <w:bCs/>
          <w:color w:val="000000" w:themeColor="text1"/>
          <w:sz w:val="32"/>
          <w:szCs w:val="32"/>
          <w14:textFill>
            <w14:solidFill>
              <w14:schemeClr w14:val="tx1"/>
            </w14:solidFill>
          </w14:textFill>
        </w:rPr>
        <w:t>绿色生态文旅融合发展区：</w:t>
      </w:r>
      <w:r>
        <w:rPr>
          <w:rFonts w:eastAsia="仿宋_GB2312"/>
          <w:bCs/>
          <w:color w:val="000000" w:themeColor="text1"/>
          <w:sz w:val="32"/>
          <w:szCs w:val="32"/>
          <w14:textFill>
            <w14:solidFill>
              <w14:schemeClr w14:val="tx1"/>
            </w14:solidFill>
          </w14:textFill>
        </w:rPr>
        <w:t>依托西山风景区的区位优势以及文化底蕴，联动发展大健康、文化创意与主题旅游产业，促进绿色生态文旅融合发展。</w:t>
      </w:r>
    </w:p>
    <w:p w14:paraId="05DAB29B">
      <w:pPr>
        <w:topLinePunct/>
        <w:spacing w:line="560" w:lineRule="exact"/>
        <w:rPr>
          <w:rFonts w:eastAsia="仿宋_GB2312"/>
          <w:bCs/>
          <w:color w:val="000000" w:themeColor="text1"/>
          <w:sz w:val="32"/>
          <w:szCs w:val="32"/>
          <w14:textFill>
            <w14:solidFill>
              <w14:schemeClr w14:val="tx1"/>
            </w14:solidFill>
          </w14:textFill>
        </w:rPr>
      </w:pPr>
      <w:r>
        <w:rPr>
          <w:rFonts w:eastAsia="仿宋_GB2312"/>
          <w:b/>
          <w:bCs/>
          <w:color w:val="000000" w:themeColor="text1"/>
          <w:sz w:val="32"/>
          <w:szCs w:val="32"/>
          <w14:textFill>
            <w14:solidFill>
              <w14:schemeClr w14:val="tx1"/>
            </w14:solidFill>
          </w14:textFill>
        </w:rPr>
        <w:t>工业与信息化融合发展区：</w:t>
      </w:r>
      <w:r>
        <w:rPr>
          <w:rFonts w:eastAsia="仿宋_GB2312"/>
          <w:bCs/>
          <w:color w:val="000000" w:themeColor="text1"/>
          <w:sz w:val="32"/>
          <w:szCs w:val="32"/>
          <w14:textFill>
            <w14:solidFill>
              <w14:schemeClr w14:val="tx1"/>
            </w14:solidFill>
          </w14:textFill>
        </w:rPr>
        <w:t>依托海口资源基础，打造支撑工业大麻在设计研发、订单经济、溯源管控的特殊平台，将数字经济、新型化工、装备智造产业相结合，促进工业与信息化融合发展。</w:t>
      </w:r>
    </w:p>
    <w:p w14:paraId="675ECEB0">
      <w:pPr>
        <w:topLinePunct/>
        <w:spacing w:line="560" w:lineRule="exact"/>
        <w:ind w:firstLine="643"/>
        <w:rPr>
          <w:rFonts w:eastAsia="楷体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drawing>
          <wp:anchor distT="0" distB="0" distL="114300" distR="114300" simplePos="0" relativeHeight="251664384" behindDoc="0" locked="0" layoutInCell="1" allowOverlap="1">
            <wp:simplePos x="0" y="0"/>
            <wp:positionH relativeFrom="column">
              <wp:posOffset>450215</wp:posOffset>
            </wp:positionH>
            <wp:positionV relativeFrom="paragraph">
              <wp:posOffset>264160</wp:posOffset>
            </wp:positionV>
            <wp:extent cx="4137660" cy="3774440"/>
            <wp:effectExtent l="0" t="0" r="15240" b="16510"/>
            <wp:wrapTopAndBottom/>
            <wp:docPr id="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7"/>
                    <pic:cNvPicPr>
                      <a:picLocks noChangeAspect="1"/>
                    </pic:cNvPicPr>
                  </pic:nvPicPr>
                  <pic:blipFill>
                    <a:blip r:embed="rId16" cstate="print"/>
                    <a:stretch>
                      <a:fillRect/>
                    </a:stretch>
                  </pic:blipFill>
                  <pic:spPr>
                    <a:xfrm>
                      <a:off x="0" y="0"/>
                      <a:ext cx="4137660" cy="3774440"/>
                    </a:xfrm>
                    <a:prstGeom prst="rect">
                      <a:avLst/>
                    </a:prstGeom>
                    <a:noFill/>
                    <a:ln>
                      <a:noFill/>
                    </a:ln>
                  </pic:spPr>
                </pic:pic>
              </a:graphicData>
            </a:graphic>
          </wp:anchor>
        </w:drawing>
      </w:r>
      <w:r>
        <w:rPr>
          <w:rFonts w:eastAsia="楷体_GB2312"/>
          <w:color w:val="000000" w:themeColor="text1"/>
          <w:sz w:val="32"/>
          <w:szCs w:val="32"/>
          <w14:textFill>
            <w14:solidFill>
              <w14:schemeClr w14:val="tx1"/>
            </w14:solidFill>
          </w14:textFill>
        </w:rPr>
        <w:t>（二）打造10个活力街道，培育现代服务业竞争优势</w:t>
      </w:r>
    </w:p>
    <w:p w14:paraId="1DC909AD">
      <w:pPr>
        <w:topLinePunct/>
        <w:spacing w:line="560" w:lineRule="exact"/>
        <w:ind w:firstLine="640"/>
        <w:rPr>
          <w:rFonts w:eastAsia="仿宋_GB2312"/>
          <w:bCs/>
          <w:color w:val="000000" w:themeColor="text1"/>
          <w:spacing w:val="-8"/>
          <w:sz w:val="32"/>
          <w:szCs w:val="32"/>
          <w14:textFill>
            <w14:solidFill>
              <w14:schemeClr w14:val="tx1"/>
            </w14:solidFill>
          </w14:textFill>
        </w:rPr>
      </w:pPr>
      <w:r>
        <w:rPr>
          <w:rFonts w:eastAsia="仿宋_GB2312"/>
          <w:bCs/>
          <w:color w:val="000000" w:themeColor="text1"/>
          <w:sz w:val="32"/>
          <w:szCs w:val="32"/>
          <w14:textFill>
            <w14:solidFill>
              <w14:schemeClr w14:val="tx1"/>
            </w14:solidFill>
          </w14:textFill>
        </w:rPr>
        <w:t>聚焦服务业产业转型升级和居民消费升级需要，扩大服务业有效供给，提高服务效率和服务品质。十个街道依据各自的资源禀赋及产业基础，形成特色鲜明的10个活力街道。以高端化、专业化的生产性服务业支撑先</w:t>
      </w:r>
      <w:r>
        <w:rPr>
          <w:rFonts w:eastAsia="仿宋_GB2312"/>
          <w:bCs/>
          <w:color w:val="000000" w:themeColor="text1"/>
          <w:spacing w:val="-8"/>
          <w:sz w:val="32"/>
          <w:szCs w:val="32"/>
          <w14:textFill>
            <w14:solidFill>
              <w14:schemeClr w14:val="tx1"/>
            </w14:solidFill>
          </w14:textFill>
        </w:rPr>
        <w:t>进制造业高质量发展；以品质化、精细化的生活性服务业促进消费结构升级；以城区街道与涉农街道建设持续优化服务业发展格局，积极培育服务业新业态新模式，加快培育现代服务业竞争新优势。</w:t>
      </w:r>
    </w:p>
    <w:tbl>
      <w:tblPr>
        <w:tblStyle w:val="43"/>
        <w:tblW w:w="90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54"/>
      </w:tblGrid>
      <w:tr w14:paraId="14A200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9054" w:type="dxa"/>
            <w:vAlign w:val="bottom"/>
          </w:tcPr>
          <w:p w14:paraId="5031BD37">
            <w:pPr>
              <w:pStyle w:val="3"/>
              <w:spacing w:before="120" w:line="240" w:lineRule="auto"/>
              <w:ind w:firstLine="420"/>
              <w:jc w:val="center"/>
              <w:outlineLvl w:val="1"/>
              <w:rPr>
                <w:rFonts w:ascii="Times New Roman" w:hAnsi="Times New Roman"/>
              </w:rPr>
            </w:pPr>
            <w:r>
              <w:rPr>
                <w:rFonts w:ascii="Times New Roman" w:hAnsi="Times New Roman"/>
                <w:bCs w:val="0"/>
                <w:color w:val="000000" w:themeColor="text1"/>
                <w:sz w:val="28"/>
                <w:szCs w:val="28"/>
                <w14:textFill>
                  <w14:solidFill>
                    <w14:schemeClr w14:val="tx1"/>
                  </w14:solidFill>
                </w14:textFill>
              </w:rPr>
              <w:t>专栏15 突出“一片一主业”，推动服务业升级与特色街道融合发展</w:t>
            </w:r>
          </w:p>
        </w:tc>
      </w:tr>
      <w:tr w14:paraId="0E1B39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54" w:type="dxa"/>
          </w:tcPr>
          <w:p w14:paraId="7B9084F1">
            <w:pPr>
              <w:pStyle w:val="40"/>
              <w:keepLines/>
              <w:topLinePunct/>
              <w:ind w:firstLine="0" w:firstLineChars="0"/>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1.马街街道。</w:t>
            </w:r>
            <w:r>
              <w:rPr>
                <w:rFonts w:eastAsia="仿宋_GB2312"/>
                <w:color w:val="000000" w:themeColor="text1"/>
                <w:sz w:val="24"/>
                <w14:textFill>
                  <w14:solidFill>
                    <w14:schemeClr w14:val="tx1"/>
                  </w14:solidFill>
                </w14:textFill>
              </w:rPr>
              <w:t xml:space="preserve">依托渝昆高铁昆明西客站综合交通枢纽等交通枢纽资源，以第三产业为主、第二产业为辅，重点发展以融创草海文化旅游综合体项目、春雨路沿线项目为代表的商贸物流业、“房地产+”、文化创意和大健康产业，不断丰富美丽健康、休闲旅游新消费场景。 </w:t>
            </w:r>
          </w:p>
          <w:p w14:paraId="427631AA">
            <w:pPr>
              <w:pStyle w:val="40"/>
              <w:keepLines/>
              <w:topLinePunct/>
              <w:ind w:firstLine="0" w:firstLineChars="0"/>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2.金碧街道。</w:t>
            </w:r>
            <w:r>
              <w:rPr>
                <w:rFonts w:eastAsia="仿宋_GB2312"/>
                <w:sz w:val="24"/>
              </w:rPr>
              <w:t>依托金马碧鸡坊等文化资源，</w:t>
            </w:r>
            <w:r>
              <w:rPr>
                <w:rFonts w:eastAsia="仿宋_GB2312"/>
                <w:color w:val="000000" w:themeColor="text1"/>
                <w:sz w:val="24"/>
                <w14:textFill>
                  <w14:solidFill>
                    <w14:schemeClr w14:val="tx1"/>
                  </w14:solidFill>
                </w14:textFill>
              </w:rPr>
              <w:t>充分对接昆明市老城区核心商圈，以第三产业为主，第二产业为辅，以商贸物流业为支撑性产业，重点发展主题旅游、商贸、文化创意、大健康等业态，</w:t>
            </w:r>
            <w:r>
              <w:rPr>
                <w:rFonts w:eastAsia="仿宋_GB2312"/>
                <w:sz w:val="24"/>
              </w:rPr>
              <w:t>打造特色街区，</w:t>
            </w:r>
            <w:r>
              <w:rPr>
                <w:rFonts w:eastAsia="仿宋_GB2312"/>
                <w:color w:val="000000" w:themeColor="text1"/>
                <w:sz w:val="24"/>
                <w14:textFill>
                  <w14:solidFill>
                    <w14:schemeClr w14:val="tx1"/>
                  </w14:solidFill>
                </w14:textFill>
              </w:rPr>
              <w:t>丰富新消费场景。</w:t>
            </w:r>
          </w:p>
          <w:p w14:paraId="7823C3AB">
            <w:pPr>
              <w:topLinePunct/>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3.永昌街道。</w:t>
            </w:r>
            <w:r>
              <w:rPr>
                <w:rFonts w:eastAsia="仿宋_GB2312"/>
                <w:color w:val="000000" w:themeColor="text1"/>
                <w:sz w:val="24"/>
                <w14:textFill>
                  <w14:solidFill>
                    <w14:schemeClr w14:val="tx1"/>
                  </w14:solidFill>
                </w14:textFill>
              </w:rPr>
              <w:t>依托云纺等资源，以第三产业为主，做好商贸物流业、“房地产+”等支撑性产业，打造工业博物馆、</w:t>
            </w:r>
            <w:r>
              <w:rPr>
                <w:rFonts w:eastAsia="仿宋_GB2312"/>
                <w:sz w:val="24"/>
              </w:rPr>
              <w:t>特色街区</w:t>
            </w:r>
            <w:r>
              <w:rPr>
                <w:rFonts w:eastAsia="仿宋_GB2312"/>
                <w:color w:val="000000" w:themeColor="text1"/>
                <w:sz w:val="24"/>
                <w14:textFill>
                  <w14:solidFill>
                    <w14:schemeClr w14:val="tx1"/>
                  </w14:solidFill>
                </w14:textFill>
              </w:rPr>
              <w:t>，加快发展金融结算、文化创意、数字经济、大健康等现代服务业。</w:t>
            </w:r>
          </w:p>
          <w:p w14:paraId="15AD5AF5">
            <w:pPr>
              <w:pStyle w:val="40"/>
              <w:keepLines/>
              <w:topLinePunct/>
              <w:ind w:firstLine="0" w:firstLineChars="0"/>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4.前卫街道。</w:t>
            </w:r>
            <w:r>
              <w:rPr>
                <w:rFonts w:eastAsia="仿宋_GB2312"/>
                <w:bCs/>
                <w:sz w:val="24"/>
              </w:rPr>
              <w:t>依托数字经济聚集优势，</w:t>
            </w:r>
            <w:r>
              <w:rPr>
                <w:rFonts w:eastAsia="仿宋_GB2312"/>
                <w:color w:val="000000" w:themeColor="text1"/>
                <w:sz w:val="24"/>
                <w14:textFill>
                  <w14:solidFill>
                    <w14:schemeClr w14:val="tx1"/>
                  </w14:solidFill>
                </w14:textFill>
              </w:rPr>
              <w:t>以第三产业为主，第二产业为辅，以商贸物流业为支撑性产业，积极融入承接自贸区路径，打造总部高端产业聚集街道，为西山区吸引人流、物流、信息流、资金流。</w:t>
            </w:r>
          </w:p>
          <w:p w14:paraId="4577C20E">
            <w:pPr>
              <w:pStyle w:val="41"/>
              <w:topLinePunct/>
              <w:spacing w:after="0"/>
              <w:ind w:left="0" w:leftChars="0" w:firstLine="0" w:firstLineChars="0"/>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5.福海街道。</w:t>
            </w:r>
            <w:r>
              <w:rPr>
                <w:rFonts w:eastAsia="仿宋_GB2312"/>
                <w:color w:val="000000" w:themeColor="text1"/>
                <w:sz w:val="24"/>
                <w14:textFill>
                  <w14:solidFill>
                    <w14:schemeClr w14:val="tx1"/>
                  </w14:solidFill>
                </w14:textFill>
              </w:rPr>
              <w:t>丰富云南省政治中心服务承载的内涵，不断完善配套服务，以第三产业为主，依托草海丰富的自然资源，重点发展主题旅游、大健康、文化创意、金融结算、“房地产+”等产业，打造“两点两路”的支撑性产业布局。</w:t>
            </w:r>
          </w:p>
          <w:p w14:paraId="43A62D9A">
            <w:pPr>
              <w:pStyle w:val="41"/>
              <w:topLinePunct/>
              <w:spacing w:after="0"/>
              <w:ind w:left="0" w:leftChars="0" w:firstLine="0" w:firstLineChars="0"/>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6.棕树营街道。</w:t>
            </w:r>
            <w:r>
              <w:rPr>
                <w:rFonts w:eastAsia="仿宋_GB2312"/>
                <w:color w:val="000000" w:themeColor="text1"/>
                <w:sz w:val="24"/>
                <w14:textFill>
                  <w14:solidFill>
                    <w14:schemeClr w14:val="tx1"/>
                  </w14:solidFill>
                </w14:textFill>
              </w:rPr>
              <w:t>突出大观公园、大观楼等文化资源作用，以第三产业为主，重点发展房地产、大健康、文化创意、主题旅游等产业，打造西山文化艺术特色街道。</w:t>
            </w:r>
          </w:p>
          <w:p w14:paraId="6C12FD73">
            <w:pPr>
              <w:pStyle w:val="40"/>
              <w:keepLines/>
              <w:topLinePunct/>
              <w:ind w:firstLine="0" w:firstLineChars="0"/>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7.西苑街道。</w:t>
            </w:r>
            <w:r>
              <w:rPr>
                <w:rFonts w:eastAsia="仿宋_GB2312"/>
                <w:color w:val="000000" w:themeColor="text1"/>
                <w:sz w:val="24"/>
                <w14:textFill>
                  <w14:solidFill>
                    <w14:schemeClr w14:val="tx1"/>
                  </w14:solidFill>
                </w14:textFill>
              </w:rPr>
              <w:t>依托医疗资源，优化提升辖区老旧小区配套，打造养老健康街道，以第三产业为主，打造“一核三圈五板块”的支撑性产业布局。</w:t>
            </w:r>
          </w:p>
          <w:p w14:paraId="4B0A778F">
            <w:pPr>
              <w:pStyle w:val="40"/>
              <w:keepLines/>
              <w:topLinePunct/>
              <w:ind w:firstLine="0" w:firstLineChars="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8</w:t>
            </w:r>
            <w:r>
              <w:rPr>
                <w:rFonts w:eastAsia="仿宋_GB2312"/>
                <w:b/>
                <w:color w:val="000000" w:themeColor="text1"/>
                <w:sz w:val="24"/>
                <w14:textFill>
                  <w14:solidFill>
                    <w14:schemeClr w14:val="tx1"/>
                  </w14:solidFill>
                </w14:textFill>
              </w:rPr>
              <w:t>.碧鸡街道。</w:t>
            </w:r>
            <w:r>
              <w:rPr>
                <w:rFonts w:eastAsia="仿宋_GB2312"/>
                <w:color w:val="000000" w:themeColor="text1"/>
                <w:sz w:val="24"/>
                <w14:textFill>
                  <w14:solidFill>
                    <w14:schemeClr w14:val="tx1"/>
                  </w14:solidFill>
                </w14:textFill>
              </w:rPr>
              <w:t>打造碧鸡绿色健康会客厅，依托优美的湖光山色自然资源，以第三产业为主，第二产业为辅，第一产业为补充，重点发展现代服务贸易、大健康服务业、主题旅游产业、都市生态农业。</w:t>
            </w:r>
          </w:p>
          <w:p w14:paraId="66BD95DB">
            <w:pPr>
              <w:pStyle w:val="40"/>
              <w:keepLines/>
              <w:topLinePunct/>
              <w:ind w:firstLine="0" w:firstLineChars="0"/>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9.海口街道。</w:t>
            </w:r>
            <w:r>
              <w:rPr>
                <w:rFonts w:eastAsia="仿宋_GB2312"/>
                <w:bCs/>
                <w:color w:val="000000" w:themeColor="text1"/>
                <w:sz w:val="24"/>
                <w14:textFill>
                  <w14:solidFill>
                    <w14:schemeClr w14:val="tx1"/>
                  </w14:solidFill>
                </w14:textFill>
              </w:rPr>
              <w:t>打造海口健康养生卫星城，</w:t>
            </w:r>
            <w:r>
              <w:rPr>
                <w:rFonts w:eastAsia="仿宋_GB2312"/>
                <w:color w:val="000000" w:themeColor="text1"/>
                <w:sz w:val="24"/>
                <w14:textFill>
                  <w14:solidFill>
                    <w14:schemeClr w14:val="tx1"/>
                  </w14:solidFill>
                </w14:textFill>
              </w:rPr>
              <w:t>推进产城融合，以第二产业为支撑，壮大第三产业，重点培育壮大先进装备制造业，提高先进装备制造业的比重，加快推动传统磷化工转型，加大精细磷化工占比；加快发展以金融、信息、科技、商贸、文化等为重点的现代服务业。</w:t>
            </w:r>
          </w:p>
          <w:p w14:paraId="2F3A09FD">
            <w:pPr>
              <w:pStyle w:val="40"/>
              <w:keepLines/>
              <w:topLinePunct/>
              <w:ind w:firstLine="0" w:firstLineChars="0"/>
            </w:pPr>
            <w:r>
              <w:rPr>
                <w:rFonts w:eastAsia="仿宋_GB2312"/>
                <w:b/>
                <w:color w:val="000000" w:themeColor="text1"/>
                <w:sz w:val="24"/>
                <w14:textFill>
                  <w14:solidFill>
                    <w14:schemeClr w14:val="tx1"/>
                  </w14:solidFill>
                </w14:textFill>
              </w:rPr>
              <w:t>10.团结街道。</w:t>
            </w:r>
            <w:r>
              <w:rPr>
                <w:rFonts w:eastAsia="仿宋_GB2312"/>
                <w:color w:val="000000" w:themeColor="text1"/>
                <w:sz w:val="24"/>
                <w14:textFill>
                  <w14:solidFill>
                    <w14:schemeClr w14:val="tx1"/>
                  </w14:solidFill>
                </w14:textFill>
              </w:rPr>
              <w:t>打造团结民族风情后花园，</w:t>
            </w:r>
            <w:r>
              <w:rPr>
                <w:rFonts w:eastAsia="仿宋_GB2312"/>
                <w:bCs/>
                <w:color w:val="000000" w:themeColor="text1"/>
                <w:sz w:val="24"/>
                <w14:textFill>
                  <w14:solidFill>
                    <w14:schemeClr w14:val="tx1"/>
                  </w14:solidFill>
                </w14:textFill>
              </w:rPr>
              <w:t>做好民族民俗生态文章，以第三产业为主，第二产业为辅，第一产业为补充，以高原特色都市型现代农业为基础，以大健康产业主导，发展养生养老、康体休闲、生态文化旅游、生物医药等产业，实现一二三产业融合发展，打造西山区重要的生态型产业发展基地。</w:t>
            </w:r>
          </w:p>
        </w:tc>
      </w:tr>
    </w:tbl>
    <w:p w14:paraId="3E29D955">
      <w:pPr>
        <w:spacing w:line="560" w:lineRule="exact"/>
        <w:jc w:val="center"/>
        <w:rPr>
          <w:rFonts w:eastAsia="黑体"/>
          <w:sz w:val="32"/>
          <w:szCs w:val="32"/>
        </w:rPr>
      </w:pPr>
      <w:bookmarkStart w:id="223" w:name="_Toc61644794"/>
      <w:r>
        <w:rPr>
          <w:rFonts w:eastAsia="黑体"/>
          <w:sz w:val="32"/>
          <w:szCs w:val="32"/>
        </w:rPr>
        <w:t>第六章 优化协调全域布局，拓展新发展空间</w:t>
      </w:r>
      <w:bookmarkEnd w:id="170"/>
      <w:bookmarkEnd w:id="223"/>
    </w:p>
    <w:p w14:paraId="26CD83E4">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深入实施区域协调发展战略，推动国土空间、产业布局、人口规划和环境容量协调匹配，构建“123456”融合发展空间结构，形成功能互补、协调并进的区域发展格局。</w:t>
      </w:r>
      <w:bookmarkStart w:id="224" w:name="_Toc58923530"/>
      <w:bookmarkStart w:id="225" w:name="_Toc61644795"/>
      <w:bookmarkStart w:id="226" w:name="_Toc1687"/>
      <w:bookmarkStart w:id="227" w:name="_Toc25952"/>
      <w:bookmarkStart w:id="228" w:name="_Toc27120"/>
      <w:bookmarkStart w:id="229" w:name="_Toc18511"/>
      <w:bookmarkStart w:id="230" w:name="_Toc15762"/>
      <w:bookmarkStart w:id="231" w:name="_Toc20955"/>
      <w:bookmarkStart w:id="232" w:name="_Toc30668"/>
      <w:bookmarkStart w:id="233" w:name="_Toc3777"/>
      <w:bookmarkStart w:id="234" w:name="_Toc25769"/>
    </w:p>
    <w:p w14:paraId="373C493F">
      <w:pPr>
        <w:topLinePunct/>
        <w:spacing w:line="580" w:lineRule="exact"/>
        <w:ind w:firstLine="640" w:firstLineChars="200"/>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一、落实“三区三线”，优化国土空间保护开发</w:t>
      </w:r>
      <w:bookmarkEnd w:id="224"/>
      <w:bookmarkEnd w:id="225"/>
    </w:p>
    <w:p w14:paraId="6B2205FE">
      <w:pPr>
        <w:topLinePunct/>
        <w:spacing w:line="580" w:lineRule="exact"/>
        <w:ind w:firstLine="640" w:firstLineChars="200"/>
        <w:contextualSpacing/>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以资源环境承载能力和国土空间开发适宜性“双评价”为基础，高质量完成西山区国土空间总体规划编制，科学有序统筹布局生态、农业、城镇空间，划定并严守生态保护红线、永久基本农田红线、城镇开发边界线。统筹划定各类国土空间规划分区和单元，建立自上而下和自下而上有机结合的空间规划实体体系。加快形成以生态保护红线、环境质量底线、资源利用上线和生态环境准入清单等“三线一单”生态环境分区管控体系为基础的格局。严格保护滇池流域及湿地生态系统、坚决落实耕地保护制度，坚持集约发展，优化城市功能布局与建设用地空间配置，引导人口和产业集聚发展。</w:t>
      </w:r>
    </w:p>
    <w:tbl>
      <w:tblPr>
        <w:tblStyle w:val="42"/>
        <w:tblW w:w="88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73"/>
      </w:tblGrid>
      <w:tr w14:paraId="31F193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73" w:type="dxa"/>
            <w:vAlign w:val="center"/>
          </w:tcPr>
          <w:p w14:paraId="75BB06B2">
            <w:pPr>
              <w:topLinePunct/>
              <w:jc w:val="center"/>
              <w:rPr>
                <w:rFonts w:eastAsia="黑体"/>
                <w:color w:val="000000" w:themeColor="text1"/>
                <w:sz w:val="28"/>
                <w:szCs w:val="28"/>
                <w14:textFill>
                  <w14:solidFill>
                    <w14:schemeClr w14:val="tx1"/>
                  </w14:solidFill>
                </w14:textFill>
              </w:rPr>
            </w:pPr>
            <w:bookmarkStart w:id="235" w:name="_Toc58923531"/>
            <w:r>
              <w:rPr>
                <w:rFonts w:eastAsia="黑体"/>
                <w:bCs/>
                <w:color w:val="000000" w:themeColor="text1"/>
                <w:sz w:val="28"/>
                <w:szCs w:val="28"/>
                <w14:textFill>
                  <w14:solidFill>
                    <w14:schemeClr w14:val="tx1"/>
                  </w14:solidFill>
                </w14:textFill>
              </w:rPr>
              <w:t>专栏16 西山区国土空间功能分区</w:t>
            </w:r>
          </w:p>
        </w:tc>
      </w:tr>
      <w:tr w14:paraId="736AB2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73" w:type="dxa"/>
            <w:vAlign w:val="center"/>
          </w:tcPr>
          <w:p w14:paraId="4E8C09EA">
            <w:pPr>
              <w:topLinePunct/>
              <w:snapToGrid w:val="0"/>
              <w:rPr>
                <w:rFonts w:eastAsia="仿宋_GB2312"/>
                <w:bCs/>
                <w:color w:val="000000" w:themeColor="text1"/>
                <w:sz w:val="24"/>
                <w14:textFill>
                  <w14:solidFill>
                    <w14:schemeClr w14:val="tx1"/>
                  </w14:solidFill>
                </w14:textFill>
              </w:rPr>
            </w:pPr>
            <w:r>
              <w:rPr>
                <w:rFonts w:eastAsia="仿宋_GB2312"/>
                <w:b/>
                <w:color w:val="000000" w:themeColor="text1"/>
                <w:sz w:val="24"/>
                <w14:textFill>
                  <w14:solidFill>
                    <w14:schemeClr w14:val="tx1"/>
                  </w14:solidFill>
                </w14:textFill>
              </w:rPr>
              <w:t>重点生态功能区：</w:t>
            </w:r>
            <w:r>
              <w:rPr>
                <w:rFonts w:eastAsia="仿宋_GB2312"/>
                <w:bCs/>
                <w:color w:val="000000" w:themeColor="text1"/>
                <w:sz w:val="24"/>
                <w14:textFill>
                  <w14:solidFill>
                    <w14:schemeClr w14:val="tx1"/>
                  </w14:solidFill>
                </w14:textFill>
              </w:rPr>
              <w:t>各级各类自然文化资源保护区域，以及其他禁止进行工业化和城镇化开发的、需要特殊保护的区域，西山区重点生态功能区划定为碧鸡、海口、团结。</w:t>
            </w:r>
          </w:p>
          <w:p w14:paraId="3EB2AD97">
            <w:pPr>
              <w:topLinePunct/>
              <w:snapToGrid w:val="0"/>
              <w:rPr>
                <w:rFonts w:eastAsia="仿宋_GB2312"/>
                <w:bCs/>
                <w:color w:val="000000" w:themeColor="text1"/>
                <w:sz w:val="24"/>
                <w14:textFill>
                  <w14:solidFill>
                    <w14:schemeClr w14:val="tx1"/>
                  </w14:solidFill>
                </w14:textFill>
              </w:rPr>
            </w:pPr>
            <w:r>
              <w:rPr>
                <w:rFonts w:eastAsia="仿宋_GB2312"/>
                <w:b/>
                <w:color w:val="000000" w:themeColor="text1"/>
                <w:sz w:val="24"/>
                <w14:textFill>
                  <w14:solidFill>
                    <w14:schemeClr w14:val="tx1"/>
                  </w14:solidFill>
                </w14:textFill>
              </w:rPr>
              <w:t>农产品主产区：</w:t>
            </w:r>
            <w:r>
              <w:rPr>
                <w:rFonts w:eastAsia="仿宋_GB2312"/>
                <w:bCs/>
                <w:color w:val="000000" w:themeColor="text1"/>
                <w:sz w:val="24"/>
                <w14:textFill>
                  <w14:solidFill>
                    <w14:schemeClr w14:val="tx1"/>
                  </w14:solidFill>
                </w14:textFill>
              </w:rPr>
              <w:t>保障农产品供给，不适宜进行大规模、高强度工业化和城镇化开发的区域，西山区农产品主产区划定为碧鸡、团结。</w:t>
            </w:r>
          </w:p>
          <w:p w14:paraId="30230B92">
            <w:pPr>
              <w:topLinePunct/>
              <w:snapToGrid w:val="0"/>
              <w:rPr>
                <w:rFonts w:eastAsia="仿宋_GB2312"/>
                <w:color w:val="000000" w:themeColor="text1"/>
                <w:sz w:val="24"/>
                <w14:textFill>
                  <w14:solidFill>
                    <w14:schemeClr w14:val="tx1"/>
                  </w14:solidFill>
                </w14:textFill>
              </w:rPr>
            </w:pPr>
            <w:r>
              <w:rPr>
                <w:rFonts w:eastAsia="仿宋_GB2312"/>
                <w:b/>
                <w:color w:val="000000" w:themeColor="text1"/>
                <w:sz w:val="24"/>
                <w14:textFill>
                  <w14:solidFill>
                    <w14:schemeClr w14:val="tx1"/>
                  </w14:solidFill>
                </w14:textFill>
              </w:rPr>
              <w:t>城市开发重点区：</w:t>
            </w:r>
            <w:r>
              <w:rPr>
                <w:rFonts w:eastAsia="仿宋_GB2312"/>
                <w:bCs/>
                <w:color w:val="000000" w:themeColor="text1"/>
                <w:sz w:val="24"/>
                <w14:textFill>
                  <w14:solidFill>
                    <w14:schemeClr w14:val="tx1"/>
                  </w14:solidFill>
                </w14:textFill>
              </w:rPr>
              <w:t>有一定经济基础，资源环境承载能力较强，发展潜力较大、聚集人口和经济条件较好、重点进行工业化、城市化开发的区域，西山区城市开发重点区划定为马街、西苑、金碧、福海、永昌、前卫、棕树营。</w:t>
            </w:r>
          </w:p>
        </w:tc>
      </w:tr>
    </w:tbl>
    <w:p w14:paraId="7571454E">
      <w:pPr>
        <w:spacing w:line="580" w:lineRule="exact"/>
        <w:ind w:firstLine="640" w:firstLineChars="200"/>
        <w:rPr>
          <w:rFonts w:eastAsia="黑体"/>
          <w:sz w:val="32"/>
          <w:szCs w:val="32"/>
        </w:rPr>
      </w:pPr>
      <w:bookmarkStart w:id="236" w:name="_Toc61644796"/>
      <w:r>
        <w:rPr>
          <w:rFonts w:eastAsia="黑体"/>
          <w:sz w:val="32"/>
          <w:szCs w:val="32"/>
        </w:rPr>
        <w:t>二、全域布局，构建“123456”融合空间结构</w:t>
      </w:r>
      <w:bookmarkEnd w:id="226"/>
      <w:bookmarkEnd w:id="227"/>
      <w:bookmarkEnd w:id="228"/>
      <w:bookmarkEnd w:id="229"/>
      <w:bookmarkEnd w:id="230"/>
      <w:bookmarkEnd w:id="231"/>
      <w:bookmarkEnd w:id="232"/>
      <w:bookmarkEnd w:id="233"/>
      <w:bookmarkEnd w:id="234"/>
      <w:bookmarkEnd w:id="235"/>
      <w:bookmarkEnd w:id="236"/>
    </w:p>
    <w:p w14:paraId="3B60B2AB">
      <w:pPr>
        <w:topLinePunct/>
        <w:spacing w:line="580" w:lineRule="exact"/>
        <w:ind w:firstLine="643"/>
        <w:rPr>
          <w:rFonts w:eastAsia="仿宋_GB2312"/>
          <w:color w:val="000000" w:themeColor="text1"/>
          <w:sz w:val="32"/>
          <w:szCs w:val="32"/>
          <w14:textFill>
            <w14:solidFill>
              <w14:schemeClr w14:val="tx1"/>
            </w14:solidFill>
          </w14:textFill>
        </w:rPr>
      </w:pPr>
      <w:r>
        <w:rPr>
          <w:rFonts w:eastAsia="仿宋_GB2312"/>
          <w:b/>
          <w:bCs/>
          <w:color w:val="000000" w:themeColor="text1"/>
          <w:sz w:val="32"/>
          <w:szCs w:val="32"/>
          <w14:textFill>
            <w14:solidFill>
              <w14:schemeClr w14:val="tx1"/>
            </w14:solidFill>
          </w14:textFill>
        </w:rPr>
        <w:t>构建“一核驱动、双轴传导、两翼辐射、三带示范、四区统筹、五极增长、六组团发展”的城乡融合发展新格局。</w:t>
      </w:r>
      <w:r>
        <w:rPr>
          <w:rFonts w:eastAsia="仿宋_GB2312"/>
          <w:bCs/>
          <w:color w:val="000000" w:themeColor="text1"/>
          <w:sz w:val="32"/>
          <w:szCs w:val="32"/>
          <w14:textFill>
            <w14:solidFill>
              <w14:schemeClr w14:val="tx1"/>
            </w14:solidFill>
          </w14:textFill>
        </w:rPr>
        <w:t>依托“123456”的空间格局，三元联动、四层结构推动全域发展。促进城市、城镇、乡村三元体系联动，串联城区、园区、景区、农区，带动都市经济、县域经济、镇域经济、乡村经济四层结构融合发展。</w:t>
      </w:r>
    </w:p>
    <w:tbl>
      <w:tblPr>
        <w:tblStyle w:val="42"/>
        <w:tblW w:w="88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73"/>
      </w:tblGrid>
      <w:tr w14:paraId="69DDDA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73" w:type="dxa"/>
          </w:tcPr>
          <w:p w14:paraId="259BC31C">
            <w:pPr>
              <w:topLinePunct/>
              <w:jc w:val="center"/>
              <w:rPr>
                <w:rFonts w:eastAsia="仿宋_GB2312"/>
                <w:color w:val="000000" w:themeColor="text1"/>
                <w:sz w:val="28"/>
                <w:szCs w:val="28"/>
                <w14:textFill>
                  <w14:solidFill>
                    <w14:schemeClr w14:val="tx1"/>
                  </w14:solidFill>
                </w14:textFill>
              </w:rPr>
            </w:pPr>
            <w:bookmarkStart w:id="237" w:name="_Toc27367"/>
            <w:bookmarkStart w:id="238" w:name="_Toc15328"/>
            <w:bookmarkStart w:id="239" w:name="_Toc6677"/>
            <w:bookmarkStart w:id="240" w:name="_Toc18877"/>
            <w:bookmarkStart w:id="241" w:name="_Toc11326"/>
            <w:bookmarkStart w:id="242" w:name="_Toc4930"/>
            <w:bookmarkStart w:id="243" w:name="_Toc27745"/>
            <w:bookmarkStart w:id="244" w:name="_Toc28356"/>
            <w:bookmarkStart w:id="245" w:name="_Toc29783"/>
            <w:r>
              <w:rPr>
                <w:rFonts w:eastAsia="黑体"/>
                <w:color w:val="000000" w:themeColor="text1"/>
                <w:sz w:val="28"/>
                <w:szCs w:val="28"/>
                <w14:textFill>
                  <w14:solidFill>
                    <w14:schemeClr w14:val="tx1"/>
                  </w14:solidFill>
                </w14:textFill>
              </w:rPr>
              <w:t>专栏17 西山区空间战略</w:t>
            </w:r>
          </w:p>
        </w:tc>
      </w:tr>
      <w:tr w14:paraId="7F2EFF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73" w:type="dxa"/>
          </w:tcPr>
          <w:p w14:paraId="7AF3DEAD">
            <w:pPr>
              <w:topLinePunct/>
              <w:snapToGrid w:val="0"/>
              <w:rPr>
                <w:rFonts w:eastAsia="仿宋_GB2312"/>
                <w:bCs/>
                <w:color w:val="000000" w:themeColor="text1"/>
                <w:sz w:val="24"/>
                <w14:textFill>
                  <w14:solidFill>
                    <w14:schemeClr w14:val="tx1"/>
                  </w14:solidFill>
                </w14:textFill>
              </w:rPr>
            </w:pPr>
            <w:r>
              <w:rPr>
                <w:rFonts w:eastAsia="仿宋_GB2312"/>
                <w:b/>
                <w:color w:val="000000" w:themeColor="text1"/>
                <w:sz w:val="24"/>
                <w14:textFill>
                  <w14:solidFill>
                    <w14:schemeClr w14:val="tx1"/>
                  </w14:solidFill>
                </w14:textFill>
              </w:rPr>
              <w:t>一核：</w:t>
            </w:r>
            <w:r>
              <w:rPr>
                <w:rFonts w:eastAsia="仿宋_GB2312"/>
                <w:bCs/>
                <w:color w:val="000000" w:themeColor="text1"/>
                <w:sz w:val="24"/>
                <w14:textFill>
                  <w14:solidFill>
                    <w14:schemeClr w14:val="tx1"/>
                  </w14:solidFill>
                </w14:textFill>
              </w:rPr>
              <w:t>区域性国际中心城市活力主城核心区。</w:t>
            </w:r>
          </w:p>
          <w:p w14:paraId="21DE4AFD">
            <w:pPr>
              <w:topLinePunct/>
              <w:snapToGrid w:val="0"/>
              <w:rPr>
                <w:rFonts w:eastAsia="仿宋_GB2312"/>
                <w:bCs/>
                <w:color w:val="000000" w:themeColor="text1"/>
                <w:sz w:val="24"/>
                <w14:textFill>
                  <w14:solidFill>
                    <w14:schemeClr w14:val="tx1"/>
                  </w14:solidFill>
                </w14:textFill>
              </w:rPr>
            </w:pPr>
            <w:r>
              <w:rPr>
                <w:rFonts w:eastAsia="仿宋_GB2312"/>
                <w:b/>
                <w:color w:val="000000" w:themeColor="text1"/>
                <w:sz w:val="24"/>
                <w14:textFill>
                  <w14:solidFill>
                    <w14:schemeClr w14:val="tx1"/>
                  </w14:solidFill>
                </w14:textFill>
              </w:rPr>
              <w:t>双轴：</w:t>
            </w:r>
            <w:r>
              <w:rPr>
                <w:rFonts w:eastAsia="仿宋_GB2312"/>
                <w:bCs/>
                <w:color w:val="000000" w:themeColor="text1"/>
                <w:sz w:val="24"/>
                <w14:textFill>
                  <w14:solidFill>
                    <w14:schemeClr w14:val="tx1"/>
                  </w14:solidFill>
                </w14:textFill>
              </w:rPr>
              <w:t>沿前兴路的数字与结算引领服务贸易发展轴和春雨路沿线科创文创绿创融合发展轴。</w:t>
            </w:r>
          </w:p>
          <w:p w14:paraId="031D2CDC">
            <w:pPr>
              <w:topLinePunct/>
              <w:snapToGrid w:val="0"/>
              <w:rPr>
                <w:rFonts w:eastAsia="仿宋_GB2312"/>
                <w:bCs/>
                <w:color w:val="000000" w:themeColor="text1"/>
                <w:sz w:val="24"/>
                <w14:textFill>
                  <w14:solidFill>
                    <w14:schemeClr w14:val="tx1"/>
                  </w14:solidFill>
                </w14:textFill>
              </w:rPr>
            </w:pPr>
            <w:r>
              <w:rPr>
                <w:rFonts w:eastAsia="仿宋_GB2312"/>
                <w:b/>
                <w:color w:val="000000" w:themeColor="text1"/>
                <w:sz w:val="24"/>
                <w14:textFill>
                  <w14:solidFill>
                    <w14:schemeClr w14:val="tx1"/>
                  </w14:solidFill>
                </w14:textFill>
              </w:rPr>
              <w:t>两翼：</w:t>
            </w:r>
            <w:r>
              <w:rPr>
                <w:rFonts w:eastAsia="仿宋_GB2312"/>
                <w:bCs/>
                <w:color w:val="000000" w:themeColor="text1"/>
                <w:sz w:val="24"/>
                <w14:textFill>
                  <w14:solidFill>
                    <w14:schemeClr w14:val="tx1"/>
                  </w14:solidFill>
                </w14:textFill>
              </w:rPr>
              <w:t>向西南的碧鸡海口翼和向西北的团结翼。</w:t>
            </w:r>
          </w:p>
          <w:p w14:paraId="61B337E1">
            <w:pPr>
              <w:topLinePunct/>
              <w:snapToGrid w:val="0"/>
              <w:rPr>
                <w:rFonts w:eastAsia="仿宋_GB2312"/>
                <w:bCs/>
                <w:color w:val="000000" w:themeColor="text1"/>
                <w:sz w:val="24"/>
                <w14:textFill>
                  <w14:solidFill>
                    <w14:schemeClr w14:val="tx1"/>
                  </w14:solidFill>
                </w14:textFill>
              </w:rPr>
            </w:pPr>
            <w:r>
              <w:rPr>
                <w:rFonts w:eastAsia="仿宋_GB2312"/>
                <w:b/>
                <w:color w:val="000000" w:themeColor="text1"/>
                <w:sz w:val="24"/>
                <w14:textFill>
                  <w14:solidFill>
                    <w14:schemeClr w14:val="tx1"/>
                  </w14:solidFill>
                </w14:textFill>
              </w:rPr>
              <w:t>三带：</w:t>
            </w:r>
            <w:r>
              <w:rPr>
                <w:rFonts w:eastAsia="仿宋_GB2312"/>
                <w:bCs/>
                <w:color w:val="000000" w:themeColor="text1"/>
                <w:sz w:val="24"/>
                <w14:textFill>
                  <w14:solidFill>
                    <w14:schemeClr w14:val="tx1"/>
                  </w14:solidFill>
                </w14:textFill>
              </w:rPr>
              <w:t>沿滇新经济新生活体验带、生态康旅特色小镇体验带、特色民族风情乡村体验带。</w:t>
            </w:r>
          </w:p>
          <w:p w14:paraId="00DF50C1">
            <w:pPr>
              <w:topLinePunct/>
              <w:snapToGrid w:val="0"/>
              <w:rPr>
                <w:rFonts w:eastAsia="仿宋_GB2312"/>
                <w:b/>
                <w:color w:val="000000" w:themeColor="text1"/>
                <w:sz w:val="24"/>
                <w14:textFill>
                  <w14:solidFill>
                    <w14:schemeClr w14:val="tx1"/>
                  </w14:solidFill>
                </w14:textFill>
              </w:rPr>
            </w:pPr>
            <w:r>
              <w:rPr>
                <w:rFonts w:eastAsia="仿宋_GB2312"/>
                <w:b/>
                <w:color w:val="000000" w:themeColor="text1"/>
                <w:sz w:val="24"/>
                <w14:textFill>
                  <w14:solidFill>
                    <w14:schemeClr w14:val="tx1"/>
                  </w14:solidFill>
                </w14:textFill>
              </w:rPr>
              <w:t>四区：</w:t>
            </w:r>
            <w:r>
              <w:rPr>
                <w:rFonts w:eastAsia="仿宋_GB2312"/>
                <w:bCs/>
                <w:color w:val="000000" w:themeColor="text1"/>
                <w:sz w:val="24"/>
                <w14:textFill>
                  <w14:solidFill>
                    <w14:schemeClr w14:val="tx1"/>
                  </w14:solidFill>
                </w14:textFill>
              </w:rPr>
              <w:t>城区、园区、景区、农区。</w:t>
            </w:r>
          </w:p>
          <w:p w14:paraId="164A036E">
            <w:pPr>
              <w:topLinePunct/>
              <w:snapToGrid w:val="0"/>
              <w:rPr>
                <w:rFonts w:eastAsia="仿宋_GB2312"/>
                <w:b/>
                <w:color w:val="000000" w:themeColor="text1"/>
                <w:sz w:val="24"/>
                <w14:textFill>
                  <w14:solidFill>
                    <w14:schemeClr w14:val="tx1"/>
                  </w14:solidFill>
                </w14:textFill>
              </w:rPr>
            </w:pPr>
            <w:r>
              <w:rPr>
                <w:rFonts w:eastAsia="仿宋_GB2312"/>
                <w:b/>
                <w:color w:val="000000" w:themeColor="text1"/>
                <w:sz w:val="24"/>
                <w14:textFill>
                  <w14:solidFill>
                    <w14:schemeClr w14:val="tx1"/>
                  </w14:solidFill>
                </w14:textFill>
              </w:rPr>
              <w:t>五极：</w:t>
            </w:r>
            <w:r>
              <w:rPr>
                <w:rFonts w:eastAsia="仿宋_GB2312"/>
                <w:bCs/>
                <w:color w:val="000000" w:themeColor="text1"/>
                <w:sz w:val="24"/>
                <w14:textFill>
                  <w14:solidFill>
                    <w14:schemeClr w14:val="tx1"/>
                  </w14:solidFill>
                </w14:textFill>
              </w:rPr>
              <w:t>大健康增长极、绿色经济增长极、服务贸易增长极、数字经济增长极、金融结算增长极。</w:t>
            </w:r>
          </w:p>
          <w:p w14:paraId="2E04BCFB">
            <w:pPr>
              <w:topLinePunct/>
              <w:snapToGrid w:val="0"/>
              <w:rPr>
                <w:rFonts w:eastAsia="仿宋_GB2312"/>
                <w:color w:val="000000" w:themeColor="text1"/>
                <w:sz w:val="24"/>
                <w14:textFill>
                  <w14:solidFill>
                    <w14:schemeClr w14:val="tx1"/>
                  </w14:solidFill>
                </w14:textFill>
              </w:rPr>
            </w:pPr>
            <w:r>
              <w:rPr>
                <w:rFonts w:eastAsia="仿宋_GB2312"/>
                <w:b/>
                <w:color w:val="000000" w:themeColor="text1"/>
                <w:sz w:val="24"/>
                <w14:textFill>
                  <w14:solidFill>
                    <w14:schemeClr w14:val="tx1"/>
                  </w14:solidFill>
                </w14:textFill>
              </w:rPr>
              <w:t>六组团：</w:t>
            </w:r>
            <w:r>
              <w:rPr>
                <w:rFonts w:eastAsia="仿宋_GB2312"/>
                <w:bCs/>
                <w:color w:val="000000" w:themeColor="text1"/>
                <w:sz w:val="24"/>
                <w14:textFill>
                  <w14:solidFill>
                    <w14:schemeClr w14:val="tx1"/>
                  </w14:solidFill>
                </w14:textFill>
              </w:rPr>
              <w:t>主城核心区组团、会客厅组团、西门户组团、卫星城组团、风情镇组团、后花园组团，六个产城融合组团。</w:t>
            </w:r>
          </w:p>
        </w:tc>
      </w:tr>
    </w:tbl>
    <w:p w14:paraId="3F259CFF">
      <w:pPr>
        <w:topLinePunct/>
        <w:snapToGrid w:val="0"/>
        <w:jc w:val="left"/>
        <w:rPr>
          <w:rFonts w:eastAsia="仿宋_GB2312"/>
          <w:b/>
          <w:color w:val="000000" w:themeColor="text1"/>
          <w:sz w:val="24"/>
          <w14:textFill>
            <w14:solidFill>
              <w14:schemeClr w14:val="tx1"/>
            </w14:solidFill>
          </w14:textFill>
        </w:rPr>
      </w:pPr>
    </w:p>
    <w:p w14:paraId="2F92D917">
      <w:pPr>
        <w:topLinePunct/>
        <w:spacing w:line="560" w:lineRule="exact"/>
        <w:ind w:firstLine="640"/>
        <w:rPr>
          <w:rFonts w:eastAsia="仿宋_GB2312"/>
          <w:bCs/>
          <w:color w:val="000000" w:themeColor="text1"/>
          <w:szCs w:val="32"/>
          <w14:textFill>
            <w14:solidFill>
              <w14:schemeClr w14:val="tx1"/>
            </w14:solidFill>
          </w14:textFill>
        </w:rPr>
      </w:pPr>
    </w:p>
    <w:p w14:paraId="72C5E2B5">
      <w:pPr>
        <w:topLinePunct/>
        <w:spacing w:line="560" w:lineRule="exact"/>
        <w:ind w:firstLine="640"/>
        <w:rPr>
          <w:rFonts w:eastAsia="仿宋_GB2312"/>
          <w:bCs/>
          <w:color w:val="000000" w:themeColor="text1"/>
          <w:szCs w:val="32"/>
          <w14:textFill>
            <w14:solidFill>
              <w14:schemeClr w14:val="tx1"/>
            </w14:solidFill>
          </w14:textFill>
        </w:rPr>
      </w:pPr>
    </w:p>
    <w:p w14:paraId="42CD04A1">
      <w:pPr>
        <w:topLinePunct/>
        <w:spacing w:line="560" w:lineRule="exact"/>
        <w:ind w:firstLine="640"/>
        <w:rPr>
          <w:rFonts w:eastAsia="仿宋_GB2312"/>
          <w:bCs/>
          <w:color w:val="000000" w:themeColor="text1"/>
          <w:szCs w:val="32"/>
          <w14:textFill>
            <w14:solidFill>
              <w14:schemeClr w14:val="tx1"/>
            </w14:solidFill>
          </w14:textFill>
        </w:rPr>
      </w:pPr>
    </w:p>
    <w:p w14:paraId="707EF0CE">
      <w:pPr>
        <w:topLinePunct/>
        <w:spacing w:line="560" w:lineRule="exact"/>
        <w:ind w:firstLine="640"/>
        <w:rPr>
          <w:rFonts w:eastAsia="仿宋_GB2312"/>
          <w:bCs/>
          <w:color w:val="000000" w:themeColor="text1"/>
          <w:szCs w:val="32"/>
          <w14:textFill>
            <w14:solidFill>
              <w14:schemeClr w14:val="tx1"/>
            </w14:solidFill>
          </w14:textFill>
        </w:rPr>
      </w:pPr>
    </w:p>
    <w:p w14:paraId="5665421F">
      <w:pPr>
        <w:topLinePunct/>
        <w:spacing w:line="560" w:lineRule="exact"/>
        <w:ind w:firstLine="640"/>
        <w:rPr>
          <w:rFonts w:eastAsia="仿宋_GB2312"/>
          <w:bCs/>
          <w:color w:val="000000" w:themeColor="text1"/>
          <w:szCs w:val="32"/>
          <w14:textFill>
            <w14:solidFill>
              <w14:schemeClr w14:val="tx1"/>
            </w14:solidFill>
          </w14:textFill>
        </w:rPr>
      </w:pPr>
    </w:p>
    <w:p w14:paraId="11423276">
      <w:pPr>
        <w:tabs>
          <w:tab w:val="left" w:pos="5920"/>
        </w:tabs>
        <w:topLinePunct/>
        <w:spacing w:line="560" w:lineRule="exact"/>
        <w:ind w:firstLine="640"/>
        <w:rPr>
          <w:rFonts w:eastAsia="仿宋_GB2312"/>
          <w:bCs/>
          <w:color w:val="000000" w:themeColor="text1"/>
          <w:szCs w:val="32"/>
          <w14:textFill>
            <w14:solidFill>
              <w14:schemeClr w14:val="tx1"/>
            </w14:solidFill>
          </w14:textFill>
        </w:rPr>
      </w:pPr>
      <w:r>
        <w:rPr>
          <w:rFonts w:eastAsia="仿宋_GB2312"/>
          <w:bCs/>
          <w:color w:val="000000" w:themeColor="text1"/>
          <w:szCs w:val="32"/>
          <w14:textFill>
            <w14:solidFill>
              <w14:schemeClr w14:val="tx1"/>
            </w14:solidFill>
          </w14:textFill>
        </w:rPr>
        <w:tab/>
      </w:r>
    </w:p>
    <w:p w14:paraId="79DBAC2E">
      <w:pPr>
        <w:topLinePunct/>
        <w:spacing w:line="560" w:lineRule="exact"/>
        <w:ind w:firstLine="640"/>
        <w:rPr>
          <w:rFonts w:eastAsia="仿宋_GB2312"/>
          <w:bCs/>
          <w:color w:val="000000" w:themeColor="text1"/>
          <w:szCs w:val="32"/>
          <w14:textFill>
            <w14:solidFill>
              <w14:schemeClr w14:val="tx1"/>
            </w14:solidFill>
          </w14:textFill>
        </w:rPr>
      </w:pPr>
    </w:p>
    <w:p w14:paraId="1DC0B24C">
      <w:pPr>
        <w:topLinePunct/>
        <w:spacing w:line="560" w:lineRule="exact"/>
        <w:ind w:firstLine="640"/>
        <w:rPr>
          <w:rFonts w:eastAsia="仿宋_GB2312"/>
          <w:bCs/>
          <w:color w:val="000000" w:themeColor="text1"/>
          <w:szCs w:val="32"/>
          <w14:textFill>
            <w14:solidFill>
              <w14:schemeClr w14:val="tx1"/>
            </w14:solidFill>
          </w14:textFill>
        </w:rPr>
      </w:pPr>
    </w:p>
    <w:p w14:paraId="4996CE66">
      <w:pPr>
        <w:topLinePunct/>
        <w:spacing w:line="560" w:lineRule="exact"/>
        <w:ind w:firstLine="640"/>
        <w:rPr>
          <w:rFonts w:eastAsia="仿宋_GB2312"/>
          <w:bCs/>
          <w:color w:val="000000" w:themeColor="text1"/>
          <w:szCs w:val="32"/>
          <w14:textFill>
            <w14:solidFill>
              <w14:schemeClr w14:val="tx1"/>
            </w14:solidFill>
          </w14:textFill>
        </w:rPr>
      </w:pPr>
    </w:p>
    <w:p w14:paraId="7F89CE6E">
      <w:pPr>
        <w:topLinePunct/>
        <w:spacing w:line="560" w:lineRule="exact"/>
        <w:ind w:firstLine="640"/>
        <w:rPr>
          <w:rFonts w:eastAsia="仿宋_GB2312"/>
          <w:bCs/>
          <w:color w:val="000000" w:themeColor="text1"/>
          <w:szCs w:val="32"/>
          <w14:textFill>
            <w14:solidFill>
              <w14:schemeClr w14:val="tx1"/>
            </w14:solidFill>
          </w14:textFill>
        </w:rPr>
      </w:pPr>
      <w:r>
        <w:rPr>
          <w:rFonts w:eastAsia="仿宋_GB2312"/>
          <w:bCs/>
          <w:color w:val="000000" w:themeColor="text1"/>
          <w:szCs w:val="32"/>
          <w14:textFill>
            <w14:solidFill>
              <w14:schemeClr w14:val="tx1"/>
            </w14:solidFill>
          </w14:textFill>
        </w:rPr>
        <w:drawing>
          <wp:anchor distT="0" distB="0" distL="114300" distR="114300" simplePos="0" relativeHeight="251660288" behindDoc="0" locked="0" layoutInCell="1" allowOverlap="1">
            <wp:simplePos x="0" y="0"/>
            <wp:positionH relativeFrom="column">
              <wp:posOffset>-166370</wp:posOffset>
            </wp:positionH>
            <wp:positionV relativeFrom="paragraph">
              <wp:posOffset>264160</wp:posOffset>
            </wp:positionV>
            <wp:extent cx="6011545" cy="7804150"/>
            <wp:effectExtent l="0" t="0" r="8255" b="6350"/>
            <wp:wrapSquare wrapText="bothSides"/>
            <wp:docPr id="4" name="图片 4" descr="C:\Users\Administrator\Desktop\西山纲要修改\p58.pngp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istrator\Desktop\西山纲要修改\p58.pngp58"/>
                    <pic:cNvPicPr>
                      <a:picLocks noChangeAspect="1"/>
                    </pic:cNvPicPr>
                  </pic:nvPicPr>
                  <pic:blipFill>
                    <a:blip r:embed="rId17"/>
                    <a:srcRect/>
                    <a:stretch>
                      <a:fillRect/>
                    </a:stretch>
                  </pic:blipFill>
                  <pic:spPr>
                    <a:xfrm>
                      <a:off x="0" y="0"/>
                      <a:ext cx="6011545" cy="7804150"/>
                    </a:xfrm>
                    <a:prstGeom prst="rect">
                      <a:avLst/>
                    </a:prstGeom>
                  </pic:spPr>
                </pic:pic>
              </a:graphicData>
            </a:graphic>
          </wp:anchor>
        </w:drawing>
      </w:r>
    </w:p>
    <w:bookmarkEnd w:id="237"/>
    <w:bookmarkEnd w:id="238"/>
    <w:bookmarkEnd w:id="239"/>
    <w:bookmarkEnd w:id="240"/>
    <w:bookmarkEnd w:id="241"/>
    <w:bookmarkEnd w:id="242"/>
    <w:bookmarkEnd w:id="243"/>
    <w:bookmarkEnd w:id="244"/>
    <w:bookmarkEnd w:id="245"/>
    <w:p w14:paraId="58BFDAEC">
      <w:pPr>
        <w:spacing w:line="560" w:lineRule="exact"/>
        <w:ind w:firstLine="640" w:firstLineChars="200"/>
        <w:rPr>
          <w:rFonts w:eastAsia="黑体"/>
          <w:sz w:val="32"/>
          <w:szCs w:val="32"/>
        </w:rPr>
      </w:pPr>
      <w:bookmarkStart w:id="246" w:name="_Toc61644797"/>
      <w:r>
        <w:rPr>
          <w:rFonts w:eastAsia="黑体"/>
          <w:sz w:val="32"/>
          <w:szCs w:val="32"/>
        </w:rPr>
        <w:t>三、一核驱动，推动都市经济更具活力发展</w:t>
      </w:r>
      <w:bookmarkEnd w:id="246"/>
    </w:p>
    <w:p w14:paraId="1A9CF9B9">
      <w:pPr>
        <w:spacing w:line="560" w:lineRule="exact"/>
        <w:ind w:firstLine="640" w:firstLineChars="200"/>
        <w:rPr>
          <w:rFonts w:eastAsia="仿宋_GB2312"/>
          <w:bCs/>
          <w:color w:val="000000" w:themeColor="text1"/>
          <w:spacing w:val="-6"/>
          <w:sz w:val="32"/>
          <w:szCs w:val="32"/>
          <w14:textFill>
            <w14:solidFill>
              <w14:schemeClr w14:val="tx1"/>
            </w14:solidFill>
          </w14:textFill>
        </w:rPr>
      </w:pPr>
      <w:r>
        <w:rPr>
          <w:rFonts w:eastAsia="仿宋_GB2312"/>
          <w:bCs/>
          <w:color w:val="000000" w:themeColor="text1"/>
          <w:sz w:val="32"/>
          <w:szCs w:val="32"/>
          <w14:textFill>
            <w14:solidFill>
              <w14:schemeClr w14:val="tx1"/>
            </w14:solidFill>
          </w14:textFill>
        </w:rPr>
        <w:drawing>
          <wp:anchor distT="0" distB="0" distL="114300" distR="114300" simplePos="0" relativeHeight="251661312" behindDoc="1" locked="0" layoutInCell="1" allowOverlap="1">
            <wp:simplePos x="0" y="0"/>
            <wp:positionH relativeFrom="column">
              <wp:posOffset>1581785</wp:posOffset>
            </wp:positionH>
            <wp:positionV relativeFrom="paragraph">
              <wp:posOffset>3073400</wp:posOffset>
            </wp:positionV>
            <wp:extent cx="3837305" cy="3847465"/>
            <wp:effectExtent l="0" t="0" r="10795" b="635"/>
            <wp:wrapSquare wrapText="bothSides"/>
            <wp:docPr id="9" name="图片 11" descr="C:\Users\Administrator\Desktop\西山纲要修改\p59.pngp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1" descr="C:\Users\Administrator\Desktop\西山纲要修改\p59.pngp59"/>
                    <pic:cNvPicPr>
                      <a:picLocks noChangeAspect="1" noChangeArrowheads="1"/>
                    </pic:cNvPicPr>
                  </pic:nvPicPr>
                  <pic:blipFill>
                    <a:blip r:embed="rId18"/>
                    <a:srcRect/>
                    <a:stretch>
                      <a:fillRect/>
                    </a:stretch>
                  </pic:blipFill>
                  <pic:spPr>
                    <a:xfrm>
                      <a:off x="0" y="0"/>
                      <a:ext cx="3837305" cy="3847465"/>
                    </a:xfrm>
                    <a:prstGeom prst="rect">
                      <a:avLst/>
                    </a:prstGeom>
                    <a:noFill/>
                    <a:ln w="9525" cmpd="sng">
                      <a:noFill/>
                      <a:miter lim="800000"/>
                      <a:headEnd/>
                      <a:tailEnd/>
                    </a:ln>
                  </pic:spPr>
                </pic:pic>
              </a:graphicData>
            </a:graphic>
          </wp:anchor>
        </w:drawing>
      </w:r>
      <w:r>
        <w:rPr>
          <w:rFonts w:eastAsia="仿宋_GB2312"/>
          <w:bCs/>
          <w:color w:val="000000" w:themeColor="text1"/>
          <w:sz w:val="32"/>
          <w:szCs w:val="32"/>
          <w14:textFill>
            <w14:solidFill>
              <w14:schemeClr w14:val="tx1"/>
            </w14:solidFill>
          </w14:textFill>
        </w:rPr>
        <w:t>突出打造和提升福海滇池路周边的省委、省政协、省人大等</w:t>
      </w:r>
      <w:r>
        <w:rPr>
          <w:rFonts w:eastAsia="仿宋_GB2312"/>
          <w:bCs/>
          <w:color w:val="000000" w:themeColor="text1"/>
          <w:spacing w:val="-6"/>
          <w:sz w:val="32"/>
          <w:szCs w:val="32"/>
          <w14:textFill>
            <w14:solidFill>
              <w14:schemeClr w14:val="tx1"/>
            </w14:solidFill>
          </w14:textFill>
        </w:rPr>
        <w:t>政治要素集聚形成的云南政脉；进一步凸显马街春雨路工业遗存改造的文创产业园、棕树营大观楼等历史文化资源形成西山区独有的滇中文脉；立足马街、福海、棕树营等街区综合交通支撑，依托草海周边商贸、文旅、生态湿地景观等产业、资源要素，融汇集聚形成“环草海客厅”的人脉；依托螺蛳湾、云纺、大悦城、万达等数字经济、商贸服务、金融服务、文化创意等产业要素高度集聚，塑造和增强辐射南亚东南亚的商脉；依托西山特有的政脉、文脉、人脉、商脉，主动承接昆明市区域性国际中心城市战略功能，打造“数字经济驱动、大健康特色、大文旅引流、新体验引领、服务贸易融合、新平台赋能”的</w:t>
      </w:r>
      <w:r>
        <w:rPr>
          <w:rFonts w:eastAsia="仿宋_GB2312"/>
          <w:sz w:val="32"/>
          <w:szCs w:val="32"/>
        </w:rPr>
        <w:t>区域性国际中心城市活力主城核心区</w:t>
      </w:r>
      <w:r>
        <w:rPr>
          <w:rFonts w:eastAsia="仿宋_GB2312"/>
          <w:bCs/>
          <w:color w:val="000000" w:themeColor="text1"/>
          <w:spacing w:val="-6"/>
          <w:sz w:val="32"/>
          <w:szCs w:val="32"/>
          <w14:textFill>
            <w14:solidFill>
              <w14:schemeClr w14:val="tx1"/>
            </w14:solidFill>
          </w14:textFill>
        </w:rPr>
        <w:t>。</w:t>
      </w:r>
    </w:p>
    <w:p w14:paraId="5B15F758">
      <w:pPr>
        <w:spacing w:line="560" w:lineRule="exact"/>
        <w:ind w:firstLine="640" w:firstLineChars="200"/>
        <w:rPr>
          <w:rFonts w:eastAsia="仿宋_GB2312"/>
          <w:color w:val="000000" w:themeColor="text1"/>
          <w:sz w:val="32"/>
          <w:szCs w:val="32"/>
          <w14:textFill>
            <w14:solidFill>
              <w14:schemeClr w14:val="tx1"/>
            </w14:solidFill>
          </w14:textFill>
        </w:rPr>
      </w:pPr>
      <w:bookmarkStart w:id="247" w:name="_Toc22556"/>
      <w:bookmarkStart w:id="248" w:name="_Toc21866"/>
      <w:bookmarkStart w:id="249" w:name="_Toc8506"/>
      <w:bookmarkStart w:id="250" w:name="_Toc61644798"/>
      <w:bookmarkStart w:id="251" w:name="_Toc1069"/>
      <w:bookmarkStart w:id="252" w:name="_Toc58923533"/>
      <w:bookmarkStart w:id="253" w:name="_Toc28296"/>
      <w:bookmarkStart w:id="254" w:name="_Toc19672"/>
      <w:bookmarkStart w:id="255" w:name="_Toc20753"/>
      <w:bookmarkStart w:id="256" w:name="_Toc1794"/>
      <w:bookmarkStart w:id="257" w:name="_Toc4774"/>
      <w:r>
        <w:rPr>
          <w:rFonts w:eastAsia="黑体"/>
          <w:sz w:val="32"/>
          <w:szCs w:val="32"/>
        </w:rPr>
        <w:t>四、双轴传导</w:t>
      </w:r>
      <w:bookmarkEnd w:id="247"/>
      <w:r>
        <w:rPr>
          <w:rFonts w:eastAsia="黑体"/>
          <w:sz w:val="32"/>
          <w:szCs w:val="32"/>
        </w:rPr>
        <w:t>，带动全域产业融合互动发展</w:t>
      </w:r>
      <w:bookmarkEnd w:id="248"/>
      <w:bookmarkEnd w:id="249"/>
      <w:bookmarkEnd w:id="250"/>
      <w:bookmarkEnd w:id="251"/>
      <w:bookmarkEnd w:id="252"/>
      <w:bookmarkEnd w:id="253"/>
      <w:bookmarkEnd w:id="254"/>
      <w:bookmarkEnd w:id="255"/>
      <w:bookmarkEnd w:id="256"/>
      <w:bookmarkEnd w:id="257"/>
      <w:r>
        <w:rPr>
          <w:rFonts w:eastAsia="仿宋_GB2312"/>
          <w:color w:val="000000" w:themeColor="text1"/>
          <w:sz w:val="32"/>
          <w:szCs w:val="32"/>
          <w14:textFill>
            <w14:solidFill>
              <w14:schemeClr w14:val="tx1"/>
            </w14:solidFill>
          </w14:textFill>
        </w:rPr>
        <w:t>依托渝昆高铁昆明西客站综合交通枢纽等重要交通枢纽，长坡产业新城、融创文化旅游城、937工业文创园、云安会都、草海康养度假基地等发展基础，打造科创、文创、绿创三创融合发展轴；依托前兴路—海埂路—西昌路两侧的螺蛳湾云纺、数字商贸城、供应链金融创新中心、万达、腾云、云投等商贸服务业和数据互联网、金融企业，打造数字与结算引领服务贸易发展轴。以都市双轴聚集高端人才、高端业态、高端平台，构建以数字经济、服务贸易、大健康、创意设计、交易结算等为主体的特色高端要素市场、产品市场和服务市场，以高端赋能平台与高端应用场景为驱动引领，强化两条都市轴辐射带动作用，驱动西山高质量发展。</w:t>
      </w:r>
      <w:bookmarkStart w:id="258" w:name="_Toc5249"/>
      <w:bookmarkStart w:id="259" w:name="_Toc24910"/>
      <w:bookmarkStart w:id="260" w:name="_Toc10412"/>
      <w:bookmarkStart w:id="261" w:name="_Toc58923534"/>
      <w:bookmarkStart w:id="262" w:name="_Toc10833"/>
      <w:bookmarkStart w:id="263" w:name="_Toc4728"/>
      <w:bookmarkStart w:id="264" w:name="_Toc61644799"/>
      <w:bookmarkStart w:id="265" w:name="_Toc8314"/>
      <w:bookmarkStart w:id="266" w:name="_Toc11338"/>
      <w:bookmarkStart w:id="267" w:name="_Toc30733"/>
      <w:bookmarkStart w:id="268" w:name="_Toc9635"/>
    </w:p>
    <w:p w14:paraId="5725446F">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drawing>
          <wp:anchor distT="0" distB="0" distL="114300" distR="114300" simplePos="0" relativeHeight="251668480" behindDoc="0" locked="0" layoutInCell="1" allowOverlap="1">
            <wp:simplePos x="0" y="0"/>
            <wp:positionH relativeFrom="column">
              <wp:posOffset>497205</wp:posOffset>
            </wp:positionH>
            <wp:positionV relativeFrom="paragraph">
              <wp:posOffset>217170</wp:posOffset>
            </wp:positionV>
            <wp:extent cx="4521200" cy="3704590"/>
            <wp:effectExtent l="0" t="0" r="12700" b="10160"/>
            <wp:wrapSquare wrapText="bothSides"/>
            <wp:docPr id="5" name="图片 12" descr="C:\Users\Administrator\Desktop\图片2.png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2" descr="C:\Users\Administrator\Desktop\图片2.png图片2"/>
                    <pic:cNvPicPr>
                      <a:picLocks noChangeAspect="1"/>
                    </pic:cNvPicPr>
                  </pic:nvPicPr>
                  <pic:blipFill>
                    <a:blip r:embed="rId19" cstate="print"/>
                    <a:srcRect/>
                    <a:stretch>
                      <a:fillRect/>
                    </a:stretch>
                  </pic:blipFill>
                  <pic:spPr>
                    <a:xfrm>
                      <a:off x="0" y="0"/>
                      <a:ext cx="4521200" cy="3704590"/>
                    </a:xfrm>
                    <a:prstGeom prst="rect">
                      <a:avLst/>
                    </a:prstGeom>
                    <a:noFill/>
                    <a:ln>
                      <a:noFill/>
                    </a:ln>
                  </pic:spPr>
                </pic:pic>
              </a:graphicData>
            </a:graphic>
          </wp:anchor>
        </w:drawing>
      </w:r>
    </w:p>
    <w:p w14:paraId="51953F78">
      <w:pPr>
        <w:topLinePunct/>
        <w:spacing w:line="560" w:lineRule="exact"/>
        <w:ind w:firstLine="640"/>
        <w:rPr>
          <w:rFonts w:eastAsia="仿宋_GB2312"/>
          <w:color w:val="000000" w:themeColor="text1"/>
          <w:sz w:val="32"/>
          <w:szCs w:val="32"/>
          <w14:textFill>
            <w14:solidFill>
              <w14:schemeClr w14:val="tx1"/>
            </w14:solidFill>
          </w14:textFill>
        </w:rPr>
      </w:pPr>
    </w:p>
    <w:p w14:paraId="28FC978A">
      <w:pPr>
        <w:topLinePunct/>
        <w:spacing w:line="560" w:lineRule="exact"/>
        <w:ind w:firstLine="640"/>
        <w:rPr>
          <w:rFonts w:eastAsia="黑体"/>
          <w:bCs/>
          <w:color w:val="000000" w:themeColor="text1"/>
          <w:sz w:val="32"/>
          <w:szCs w:val="32"/>
          <w14:textFill>
            <w14:solidFill>
              <w14:schemeClr w14:val="tx1"/>
            </w14:solidFill>
          </w14:textFill>
        </w:rPr>
      </w:pPr>
    </w:p>
    <w:p w14:paraId="58582689">
      <w:pPr>
        <w:topLinePunct/>
        <w:spacing w:line="560" w:lineRule="exact"/>
        <w:ind w:firstLine="640"/>
        <w:rPr>
          <w:rFonts w:eastAsia="黑体"/>
          <w:bCs/>
          <w:color w:val="000000" w:themeColor="text1"/>
          <w:sz w:val="32"/>
          <w:szCs w:val="32"/>
          <w14:textFill>
            <w14:solidFill>
              <w14:schemeClr w14:val="tx1"/>
            </w14:solidFill>
          </w14:textFill>
        </w:rPr>
      </w:pPr>
    </w:p>
    <w:p w14:paraId="6D6F485D">
      <w:pPr>
        <w:topLinePunct/>
        <w:spacing w:line="560" w:lineRule="exact"/>
        <w:ind w:firstLine="640"/>
        <w:rPr>
          <w:rFonts w:eastAsia="黑体"/>
          <w:bCs/>
          <w:color w:val="000000" w:themeColor="text1"/>
          <w:sz w:val="32"/>
          <w:szCs w:val="32"/>
          <w14:textFill>
            <w14:solidFill>
              <w14:schemeClr w14:val="tx1"/>
            </w14:solidFill>
          </w14:textFill>
        </w:rPr>
      </w:pPr>
    </w:p>
    <w:p w14:paraId="14314BC0">
      <w:pPr>
        <w:topLinePunct/>
        <w:spacing w:line="560" w:lineRule="exact"/>
        <w:ind w:firstLine="640"/>
        <w:rPr>
          <w:rFonts w:eastAsia="黑体"/>
          <w:bCs/>
          <w:color w:val="000000" w:themeColor="text1"/>
          <w:sz w:val="32"/>
          <w:szCs w:val="32"/>
          <w14:textFill>
            <w14:solidFill>
              <w14:schemeClr w14:val="tx1"/>
            </w14:solidFill>
          </w14:textFill>
        </w:rPr>
      </w:pPr>
    </w:p>
    <w:p w14:paraId="4A88D048">
      <w:pPr>
        <w:topLinePunct/>
        <w:spacing w:line="560" w:lineRule="exact"/>
        <w:ind w:firstLine="640"/>
        <w:rPr>
          <w:rFonts w:eastAsia="黑体"/>
          <w:bCs/>
          <w:color w:val="000000" w:themeColor="text1"/>
          <w:sz w:val="32"/>
          <w:szCs w:val="32"/>
          <w14:textFill>
            <w14:solidFill>
              <w14:schemeClr w14:val="tx1"/>
            </w14:solidFill>
          </w14:textFill>
        </w:rPr>
      </w:pPr>
    </w:p>
    <w:p w14:paraId="29F047AE">
      <w:pPr>
        <w:topLinePunct/>
        <w:spacing w:line="560" w:lineRule="exact"/>
        <w:ind w:firstLine="640"/>
        <w:rPr>
          <w:rFonts w:eastAsia="黑体"/>
          <w:bCs/>
          <w:color w:val="000000" w:themeColor="text1"/>
          <w:sz w:val="32"/>
          <w:szCs w:val="32"/>
          <w14:textFill>
            <w14:solidFill>
              <w14:schemeClr w14:val="tx1"/>
            </w14:solidFill>
          </w14:textFill>
        </w:rPr>
      </w:pPr>
    </w:p>
    <w:p w14:paraId="65FC502F">
      <w:pPr>
        <w:topLinePunct/>
        <w:spacing w:line="560" w:lineRule="exact"/>
        <w:ind w:firstLine="640"/>
        <w:rPr>
          <w:rFonts w:eastAsia="黑体"/>
          <w:bCs/>
          <w:color w:val="000000" w:themeColor="text1"/>
          <w:sz w:val="32"/>
          <w:szCs w:val="32"/>
          <w14:textFill>
            <w14:solidFill>
              <w14:schemeClr w14:val="tx1"/>
            </w14:solidFill>
          </w14:textFill>
        </w:rPr>
      </w:pPr>
    </w:p>
    <w:p w14:paraId="681EBFA2">
      <w:pPr>
        <w:topLinePunct/>
        <w:spacing w:line="560" w:lineRule="exact"/>
        <w:ind w:firstLine="640"/>
        <w:rPr>
          <w:rFonts w:eastAsia="黑体"/>
          <w:bCs/>
          <w:color w:val="000000" w:themeColor="text1"/>
          <w:sz w:val="32"/>
          <w:szCs w:val="32"/>
          <w14:textFill>
            <w14:solidFill>
              <w14:schemeClr w14:val="tx1"/>
            </w14:solidFill>
          </w14:textFill>
        </w:rPr>
      </w:pPr>
    </w:p>
    <w:p w14:paraId="0EA4934F">
      <w:pPr>
        <w:topLinePunct/>
        <w:spacing w:line="560" w:lineRule="exact"/>
        <w:ind w:firstLine="640"/>
        <w:rPr>
          <w:rFonts w:eastAsia="黑体"/>
          <w:bCs/>
          <w:color w:val="000000" w:themeColor="text1"/>
          <w:sz w:val="32"/>
          <w:szCs w:val="32"/>
          <w14:textFill>
            <w14:solidFill>
              <w14:schemeClr w14:val="tx1"/>
            </w14:solidFill>
          </w14:textFill>
        </w:rPr>
      </w:pPr>
    </w:p>
    <w:p w14:paraId="23A07C7E">
      <w:pPr>
        <w:topLinePunct/>
        <w:spacing w:line="560" w:lineRule="exact"/>
        <w:ind w:firstLine="640"/>
        <w:rPr>
          <w:rFonts w:eastAsia="黑体"/>
          <w:bCs/>
          <w:color w:val="000000" w:themeColor="text1"/>
          <w:sz w:val="32"/>
          <w:szCs w:val="32"/>
          <w14:textFill>
            <w14:solidFill>
              <w14:schemeClr w14:val="tx1"/>
            </w14:solidFill>
          </w14:textFill>
        </w:rPr>
      </w:pPr>
    </w:p>
    <w:p w14:paraId="344D6F7F">
      <w:pPr>
        <w:topLinePunct/>
        <w:spacing w:line="560" w:lineRule="exact"/>
        <w:ind w:firstLine="640"/>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五、两翼辐射</w:t>
      </w:r>
      <w:bookmarkEnd w:id="258"/>
      <w:r>
        <w:rPr>
          <w:rFonts w:eastAsia="黑体"/>
          <w:bCs/>
          <w:color w:val="000000" w:themeColor="text1"/>
          <w:sz w:val="32"/>
          <w:szCs w:val="32"/>
          <w14:textFill>
            <w14:solidFill>
              <w14:schemeClr w14:val="tx1"/>
            </w14:solidFill>
          </w14:textFill>
        </w:rPr>
        <w:t>，拉动乡村产城融合跨越发展</w:t>
      </w:r>
      <w:bookmarkEnd w:id="259"/>
      <w:bookmarkEnd w:id="260"/>
      <w:bookmarkEnd w:id="261"/>
      <w:bookmarkEnd w:id="262"/>
      <w:bookmarkEnd w:id="263"/>
      <w:bookmarkEnd w:id="264"/>
      <w:bookmarkEnd w:id="265"/>
      <w:bookmarkEnd w:id="266"/>
      <w:bookmarkEnd w:id="267"/>
      <w:bookmarkEnd w:id="268"/>
    </w:p>
    <w:p w14:paraId="1387C97F">
      <w:pPr>
        <w:topLinePunct/>
        <w:spacing w:line="560" w:lineRule="exact"/>
        <w:ind w:firstLine="640"/>
        <w:rPr>
          <w:rFonts w:eastAsia="仿宋_GB2312"/>
          <w:bCs/>
          <w:color w:val="000000" w:themeColor="text1"/>
          <w:sz w:val="32"/>
          <w:szCs w:val="32"/>
          <w14:textFill>
            <w14:solidFill>
              <w14:schemeClr w14:val="tx1"/>
            </w14:solidFill>
          </w14:textFill>
        </w:rPr>
      </w:pPr>
      <w:r>
        <w:rPr>
          <w:rFonts w:eastAsia="仿宋_GB2312"/>
          <w:bCs/>
          <w:color w:val="000000" w:themeColor="text1"/>
          <w:sz w:val="32"/>
          <w:szCs w:val="32"/>
          <w14:textFill>
            <w14:solidFill>
              <w14:schemeClr w14:val="tx1"/>
            </w14:solidFill>
          </w14:textFill>
        </w:rPr>
        <w:t>以团结和花红园为核心组团，以生态康旅特色小镇体验带串联自然保护区和国家森林公园，以民族风情特色乡村体验带贯通螳螂川等重要沟峪与特色村落，共同形成团结翼促进西北城乡融合发展。依托西山风景名胜区和海口工业园，以环滇池新经济新生活体验带串联周边沟峪景点和特色乡村，共同形成碧鸡海口两翼互动，促进西南产城融合发展。</w:t>
      </w:r>
    </w:p>
    <w:p w14:paraId="1D711232">
      <w:pPr>
        <w:topLinePunct/>
        <w:spacing w:line="560" w:lineRule="exact"/>
        <w:ind w:firstLine="640"/>
        <w:rPr>
          <w:rFonts w:eastAsia="仿宋_GB2312"/>
          <w:bCs/>
          <w:color w:val="000000" w:themeColor="text1"/>
          <w:sz w:val="32"/>
          <w:szCs w:val="32"/>
          <w14:textFill>
            <w14:solidFill>
              <w14:schemeClr w14:val="tx1"/>
            </w14:solidFill>
          </w14:textFill>
        </w:rPr>
      </w:pPr>
      <w:r>
        <w:rPr>
          <w:rFonts w:eastAsia="仿宋_GB2312"/>
          <w:bCs/>
          <w:color w:val="000000" w:themeColor="text1"/>
          <w:sz w:val="32"/>
          <w:szCs w:val="32"/>
          <w14:textFill>
            <w14:solidFill>
              <w14:schemeClr w14:val="tx1"/>
            </w14:solidFill>
          </w14:textFill>
        </w:rPr>
        <w:drawing>
          <wp:anchor distT="0" distB="0" distL="114300" distR="114300" simplePos="0" relativeHeight="251665408" behindDoc="0" locked="0" layoutInCell="1" allowOverlap="1">
            <wp:simplePos x="0" y="0"/>
            <wp:positionH relativeFrom="column">
              <wp:posOffset>356870</wp:posOffset>
            </wp:positionH>
            <wp:positionV relativeFrom="paragraph">
              <wp:posOffset>126365</wp:posOffset>
            </wp:positionV>
            <wp:extent cx="4324350" cy="5092700"/>
            <wp:effectExtent l="0" t="0" r="0" b="12700"/>
            <wp:wrapSquare wrapText="bothSides"/>
            <wp:docPr id="13" name="图片 49" descr="C:\Users\Administrator\Desktop\图片3.png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9" descr="C:\Users\Administrator\Desktop\图片3.png图片3"/>
                    <pic:cNvPicPr>
                      <a:picLocks noChangeAspect="1"/>
                    </pic:cNvPicPr>
                  </pic:nvPicPr>
                  <pic:blipFill>
                    <a:blip r:embed="rId20" cstate="print"/>
                    <a:srcRect/>
                    <a:stretch>
                      <a:fillRect/>
                    </a:stretch>
                  </pic:blipFill>
                  <pic:spPr>
                    <a:xfrm>
                      <a:off x="0" y="0"/>
                      <a:ext cx="4324350" cy="5092700"/>
                    </a:xfrm>
                    <a:prstGeom prst="rect">
                      <a:avLst/>
                    </a:prstGeom>
                    <a:noFill/>
                    <a:ln>
                      <a:noFill/>
                    </a:ln>
                  </pic:spPr>
                </pic:pic>
              </a:graphicData>
            </a:graphic>
          </wp:anchor>
        </w:drawing>
      </w:r>
    </w:p>
    <w:p w14:paraId="6BC7B6F4">
      <w:pPr>
        <w:topLinePunct/>
        <w:spacing w:line="560" w:lineRule="exact"/>
        <w:ind w:firstLine="640"/>
        <w:rPr>
          <w:rFonts w:eastAsia="仿宋_GB2312"/>
          <w:bCs/>
          <w:color w:val="000000" w:themeColor="text1"/>
          <w:sz w:val="32"/>
          <w:szCs w:val="32"/>
          <w14:textFill>
            <w14:solidFill>
              <w14:schemeClr w14:val="tx1"/>
            </w14:solidFill>
          </w14:textFill>
        </w:rPr>
      </w:pPr>
    </w:p>
    <w:p w14:paraId="3EF075E2">
      <w:pPr>
        <w:topLinePunct/>
        <w:spacing w:line="560" w:lineRule="exact"/>
        <w:ind w:firstLine="640"/>
        <w:rPr>
          <w:rFonts w:eastAsia="仿宋_GB2312"/>
          <w:bCs/>
          <w:color w:val="000000" w:themeColor="text1"/>
          <w:sz w:val="32"/>
          <w:szCs w:val="32"/>
          <w14:textFill>
            <w14:solidFill>
              <w14:schemeClr w14:val="tx1"/>
            </w14:solidFill>
          </w14:textFill>
        </w:rPr>
      </w:pPr>
    </w:p>
    <w:p w14:paraId="46EBC08C">
      <w:pPr>
        <w:topLinePunct/>
        <w:spacing w:line="560" w:lineRule="exact"/>
        <w:ind w:firstLine="640"/>
        <w:rPr>
          <w:rFonts w:eastAsia="仿宋_GB2312"/>
          <w:bCs/>
          <w:color w:val="000000" w:themeColor="text1"/>
          <w:sz w:val="32"/>
          <w:szCs w:val="32"/>
          <w14:textFill>
            <w14:solidFill>
              <w14:schemeClr w14:val="tx1"/>
            </w14:solidFill>
          </w14:textFill>
        </w:rPr>
      </w:pPr>
    </w:p>
    <w:p w14:paraId="33056FD8">
      <w:pPr>
        <w:topLinePunct/>
        <w:spacing w:line="560" w:lineRule="exact"/>
        <w:ind w:firstLine="640"/>
        <w:rPr>
          <w:rFonts w:eastAsia="仿宋_GB2312"/>
          <w:bCs/>
          <w:color w:val="000000" w:themeColor="text1"/>
          <w:sz w:val="32"/>
          <w:szCs w:val="32"/>
          <w14:textFill>
            <w14:solidFill>
              <w14:schemeClr w14:val="tx1"/>
            </w14:solidFill>
          </w14:textFill>
        </w:rPr>
      </w:pPr>
    </w:p>
    <w:p w14:paraId="67394371">
      <w:pPr>
        <w:topLinePunct/>
        <w:spacing w:line="560" w:lineRule="exact"/>
        <w:ind w:firstLine="640"/>
        <w:rPr>
          <w:rFonts w:eastAsia="仿宋_GB2312"/>
          <w:bCs/>
          <w:color w:val="000000" w:themeColor="text1"/>
          <w:sz w:val="32"/>
          <w:szCs w:val="32"/>
          <w14:textFill>
            <w14:solidFill>
              <w14:schemeClr w14:val="tx1"/>
            </w14:solidFill>
          </w14:textFill>
        </w:rPr>
      </w:pPr>
    </w:p>
    <w:p w14:paraId="1C52B00E">
      <w:pPr>
        <w:topLinePunct/>
        <w:spacing w:line="560" w:lineRule="exact"/>
        <w:ind w:firstLine="640"/>
        <w:rPr>
          <w:rFonts w:eastAsia="仿宋_GB2312"/>
          <w:bCs/>
          <w:color w:val="000000" w:themeColor="text1"/>
          <w:sz w:val="32"/>
          <w:szCs w:val="32"/>
          <w14:textFill>
            <w14:solidFill>
              <w14:schemeClr w14:val="tx1"/>
            </w14:solidFill>
          </w14:textFill>
        </w:rPr>
      </w:pPr>
    </w:p>
    <w:p w14:paraId="6F4E3A28">
      <w:pPr>
        <w:topLinePunct/>
        <w:spacing w:line="560" w:lineRule="exact"/>
        <w:ind w:firstLine="640"/>
        <w:rPr>
          <w:rFonts w:eastAsia="仿宋_GB2312"/>
          <w:bCs/>
          <w:color w:val="000000" w:themeColor="text1"/>
          <w:sz w:val="32"/>
          <w:szCs w:val="32"/>
          <w14:textFill>
            <w14:solidFill>
              <w14:schemeClr w14:val="tx1"/>
            </w14:solidFill>
          </w14:textFill>
        </w:rPr>
      </w:pPr>
    </w:p>
    <w:p w14:paraId="5BC784A5">
      <w:pPr>
        <w:topLinePunct/>
        <w:spacing w:line="560" w:lineRule="exact"/>
        <w:ind w:firstLine="640"/>
        <w:rPr>
          <w:rFonts w:eastAsia="仿宋_GB2312"/>
          <w:bCs/>
          <w:color w:val="000000" w:themeColor="text1"/>
          <w:sz w:val="32"/>
          <w:szCs w:val="32"/>
          <w14:textFill>
            <w14:solidFill>
              <w14:schemeClr w14:val="tx1"/>
            </w14:solidFill>
          </w14:textFill>
        </w:rPr>
      </w:pPr>
    </w:p>
    <w:p w14:paraId="52902A1A">
      <w:pPr>
        <w:topLinePunct/>
        <w:spacing w:line="560" w:lineRule="exact"/>
        <w:ind w:firstLine="640"/>
        <w:rPr>
          <w:rFonts w:eastAsia="仿宋_GB2312"/>
          <w:bCs/>
          <w:color w:val="000000" w:themeColor="text1"/>
          <w:sz w:val="32"/>
          <w:szCs w:val="32"/>
          <w14:textFill>
            <w14:solidFill>
              <w14:schemeClr w14:val="tx1"/>
            </w14:solidFill>
          </w14:textFill>
        </w:rPr>
      </w:pPr>
    </w:p>
    <w:p w14:paraId="5583DE0D">
      <w:pPr>
        <w:topLinePunct/>
        <w:spacing w:line="560" w:lineRule="exact"/>
        <w:ind w:firstLine="640"/>
        <w:rPr>
          <w:rFonts w:eastAsia="仿宋_GB2312"/>
          <w:bCs/>
          <w:color w:val="000000" w:themeColor="text1"/>
          <w:sz w:val="32"/>
          <w:szCs w:val="32"/>
          <w14:textFill>
            <w14:solidFill>
              <w14:schemeClr w14:val="tx1"/>
            </w14:solidFill>
          </w14:textFill>
        </w:rPr>
      </w:pPr>
    </w:p>
    <w:p w14:paraId="53C3F94B">
      <w:pPr>
        <w:topLinePunct/>
        <w:spacing w:line="560" w:lineRule="exact"/>
        <w:ind w:firstLine="640"/>
        <w:rPr>
          <w:rFonts w:eastAsia="仿宋_GB2312"/>
          <w:bCs/>
          <w:color w:val="000000" w:themeColor="text1"/>
          <w:sz w:val="32"/>
          <w:szCs w:val="32"/>
          <w14:textFill>
            <w14:solidFill>
              <w14:schemeClr w14:val="tx1"/>
            </w14:solidFill>
          </w14:textFill>
        </w:rPr>
      </w:pPr>
    </w:p>
    <w:p w14:paraId="4A01B264">
      <w:pPr>
        <w:topLinePunct/>
        <w:spacing w:line="560" w:lineRule="exact"/>
        <w:ind w:firstLine="640"/>
        <w:rPr>
          <w:rFonts w:eastAsia="仿宋_GB2312"/>
          <w:bCs/>
          <w:color w:val="000000" w:themeColor="text1"/>
          <w:sz w:val="32"/>
          <w:szCs w:val="32"/>
          <w14:textFill>
            <w14:solidFill>
              <w14:schemeClr w14:val="tx1"/>
            </w14:solidFill>
          </w14:textFill>
        </w:rPr>
      </w:pPr>
    </w:p>
    <w:p w14:paraId="4BF92719">
      <w:pPr>
        <w:topLinePunct/>
        <w:spacing w:line="560" w:lineRule="exact"/>
        <w:ind w:firstLine="640"/>
        <w:rPr>
          <w:rFonts w:eastAsia="仿宋_GB2312"/>
          <w:bCs/>
          <w:color w:val="000000" w:themeColor="text1"/>
          <w:sz w:val="32"/>
          <w:szCs w:val="32"/>
          <w14:textFill>
            <w14:solidFill>
              <w14:schemeClr w14:val="tx1"/>
            </w14:solidFill>
          </w14:textFill>
        </w:rPr>
      </w:pPr>
    </w:p>
    <w:p w14:paraId="2F7BFC32">
      <w:pPr>
        <w:topLinePunct/>
        <w:spacing w:line="560" w:lineRule="exact"/>
        <w:ind w:firstLine="640"/>
        <w:rPr>
          <w:rFonts w:eastAsia="仿宋_GB2312"/>
          <w:bCs/>
          <w:color w:val="000000" w:themeColor="text1"/>
          <w:sz w:val="32"/>
          <w:szCs w:val="32"/>
          <w14:textFill>
            <w14:solidFill>
              <w14:schemeClr w14:val="tx1"/>
            </w14:solidFill>
          </w14:textFill>
        </w:rPr>
      </w:pPr>
    </w:p>
    <w:p w14:paraId="21F50A8B">
      <w:pPr>
        <w:spacing w:line="560" w:lineRule="exact"/>
        <w:ind w:firstLine="640" w:firstLineChars="200"/>
        <w:rPr>
          <w:rFonts w:eastAsia="黑体"/>
          <w:sz w:val="32"/>
          <w:szCs w:val="32"/>
        </w:rPr>
      </w:pPr>
      <w:bookmarkStart w:id="269" w:name="_Toc7159"/>
      <w:bookmarkStart w:id="270" w:name="_Toc10225"/>
      <w:bookmarkStart w:id="271" w:name="_Toc61644800"/>
      <w:bookmarkStart w:id="272" w:name="_Toc23656"/>
      <w:bookmarkStart w:id="273" w:name="_Toc15473"/>
      <w:bookmarkStart w:id="274" w:name="_Toc20008"/>
      <w:bookmarkStart w:id="275" w:name="_Toc58923535"/>
      <w:bookmarkStart w:id="276" w:name="_Toc5256"/>
      <w:bookmarkStart w:id="277" w:name="_Toc11856"/>
      <w:bookmarkStart w:id="278" w:name="_Toc9591"/>
      <w:bookmarkStart w:id="279" w:name="_Toc7050"/>
      <w:r>
        <w:rPr>
          <w:rFonts w:eastAsia="黑体"/>
          <w:sz w:val="32"/>
          <w:szCs w:val="32"/>
        </w:rPr>
        <w:t>六、三带示范</w:t>
      </w:r>
      <w:bookmarkEnd w:id="269"/>
      <w:r>
        <w:rPr>
          <w:rFonts w:eastAsia="黑体"/>
          <w:sz w:val="32"/>
          <w:szCs w:val="32"/>
        </w:rPr>
        <w:t>，串联关键节点助力特色发展</w:t>
      </w:r>
      <w:bookmarkEnd w:id="270"/>
      <w:bookmarkEnd w:id="271"/>
      <w:bookmarkEnd w:id="272"/>
      <w:bookmarkEnd w:id="273"/>
      <w:bookmarkEnd w:id="274"/>
      <w:bookmarkEnd w:id="275"/>
      <w:bookmarkEnd w:id="276"/>
      <w:bookmarkEnd w:id="277"/>
      <w:bookmarkEnd w:id="278"/>
      <w:bookmarkEnd w:id="279"/>
    </w:p>
    <w:p w14:paraId="6871E193">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bCs/>
          <w:color w:val="000000" w:themeColor="text1"/>
          <w:sz w:val="32"/>
          <w:szCs w:val="32"/>
          <w14:textFill>
            <w14:solidFill>
              <w14:schemeClr w14:val="tx1"/>
            </w14:solidFill>
          </w14:textFill>
        </w:rPr>
        <w:t>依托独特自然和人文条件，结合存量，规划增量，突出县域经济特色。依托滇池和草海岸线以及西山风景区的生态本底，沿高海公路与环城高速西段规划引导，串联特色节点，打造滇池沿线美丽环湖公路段，发展文化创意、主题旅游、高端地产、都市农庄等，促进海口工业园向装备智造、新型化工转型升级，提升风貌，营造新场景、发展新业态，牵引马街、碧鸡和海口产城融合发展，打造沿滇新经济新生活体验带。</w:t>
      </w:r>
    </w:p>
    <w:p w14:paraId="69CAEF74">
      <w:pPr>
        <w:topLinePunct/>
        <w:spacing w:line="560" w:lineRule="exact"/>
        <w:ind w:firstLine="640"/>
        <w:rPr>
          <w:rFonts w:eastAsia="仿宋_GB2312"/>
          <w:bCs/>
          <w:color w:val="000000" w:themeColor="text1"/>
          <w:sz w:val="32"/>
          <w:szCs w:val="32"/>
          <w14:textFill>
            <w14:solidFill>
              <w14:schemeClr w14:val="tx1"/>
            </w14:solidFill>
          </w14:textFill>
        </w:rPr>
      </w:pPr>
      <w:r>
        <w:rPr>
          <w:color w:val="000000" w:themeColor="text1"/>
          <w:sz w:val="32"/>
          <w:szCs w:val="32"/>
          <w14:textFill>
            <w14:solidFill>
              <w14:schemeClr w14:val="tx1"/>
            </w14:solidFill>
          </w14:textFill>
        </w:rPr>
        <w:drawing>
          <wp:anchor distT="0" distB="0" distL="114300" distR="114300" simplePos="0" relativeHeight="251666432" behindDoc="0" locked="0" layoutInCell="1" allowOverlap="1">
            <wp:simplePos x="0" y="0"/>
            <wp:positionH relativeFrom="column">
              <wp:posOffset>2128520</wp:posOffset>
            </wp:positionH>
            <wp:positionV relativeFrom="paragraph">
              <wp:posOffset>502920</wp:posOffset>
            </wp:positionV>
            <wp:extent cx="3571240" cy="4817745"/>
            <wp:effectExtent l="0" t="0" r="10160" b="1905"/>
            <wp:wrapSquare wrapText="bothSides"/>
            <wp:docPr id="14" name="Picture 2" descr="C:\Users\Administrator\Desktop\图片4.png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 descr="C:\Users\Administrator\Desktop\图片4.png图片4"/>
                    <pic:cNvPicPr>
                      <a:picLocks noChangeAspect="1"/>
                    </pic:cNvPicPr>
                  </pic:nvPicPr>
                  <pic:blipFill>
                    <a:blip r:embed="rId21" cstate="print"/>
                    <a:srcRect/>
                    <a:stretch>
                      <a:fillRect/>
                    </a:stretch>
                  </pic:blipFill>
                  <pic:spPr>
                    <a:xfrm>
                      <a:off x="0" y="0"/>
                      <a:ext cx="3571240" cy="4817745"/>
                    </a:xfrm>
                    <a:prstGeom prst="rect">
                      <a:avLst/>
                    </a:prstGeom>
                    <a:noFill/>
                    <a:ln>
                      <a:noFill/>
                    </a:ln>
                  </pic:spPr>
                </pic:pic>
              </a:graphicData>
            </a:graphic>
          </wp:anchor>
        </w:drawing>
      </w:r>
      <w:r>
        <w:rPr>
          <w:rFonts w:eastAsia="仿宋_GB2312"/>
          <w:bCs/>
          <w:color w:val="000000" w:themeColor="text1"/>
          <w:sz w:val="32"/>
          <w:szCs w:val="32"/>
          <w14:textFill>
            <w14:solidFill>
              <w14:schemeClr w14:val="tx1"/>
            </w14:solidFill>
          </w14:textFill>
        </w:rPr>
        <w:t>以镇域经济为引导，多节点提升团结片区与中心城区、安宁及富民的交通链接，高标准规划团结、花红园系列生态康养特色小镇组团，沿浑团路激活花红园社区、团结镇区、谷律社区，发展生态、健康、旅游复合产业，打造生态康旅特色小城镇体验带，创建省、市级康养小镇。</w:t>
      </w:r>
    </w:p>
    <w:p w14:paraId="54846492">
      <w:pPr>
        <w:topLinePunct/>
        <w:spacing w:line="560" w:lineRule="exact"/>
        <w:ind w:firstLine="640"/>
        <w:rPr>
          <w:rFonts w:eastAsia="仿宋_GB2312"/>
          <w:bCs/>
          <w:color w:val="000000" w:themeColor="text1"/>
          <w:sz w:val="32"/>
          <w:szCs w:val="32"/>
          <w14:textFill>
            <w14:solidFill>
              <w14:schemeClr w14:val="tx1"/>
            </w14:solidFill>
          </w14:textFill>
        </w:rPr>
      </w:pPr>
      <w:r>
        <w:rPr>
          <w:rFonts w:eastAsia="仿宋_GB2312"/>
          <w:bCs/>
          <w:color w:val="000000" w:themeColor="text1"/>
          <w:sz w:val="32"/>
          <w:szCs w:val="32"/>
          <w14:textFill>
            <w14:solidFill>
              <w14:schemeClr w14:val="tx1"/>
            </w14:solidFill>
          </w14:textFill>
        </w:rPr>
        <w:t>以明朗绿创风情谷为示范引领，突出乡村经济特色，依托拱王山系和梁王山系形成的河谷沟峪、螳螂川河流域，结合其生态本底、民族特色文化等资源禀赋优势，通过白眉村、棋台村、永靖（杨柳河、清水关等）、下冲村、朵亩村、乐亩村等乡村，基于各村少数民族特色文化及村庄风俗，打造特色民族风情乡村体验带。</w:t>
      </w:r>
      <w:bookmarkStart w:id="280" w:name="_Toc13842"/>
      <w:bookmarkStart w:id="281" w:name="_Toc22120"/>
      <w:bookmarkStart w:id="282" w:name="_Toc4585"/>
      <w:bookmarkStart w:id="283" w:name="_Toc9042"/>
      <w:bookmarkStart w:id="284" w:name="_Toc6243"/>
      <w:bookmarkStart w:id="285" w:name="_Toc58923536"/>
      <w:bookmarkStart w:id="286" w:name="_Toc21465"/>
      <w:bookmarkStart w:id="287" w:name="_Toc2260"/>
      <w:bookmarkStart w:id="288" w:name="_Toc25743"/>
      <w:bookmarkStart w:id="289" w:name="_Toc31341"/>
      <w:bookmarkStart w:id="290" w:name="_Toc61644801"/>
    </w:p>
    <w:p w14:paraId="1EE21388">
      <w:pPr>
        <w:topLinePunct/>
        <w:spacing w:line="560" w:lineRule="exact"/>
        <w:ind w:firstLine="640"/>
        <w:rPr>
          <w:rFonts w:eastAsia="黑体"/>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七、四区统筹</w:t>
      </w:r>
      <w:bookmarkEnd w:id="280"/>
      <w:r>
        <w:rPr>
          <w:rFonts w:eastAsia="黑体"/>
          <w:bCs/>
          <w:color w:val="000000" w:themeColor="text1"/>
          <w:sz w:val="32"/>
          <w:szCs w:val="32"/>
          <w14:textFill>
            <w14:solidFill>
              <w14:schemeClr w14:val="tx1"/>
            </w14:solidFill>
          </w14:textFill>
        </w:rPr>
        <w:t>，促进四层经济结构融合发展</w:t>
      </w:r>
      <w:bookmarkEnd w:id="281"/>
      <w:bookmarkEnd w:id="282"/>
      <w:bookmarkEnd w:id="283"/>
      <w:bookmarkEnd w:id="284"/>
      <w:bookmarkEnd w:id="285"/>
      <w:bookmarkEnd w:id="286"/>
      <w:bookmarkEnd w:id="287"/>
      <w:bookmarkEnd w:id="288"/>
      <w:bookmarkEnd w:id="289"/>
      <w:bookmarkEnd w:id="290"/>
    </w:p>
    <w:p w14:paraId="008FC638">
      <w:pPr>
        <w:topLinePunct/>
        <w:spacing w:line="560" w:lineRule="exact"/>
        <w:ind w:firstLine="640"/>
        <w:rPr>
          <w:rFonts w:eastAsia="仿宋_GB2312"/>
          <w:bCs/>
          <w:color w:val="000000" w:themeColor="text1"/>
          <w:sz w:val="32"/>
          <w:szCs w:val="32"/>
          <w14:textFill>
            <w14:solidFill>
              <w14:schemeClr w14:val="tx1"/>
            </w14:solidFill>
          </w14:textFill>
        </w:rPr>
      </w:pPr>
      <w:r>
        <w:rPr>
          <w:rFonts w:eastAsia="仿宋_GB2312"/>
          <w:bCs/>
          <w:color w:val="000000" w:themeColor="text1"/>
          <w14:textFill>
            <w14:solidFill>
              <w14:schemeClr w14:val="tx1"/>
            </w14:solidFill>
          </w14:textFill>
        </w:rPr>
        <w:drawing>
          <wp:anchor distT="0" distB="0" distL="114300" distR="114300" simplePos="0" relativeHeight="251659264" behindDoc="0" locked="0" layoutInCell="1" allowOverlap="1">
            <wp:simplePos x="0" y="0"/>
            <wp:positionH relativeFrom="column">
              <wp:posOffset>1806575</wp:posOffset>
            </wp:positionH>
            <wp:positionV relativeFrom="paragraph">
              <wp:posOffset>962025</wp:posOffset>
            </wp:positionV>
            <wp:extent cx="3754755" cy="4937760"/>
            <wp:effectExtent l="0" t="0" r="17145" b="15240"/>
            <wp:wrapSquare wrapText="bothSides"/>
            <wp:docPr id="15" name="图片 53" descr="C:\Users\Administrator\Desktop\四区统筹.jpg四区统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3" descr="C:\Users\Administrator\Desktop\四区统筹.jpg四区统筹"/>
                    <pic:cNvPicPr>
                      <a:picLocks noChangeAspect="1"/>
                    </pic:cNvPicPr>
                  </pic:nvPicPr>
                  <pic:blipFill>
                    <a:blip r:embed="rId22" cstate="print"/>
                    <a:srcRect/>
                    <a:stretch>
                      <a:fillRect/>
                    </a:stretch>
                  </pic:blipFill>
                  <pic:spPr>
                    <a:xfrm>
                      <a:off x="0" y="0"/>
                      <a:ext cx="3754755" cy="4937760"/>
                    </a:xfrm>
                    <a:prstGeom prst="rect">
                      <a:avLst/>
                    </a:prstGeom>
                    <a:noFill/>
                    <a:ln>
                      <a:noFill/>
                    </a:ln>
                  </pic:spPr>
                </pic:pic>
              </a:graphicData>
            </a:graphic>
          </wp:anchor>
        </w:drawing>
      </w:r>
      <w:r>
        <w:rPr>
          <w:rFonts w:eastAsia="仿宋_GB2312"/>
          <w:bCs/>
          <w:color w:val="000000" w:themeColor="text1"/>
          <w:sz w:val="32"/>
          <w:szCs w:val="32"/>
          <w14:textFill>
            <w14:solidFill>
              <w14:schemeClr w14:val="tx1"/>
            </w14:solidFill>
          </w14:textFill>
        </w:rPr>
        <w:t>依托西山区资源禀赋、功能组团、空间特征，统筹城区、园区、景区、农区功能承载，全面推进各片区互动发展、联动发展、融合发展的新格局。尊重生态本底，四区统筹生态文明建设，系统保护和开发山水林田湖草生态资源，按流域优化布局生产、生活和生态空间，促进全域三生互动发展；强化产业特色，四区统筹大健康产业链，促进生态农业、中药种植，生物制药、食品药品加工，医药物流、民族养生与森林康养、健康管理、医美服务、医疗服务等全产业链一二三产联动发展；创新发展模式，四区统筹科创文创绿创要素，优化资源配置体系，合理布局产品市场、服务市场和要素市场，促进都市经济、县域经济、镇域经济、乡村经济四层结构融合发展。</w:t>
      </w:r>
      <w:bookmarkStart w:id="291" w:name="_Toc25341"/>
      <w:bookmarkStart w:id="292" w:name="_Toc22835"/>
      <w:bookmarkStart w:id="293" w:name="_Toc2577"/>
      <w:bookmarkStart w:id="294" w:name="_Toc61644802"/>
      <w:bookmarkStart w:id="295" w:name="_Toc28080"/>
      <w:bookmarkStart w:id="296" w:name="_Toc20847"/>
      <w:bookmarkStart w:id="297" w:name="_Toc25320"/>
      <w:bookmarkStart w:id="298" w:name="_Toc15671"/>
      <w:bookmarkStart w:id="299" w:name="_Toc13234"/>
      <w:bookmarkStart w:id="300" w:name="_Toc58923537"/>
      <w:bookmarkStart w:id="301" w:name="_Toc13048"/>
      <w:bookmarkStart w:id="302" w:name="_Toc1141"/>
    </w:p>
    <w:p w14:paraId="0AFC7209">
      <w:pPr>
        <w:topLinePunct/>
        <w:spacing w:line="560" w:lineRule="exact"/>
        <w:ind w:firstLine="640"/>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八、五极增长</w:t>
      </w:r>
      <w:bookmarkEnd w:id="291"/>
      <w:r>
        <w:rPr>
          <w:rFonts w:eastAsia="黑体"/>
          <w:bCs/>
          <w:color w:val="000000" w:themeColor="text1"/>
          <w:sz w:val="32"/>
          <w:szCs w:val="32"/>
          <w14:textFill>
            <w14:solidFill>
              <w14:schemeClr w14:val="tx1"/>
            </w14:solidFill>
          </w14:textFill>
        </w:rPr>
        <w:t>，凸显特色产业带动创新发展</w:t>
      </w:r>
      <w:bookmarkEnd w:id="292"/>
      <w:bookmarkEnd w:id="293"/>
      <w:bookmarkEnd w:id="294"/>
      <w:bookmarkEnd w:id="295"/>
      <w:bookmarkEnd w:id="296"/>
      <w:bookmarkEnd w:id="297"/>
      <w:bookmarkEnd w:id="298"/>
      <w:bookmarkEnd w:id="299"/>
      <w:bookmarkEnd w:id="300"/>
      <w:bookmarkEnd w:id="301"/>
    </w:p>
    <w:p w14:paraId="6DB23BEF">
      <w:pPr>
        <w:topLinePunct/>
        <w:spacing w:line="560" w:lineRule="exact"/>
        <w:ind w:firstLine="640"/>
        <w:rPr>
          <w:rFonts w:eastAsia="仿宋_GB2312"/>
          <w:bCs/>
          <w:color w:val="000000" w:themeColor="text1"/>
          <w:sz w:val="32"/>
          <w:szCs w:val="32"/>
          <w14:textFill>
            <w14:solidFill>
              <w14:schemeClr w14:val="tx1"/>
            </w14:solidFill>
          </w14:textFill>
        </w:rPr>
      </w:pPr>
      <w:bookmarkStart w:id="303" w:name="_Toc26018"/>
      <w:bookmarkStart w:id="304" w:name="_Toc24922"/>
      <w:bookmarkStart w:id="305" w:name="_Toc32672"/>
      <w:bookmarkStart w:id="306" w:name="_Toc24932"/>
      <w:bookmarkStart w:id="307" w:name="_Toc17252"/>
      <w:bookmarkStart w:id="308" w:name="_Toc21722"/>
      <w:bookmarkStart w:id="309" w:name="_Toc10736"/>
      <w:bookmarkStart w:id="310" w:name="_Toc134"/>
      <w:bookmarkStart w:id="311" w:name="_Toc9502"/>
      <w:r>
        <w:rPr>
          <w:rFonts w:eastAsia="仿宋_GB2312"/>
          <w:snapToGrid w:val="0"/>
          <w:color w:val="000000" w:themeColor="text1"/>
          <w:kern w:val="0"/>
          <w:sz w:val="32"/>
          <w:szCs w:val="32"/>
          <w14:textFill>
            <w14:solidFill>
              <w14:schemeClr w14:val="tx1"/>
            </w14:solidFill>
          </w14:textFill>
        </w:rPr>
        <w:t>培育五大活力产业增长极</w:t>
      </w:r>
      <w:bookmarkEnd w:id="303"/>
      <w:bookmarkEnd w:id="304"/>
      <w:bookmarkEnd w:id="305"/>
      <w:bookmarkEnd w:id="306"/>
      <w:bookmarkEnd w:id="307"/>
      <w:bookmarkEnd w:id="308"/>
      <w:bookmarkEnd w:id="309"/>
      <w:bookmarkEnd w:id="310"/>
      <w:bookmarkEnd w:id="311"/>
      <w:r>
        <w:rPr>
          <w:rFonts w:eastAsia="仿宋_GB2312"/>
          <w:snapToGrid w:val="0"/>
          <w:color w:val="000000" w:themeColor="text1"/>
          <w:kern w:val="0"/>
          <w:sz w:val="32"/>
          <w:szCs w:val="32"/>
          <w14:textFill>
            <w14:solidFill>
              <w14:schemeClr w14:val="tx1"/>
            </w14:solidFill>
          </w14:textFill>
        </w:rPr>
        <w:t>，增强产业新动能</w:t>
      </w:r>
      <w:r>
        <w:rPr>
          <w:rFonts w:eastAsia="仿宋_GB2312"/>
          <w:bCs/>
          <w:color w:val="000000" w:themeColor="text1"/>
          <w:sz w:val="32"/>
          <w:szCs w:val="32"/>
          <w14:textFill>
            <w14:solidFill>
              <w14:schemeClr w14:val="tx1"/>
            </w14:solidFill>
          </w14:textFill>
        </w:rPr>
        <w:t>，重点打造大健康增长极、绿色经济增长极、服务贸易增长极、数字经济增长极、金融结算增长极。</w:t>
      </w:r>
    </w:p>
    <w:p w14:paraId="3930548A">
      <w:pPr>
        <w:topLinePunct/>
        <w:spacing w:line="560" w:lineRule="exact"/>
        <w:ind w:firstLine="643"/>
        <w:rPr>
          <w:rFonts w:eastAsia="仿宋_GB2312"/>
          <w:color w:val="000000" w:themeColor="text1"/>
          <w:sz w:val="32"/>
          <w:szCs w:val="32"/>
          <w14:textFill>
            <w14:solidFill>
              <w14:schemeClr w14:val="tx1"/>
            </w14:solidFill>
          </w14:textFill>
        </w:rPr>
      </w:pPr>
      <w:r>
        <w:rPr>
          <w:rFonts w:eastAsia="仿宋_GB2312"/>
          <w:b/>
          <w:bCs/>
          <w:color w:val="000000" w:themeColor="text1"/>
          <w:sz w:val="32"/>
          <w:szCs w:val="32"/>
          <w14:textFill>
            <w14:solidFill>
              <w14:schemeClr w14:val="tx1"/>
            </w14:solidFill>
          </w14:textFill>
        </w:rPr>
        <w:t>培育大健康增长极。</w:t>
      </w:r>
      <w:r>
        <w:rPr>
          <w:rFonts w:eastAsia="仿宋_GB2312"/>
          <w:color w:val="000000" w:themeColor="text1"/>
          <w:sz w:val="32"/>
          <w:szCs w:val="32"/>
          <w14:textFill>
            <w14:solidFill>
              <w14:schemeClr w14:val="tx1"/>
            </w14:solidFill>
          </w14:textFill>
        </w:rPr>
        <w:t>彰显我区大健康产业特色，面向南亚东南亚和国内广阔市场，积极建立健康服务产业产品市场、服务市场、要素市场，营造时尚康美中心、中医药康养基地、森林康养基地等场景，完善大健康集群生态圈。围绕中草药、工业大麻、高原果蔬等优势资源，创新发展区域认证中心、赋牌中心等，强化优势产业链，</w:t>
      </w:r>
      <w:r>
        <w:rPr>
          <w:rFonts w:eastAsia="仿宋_GB2312"/>
          <w:bCs/>
          <w:color w:val="000000" w:themeColor="text1"/>
          <w:sz w:val="32"/>
          <w:szCs w:val="32"/>
          <w14:textFill>
            <w14:solidFill>
              <w14:schemeClr w14:val="tx1"/>
            </w14:solidFill>
          </w14:textFill>
        </w:rPr>
        <w:t>形成“中心+基地”大健康增长极</w:t>
      </w:r>
      <w:r>
        <w:rPr>
          <w:rFonts w:eastAsia="仿宋_GB2312"/>
          <w:color w:val="000000" w:themeColor="text1"/>
          <w:sz w:val="32"/>
          <w:szCs w:val="32"/>
          <w14:textFill>
            <w14:solidFill>
              <w14:schemeClr w14:val="tx1"/>
            </w14:solidFill>
          </w14:textFill>
        </w:rPr>
        <w:t>。</w:t>
      </w:r>
    </w:p>
    <w:p w14:paraId="5682EE87">
      <w:pPr>
        <w:topLinePunct/>
        <w:spacing w:line="560" w:lineRule="exact"/>
        <w:ind w:firstLine="643"/>
        <w:rPr>
          <w:rFonts w:eastAsia="仿宋_GB2312"/>
          <w:bCs/>
          <w:color w:val="000000" w:themeColor="text1"/>
          <w:sz w:val="32"/>
          <w:szCs w:val="32"/>
          <w14:textFill>
            <w14:solidFill>
              <w14:schemeClr w14:val="tx1"/>
            </w14:solidFill>
          </w14:textFill>
        </w:rPr>
      </w:pPr>
      <w:r>
        <w:rPr>
          <w:rFonts w:eastAsia="仿宋_GB2312"/>
          <w:b/>
          <w:bCs/>
          <w:color w:val="000000" w:themeColor="text1"/>
          <w:sz w:val="32"/>
          <w:szCs w:val="32"/>
          <w14:textFill>
            <w14:solidFill>
              <w14:schemeClr w14:val="tx1"/>
            </w14:solidFill>
          </w14:textFill>
        </w:rPr>
        <w:t>培育绿色经济增长极。</w:t>
      </w:r>
      <w:r>
        <w:rPr>
          <w:rFonts w:eastAsia="仿宋_GB2312"/>
          <w:color w:val="000000" w:themeColor="text1"/>
          <w:sz w:val="32"/>
          <w:szCs w:val="32"/>
          <w14:textFill>
            <w14:solidFill>
              <w14:schemeClr w14:val="tx1"/>
            </w14:solidFill>
          </w14:textFill>
        </w:rPr>
        <w:t>以林地资源为依托，充分利用林下自然条件、土地资源和林荫空间，开展林下种植、林下养殖等特色生态农业，开发林药、林菌、林禽、林菜、林花、林下休闲等特色生态农业产品，构建资源共享、优势互补、循环相生、协调发展的特色生态农业发展模式。巩固都市经济发展基础，集聚特色小城镇发展要素，</w:t>
      </w:r>
      <w:r>
        <w:rPr>
          <w:rFonts w:eastAsia="仿宋_GB2312"/>
          <w:bCs/>
          <w:color w:val="000000" w:themeColor="text1"/>
          <w:sz w:val="32"/>
          <w:szCs w:val="32"/>
          <w14:textFill>
            <w14:solidFill>
              <w14:schemeClr w14:val="tx1"/>
            </w14:solidFill>
          </w14:textFill>
        </w:rPr>
        <w:t>依托团结生态康旅小镇、明朗绿创风情谷、团结白眉村和大兴村中草药种植、卧云山茶花品种培育和林药种植、和平村菌类养殖等基地，</w:t>
      </w:r>
      <w:r>
        <w:rPr>
          <w:rFonts w:eastAsia="仿宋_GB2312"/>
          <w:color w:val="000000" w:themeColor="text1"/>
          <w:sz w:val="32"/>
          <w:szCs w:val="32"/>
          <w14:textFill>
            <w14:solidFill>
              <w14:schemeClr w14:val="tx1"/>
            </w14:solidFill>
          </w14:textFill>
        </w:rPr>
        <w:t>因地制宜挖掘农业产业、农业休闲、农产品展示、农业体验、农耕文化、农技示范、健康养生等方面潜能，探索三产融合发展的模式。</w:t>
      </w:r>
    </w:p>
    <w:p w14:paraId="3CF6A039">
      <w:pPr>
        <w:topLinePunct/>
        <w:spacing w:line="560" w:lineRule="exact"/>
        <w:ind w:firstLine="643"/>
        <w:rPr>
          <w:rFonts w:eastAsia="仿宋_GB2312"/>
          <w:b/>
          <w:bCs/>
          <w:color w:val="000000" w:themeColor="text1"/>
          <w:sz w:val="32"/>
          <w:szCs w:val="32"/>
          <w14:textFill>
            <w14:solidFill>
              <w14:schemeClr w14:val="tx1"/>
            </w14:solidFill>
          </w14:textFill>
        </w:rPr>
      </w:pPr>
      <w:r>
        <w:rPr>
          <w:rFonts w:eastAsia="仿宋_GB2312"/>
          <w:b/>
          <w:bCs/>
          <w:color w:val="000000" w:themeColor="text1"/>
          <w:sz w:val="32"/>
          <w:szCs w:val="32"/>
          <w14:textFill>
            <w14:solidFill>
              <w14:schemeClr w14:val="tx1"/>
            </w14:solidFill>
          </w14:textFill>
        </w:rPr>
        <w:t>培育服务贸易增长极。</w:t>
      </w:r>
      <w:r>
        <w:rPr>
          <w:rFonts w:eastAsia="仿宋_GB2312"/>
          <w:color w:val="000000" w:themeColor="text1"/>
          <w:sz w:val="32"/>
          <w:szCs w:val="32"/>
          <w14:textFill>
            <w14:solidFill>
              <w14:schemeClr w14:val="tx1"/>
            </w14:solidFill>
          </w14:textFill>
        </w:rPr>
        <w:t>积极发展服务贸易产业，高位承载省市战略，发挥云南政治中心服务承载区优势，充分利用数字技术推动服务贸易创新，提质大健康服务贸易供给与服务场景，促进传统服务贸易与旅游、会展等产业融合，</w:t>
      </w:r>
      <w:r>
        <w:rPr>
          <w:rFonts w:eastAsia="仿宋_GB2312"/>
          <w:bCs/>
          <w:color w:val="000000" w:themeColor="text1"/>
          <w:sz w:val="32"/>
          <w:szCs w:val="32"/>
          <w14:textFill>
            <w14:solidFill>
              <w14:schemeClr w14:val="tx1"/>
            </w14:solidFill>
          </w14:textFill>
        </w:rPr>
        <w:t>依托螺蛳湾大悦城、云纺科创园、云投中心金融小镇等服务贸易综合体、商业街、产业园，</w:t>
      </w:r>
      <w:r>
        <w:rPr>
          <w:rFonts w:eastAsia="仿宋_GB2312"/>
          <w:color w:val="000000" w:themeColor="text1"/>
          <w:sz w:val="32"/>
          <w:szCs w:val="32"/>
          <w14:textFill>
            <w14:solidFill>
              <w14:schemeClr w14:val="tx1"/>
            </w14:solidFill>
          </w14:textFill>
        </w:rPr>
        <w:t>构建以数字经济驱动、以大健康为特色、以大文旅引流的服务贸易生态圈。</w:t>
      </w:r>
    </w:p>
    <w:p w14:paraId="7B6C6444">
      <w:pPr>
        <w:topLinePunct/>
        <w:spacing w:line="560" w:lineRule="exact"/>
        <w:ind w:firstLine="643"/>
        <w:rPr>
          <w:rFonts w:eastAsia="仿宋_GB2312"/>
          <w:snapToGrid w:val="0"/>
          <w:color w:val="000000" w:themeColor="text1"/>
          <w:kern w:val="0"/>
          <w:sz w:val="32"/>
          <w:szCs w:val="32"/>
          <w14:textFill>
            <w14:solidFill>
              <w14:schemeClr w14:val="tx1"/>
            </w14:solidFill>
          </w14:textFill>
        </w:rPr>
      </w:pPr>
      <w:r>
        <w:rPr>
          <w:rFonts w:eastAsia="仿宋_GB2312"/>
          <w:b/>
          <w:bCs/>
          <w:color w:val="000000" w:themeColor="text1"/>
          <w:sz w:val="32"/>
          <w:szCs w:val="32"/>
          <w14:textFill>
            <w14:solidFill>
              <w14:schemeClr w14:val="tx1"/>
            </w14:solidFill>
          </w14:textFill>
        </w:rPr>
        <w:t>培育数字经济增长极。</w:t>
      </w:r>
      <w:r>
        <w:rPr>
          <w:rFonts w:eastAsia="仿宋_GB2312"/>
          <w:color w:val="000000" w:themeColor="text1"/>
          <w:sz w:val="32"/>
          <w:szCs w:val="32"/>
          <w14:textFill>
            <w14:solidFill>
              <w14:schemeClr w14:val="tx1"/>
            </w14:solidFill>
          </w14:textFill>
        </w:rPr>
        <w:t>响应“数字云南”战略，把握数字经济趋势，抢先布局5G发展，深度融合智能制造、工业互联网、大数据等，打造以科创设计为引领、智能生产为基础、服务贸易为链接、数字经济协同的产业链。充分结合重大组团布局，将数字经济与服务贸易、金融结算、文化创意、商贸物流等产业深度融合，为我区经济发展培育新的增长点。</w:t>
      </w:r>
    </w:p>
    <w:p w14:paraId="56E72515">
      <w:pPr>
        <w:topLinePunct/>
        <w:spacing w:line="560" w:lineRule="exact"/>
        <w:ind w:firstLine="643"/>
        <w:contextualSpacing/>
        <w:rPr>
          <w:rFonts w:eastAsia="仿宋_GB2312"/>
          <w:color w:val="000000" w:themeColor="text1"/>
          <w:sz w:val="32"/>
          <w:szCs w:val="32"/>
          <w14:textFill>
            <w14:solidFill>
              <w14:schemeClr w14:val="tx1"/>
            </w14:solidFill>
          </w14:textFill>
        </w:rPr>
      </w:pPr>
      <w:r>
        <w:rPr>
          <w:rFonts w:eastAsia="仿宋_GB2312"/>
          <w:b/>
          <w:bCs/>
          <w:color w:val="000000" w:themeColor="text1"/>
          <w:sz w:val="32"/>
          <w:szCs w:val="32"/>
          <w14:textFill>
            <w14:solidFill>
              <w14:schemeClr w14:val="tx1"/>
            </w14:solidFill>
          </w14:textFill>
        </w:rPr>
        <w:t>培育金融结算增长极。</w:t>
      </w:r>
      <w:r>
        <w:rPr>
          <w:rFonts w:eastAsia="仿宋_GB2312"/>
          <w:color w:val="000000" w:themeColor="text1"/>
          <w:sz w:val="32"/>
          <w:szCs w:val="32"/>
          <w14:textFill>
            <w14:solidFill>
              <w14:schemeClr w14:val="tx1"/>
            </w14:solidFill>
          </w14:textFill>
        </w:rPr>
        <w:t>依托金融小镇、团结中草药基地等基础，围绕我区中医药材、生态食材等产业带动性强的地方特色产品，打造绿色产品交易结算中心，搭建交易结算平台。以云南出版集团、云南日报等为依托，打造以知识产权、传媒出版、设计服务为主的服务贸易结算增长极。</w:t>
      </w:r>
      <w:bookmarkEnd w:id="302"/>
      <w:bookmarkStart w:id="312" w:name="_Toc20186"/>
      <w:bookmarkStart w:id="313" w:name="_Toc1341"/>
      <w:bookmarkStart w:id="314" w:name="_Toc19436"/>
      <w:bookmarkStart w:id="315" w:name="_Toc26942"/>
      <w:bookmarkStart w:id="316" w:name="_Toc61644803"/>
      <w:bookmarkStart w:id="317" w:name="_Toc31249"/>
      <w:bookmarkStart w:id="318" w:name="_Toc8613"/>
      <w:bookmarkStart w:id="319" w:name="_Toc8966"/>
      <w:bookmarkStart w:id="320" w:name="_Toc58923538"/>
      <w:bookmarkStart w:id="321" w:name="_Toc4648"/>
    </w:p>
    <w:p w14:paraId="750228FF">
      <w:pPr>
        <w:topLinePunct/>
        <w:spacing w:line="560" w:lineRule="exact"/>
        <w:ind w:firstLine="643"/>
        <w:contextualSpacing/>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九、六组团发展，统筹重点区域实现协调发展</w:t>
      </w:r>
      <w:bookmarkEnd w:id="312"/>
      <w:bookmarkEnd w:id="313"/>
      <w:bookmarkEnd w:id="314"/>
      <w:bookmarkEnd w:id="315"/>
      <w:bookmarkEnd w:id="316"/>
      <w:bookmarkEnd w:id="317"/>
      <w:bookmarkEnd w:id="318"/>
      <w:bookmarkEnd w:id="319"/>
      <w:bookmarkEnd w:id="320"/>
      <w:bookmarkEnd w:id="321"/>
    </w:p>
    <w:p w14:paraId="58B33798">
      <w:pPr>
        <w:topLinePunct/>
        <w:spacing w:line="560" w:lineRule="exact"/>
        <w:ind w:firstLine="640"/>
        <w:rPr>
          <w:rFonts w:eastAsia="仿宋_GB2312"/>
          <w:bCs/>
          <w:color w:val="000000" w:themeColor="text1"/>
          <w:sz w:val="32"/>
          <w:szCs w:val="32"/>
          <w14:textFill>
            <w14:solidFill>
              <w14:schemeClr w14:val="tx1"/>
            </w14:solidFill>
          </w14:textFill>
        </w:rPr>
      </w:pPr>
      <w:r>
        <w:rPr>
          <w:rFonts w:eastAsia="仿宋_GB2312"/>
          <w:bCs/>
          <w:color w:val="000000" w:themeColor="text1"/>
          <w:sz w:val="32"/>
          <w:szCs w:val="32"/>
          <w14:textFill>
            <w14:solidFill>
              <w14:schemeClr w14:val="tx1"/>
            </w14:solidFill>
          </w14:textFill>
        </w:rPr>
        <w:t>充分融合我区产业发展战略、空间格局、现状基础与发展条件，坚定片区规划、组团策划、功能联动、产城融合、点轴带动的发展原则，运营提升一批成熟组团、优化打造一批活力组团、规划培育一批潜力组团，配合省市运营都市经济组团、区园联动主攻县域经济组团、区镇发力培育特色小城镇组团。</w:t>
      </w:r>
    </w:p>
    <w:p w14:paraId="2D41A4E3">
      <w:pPr>
        <w:topLinePunct/>
        <w:spacing w:line="540" w:lineRule="exact"/>
        <w:ind w:firstLine="640"/>
        <w:rPr>
          <w:rFonts w:eastAsia="仿宋_GB2312"/>
          <w:color w:val="000000" w:themeColor="text1"/>
          <w:sz w:val="32"/>
          <w:szCs w:val="32"/>
          <w14:textFill>
            <w14:solidFill>
              <w14:schemeClr w14:val="tx1"/>
            </w14:solidFill>
          </w14:textFill>
        </w:rPr>
      </w:pPr>
      <w:r>
        <w:rPr>
          <w:color w:val="000000" w:themeColor="text1"/>
          <w:sz w:val="32"/>
          <w:szCs w:val="32"/>
          <w14:textFill>
            <w14:solidFill>
              <w14:schemeClr w14:val="tx1"/>
            </w14:solidFill>
          </w14:textFill>
        </w:rPr>
        <w:drawing>
          <wp:anchor distT="0" distB="0" distL="114300" distR="114300" simplePos="0" relativeHeight="251662336" behindDoc="0" locked="0" layoutInCell="1" allowOverlap="1">
            <wp:simplePos x="0" y="0"/>
            <wp:positionH relativeFrom="column">
              <wp:posOffset>1802130</wp:posOffset>
            </wp:positionH>
            <wp:positionV relativeFrom="page">
              <wp:posOffset>4250055</wp:posOffset>
            </wp:positionV>
            <wp:extent cx="3779520" cy="5072380"/>
            <wp:effectExtent l="0" t="0" r="11430" b="13970"/>
            <wp:wrapSquare wrapText="bothSides"/>
            <wp:docPr id="16" name="图片 13" descr="C:\Users\Administrator\Desktop\西山纲要修改\p66.pngp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3" descr="C:\Users\Administrator\Desktop\西山纲要修改\p66.pngp66"/>
                    <pic:cNvPicPr>
                      <a:picLocks noChangeAspect="1"/>
                    </pic:cNvPicPr>
                  </pic:nvPicPr>
                  <pic:blipFill>
                    <a:blip r:embed="rId23"/>
                    <a:srcRect/>
                    <a:stretch>
                      <a:fillRect/>
                    </a:stretch>
                  </pic:blipFill>
                  <pic:spPr>
                    <a:xfrm>
                      <a:off x="0" y="0"/>
                      <a:ext cx="3779520" cy="5072380"/>
                    </a:xfrm>
                    <a:prstGeom prst="rect">
                      <a:avLst/>
                    </a:prstGeom>
                    <a:noFill/>
                    <a:ln>
                      <a:noFill/>
                    </a:ln>
                  </pic:spPr>
                </pic:pic>
              </a:graphicData>
            </a:graphic>
          </wp:anchor>
        </w:drawing>
      </w:r>
      <w:r>
        <w:rPr>
          <w:rFonts w:eastAsia="仿宋_GB2312"/>
          <w:color w:val="000000" w:themeColor="text1"/>
          <w:sz w:val="32"/>
          <w:szCs w:val="32"/>
          <w14:textFill>
            <w14:solidFill>
              <w14:schemeClr w14:val="tx1"/>
            </w14:solidFill>
          </w14:textFill>
        </w:rPr>
        <w:t>围绕老螺蛳湾、云纺、万达、南亚风情第壹城、昆钢、云投等重要节点所在中心城区打造</w:t>
      </w:r>
      <w:r>
        <w:rPr>
          <w:rFonts w:eastAsia="仿宋_GB2312"/>
          <w:b/>
          <w:bCs/>
          <w:color w:val="000000" w:themeColor="text1"/>
          <w:sz w:val="32"/>
          <w:szCs w:val="32"/>
          <w14:textFill>
            <w14:solidFill>
              <w14:schemeClr w14:val="tx1"/>
            </w14:solidFill>
          </w14:textFill>
        </w:rPr>
        <w:t>主城核心区组团</w:t>
      </w:r>
      <w:r>
        <w:rPr>
          <w:rFonts w:eastAsia="仿宋_GB2312"/>
          <w:color w:val="000000" w:themeColor="text1"/>
          <w:sz w:val="32"/>
          <w:szCs w:val="32"/>
          <w14:textFill>
            <w14:solidFill>
              <w14:schemeClr w14:val="tx1"/>
            </w14:solidFill>
          </w14:textFill>
        </w:rPr>
        <w:t>；围绕草海、西山风景区等重要节点，依托融创昆明文旅城推进会议、康养、文旅产业发展，打造</w:t>
      </w:r>
      <w:r>
        <w:rPr>
          <w:rFonts w:eastAsia="仿宋_GB2312"/>
          <w:b/>
          <w:bCs/>
          <w:color w:val="000000" w:themeColor="text1"/>
          <w:sz w:val="32"/>
          <w:szCs w:val="32"/>
          <w14:textFill>
            <w14:solidFill>
              <w14:schemeClr w14:val="tx1"/>
            </w14:solidFill>
          </w14:textFill>
        </w:rPr>
        <w:t>会客厅组团</w:t>
      </w:r>
      <w:r>
        <w:rPr>
          <w:rFonts w:eastAsia="仿宋_GB2312"/>
          <w:color w:val="000000" w:themeColor="text1"/>
          <w:sz w:val="32"/>
          <w:szCs w:val="32"/>
          <w14:textFill>
            <w14:solidFill>
              <w14:schemeClr w14:val="tx1"/>
            </w14:solidFill>
          </w14:textFill>
        </w:rPr>
        <w:t>；围绕春雨路、杭瑞高速、地铁三号线、高铁辐射带，含长坡产业新城、渝昆高铁昆明西客站综合交通枢纽、西部长途汽车站、工业遗址等重要节点，打造</w:t>
      </w:r>
      <w:r>
        <w:rPr>
          <w:rFonts w:eastAsia="仿宋_GB2312"/>
          <w:bCs/>
          <w:color w:val="000000" w:themeColor="text1"/>
          <w:sz w:val="32"/>
          <w:szCs w:val="32"/>
          <w14:textFill>
            <w14:solidFill>
              <w14:schemeClr w14:val="tx1"/>
            </w14:solidFill>
          </w14:textFill>
        </w:rPr>
        <w:t>西门户组团</w:t>
      </w:r>
      <w:r>
        <w:rPr>
          <w:rFonts w:eastAsia="仿宋_GB2312"/>
          <w:color w:val="000000" w:themeColor="text1"/>
          <w:sz w:val="32"/>
          <w:szCs w:val="32"/>
          <w14:textFill>
            <w14:solidFill>
              <w14:schemeClr w14:val="tx1"/>
            </w14:solidFill>
          </w14:textFill>
        </w:rPr>
        <w:t>；围绕海口工业园打造</w:t>
      </w:r>
      <w:r>
        <w:rPr>
          <w:rFonts w:eastAsia="仿宋_GB2312"/>
          <w:b/>
          <w:bCs/>
          <w:color w:val="000000" w:themeColor="text1"/>
          <w:sz w:val="32"/>
          <w:szCs w:val="32"/>
          <w14:textFill>
            <w14:solidFill>
              <w14:schemeClr w14:val="tx1"/>
            </w14:solidFill>
          </w14:textFill>
        </w:rPr>
        <w:t>卫星城组团</w:t>
      </w:r>
      <w:r>
        <w:rPr>
          <w:rFonts w:eastAsia="仿宋_GB2312"/>
          <w:color w:val="000000" w:themeColor="text1"/>
          <w:sz w:val="32"/>
          <w:szCs w:val="32"/>
          <w14:textFill>
            <w14:solidFill>
              <w14:schemeClr w14:val="tx1"/>
            </w14:solidFill>
          </w14:textFill>
        </w:rPr>
        <w:t>；围绕团结中心镇区打造</w:t>
      </w:r>
      <w:r>
        <w:rPr>
          <w:rFonts w:eastAsia="仿宋_GB2312"/>
          <w:b/>
          <w:bCs/>
          <w:color w:val="000000" w:themeColor="text1"/>
          <w:sz w:val="32"/>
          <w:szCs w:val="32"/>
          <w14:textFill>
            <w14:solidFill>
              <w14:schemeClr w14:val="tx1"/>
            </w14:solidFill>
          </w14:textFill>
        </w:rPr>
        <w:t>风情镇组团</w:t>
      </w:r>
      <w:r>
        <w:rPr>
          <w:rFonts w:eastAsia="仿宋_GB2312"/>
          <w:color w:val="000000" w:themeColor="text1"/>
          <w:sz w:val="32"/>
          <w:szCs w:val="32"/>
          <w14:textFill>
            <w14:solidFill>
              <w14:schemeClr w14:val="tx1"/>
            </w14:solidFill>
          </w14:textFill>
        </w:rPr>
        <w:t>；围绕花红园社区打造</w:t>
      </w:r>
      <w:r>
        <w:rPr>
          <w:rFonts w:eastAsia="仿宋_GB2312"/>
          <w:b/>
          <w:bCs/>
          <w:color w:val="000000" w:themeColor="text1"/>
          <w:sz w:val="32"/>
          <w:szCs w:val="32"/>
          <w14:textFill>
            <w14:solidFill>
              <w14:schemeClr w14:val="tx1"/>
            </w14:solidFill>
          </w14:textFill>
        </w:rPr>
        <w:t>后花园组团</w:t>
      </w:r>
      <w:r>
        <w:rPr>
          <w:rFonts w:eastAsia="仿宋_GB2312"/>
          <w:color w:val="000000" w:themeColor="text1"/>
          <w:sz w:val="32"/>
          <w:szCs w:val="32"/>
          <w14:textFill>
            <w14:solidFill>
              <w14:schemeClr w14:val="tx1"/>
            </w14:solidFill>
          </w14:textFill>
        </w:rPr>
        <w:t>。提升运营以主城核心区组团、会客厅组团为核心的都市经济组团，优化打造以西门户组团、卫星城组团为核心的县域经济组团，规划培育以风情镇组团、后花园组团为核心的特色小城镇组团。六组团在科创文创绿创融合发展轴、数字经济与金融结算引领服务贸易发展轴以及沿滇新经济新生活体验带、生态康旅特色小城镇体验带、特色乡村民族风情体验带的传导辐射带动下，实现人流、物流、信息流、资金流的快速流通，充分带动西山区都市、县域、镇域、乡村四层经济融合发展，为全域高质量快速发展创造作战空间。</w:t>
      </w:r>
      <w:bookmarkStart w:id="322" w:name="_Toc61644804"/>
      <w:bookmarkStart w:id="323" w:name="_Toc26994"/>
      <w:bookmarkStart w:id="324" w:name="_Toc30494"/>
      <w:bookmarkStart w:id="325" w:name="_Toc28641"/>
      <w:bookmarkStart w:id="326" w:name="_Toc11430"/>
      <w:bookmarkStart w:id="327" w:name="_Toc28574"/>
      <w:bookmarkStart w:id="328" w:name="_Toc6171"/>
      <w:bookmarkStart w:id="329" w:name="_Toc1862"/>
      <w:bookmarkStart w:id="330" w:name="_Toc4701"/>
      <w:bookmarkStart w:id="331" w:name="_Toc18231"/>
    </w:p>
    <w:p w14:paraId="752B618D">
      <w:pPr>
        <w:pStyle w:val="13"/>
        <w:topLinePunct/>
        <w:spacing w:after="0" w:line="540" w:lineRule="exact"/>
        <w:jc w:val="center"/>
        <w:rPr>
          <w:rFonts w:eastAsia="黑体"/>
          <w:b/>
          <w:sz w:val="32"/>
          <w:szCs w:val="32"/>
        </w:rPr>
      </w:pPr>
      <w:r>
        <w:rPr>
          <w:rFonts w:eastAsia="黑体"/>
          <w:sz w:val="32"/>
          <w:szCs w:val="32"/>
        </w:rPr>
        <w:t>第七章 构建新型城乡关系，增强新发展支撑</w:t>
      </w:r>
      <w:bookmarkEnd w:id="322"/>
    </w:p>
    <w:p w14:paraId="7421022A">
      <w:pPr>
        <w:topLinePunct/>
        <w:spacing w:line="540" w:lineRule="exact"/>
        <w:ind w:firstLine="640"/>
        <w:rPr>
          <w:rFonts w:eastAsia="仿宋_GB2312"/>
          <w:color w:val="000000" w:themeColor="text1"/>
          <w:sz w:val="32"/>
          <w:szCs w:val="32"/>
          <w14:textFill>
            <w14:solidFill>
              <w14:schemeClr w14:val="tx1"/>
            </w14:solidFill>
          </w14:textFill>
        </w:rPr>
      </w:pPr>
      <w:bookmarkStart w:id="332" w:name="_Toc31887"/>
      <w:bookmarkStart w:id="333" w:name="_Toc23001"/>
      <w:r>
        <w:rPr>
          <w:rFonts w:eastAsia="仿宋_GB2312"/>
          <w:color w:val="000000" w:themeColor="text1"/>
          <w:sz w:val="32"/>
          <w:szCs w:val="32"/>
          <w14:textFill>
            <w14:solidFill>
              <w14:schemeClr w14:val="tx1"/>
            </w14:solidFill>
          </w14:textFill>
        </w:rPr>
        <w:t>全面实施乡村振兴战略，推动农业全面升级、农村全面进步、农民全面发展，积极构建工农互促、城乡互补、协调发展、共同繁荣的新型工农城乡关系，加快农业农村现代化。</w:t>
      </w:r>
      <w:bookmarkStart w:id="334" w:name="_Toc61644805"/>
    </w:p>
    <w:p w14:paraId="317E5BD4">
      <w:pPr>
        <w:topLinePunct/>
        <w:spacing w:line="540" w:lineRule="exact"/>
        <w:ind w:firstLine="640"/>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一、全面实施乡村振兴战略</w:t>
      </w:r>
      <w:bookmarkEnd w:id="332"/>
      <w:bookmarkEnd w:id="333"/>
      <w:bookmarkEnd w:id="334"/>
    </w:p>
    <w:p w14:paraId="71762B24">
      <w:pPr>
        <w:topLinePunct/>
        <w:spacing w:line="54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（一）围绕“产业兴旺”推动产业振兴</w:t>
      </w:r>
    </w:p>
    <w:p w14:paraId="7A0BEC31">
      <w:pPr>
        <w:topLinePunct/>
        <w:autoSpaceDE w:val="0"/>
        <w:spacing w:line="540" w:lineRule="exact"/>
        <w:ind w:firstLine="640"/>
        <w:rPr>
          <w:rFonts w:eastAsia="仿宋_GB2312"/>
          <w:bCs/>
          <w:color w:val="000000" w:themeColor="text1"/>
          <w:sz w:val="32"/>
          <w:szCs w:val="32"/>
          <w14:textFill>
            <w14:solidFill>
              <w14:schemeClr w14:val="tx1"/>
            </w14:solidFill>
          </w14:textFill>
        </w:rPr>
      </w:pPr>
      <w:r>
        <w:rPr>
          <w:rFonts w:eastAsia="仿宋_GB2312"/>
          <w:bCs/>
          <w:color w:val="000000" w:themeColor="text1"/>
          <w:sz w:val="32"/>
          <w:szCs w:val="32"/>
          <w14:textFill>
            <w14:solidFill>
              <w14:schemeClr w14:val="tx1"/>
            </w14:solidFill>
          </w14:textFill>
        </w:rPr>
        <w:t>加快构建高原特色都市现代农业产业体系、生产体系和经营体系，推进乡村产业全面振兴。</w:t>
      </w:r>
      <w:r>
        <w:rPr>
          <w:rFonts w:eastAsia="仿宋_GB2312"/>
          <w:b/>
          <w:bCs/>
          <w:color w:val="000000" w:themeColor="text1"/>
          <w:sz w:val="32"/>
          <w:szCs w:val="32"/>
          <w14:textFill>
            <w14:solidFill>
              <w14:schemeClr w14:val="tx1"/>
            </w14:solidFill>
          </w14:textFill>
        </w:rPr>
        <w:t>推动农产品加工业持续壮大。</w:t>
      </w:r>
      <w:r>
        <w:rPr>
          <w:rFonts w:eastAsia="仿宋_GB2312"/>
          <w:bCs/>
          <w:color w:val="000000" w:themeColor="text1"/>
          <w:sz w:val="32"/>
          <w:szCs w:val="32"/>
          <w14:textFill>
            <w14:solidFill>
              <w14:schemeClr w14:val="tx1"/>
            </w14:solidFill>
          </w14:textFill>
        </w:rPr>
        <w:t>支持巩固特色花卉、绿色蔬菜、生态苗木、安全食用菌、生态养殖等特色产业基地发展，大力推动特色果蔬、优质中药材、香料、肉禽蛋奶等深加工产业发展，引导鼓励非浓缩还原（NFC）果汁饮料、中药饮片（颗粒）等细分行业发展。鼓励农业龙头企业和农产品加工领军企业向优势产区和关键物流节点集聚。到2025年，农产品加工业营业收入达到30亿元，农产品加工业与农业总产值比达到2</w:t>
      </w:r>
      <w:r>
        <w:rPr>
          <w:bCs/>
          <w:color w:val="000000" w:themeColor="text1"/>
          <w:sz w:val="32"/>
          <w:szCs w:val="32"/>
          <w14:textFill>
            <w14:solidFill>
              <w14:schemeClr w14:val="tx1"/>
            </w14:solidFill>
          </w14:textFill>
        </w:rPr>
        <w:t>:</w:t>
      </w:r>
      <w:r>
        <w:rPr>
          <w:rFonts w:eastAsia="仿宋_GB2312"/>
          <w:bCs/>
          <w:color w:val="000000" w:themeColor="text1"/>
          <w:sz w:val="32"/>
          <w:szCs w:val="32"/>
          <w14:textFill>
            <w14:solidFill>
              <w14:schemeClr w14:val="tx1"/>
            </w14:solidFill>
          </w14:textFill>
        </w:rPr>
        <w:t>1，主要农产品加工转化率达到60%。</w:t>
      </w:r>
      <w:r>
        <w:rPr>
          <w:rFonts w:eastAsia="仿宋_GB2312"/>
          <w:b/>
          <w:bCs/>
          <w:color w:val="000000" w:themeColor="text1"/>
          <w:sz w:val="32"/>
          <w:szCs w:val="32"/>
          <w14:textFill>
            <w14:solidFill>
              <w14:schemeClr w14:val="tx1"/>
            </w14:solidFill>
          </w14:textFill>
        </w:rPr>
        <w:t>深度拓展乡村特色产业。</w:t>
      </w:r>
      <w:r>
        <w:rPr>
          <w:rFonts w:eastAsia="仿宋_GB2312"/>
          <w:bCs/>
          <w:color w:val="000000" w:themeColor="text1"/>
          <w:sz w:val="32"/>
          <w:szCs w:val="32"/>
          <w14:textFill>
            <w14:solidFill>
              <w14:schemeClr w14:val="tx1"/>
            </w14:solidFill>
          </w14:textFill>
        </w:rPr>
        <w:t>加大对龙头企业、都市农庄、农民专业合作社等新型农业经营主体支持力度，培育一批优势特色农业产业集群，创建一批田园综合体、现代农业产业园。创响一批“乡字号”“土字号”乡土品牌；到2025年，绿色食品、有机农产品和国家地理标志产品认证数量累计达到15个。</w:t>
      </w:r>
      <w:r>
        <w:rPr>
          <w:rFonts w:eastAsia="仿宋_GB2312"/>
          <w:b/>
          <w:bCs/>
          <w:color w:val="000000" w:themeColor="text1"/>
          <w:sz w:val="32"/>
          <w:szCs w:val="32"/>
          <w14:textFill>
            <w14:solidFill>
              <w14:schemeClr w14:val="tx1"/>
            </w14:solidFill>
          </w14:textFill>
        </w:rPr>
        <w:t>促进乡村休闲旅游业优化升级。</w:t>
      </w:r>
      <w:r>
        <w:rPr>
          <w:rFonts w:eastAsia="仿宋_GB2312"/>
          <w:bCs/>
          <w:color w:val="000000" w:themeColor="text1"/>
          <w:sz w:val="32"/>
          <w:szCs w:val="32"/>
          <w14:textFill>
            <w14:solidFill>
              <w14:schemeClr w14:val="tx1"/>
            </w14:solidFill>
          </w14:textFill>
        </w:rPr>
        <w:t>依托西山、滇池、乡村自然景观，推动乡村休闲旅游业优化升级。深度发掘农业多种功能和乡村多重价值，不断丰富生态采摘、众筹农场、都市农庄等业态类型。依托自然生态、民族文化、农耕文明和传统村落等资源，推进农业与旅游业的深度融合，在团结、海口、碧鸡打造一批乡村产业融合发展示范园、农业综合体。“十四五”期间力争创建为省级以上休闲农业和乡村旅游示范区。</w:t>
      </w:r>
      <w:r>
        <w:rPr>
          <w:rFonts w:eastAsia="仿宋_GB2312"/>
          <w:b/>
          <w:bCs/>
          <w:color w:val="000000" w:themeColor="text1"/>
          <w:sz w:val="32"/>
          <w:szCs w:val="32"/>
          <w14:textFill>
            <w14:solidFill>
              <w14:schemeClr w14:val="tx1"/>
            </w14:solidFill>
          </w14:textFill>
        </w:rPr>
        <w:t>丰富农村电商等乡村新型服务业。</w:t>
      </w:r>
      <w:r>
        <w:rPr>
          <w:rFonts w:eastAsia="仿宋_GB2312"/>
          <w:bCs/>
          <w:color w:val="000000" w:themeColor="text1"/>
          <w:sz w:val="32"/>
          <w:szCs w:val="32"/>
          <w14:textFill>
            <w14:solidFill>
              <w14:schemeClr w14:val="tx1"/>
            </w14:solidFill>
          </w14:textFill>
        </w:rPr>
        <w:t>支持引导乡村电商平台、快递配送网络建设，打造市级以上电子商务进乡村综合示范点。壮大农业生产经营新业态，大力发展农超对接、直供直销、连锁经营等新型流通服务业，推动农业科技服务、乡村养老及社区服务业发展，促进农林牧渔专业及辅助性服务业发展。</w:t>
      </w:r>
      <w:r>
        <w:rPr>
          <w:rFonts w:eastAsia="仿宋_GB2312"/>
          <w:b/>
          <w:bCs/>
          <w:color w:val="000000" w:themeColor="text1"/>
          <w:sz w:val="32"/>
          <w:szCs w:val="32"/>
          <w14:textFill>
            <w14:solidFill>
              <w14:schemeClr w14:val="tx1"/>
            </w14:solidFill>
          </w14:textFill>
        </w:rPr>
        <w:t>活跃乡村创新创业。</w:t>
      </w:r>
      <w:r>
        <w:rPr>
          <w:rFonts w:eastAsia="仿宋_GB2312"/>
          <w:bCs/>
          <w:color w:val="000000" w:themeColor="text1"/>
          <w:sz w:val="32"/>
          <w:szCs w:val="32"/>
          <w14:textFill>
            <w14:solidFill>
              <w14:schemeClr w14:val="tx1"/>
            </w14:solidFill>
          </w14:textFill>
        </w:rPr>
        <w:t>扶持发展一批扎根乡村、服务农业、带动农民的创新创业群体，培育乡村企业家队伍，推进农业产业化和乡村产业融合发展；搭建一批乡村创业平台，创建现代农业创业园、科技园，建设孵化实训基地和市级以上“星创天地”。</w:t>
      </w:r>
    </w:p>
    <w:tbl>
      <w:tblPr>
        <w:tblStyle w:val="43"/>
        <w:tblW w:w="88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73"/>
      </w:tblGrid>
      <w:tr w14:paraId="2F4BA2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3" w:hRule="atLeast"/>
          <w:jc w:val="center"/>
        </w:trPr>
        <w:tc>
          <w:tcPr>
            <w:tcW w:w="8873" w:type="dxa"/>
            <w:vAlign w:val="center"/>
          </w:tcPr>
          <w:p w14:paraId="79251B6A">
            <w:pPr>
              <w:topLinePunct/>
              <w:jc w:val="center"/>
              <w:rPr>
                <w:b/>
                <w:bCs/>
                <w:color w:val="000000" w:themeColor="text1"/>
                <w:sz w:val="28"/>
                <w:szCs w:val="28"/>
                <w14:textFill>
                  <w14:solidFill>
                    <w14:schemeClr w14:val="tx1"/>
                  </w14:solidFill>
                </w14:textFill>
              </w:rPr>
            </w:pPr>
            <w:r>
              <w:rPr>
                <w:rFonts w:eastAsia="黑体"/>
                <w:color w:val="000000" w:themeColor="text1"/>
                <w:sz w:val="28"/>
                <w:szCs w:val="28"/>
                <w14:textFill>
                  <w14:solidFill>
                    <w14:schemeClr w14:val="tx1"/>
                  </w14:solidFill>
                </w14:textFill>
              </w:rPr>
              <w:t>专栏18 乡村产业振兴重大工程</w:t>
            </w:r>
          </w:p>
        </w:tc>
      </w:tr>
      <w:tr w14:paraId="11A01B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873" w:type="dxa"/>
          </w:tcPr>
          <w:p w14:paraId="01128E7F">
            <w:pPr>
              <w:topLinePunct/>
              <w:rPr>
                <w:rFonts w:eastAsia="仿宋_GB2312"/>
                <w:b/>
                <w:bCs/>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农村产业特色发展示范区建设工程。</w:t>
            </w:r>
            <w:r>
              <w:rPr>
                <w:rFonts w:eastAsia="仿宋_GB2312"/>
                <w:bCs/>
                <w:color w:val="000000" w:themeColor="text1"/>
                <w:sz w:val="24"/>
                <w14:textFill>
                  <w14:solidFill>
                    <w14:schemeClr w14:val="tx1"/>
                  </w14:solidFill>
                </w14:textFill>
              </w:rPr>
              <w:t>依托“三品一标”认证等工作，打响一批“乡字号”“土字号”乡土品牌</w:t>
            </w:r>
            <w:r>
              <w:rPr>
                <w:rFonts w:eastAsia="仿宋_GB2312"/>
                <w:color w:val="000000" w:themeColor="text1"/>
                <w:sz w:val="24"/>
                <w14:textFill>
                  <w14:solidFill>
                    <w14:schemeClr w14:val="tx1"/>
                  </w14:solidFill>
                </w14:textFill>
              </w:rPr>
              <w:t>，打造现代农业产业园和农村产业融合发展示范区。</w:t>
            </w:r>
          </w:p>
          <w:p w14:paraId="4614F06B">
            <w:pPr>
              <w:topLinePunct/>
              <w:rPr>
                <w:rFonts w:eastAsia="仿宋_GB2312"/>
                <w:b/>
                <w:bCs/>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省级乡村振兴示范区创建工程。</w:t>
            </w:r>
            <w:r>
              <w:rPr>
                <w:rFonts w:eastAsia="仿宋_GB2312"/>
                <w:bCs/>
                <w:color w:val="000000" w:themeColor="text1"/>
                <w:sz w:val="24"/>
                <w14:textFill>
                  <w14:solidFill>
                    <w14:schemeClr w14:val="tx1"/>
                  </w14:solidFill>
                </w14:textFill>
              </w:rPr>
              <w:t>依托西山、滇池自然景观及田园风光、农业资源，丰富生态采摘、众筹农场、都市农庄等业态类型，</w:t>
            </w:r>
            <w:r>
              <w:rPr>
                <w:rFonts w:eastAsia="仿宋_GB2312"/>
                <w:color w:val="000000" w:themeColor="text1"/>
                <w:sz w:val="24"/>
                <w14:textFill>
                  <w14:solidFill>
                    <w14:schemeClr w14:val="tx1"/>
                  </w14:solidFill>
                </w14:textFill>
              </w:rPr>
              <w:t>建立绿色标准化核心示范基地，加快“绿色食品牌”产业基地建设。</w:t>
            </w:r>
          </w:p>
          <w:p w14:paraId="5FFBCD5C">
            <w:pPr>
              <w:topLinePunct/>
              <w:rPr>
                <w:rFonts w:eastAsia="仿宋_GB2312"/>
                <w:bCs/>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国家电子商务进农村综合示范工程。</w:t>
            </w:r>
            <w:r>
              <w:rPr>
                <w:rFonts w:eastAsia="仿宋_GB2312"/>
                <w:color w:val="000000" w:themeColor="text1"/>
                <w:sz w:val="24"/>
                <w14:textFill>
                  <w14:solidFill>
                    <w14:schemeClr w14:val="tx1"/>
                  </w14:solidFill>
                </w14:textFill>
              </w:rPr>
              <w:t>全面实施国家电子商务进农村综合示范工程项目，加大农村电商发展力度，进一步完善电商服务体系及专业园区建设。探索建设农村电子商</w:t>
            </w:r>
            <w:r>
              <w:rPr>
                <w:rFonts w:eastAsia="仿宋_GB2312"/>
                <w:bCs/>
                <w:color w:val="000000" w:themeColor="text1"/>
                <w:sz w:val="24"/>
                <w14:textFill>
                  <w14:solidFill>
                    <w14:schemeClr w14:val="tx1"/>
                  </w14:solidFill>
                </w14:textFill>
              </w:rPr>
              <w:t>务大数据中心平台，进一步拓展“互联网+农业”，推动新一轮科技下乡行动。</w:t>
            </w:r>
          </w:p>
          <w:p w14:paraId="74715747">
            <w:pPr>
              <w:topLinePunct/>
              <w:rPr>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培育新型农业经营主体。</w:t>
            </w:r>
            <w:r>
              <w:rPr>
                <w:rFonts w:eastAsia="仿宋_GB2312"/>
                <w:color w:val="000000" w:themeColor="text1"/>
                <w:sz w:val="24"/>
                <w14:textFill>
                  <w14:solidFill>
                    <w14:schemeClr w14:val="tx1"/>
                  </w14:solidFill>
                </w14:textFill>
              </w:rPr>
              <w:t>着力培育一批产业关联度大、带动能力强的农业龙头企业；鼓励发展多种形式的农民合作社；引导有一定规模的种养大户成立家庭农场；积极培育新型农民和现代职业农民；支持大中专院校毕业生和农业科技人员从事农业创业。形成以农户家庭经营为基础、合作与联合为纽带、社会化服务为支撑的立体式复合型现代农业经营体系。</w:t>
            </w:r>
          </w:p>
        </w:tc>
      </w:tr>
    </w:tbl>
    <w:p w14:paraId="230D265D">
      <w:pPr>
        <w:topLinePunct/>
        <w:spacing w:line="560" w:lineRule="exact"/>
        <w:ind w:firstLine="640" w:firstLineChars="20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（二）围绕“生态宜居”推动生态振兴</w:t>
      </w:r>
    </w:p>
    <w:p w14:paraId="57297917">
      <w:pPr>
        <w:topLinePunct/>
        <w:autoSpaceDE w:val="0"/>
        <w:spacing w:line="560" w:lineRule="exact"/>
        <w:ind w:firstLine="640" w:firstLineChars="200"/>
        <w:rPr>
          <w:rFonts w:eastAsia="仿宋_GB2312"/>
          <w:bCs/>
          <w:color w:val="000000" w:themeColor="text1"/>
          <w:sz w:val="32"/>
          <w:szCs w:val="32"/>
          <w14:textFill>
            <w14:solidFill>
              <w14:schemeClr w14:val="tx1"/>
            </w14:solidFill>
          </w14:textFill>
        </w:rPr>
      </w:pPr>
      <w:r>
        <w:rPr>
          <w:rFonts w:eastAsia="仿宋_GB2312"/>
          <w:bCs/>
          <w:color w:val="000000" w:themeColor="text1"/>
          <w:sz w:val="32"/>
          <w:szCs w:val="32"/>
          <w14:textFill>
            <w14:solidFill>
              <w14:schemeClr w14:val="tx1"/>
            </w14:solidFill>
          </w14:textFill>
        </w:rPr>
        <w:t>推进农业绿色发展，优化乡村生态环境。持续深化各级各类美丽乡村示范创建，“十四五”期间，累计建成乡村振兴美丽宜居示范村不少于50个。</w:t>
      </w:r>
      <w:r>
        <w:rPr>
          <w:rFonts w:eastAsia="仿宋_GB2312"/>
          <w:b/>
          <w:bCs/>
          <w:color w:val="000000" w:themeColor="text1"/>
          <w:sz w:val="32"/>
          <w:szCs w:val="32"/>
          <w14:textFill>
            <w14:solidFill>
              <w14:schemeClr w14:val="tx1"/>
            </w14:solidFill>
          </w14:textFill>
        </w:rPr>
        <w:t>乡村基础设施提档升级。</w:t>
      </w:r>
      <w:r>
        <w:rPr>
          <w:rFonts w:eastAsia="仿宋_GB2312"/>
          <w:bCs/>
          <w:color w:val="000000" w:themeColor="text1"/>
          <w:sz w:val="32"/>
          <w:szCs w:val="32"/>
          <w14:textFill>
            <w14:solidFill>
              <w14:schemeClr w14:val="tx1"/>
            </w14:solidFill>
          </w14:textFill>
        </w:rPr>
        <w:t>补齐乡村基础设施短板，促进乡村基础设施提档升级。推进完善建—管—养—运一体的“四好农村路”建设，全面完成“美丽公路”改造提升工程。巩固提升农村饮水安全保障水平，加大农田水利网络和“最后一公里”水利工程建设。大力开发太阳能、沼气等乡村绿色能源。加快物联网、地理信息、智能设备等现代信息技术与乡村生产生活的全面深度融合。</w:t>
      </w:r>
      <w:r>
        <w:rPr>
          <w:rFonts w:eastAsia="仿宋_GB2312"/>
          <w:b/>
          <w:bCs/>
          <w:color w:val="000000" w:themeColor="text1"/>
          <w:sz w:val="32"/>
          <w:szCs w:val="32"/>
          <w14:textFill>
            <w14:solidFill>
              <w14:schemeClr w14:val="tx1"/>
            </w14:solidFill>
          </w14:textFill>
        </w:rPr>
        <w:t>推动农业农村绿色发展。</w:t>
      </w:r>
      <w:r>
        <w:rPr>
          <w:rFonts w:eastAsia="仿宋_GB2312"/>
          <w:bCs/>
          <w:color w:val="000000" w:themeColor="text1"/>
          <w:sz w:val="32"/>
          <w:szCs w:val="32"/>
          <w14:textFill>
            <w14:solidFill>
              <w14:schemeClr w14:val="tx1"/>
            </w14:solidFill>
          </w14:textFill>
        </w:rPr>
        <w:t>推进农业清洁生产，积极推进农业节水行动、耕地保量提质行动、农业绿色生产行动，大力实施农药减量增效工程、有机肥增施替代工程、地膜减量替代工程，做好农业面源污染防治。深入推进农村“两污”治理。加快推进“厕所革命”，全面推进村容村貌改善，持续改善乡村人居环境。</w:t>
      </w:r>
      <w:r>
        <w:rPr>
          <w:rFonts w:eastAsia="仿宋_GB2312"/>
          <w:b/>
          <w:bCs/>
          <w:color w:val="000000" w:themeColor="text1"/>
          <w:sz w:val="32"/>
          <w:szCs w:val="32"/>
          <w14:textFill>
            <w14:solidFill>
              <w14:schemeClr w14:val="tx1"/>
            </w14:solidFill>
          </w14:textFill>
        </w:rPr>
        <w:t>加强生态治理和乡村环境保护。</w:t>
      </w:r>
      <w:r>
        <w:rPr>
          <w:rFonts w:eastAsia="仿宋_GB2312"/>
          <w:bCs/>
          <w:color w:val="000000" w:themeColor="text1"/>
          <w:sz w:val="32"/>
          <w:szCs w:val="32"/>
          <w14:textFill>
            <w14:solidFill>
              <w14:schemeClr w14:val="tx1"/>
            </w14:solidFill>
          </w14:textFill>
        </w:rPr>
        <w:t>加强生态系统保护与修复，提升生态资源价值。实施重大生态修复工程，建立统一管护体系，切实加强林业资源保护管理。严格落实自然保护区、风景名胜区、森林公园、湿地公园等各类保护地保护制度。</w:t>
      </w:r>
    </w:p>
    <w:tbl>
      <w:tblPr>
        <w:tblStyle w:val="43"/>
        <w:tblW w:w="88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73"/>
      </w:tblGrid>
      <w:tr w14:paraId="408D46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3" w:hRule="atLeast"/>
          <w:jc w:val="center"/>
        </w:trPr>
        <w:tc>
          <w:tcPr>
            <w:tcW w:w="8873" w:type="dxa"/>
            <w:vAlign w:val="center"/>
          </w:tcPr>
          <w:p w14:paraId="3C54F9A4">
            <w:pPr>
              <w:topLinePunct/>
              <w:jc w:val="center"/>
              <w:rPr>
                <w:b/>
                <w:bCs/>
                <w:color w:val="000000" w:themeColor="text1"/>
                <w:sz w:val="28"/>
                <w:szCs w:val="28"/>
                <w14:textFill>
                  <w14:solidFill>
                    <w14:schemeClr w14:val="tx1"/>
                  </w14:solidFill>
                </w14:textFill>
              </w:rPr>
            </w:pPr>
            <w:r>
              <w:rPr>
                <w:rFonts w:eastAsia="黑体"/>
                <w:color w:val="000000" w:themeColor="text1"/>
                <w:sz w:val="28"/>
                <w:szCs w:val="28"/>
                <w14:textFill>
                  <w14:solidFill>
                    <w14:schemeClr w14:val="tx1"/>
                  </w14:solidFill>
                </w14:textFill>
              </w:rPr>
              <w:t>专栏19 乡村生态振兴重大工程</w:t>
            </w:r>
          </w:p>
        </w:tc>
      </w:tr>
      <w:tr w14:paraId="4D1218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873" w:type="dxa"/>
          </w:tcPr>
          <w:p w14:paraId="4AF04866">
            <w:pPr>
              <w:topLinePunct/>
              <w:rPr>
                <w:rFonts w:eastAsia="仿宋_GB2312"/>
                <w:bCs/>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农村公共基础设施扩能提质工程。</w:t>
            </w:r>
            <w:r>
              <w:rPr>
                <w:rFonts w:eastAsia="仿宋_GB2312"/>
                <w:color w:val="000000" w:themeColor="text1"/>
                <w:sz w:val="24"/>
                <w14:textFill>
                  <w14:solidFill>
                    <w14:schemeClr w14:val="tx1"/>
                  </w14:solidFill>
                </w14:textFill>
              </w:rPr>
              <w:t>推进“美丽公路”改造提升工程，</w:t>
            </w:r>
            <w:r>
              <w:rPr>
                <w:rFonts w:eastAsia="仿宋_GB2312"/>
                <w:bCs/>
                <w:color w:val="000000" w:themeColor="text1"/>
                <w:sz w:val="24"/>
                <w14:textFill>
                  <w14:solidFill>
                    <w14:schemeClr w14:val="tx1"/>
                  </w14:solidFill>
                </w14:textFill>
              </w:rPr>
              <w:t>推进城区至乡镇（街道）道路、乡镇（街道）之间道路提档升级。</w:t>
            </w:r>
          </w:p>
          <w:p w14:paraId="69C954B0">
            <w:pPr>
              <w:topLinePunct/>
              <w:rPr>
                <w:rFonts w:eastAsia="仿宋_GB2312"/>
                <w:b/>
                <w:bCs/>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“最后一公里”水利工程。</w:t>
            </w:r>
            <w:r>
              <w:rPr>
                <w:rFonts w:eastAsia="仿宋_GB2312"/>
                <w:bCs/>
                <w:color w:val="000000" w:themeColor="text1"/>
                <w:sz w:val="24"/>
                <w14:textFill>
                  <w14:solidFill>
                    <w14:schemeClr w14:val="tx1"/>
                  </w14:solidFill>
                </w14:textFill>
              </w:rPr>
              <w:t>实施地表水型饮用水水源地清理整治、不达标水源水质改善、千吨万人饮用水水源地保护。</w:t>
            </w:r>
          </w:p>
          <w:p w14:paraId="441C70AC">
            <w:pPr>
              <w:topLinePunct/>
              <w:rPr>
                <w:rFonts w:eastAsia="仿宋_GB2312"/>
                <w:b/>
                <w:bCs/>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实施农药减量增效工程、有机肥增施替代工程、地膜减量替代工程。</w:t>
            </w:r>
            <w:r>
              <w:rPr>
                <w:rFonts w:eastAsia="仿宋_GB2312"/>
                <w:color w:val="000000" w:themeColor="text1"/>
                <w:sz w:val="24"/>
                <w14:textFill>
                  <w14:solidFill>
                    <w14:schemeClr w14:val="tx1"/>
                  </w14:solidFill>
                </w14:textFill>
              </w:rPr>
              <w:t>推进农业清洁生产，积极推进农业节水行动、耕地保量提质行动、农业绿色生产行动。</w:t>
            </w:r>
          </w:p>
          <w:p w14:paraId="358A336D">
            <w:pPr>
              <w:topLinePunct/>
              <w:rPr>
                <w:rFonts w:eastAsia="仿宋_GB2312"/>
                <w:b/>
                <w:bCs/>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农村垃圾分类和处理工程、农村生活污水处理工程、农村“厕所革命”工程。</w:t>
            </w:r>
            <w:r>
              <w:rPr>
                <w:rFonts w:eastAsia="仿宋_GB2312"/>
                <w:color w:val="000000" w:themeColor="text1"/>
                <w:sz w:val="24"/>
                <w14:textFill>
                  <w14:solidFill>
                    <w14:schemeClr w14:val="tx1"/>
                  </w14:solidFill>
                </w14:textFill>
              </w:rPr>
              <w:t>加快推进农村生活垃圾分类和资源化利用，实现农村生活垃圾分类乡村全覆盖，完善农村垃圾处理模式，建设一批乡村垃圾焚烧炉。加强农村生活污水治理，推进农村“厕所革命”。推进城镇污水处理设施和服务向城镇近郊的农村延伸，农村生活污水处理设施基本实现全覆盖。加快推进农村无害化卫生户厕改造建设，全面建立和完善厕所建设运营管理机制。</w:t>
            </w:r>
          </w:p>
          <w:p w14:paraId="06F86038">
            <w:pPr>
              <w:topLinePunct/>
              <w:rPr>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重大生态修复工程。</w:t>
            </w:r>
            <w:r>
              <w:rPr>
                <w:rFonts w:eastAsia="仿宋_GB2312"/>
                <w:color w:val="000000" w:themeColor="text1"/>
                <w:sz w:val="24"/>
                <w14:textFill>
                  <w14:solidFill>
                    <w14:schemeClr w14:val="tx1"/>
                  </w14:solidFill>
                </w14:textFill>
              </w:rPr>
              <w:t>着力推进高原湿地、滇池流域环境保护与修复工程。建立统一管护体系，切实加强林业资源保护管理。</w:t>
            </w:r>
          </w:p>
        </w:tc>
      </w:tr>
    </w:tbl>
    <w:p w14:paraId="5EDCAF63">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（三）围绕“乡风文明”推动文化振兴</w:t>
      </w:r>
    </w:p>
    <w:p w14:paraId="5EA415C0">
      <w:pPr>
        <w:topLinePunct/>
        <w:autoSpaceDE w:val="0"/>
        <w:spacing w:line="560" w:lineRule="exact"/>
        <w:ind w:firstLine="640"/>
        <w:rPr>
          <w:rFonts w:eastAsia="仿宋_GB2312"/>
          <w:bCs/>
          <w:color w:val="000000" w:themeColor="text1"/>
          <w:sz w:val="32"/>
          <w:szCs w:val="32"/>
          <w14:textFill>
            <w14:solidFill>
              <w14:schemeClr w14:val="tx1"/>
            </w14:solidFill>
          </w14:textFill>
        </w:rPr>
      </w:pPr>
      <w:r>
        <w:rPr>
          <w:rFonts w:eastAsia="仿宋_GB2312"/>
          <w:bCs/>
          <w:color w:val="000000" w:themeColor="text1"/>
          <w:sz w:val="32"/>
          <w:szCs w:val="32"/>
          <w14:textFill>
            <w14:solidFill>
              <w14:schemeClr w14:val="tx1"/>
            </w14:solidFill>
          </w14:textFill>
        </w:rPr>
        <w:t>以乡风文明为抓手，全面推进村民思想道德、乡村精神文明建设，健全公共文化服务体系，促进优秀文化保护开发。</w:t>
      </w:r>
      <w:r>
        <w:rPr>
          <w:rFonts w:eastAsia="仿宋_GB2312"/>
          <w:b/>
          <w:bCs/>
          <w:color w:val="000000" w:themeColor="text1"/>
          <w:sz w:val="32"/>
          <w:szCs w:val="32"/>
          <w14:textFill>
            <w14:solidFill>
              <w14:schemeClr w14:val="tx1"/>
            </w14:solidFill>
          </w14:textFill>
        </w:rPr>
        <w:t>全面推进乡村思想道德建设。</w:t>
      </w:r>
      <w:r>
        <w:rPr>
          <w:rFonts w:eastAsia="仿宋_GB2312"/>
          <w:bCs/>
          <w:color w:val="000000" w:themeColor="text1"/>
          <w:sz w:val="32"/>
          <w:szCs w:val="32"/>
          <w14:textFill>
            <w14:solidFill>
              <w14:schemeClr w14:val="tx1"/>
            </w14:solidFill>
          </w14:textFill>
        </w:rPr>
        <w:t>完善文化科技卫生“三下乡”长效机制。积极培育新乡贤，倡导诚信道德规范。深化文明乡村创建活动，推动村规民约全覆盖。</w:t>
      </w:r>
      <w:r>
        <w:rPr>
          <w:rFonts w:eastAsia="仿宋_GB2312"/>
          <w:b/>
          <w:bCs/>
          <w:color w:val="000000" w:themeColor="text1"/>
          <w:sz w:val="32"/>
          <w:szCs w:val="32"/>
          <w14:textFill>
            <w14:solidFill>
              <w14:schemeClr w14:val="tx1"/>
            </w14:solidFill>
          </w14:textFill>
        </w:rPr>
        <w:t>健全公共文化服务体系。</w:t>
      </w:r>
      <w:r>
        <w:rPr>
          <w:rFonts w:eastAsia="仿宋_GB2312"/>
          <w:bCs/>
          <w:color w:val="000000" w:themeColor="text1"/>
          <w:sz w:val="32"/>
          <w:szCs w:val="32"/>
          <w14:textFill>
            <w14:solidFill>
              <w14:schemeClr w14:val="tx1"/>
            </w14:solidFill>
          </w14:textFill>
        </w:rPr>
        <w:t>构建现代乡村公共文化服务体系，涉农街道、社区公共文化设施全覆盖。继续开展群众喜闻乐见的乡村文艺活动，推动文化惠民、电影下乡和民族节庆活动，形成“一地一特色”的乡村文化格局。</w:t>
      </w:r>
      <w:r>
        <w:rPr>
          <w:rFonts w:eastAsia="仿宋_GB2312"/>
          <w:b/>
          <w:bCs/>
          <w:color w:val="000000" w:themeColor="text1"/>
          <w:sz w:val="32"/>
          <w:szCs w:val="32"/>
          <w14:textFill>
            <w14:solidFill>
              <w14:schemeClr w14:val="tx1"/>
            </w14:solidFill>
          </w14:textFill>
        </w:rPr>
        <w:t>强化优秀乡村文化保护开发。</w:t>
      </w:r>
      <w:r>
        <w:rPr>
          <w:rFonts w:eastAsia="仿宋_GB2312"/>
          <w:bCs/>
          <w:color w:val="000000" w:themeColor="text1"/>
          <w:sz w:val="32"/>
          <w:szCs w:val="32"/>
          <w14:textFill>
            <w14:solidFill>
              <w14:schemeClr w14:val="tx1"/>
            </w14:solidFill>
          </w14:textFill>
        </w:rPr>
        <w:t>保护传承乡村优秀传统文化，做好团结乐居村等传统村落、历史文化名村的保护和开发。结合乡村资源禀赋、地域人文、产业特色、村落形态，盘活地方特色和民族文化资源。挖掘彝族、白族、苗族等少数民族传统优秀文化，发展民族服饰、民间工艺品、民俗节庆及娱乐等特色文化产业。</w:t>
      </w:r>
    </w:p>
    <w:tbl>
      <w:tblPr>
        <w:tblStyle w:val="43"/>
        <w:tblW w:w="88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73"/>
      </w:tblGrid>
      <w:tr w14:paraId="772F2B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3" w:hRule="atLeast"/>
          <w:jc w:val="center"/>
        </w:trPr>
        <w:tc>
          <w:tcPr>
            <w:tcW w:w="8873" w:type="dxa"/>
            <w:vAlign w:val="center"/>
          </w:tcPr>
          <w:p w14:paraId="5FF333CD">
            <w:pPr>
              <w:topLinePunct/>
              <w:jc w:val="center"/>
              <w:rPr>
                <w:b/>
                <w:bCs/>
                <w:color w:val="000000" w:themeColor="text1"/>
                <w:sz w:val="28"/>
                <w:szCs w:val="28"/>
                <w14:textFill>
                  <w14:solidFill>
                    <w14:schemeClr w14:val="tx1"/>
                  </w14:solidFill>
                </w14:textFill>
              </w:rPr>
            </w:pPr>
            <w:r>
              <w:rPr>
                <w:rFonts w:eastAsia="黑体"/>
                <w:color w:val="000000" w:themeColor="text1"/>
                <w:sz w:val="28"/>
                <w:szCs w:val="28"/>
                <w14:textFill>
                  <w14:solidFill>
                    <w14:schemeClr w14:val="tx1"/>
                  </w14:solidFill>
                </w14:textFill>
              </w:rPr>
              <w:t>专栏20 乡村文化振兴重大工程</w:t>
            </w:r>
          </w:p>
        </w:tc>
      </w:tr>
      <w:tr w14:paraId="6AB40C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873" w:type="dxa"/>
          </w:tcPr>
          <w:p w14:paraId="488C11B0">
            <w:pPr>
              <w:topLinePunct/>
              <w:rPr>
                <w:rFonts w:eastAsia="仿宋_GB2312"/>
                <w:b/>
                <w:bCs/>
                <w:color w:val="000000" w:themeColor="text1"/>
                <w14:textFill>
                  <w14:solidFill>
                    <w14:schemeClr w14:val="tx1"/>
                  </w14:solidFill>
                </w14:textFill>
              </w:rPr>
            </w:pPr>
            <w:r>
              <w:rPr>
                <w:rFonts w:eastAsia="仿宋_GB2312"/>
                <w:b/>
                <w:bCs/>
                <w:color w:val="000000" w:themeColor="text1"/>
                <w:sz w:val="24"/>
                <w14:textFill>
                  <w14:solidFill>
                    <w14:schemeClr w14:val="tx1"/>
                  </w14:solidFill>
                </w14:textFill>
              </w:rPr>
              <w:t>新时代新思想实践实训基地。</w:t>
            </w:r>
            <w:r>
              <w:rPr>
                <w:rFonts w:eastAsia="仿宋_GB2312"/>
                <w:color w:val="000000" w:themeColor="text1"/>
                <w:sz w:val="24"/>
                <w14:textFill>
                  <w14:solidFill>
                    <w14:schemeClr w14:val="tx1"/>
                  </w14:solidFill>
                </w14:textFill>
              </w:rPr>
              <w:t>完善宣讲人才库，创建一批学习贯彻习近平新时代中国特色社会主义思想实践实训基地。</w:t>
            </w:r>
          </w:p>
          <w:p w14:paraId="67B51AE6">
            <w:pPr>
              <w:topLinePunct/>
              <w:rPr>
                <w:rFonts w:eastAsia="仿宋_GB2312"/>
                <w:b/>
                <w:bCs/>
                <w:color w:val="000000" w:themeColor="text1"/>
                <w14:textFill>
                  <w14:solidFill>
                    <w14:schemeClr w14:val="tx1"/>
                  </w14:solidFill>
                </w14:textFill>
              </w:rPr>
            </w:pPr>
            <w:r>
              <w:rPr>
                <w:rFonts w:eastAsia="仿宋_GB2312"/>
                <w:b/>
                <w:bCs/>
                <w:color w:val="000000" w:themeColor="text1"/>
                <w:sz w:val="24"/>
                <w14:textFill>
                  <w14:solidFill>
                    <w14:schemeClr w14:val="tx1"/>
                  </w14:solidFill>
                </w14:textFill>
              </w:rPr>
              <w:t>社会主义核心价值观“五进”活动。</w:t>
            </w:r>
            <w:r>
              <w:rPr>
                <w:rFonts w:eastAsia="仿宋_GB2312"/>
                <w:color w:val="000000" w:themeColor="text1"/>
                <w:sz w:val="24"/>
                <w14:textFill>
                  <w14:solidFill>
                    <w14:schemeClr w14:val="tx1"/>
                  </w14:solidFill>
                </w14:textFill>
              </w:rPr>
              <w:t>持续推进社会主义核心价值观在农村进小广场、进公房、进校园、进宗教场所、进家庭“五进”活动。</w:t>
            </w:r>
          </w:p>
          <w:p w14:paraId="045C4ADD">
            <w:pPr>
              <w:topLinePunct/>
              <w:rPr>
                <w:rFonts w:eastAsia="仿宋_GB2312"/>
                <w:b/>
                <w:bCs/>
                <w:color w:val="000000" w:themeColor="text1"/>
                <w14:textFill>
                  <w14:solidFill>
                    <w14:schemeClr w14:val="tx1"/>
                  </w14:solidFill>
                </w14:textFill>
              </w:rPr>
            </w:pPr>
            <w:r>
              <w:rPr>
                <w:rFonts w:eastAsia="仿宋_GB2312"/>
                <w:b/>
                <w:bCs/>
                <w:color w:val="000000" w:themeColor="text1"/>
                <w:sz w:val="24"/>
                <w14:textFill>
                  <w14:solidFill>
                    <w14:schemeClr w14:val="tx1"/>
                  </w14:solidFill>
                </w14:textFill>
              </w:rPr>
              <w:t>“诚信西山”工程。</w:t>
            </w:r>
            <w:r>
              <w:rPr>
                <w:rFonts w:eastAsia="仿宋_GB2312"/>
                <w:bCs/>
                <w:color w:val="000000" w:themeColor="text1"/>
                <w:sz w:val="24"/>
                <w14:textFill>
                  <w14:solidFill>
                    <w14:schemeClr w14:val="tx1"/>
                  </w14:solidFill>
                </w14:textFill>
              </w:rPr>
              <w:t>推动</w:t>
            </w:r>
            <w:r>
              <w:rPr>
                <w:rFonts w:eastAsia="仿宋_GB2312"/>
                <w:color w:val="000000" w:themeColor="text1"/>
                <w:sz w:val="24"/>
                <w14:textFill>
                  <w14:solidFill>
                    <w14:schemeClr w14:val="tx1"/>
                  </w14:solidFill>
                </w14:textFill>
              </w:rPr>
              <w:t>守信激励和失信惩戒机制向农村延伸。</w:t>
            </w:r>
          </w:p>
          <w:p w14:paraId="326C1EA4">
            <w:pPr>
              <w:topLinePunct/>
              <w:rPr>
                <w:rFonts w:eastAsia="仿宋_GB2312"/>
                <w:b/>
                <w:bCs/>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公共文化服务全覆盖工程。</w:t>
            </w:r>
            <w:r>
              <w:rPr>
                <w:rFonts w:eastAsia="仿宋_GB2312"/>
                <w:color w:val="000000" w:themeColor="text1"/>
                <w:sz w:val="24"/>
                <w14:textFill>
                  <w14:solidFill>
                    <w14:schemeClr w14:val="tx1"/>
                  </w14:solidFill>
                </w14:textFill>
              </w:rPr>
              <w:t>进一步推进</w:t>
            </w:r>
            <w:r>
              <w:rPr>
                <w:rFonts w:eastAsia="仿宋_GB2312"/>
                <w:bCs/>
                <w:color w:val="000000" w:themeColor="text1"/>
                <w:sz w:val="24"/>
                <w14:textFill>
                  <w14:solidFill>
                    <w14:schemeClr w14:val="tx1"/>
                  </w14:solidFill>
                </w14:textFill>
              </w:rPr>
              <w:t>乡镇和行政村两级图书馆（室）、档案馆（室）、村史馆（室）和文化中心（室）建设</w:t>
            </w:r>
            <w:r>
              <w:rPr>
                <w:rFonts w:eastAsia="仿宋_GB2312"/>
                <w:color w:val="000000" w:themeColor="text1"/>
                <w:sz w:val="24"/>
                <w14:textFill>
                  <w14:solidFill>
                    <w14:schemeClr w14:val="tx1"/>
                  </w14:solidFill>
                </w14:textFill>
              </w:rPr>
              <w:t>。</w:t>
            </w:r>
          </w:p>
          <w:p w14:paraId="1A1B691D">
            <w:pPr>
              <w:topLinePunct/>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文化下乡工程。</w:t>
            </w:r>
            <w:r>
              <w:rPr>
                <w:rFonts w:eastAsia="仿宋_GB2312"/>
                <w:color w:val="000000" w:themeColor="text1"/>
                <w:sz w:val="24"/>
                <w14:textFill>
                  <w14:solidFill>
                    <w14:schemeClr w14:val="tx1"/>
                  </w14:solidFill>
                </w14:textFill>
              </w:rPr>
              <w:t>继续推动文化下乡、艺术下乡、电影下乡，并探索提供“菜单式、订单式”服务。</w:t>
            </w:r>
          </w:p>
          <w:p w14:paraId="1FFD0246">
            <w:pPr>
              <w:topLinePunct/>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名城、名镇、名村保护工程。</w:t>
            </w:r>
            <w:r>
              <w:rPr>
                <w:rFonts w:eastAsia="仿宋_GB2312"/>
                <w:color w:val="000000" w:themeColor="text1"/>
                <w:sz w:val="24"/>
                <w14:textFill>
                  <w14:solidFill>
                    <w14:schemeClr w14:val="tx1"/>
                  </w14:solidFill>
                </w14:textFill>
              </w:rPr>
              <w:t>传承保护农耕文化，做好历史文化名城、名镇、名村（街）及传统村落的保护开发和新荐申报工作。</w:t>
            </w:r>
          </w:p>
          <w:p w14:paraId="7D81B378">
            <w:pPr>
              <w:topLinePunct/>
              <w:rPr>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文化传承人培育工程。</w:t>
            </w:r>
            <w:r>
              <w:rPr>
                <w:rFonts w:eastAsia="仿宋_GB2312"/>
                <w:color w:val="000000" w:themeColor="text1"/>
                <w:sz w:val="24"/>
                <w14:textFill>
                  <w14:solidFill>
                    <w14:schemeClr w14:val="tx1"/>
                  </w14:solidFill>
                </w14:textFill>
              </w:rPr>
              <w:t>推出一批本土化民族文化传承带头人、非遗传承人、国家和省级工艺美术大师，打造“土专家”梯队；支持“新乡绅”培育项目。</w:t>
            </w:r>
          </w:p>
        </w:tc>
      </w:tr>
    </w:tbl>
    <w:p w14:paraId="67B1590F">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（四）围绕“治理有效”构建乡村善治格局</w:t>
      </w:r>
    </w:p>
    <w:p w14:paraId="6DF5E990">
      <w:pPr>
        <w:topLinePunct/>
        <w:autoSpaceDE w:val="0"/>
        <w:spacing w:line="560" w:lineRule="exact"/>
        <w:ind w:firstLine="640"/>
        <w:rPr>
          <w:rFonts w:eastAsia="仿宋_GB2312"/>
          <w:bCs/>
          <w:color w:val="000000" w:themeColor="text1"/>
          <w:sz w:val="32"/>
          <w:szCs w:val="32"/>
          <w14:textFill>
            <w14:solidFill>
              <w14:schemeClr w14:val="tx1"/>
            </w14:solidFill>
          </w14:textFill>
        </w:rPr>
      </w:pPr>
      <w:r>
        <w:rPr>
          <w:rFonts w:eastAsia="仿宋_GB2312"/>
          <w:bCs/>
          <w:color w:val="000000" w:themeColor="text1"/>
          <w:sz w:val="32"/>
          <w:szCs w:val="32"/>
          <w14:textFill>
            <w14:solidFill>
              <w14:schemeClr w14:val="tx1"/>
            </w14:solidFill>
          </w14:textFill>
        </w:rPr>
        <w:t>建立健全现代乡村法治体系，夯实乡村振兴治理基础。</w:t>
      </w:r>
      <w:r>
        <w:rPr>
          <w:rFonts w:eastAsia="仿宋_GB2312"/>
          <w:b/>
          <w:bCs/>
          <w:color w:val="000000" w:themeColor="text1"/>
          <w:sz w:val="32"/>
          <w:szCs w:val="32"/>
          <w14:textFill>
            <w14:solidFill>
              <w14:schemeClr w14:val="tx1"/>
            </w14:solidFill>
          </w14:textFill>
        </w:rPr>
        <w:t>全面加强和改善党的领导。</w:t>
      </w:r>
      <w:r>
        <w:rPr>
          <w:rFonts w:eastAsia="仿宋_GB2312"/>
          <w:bCs/>
          <w:color w:val="000000" w:themeColor="text1"/>
          <w:sz w:val="32"/>
          <w:szCs w:val="32"/>
          <w14:textFill>
            <w14:solidFill>
              <w14:schemeClr w14:val="tx1"/>
            </w14:solidFill>
          </w14:textFill>
        </w:rPr>
        <w:t>以构建农村基层党组织为核心，以自治、法治、德治“三治结合”的现代乡村社会治理体系为重点，把夯实基层基础作为固本之策，建立健全党委领导、政府负责、社会协同、公众参与、法治保障的现代乡村社会治理体制。</w:t>
      </w:r>
      <w:r>
        <w:rPr>
          <w:rFonts w:eastAsia="仿宋_GB2312"/>
          <w:b/>
          <w:bCs/>
          <w:color w:val="000000" w:themeColor="text1"/>
          <w:sz w:val="32"/>
          <w:szCs w:val="32"/>
          <w14:textFill>
            <w14:solidFill>
              <w14:schemeClr w14:val="tx1"/>
            </w14:solidFill>
          </w14:textFill>
        </w:rPr>
        <w:t>加强乡村群众性自治组织建设。</w:t>
      </w:r>
      <w:r>
        <w:rPr>
          <w:rFonts w:eastAsia="仿宋_GB2312"/>
          <w:bCs/>
          <w:color w:val="000000" w:themeColor="text1"/>
          <w:sz w:val="32"/>
          <w:szCs w:val="32"/>
          <w14:textFill>
            <w14:solidFill>
              <w14:schemeClr w14:val="tx1"/>
            </w14:solidFill>
          </w14:textFill>
        </w:rPr>
        <w:t>进一步规范村务公开程序，实现村务事项事前、事中、事后全覆盖。完善乡村法律体系，强化道德教化作用，形成办事依法、遇事找法、解决问题用法、化解矛盾靠法的良好乡村法治环境。</w:t>
      </w:r>
      <w:r>
        <w:rPr>
          <w:rFonts w:eastAsia="仿宋_GB2312"/>
          <w:b/>
          <w:bCs/>
          <w:color w:val="000000" w:themeColor="text1"/>
          <w:sz w:val="32"/>
          <w:szCs w:val="32"/>
          <w14:textFill>
            <w14:solidFill>
              <w14:schemeClr w14:val="tx1"/>
            </w14:solidFill>
          </w14:textFill>
        </w:rPr>
        <w:t>提升乡村法治和德治水平。</w:t>
      </w:r>
      <w:r>
        <w:rPr>
          <w:rFonts w:eastAsia="仿宋_GB2312"/>
          <w:bCs/>
          <w:color w:val="000000" w:themeColor="text1"/>
          <w:sz w:val="32"/>
          <w:szCs w:val="32"/>
          <w14:textFill>
            <w14:solidFill>
              <w14:schemeClr w14:val="tx1"/>
            </w14:solidFill>
          </w14:textFill>
        </w:rPr>
        <w:t>以法治推进乡村治理建设。培育弘扬社会主义核心价值观，改善乡村社会风气，建立村民自愿遵守的行为准则，以德治提升乡村治理水平。</w:t>
      </w:r>
    </w:p>
    <w:tbl>
      <w:tblPr>
        <w:tblStyle w:val="43"/>
        <w:tblW w:w="88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73"/>
      </w:tblGrid>
      <w:tr w14:paraId="05F540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73" w:type="dxa"/>
          </w:tcPr>
          <w:p w14:paraId="48CFF521">
            <w:pPr>
              <w:topLinePunct/>
              <w:ind w:firstLine="2240" w:firstLineChars="800"/>
              <w:rPr>
                <w:b/>
                <w:bCs/>
                <w:color w:val="000000" w:themeColor="text1"/>
                <w:sz w:val="28"/>
                <w:szCs w:val="28"/>
                <w14:textFill>
                  <w14:solidFill>
                    <w14:schemeClr w14:val="tx1"/>
                  </w14:solidFill>
                </w14:textFill>
              </w:rPr>
            </w:pPr>
            <w:r>
              <w:rPr>
                <w:rFonts w:eastAsia="黑体"/>
                <w:color w:val="000000" w:themeColor="text1"/>
                <w:sz w:val="28"/>
                <w:szCs w:val="28"/>
                <w14:textFill>
                  <w14:solidFill>
                    <w14:schemeClr w14:val="tx1"/>
                  </w14:solidFill>
                </w14:textFill>
              </w:rPr>
              <w:t>专栏21 乡村组织振兴重大工程</w:t>
            </w:r>
          </w:p>
        </w:tc>
      </w:tr>
      <w:tr w14:paraId="49AD0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30" w:hRule="atLeast"/>
          <w:jc w:val="center"/>
        </w:trPr>
        <w:tc>
          <w:tcPr>
            <w:tcW w:w="8873" w:type="dxa"/>
          </w:tcPr>
          <w:p w14:paraId="1EB32777">
            <w:pPr>
              <w:topLinePunct/>
              <w:rPr>
                <w:rFonts w:eastAsia="仿宋_GB2312"/>
                <w:b/>
                <w:bCs/>
                <w:color w:val="000000" w:themeColor="text1"/>
                <w14:textFill>
                  <w14:solidFill>
                    <w14:schemeClr w14:val="tx1"/>
                  </w14:solidFill>
                </w14:textFill>
              </w:rPr>
            </w:pPr>
            <w:r>
              <w:rPr>
                <w:rFonts w:eastAsia="仿宋_GB2312"/>
                <w:b/>
                <w:bCs/>
                <w:color w:val="000000" w:themeColor="text1"/>
                <w:sz w:val="24"/>
                <w14:textFill>
                  <w14:solidFill>
                    <w14:schemeClr w14:val="tx1"/>
                  </w14:solidFill>
                </w14:textFill>
              </w:rPr>
              <w:t>以党建带群团组织建设工程。</w:t>
            </w:r>
            <w:r>
              <w:rPr>
                <w:rFonts w:eastAsia="仿宋_GB2312"/>
                <w:color w:val="000000" w:themeColor="text1"/>
                <w:sz w:val="24"/>
                <w14:textFill>
                  <w14:solidFill>
                    <w14:schemeClr w14:val="tx1"/>
                  </w14:solidFill>
                </w14:textFill>
              </w:rPr>
              <w:t>加强乡镇机关事业单位、农村新型经济组织和社会组织党建工作，坚持党建带群团组织建设。</w:t>
            </w:r>
          </w:p>
          <w:p w14:paraId="12D0373A">
            <w:pPr>
              <w:topLinePunct/>
              <w:rPr>
                <w:rFonts w:eastAsia="仿宋_GB2312"/>
                <w:b/>
                <w:bCs/>
                <w:color w:val="000000" w:themeColor="text1"/>
                <w14:textFill>
                  <w14:solidFill>
                    <w14:schemeClr w14:val="tx1"/>
                  </w14:solidFill>
                </w14:textFill>
              </w:rPr>
            </w:pPr>
            <w:r>
              <w:rPr>
                <w:rFonts w:eastAsia="仿宋_GB2312"/>
                <w:b/>
                <w:bCs/>
                <w:color w:val="000000" w:themeColor="text1"/>
                <w:sz w:val="24"/>
                <w14:textFill>
                  <w14:solidFill>
                    <w14:schemeClr w14:val="tx1"/>
                  </w14:solidFill>
                </w14:textFill>
              </w:rPr>
              <w:t>乡村“领头雁”培养工程。</w:t>
            </w:r>
            <w:r>
              <w:rPr>
                <w:rFonts w:eastAsia="仿宋_GB2312"/>
                <w:color w:val="000000" w:themeColor="text1"/>
                <w:sz w:val="24"/>
                <w14:textFill>
                  <w14:solidFill>
                    <w14:schemeClr w14:val="tx1"/>
                  </w14:solidFill>
                </w14:textFill>
              </w:rPr>
              <w:t>加强带头人队伍建设，深化农村“领头雁”培养工程，加强乡镇领导班子和干部队伍建设。</w:t>
            </w:r>
          </w:p>
          <w:p w14:paraId="338DEEE6">
            <w:pPr>
              <w:topLinePunct/>
              <w:rPr>
                <w:rFonts w:eastAsia="仿宋_GB2312"/>
                <w:b/>
                <w:bCs/>
                <w:color w:val="000000" w:themeColor="text1"/>
                <w14:textFill>
                  <w14:solidFill>
                    <w14:schemeClr w14:val="tx1"/>
                  </w14:solidFill>
                </w14:textFill>
              </w:rPr>
            </w:pPr>
            <w:r>
              <w:rPr>
                <w:rFonts w:eastAsia="仿宋_GB2312"/>
                <w:b/>
                <w:bCs/>
                <w:color w:val="000000" w:themeColor="text1"/>
                <w:sz w:val="24"/>
                <w14:textFill>
                  <w14:solidFill>
                    <w14:schemeClr w14:val="tx1"/>
                  </w14:solidFill>
                </w14:textFill>
              </w:rPr>
              <w:t>平安乡村建设工程。</w:t>
            </w:r>
            <w:r>
              <w:rPr>
                <w:rFonts w:eastAsia="仿宋_GB2312"/>
                <w:color w:val="000000" w:themeColor="text1"/>
                <w:sz w:val="24"/>
                <w14:textFill>
                  <w14:solidFill>
                    <w14:schemeClr w14:val="tx1"/>
                  </w14:solidFill>
                </w14:textFill>
              </w:rPr>
              <w:t>开展以村民小组或自然村为基本单元的村民自治试点工作，完善“一事一议”“四议两公开”等基层议事制度，推进“爱心超市”“动力小站”建设。</w:t>
            </w:r>
          </w:p>
          <w:p w14:paraId="0C59964A">
            <w:pPr>
              <w:topLinePunct/>
              <w:rPr>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民主法治示范村创建工程。</w:t>
            </w:r>
            <w:r>
              <w:rPr>
                <w:rFonts w:eastAsia="仿宋_GB2312"/>
                <w:color w:val="000000" w:themeColor="text1"/>
                <w:sz w:val="24"/>
                <w14:textFill>
                  <w14:solidFill>
                    <w14:schemeClr w14:val="tx1"/>
                  </w14:solidFill>
                </w14:textFill>
              </w:rPr>
              <w:t>巩固和深化民主法治示范村创建活动。</w:t>
            </w:r>
          </w:p>
        </w:tc>
      </w:tr>
    </w:tbl>
    <w:p w14:paraId="2657C1BE">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（五）围绕“生活富裕”推动人才振兴</w:t>
      </w:r>
    </w:p>
    <w:p w14:paraId="452DEC6F">
      <w:pPr>
        <w:topLinePunct/>
        <w:autoSpaceDE w:val="0"/>
        <w:spacing w:line="560" w:lineRule="exact"/>
        <w:ind w:firstLine="641"/>
        <w:rPr>
          <w:rFonts w:eastAsia="仿宋_GB2312"/>
          <w:bCs/>
          <w:color w:val="000000" w:themeColor="text1"/>
          <w:sz w:val="32"/>
          <w:szCs w:val="32"/>
          <w14:textFill>
            <w14:solidFill>
              <w14:schemeClr w14:val="tx1"/>
            </w14:solidFill>
          </w14:textFill>
        </w:rPr>
      </w:pPr>
      <w:r>
        <w:rPr>
          <w:rFonts w:eastAsia="仿宋_GB2312"/>
          <w:bCs/>
          <w:color w:val="000000" w:themeColor="text1"/>
          <w:sz w:val="32"/>
          <w:szCs w:val="32"/>
          <w14:textFill>
            <w14:solidFill>
              <w14:schemeClr w14:val="tx1"/>
            </w14:solidFill>
          </w14:textFill>
        </w:rPr>
        <w:t>加快培育专业技能人才，丰富完善乡村人才结构，拓宽农民增收渠道。</w:t>
      </w:r>
      <w:r>
        <w:rPr>
          <w:rFonts w:eastAsia="仿宋_GB2312"/>
          <w:b/>
          <w:bCs/>
          <w:color w:val="000000" w:themeColor="text1"/>
          <w:sz w:val="32"/>
          <w:szCs w:val="32"/>
          <w14:textFill>
            <w14:solidFill>
              <w14:schemeClr w14:val="tx1"/>
            </w14:solidFill>
          </w14:textFill>
        </w:rPr>
        <w:t>加快培育专业技能人才。</w:t>
      </w:r>
      <w:r>
        <w:rPr>
          <w:rFonts w:eastAsia="仿宋_GB2312"/>
          <w:bCs/>
          <w:color w:val="000000" w:themeColor="text1"/>
          <w:sz w:val="32"/>
          <w:szCs w:val="32"/>
          <w14:textFill>
            <w14:solidFill>
              <w14:schemeClr w14:val="tx1"/>
            </w14:solidFill>
          </w14:textFill>
        </w:rPr>
        <w:t>打造乡村人才队伍，加大专业技术、高技能人才、经营管理和“双创”人才引进培养力度，推进“科技下乡、人才下沉”行动。鼓励农业龙头企业、专业合作社等新型农业经营主体发挥优势，建立农科院校实训基地和乡村创业孵化基地，开展新型职业农民的培养。</w:t>
      </w:r>
      <w:r>
        <w:rPr>
          <w:rFonts w:eastAsia="仿宋_GB2312"/>
          <w:b/>
          <w:bCs/>
          <w:color w:val="000000" w:themeColor="text1"/>
          <w:sz w:val="32"/>
          <w:szCs w:val="32"/>
          <w14:textFill>
            <w14:solidFill>
              <w14:schemeClr w14:val="tx1"/>
            </w14:solidFill>
          </w14:textFill>
        </w:rPr>
        <w:t>打造“一懂两爱”干部队伍。</w:t>
      </w:r>
      <w:r>
        <w:rPr>
          <w:rFonts w:eastAsia="仿宋_GB2312"/>
          <w:bCs/>
          <w:color w:val="000000" w:themeColor="text1"/>
          <w:sz w:val="32"/>
          <w:szCs w:val="32"/>
          <w14:textFill>
            <w14:solidFill>
              <w14:schemeClr w14:val="tx1"/>
            </w14:solidFill>
          </w14:textFill>
        </w:rPr>
        <w:t>健全“一村两委”班子，打造一支“懂农业、爱乡村、爱农民”的乡村工作干部队伍；加快推进乡村振兴智库建设，集聚打造乡村振兴人才高地。</w:t>
      </w:r>
      <w:r>
        <w:rPr>
          <w:rFonts w:eastAsia="仿宋_GB2312"/>
          <w:b/>
          <w:bCs/>
          <w:color w:val="000000" w:themeColor="text1"/>
          <w:sz w:val="32"/>
          <w:szCs w:val="32"/>
          <w14:textFill>
            <w14:solidFill>
              <w14:schemeClr w14:val="tx1"/>
            </w14:solidFill>
          </w14:textFill>
        </w:rPr>
        <w:t>丰富完善乡村人才结构。</w:t>
      </w:r>
      <w:r>
        <w:rPr>
          <w:rFonts w:eastAsia="仿宋_GB2312"/>
          <w:bCs/>
          <w:color w:val="000000" w:themeColor="text1"/>
          <w:sz w:val="32"/>
          <w:szCs w:val="32"/>
          <w14:textFill>
            <w14:solidFill>
              <w14:schemeClr w14:val="tx1"/>
            </w14:solidFill>
          </w14:textFill>
        </w:rPr>
        <w:t>实施“乡村本土人才学历提升工程”，大力培育“新村民”；发展一批带动能力强、有一技之长的“土专家”“田秀才”，扶持一批农业职业经理人、经纪人；依托乡村丰富民族民俗资源，培育一批乡村工匠、文化能人、非物质文化遗产传承人。</w:t>
      </w:r>
      <w:r>
        <w:rPr>
          <w:rFonts w:eastAsia="仿宋_GB2312"/>
          <w:b/>
          <w:bCs/>
          <w:color w:val="000000" w:themeColor="text1"/>
          <w:sz w:val="32"/>
          <w:szCs w:val="32"/>
          <w14:textFill>
            <w14:solidFill>
              <w14:schemeClr w14:val="tx1"/>
            </w14:solidFill>
          </w14:textFill>
        </w:rPr>
        <w:t>拓展农民多层次收入渠道。</w:t>
      </w:r>
      <w:r>
        <w:rPr>
          <w:rFonts w:eastAsia="仿宋_GB2312"/>
          <w:bCs/>
          <w:color w:val="000000" w:themeColor="text1"/>
          <w:sz w:val="32"/>
          <w:szCs w:val="32"/>
          <w14:textFill>
            <w14:solidFill>
              <w14:schemeClr w14:val="tx1"/>
            </w14:solidFill>
          </w14:textFill>
        </w:rPr>
        <w:t>推进乡村创业就业平台建设，扩大乡村就业机会。畅通农村劳动力转移就业渠道，提高农民工资性收入；支持返乡农民工创业；引导融入城市更新和夜间经济发展，增加农民经营性收入；促进农民入股集体经济组织，健全现代经营主体与个体农户的利益联结机制，增加农民财产性收入；落实各类征地拆迁补偿补助政策，增加农民转移性收入。</w:t>
      </w:r>
    </w:p>
    <w:p w14:paraId="36958BED">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（六）巩固拓展脱贫攻坚成果</w:t>
      </w:r>
    </w:p>
    <w:p w14:paraId="5CB981E4">
      <w:pPr>
        <w:topLinePunct/>
        <w:autoSpaceDE w:val="0"/>
        <w:spacing w:line="560" w:lineRule="exact"/>
        <w:ind w:firstLine="641"/>
        <w:rPr>
          <w:rFonts w:eastAsia="仿宋_GB2312"/>
          <w:bCs/>
          <w:color w:val="000000" w:themeColor="text1"/>
          <w:sz w:val="32"/>
          <w:szCs w:val="32"/>
          <w14:textFill>
            <w14:solidFill>
              <w14:schemeClr w14:val="tx1"/>
            </w14:solidFill>
          </w14:textFill>
        </w:rPr>
      </w:pPr>
      <w:r>
        <w:rPr>
          <w:rFonts w:eastAsia="仿宋_GB2312"/>
          <w:bCs/>
          <w:color w:val="000000" w:themeColor="text1"/>
          <w:sz w:val="32"/>
          <w:szCs w:val="32"/>
          <w14:textFill>
            <w14:solidFill>
              <w14:schemeClr w14:val="tx1"/>
            </w14:solidFill>
          </w14:textFill>
        </w:rPr>
        <w:t>接续推进全面脱贫脱困与乡村振兴有效衔接，开展试点示范创建，坚决防止发生规模性返贫现象，确保帮扶政策保持稳定。加大现代农业产业带、产业园建设力度，强化产业对相对贫困人口的带动和辐射能力，提高相对贫困人群的产业组织化程度，带动群众增收致富。</w:t>
      </w:r>
      <w:r>
        <w:rPr>
          <w:rFonts w:eastAsia="仿宋_GB2312"/>
          <w:color w:val="000000" w:themeColor="text1"/>
          <w:sz w:val="32"/>
          <w:szCs w:val="32"/>
          <w14:textFill>
            <w14:solidFill>
              <w14:schemeClr w14:val="tx1"/>
            </w14:solidFill>
          </w14:textFill>
        </w:rPr>
        <w:t>加强相对贫困人口教育、医疗、养老等保障力度。加强相对贫困人口扶持与城乡最低生活保障制度的有效衔接，提升特殊人群的生活保障水平。</w:t>
      </w:r>
      <w:r>
        <w:rPr>
          <w:rFonts w:eastAsia="仿宋_GB2312"/>
          <w:bCs/>
          <w:color w:val="000000" w:themeColor="text1"/>
          <w:sz w:val="32"/>
          <w:szCs w:val="32"/>
          <w14:textFill>
            <w14:solidFill>
              <w14:schemeClr w14:val="tx1"/>
            </w14:solidFill>
          </w14:textFill>
        </w:rPr>
        <w:t>健全防止返贫监测帮扶机制，持续跟踪脱贫人口和边缘人口收入变化和“两不愁三保障”巩固情况，定期核查、及时发现、及时帮扶、动态清零。</w:t>
      </w:r>
      <w:bookmarkStart w:id="335" w:name="_Toc28611"/>
      <w:bookmarkStart w:id="336" w:name="_Toc8822"/>
      <w:bookmarkStart w:id="337" w:name="_Toc61644806"/>
    </w:p>
    <w:p w14:paraId="1BB0C7A2">
      <w:pPr>
        <w:topLinePunct/>
        <w:autoSpaceDE w:val="0"/>
        <w:spacing w:line="560" w:lineRule="exact"/>
        <w:ind w:firstLine="641"/>
        <w:rPr>
          <w:rFonts w:eastAsia="黑体"/>
          <w:b/>
          <w:color w:val="000000" w:themeColor="text1"/>
          <w:sz w:val="32"/>
          <w:szCs w:val="32"/>
          <w14:textFill>
            <w14:solidFill>
              <w14:schemeClr w14:val="tx1"/>
            </w14:solidFill>
          </w14:textFill>
        </w:rPr>
      </w:pPr>
      <w:r>
        <w:rPr>
          <w:rFonts w:eastAsia="黑体"/>
          <w:color w:val="000000" w:themeColor="text1"/>
          <w:sz w:val="32"/>
          <w:szCs w:val="32"/>
          <w14:textFill>
            <w14:solidFill>
              <w14:schemeClr w14:val="tx1"/>
            </w14:solidFill>
          </w14:textFill>
        </w:rPr>
        <w:t>二、加快推进城乡融合发展</w:t>
      </w:r>
      <w:bookmarkEnd w:id="335"/>
      <w:bookmarkEnd w:id="336"/>
      <w:bookmarkEnd w:id="337"/>
    </w:p>
    <w:p w14:paraId="0A935749">
      <w:pPr>
        <w:topLinePunct/>
        <w:spacing w:line="560" w:lineRule="exact"/>
        <w:ind w:firstLine="640"/>
        <w:rPr>
          <w:rFonts w:eastAsia="仿宋_GB2312"/>
          <w:bCs/>
          <w:color w:val="000000" w:themeColor="text1"/>
          <w:sz w:val="32"/>
          <w:szCs w:val="32"/>
          <w14:textFill>
            <w14:solidFill>
              <w14:schemeClr w14:val="tx1"/>
            </w14:solidFill>
          </w14:textFill>
        </w:rPr>
      </w:pPr>
      <w:r>
        <w:rPr>
          <w:rFonts w:eastAsia="仿宋_GB2312"/>
          <w:bCs/>
          <w:color w:val="000000" w:themeColor="text1"/>
          <w:sz w:val="32"/>
          <w:szCs w:val="32"/>
          <w14:textFill>
            <w14:solidFill>
              <w14:schemeClr w14:val="tx1"/>
            </w14:solidFill>
          </w14:textFill>
        </w:rPr>
        <w:t>突出以城带乡、以工促农，健全城乡融合发展体制机制，促进城乡生产要素双向自由流动和公共资源合理配置。</w:t>
      </w:r>
    </w:p>
    <w:p w14:paraId="6A310DCB">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（一）健全城乡要素高效合理配置的体制机制</w:t>
      </w:r>
    </w:p>
    <w:p w14:paraId="79D32353">
      <w:pPr>
        <w:topLinePunct/>
        <w:spacing w:line="560" w:lineRule="exact"/>
        <w:ind w:firstLine="640"/>
        <w:rPr>
          <w:rFonts w:eastAsia="仿宋_GB2312"/>
          <w:bCs/>
          <w:color w:val="000000" w:themeColor="text1"/>
          <w:sz w:val="32"/>
          <w:szCs w:val="32"/>
          <w14:textFill>
            <w14:solidFill>
              <w14:schemeClr w14:val="tx1"/>
            </w14:solidFill>
          </w14:textFill>
        </w:rPr>
      </w:pPr>
      <w:r>
        <w:rPr>
          <w:rFonts w:eastAsia="仿宋_GB2312"/>
          <w:bCs/>
          <w:color w:val="000000" w:themeColor="text1"/>
          <w:sz w:val="32"/>
          <w:szCs w:val="32"/>
          <w14:textFill>
            <w14:solidFill>
              <w14:schemeClr w14:val="tx1"/>
            </w14:solidFill>
          </w14:textFill>
        </w:rPr>
        <w:t>加快建立有利于城乡人才、资本、土地等要素充分流动并合理配置的体制机制，建立健全有利于城乡基础设施一体化发展、城乡基本公共服务普惠共享的体制机制。建立健全有利于工商资本投向乡村、促进乡村经济多元化发展的体制机制，通过土地作价入股和专业合作社、集体代持等方式，加强新型农业经营主体与分散农户的利益联结，健全有利于农民收入持续增长的体制机制。全方位促进城乡在空间规划、产业布局、市场建设等方面的统筹，通过加大行政村（社区）干部工资的财政保障力度、健全参与集体经济组织分工等方式，提高基层干部干事创业积极性。</w:t>
      </w:r>
    </w:p>
    <w:p w14:paraId="6C347148">
      <w:pPr>
        <w:topLinePunct/>
        <w:spacing w:line="560" w:lineRule="exact"/>
        <w:ind w:firstLine="640"/>
        <w:outlineLvl w:val="2"/>
        <w:rPr>
          <w:rFonts w:eastAsia="楷体_GB2312"/>
          <w:color w:val="000000" w:themeColor="text1"/>
          <w:sz w:val="32"/>
          <w:szCs w:val="32"/>
          <w14:textFill>
            <w14:solidFill>
              <w14:schemeClr w14:val="tx1"/>
            </w14:solidFill>
          </w14:textFill>
        </w:rPr>
      </w:pPr>
      <w:bookmarkStart w:id="338" w:name="_Toc10749"/>
      <w:bookmarkStart w:id="339" w:name="_Toc10308"/>
      <w:bookmarkStart w:id="340" w:name="_Toc8672"/>
      <w:bookmarkStart w:id="341" w:name="_Toc10670"/>
      <w:bookmarkStart w:id="342" w:name="_Toc37"/>
      <w:bookmarkStart w:id="343" w:name="_Toc29925"/>
      <w:bookmarkStart w:id="344" w:name="_Toc21812"/>
      <w:bookmarkStart w:id="345" w:name="_Toc14118"/>
      <w:bookmarkStart w:id="346" w:name="_Toc16539"/>
      <w:r>
        <w:rPr>
          <w:rFonts w:eastAsia="楷体_GB2312"/>
          <w:color w:val="000000" w:themeColor="text1"/>
          <w:sz w:val="32"/>
          <w:szCs w:val="32"/>
          <w14:textFill>
            <w14:solidFill>
              <w14:schemeClr w14:val="tx1"/>
            </w14:solidFill>
          </w14:textFill>
        </w:rPr>
        <w:t>（二）</w:t>
      </w:r>
      <w:bookmarkEnd w:id="338"/>
      <w:bookmarkEnd w:id="339"/>
      <w:bookmarkEnd w:id="340"/>
      <w:bookmarkEnd w:id="341"/>
      <w:bookmarkEnd w:id="342"/>
      <w:bookmarkEnd w:id="343"/>
      <w:bookmarkEnd w:id="344"/>
      <w:bookmarkEnd w:id="345"/>
      <w:bookmarkEnd w:id="346"/>
      <w:r>
        <w:rPr>
          <w:rFonts w:eastAsia="楷体_GB2312"/>
          <w:color w:val="000000" w:themeColor="text1"/>
          <w:sz w:val="32"/>
          <w:szCs w:val="32"/>
          <w14:textFill>
            <w14:solidFill>
              <w14:schemeClr w14:val="tx1"/>
            </w14:solidFill>
          </w14:textFill>
        </w:rPr>
        <w:t>推进产业多维融合，增强城乡经济动能</w:t>
      </w:r>
    </w:p>
    <w:p w14:paraId="4DDCF64E">
      <w:pPr>
        <w:topLinePunct/>
        <w:spacing w:line="560" w:lineRule="exact"/>
        <w:ind w:firstLine="640"/>
        <w:rPr>
          <w:bCs/>
          <w:color w:val="000000" w:themeColor="text1"/>
          <w:sz w:val="32"/>
          <w:szCs w:val="32"/>
          <w14:textFill>
            <w14:solidFill>
              <w14:schemeClr w14:val="tx1"/>
            </w14:solidFill>
          </w14:textFill>
        </w:rPr>
      </w:pPr>
      <w:r>
        <w:rPr>
          <w:rFonts w:eastAsia="仿宋_GB2312"/>
          <w:bCs/>
          <w:color w:val="000000" w:themeColor="text1"/>
          <w:sz w:val="32"/>
          <w:szCs w:val="32"/>
          <w14:textFill>
            <w14:solidFill>
              <w14:schemeClr w14:val="tx1"/>
            </w14:solidFill>
          </w14:textFill>
        </w:rPr>
        <w:t>激发农民进城的“正向城镇化”与市民入乡的“逆城镇化”双重动力，打造一批高质量都市农庄、田园综合体。以高原特色现代农业、新型工业、现代服务业“三产联动”促进产业兴旺，以生产、生活、生态“三生统筹”引领生态宜居，以自治化、法制化、德育化“三化驱动”提升乡风文明，以资源、资产、资本“三资重构”保障治理有效，以个体就业、家庭创业、机构兴业“三业并举”助推实现生活富裕，实现以新型城镇化、乡村振兴为双轮驱动，以城乡“三产、三生、三化、三资、三业”多维融合为路径和抓手，打造全市城乡融合发展样板区。</w:t>
      </w:r>
    </w:p>
    <w:p w14:paraId="24638190">
      <w:pPr>
        <w:topLinePunct/>
        <w:spacing w:line="560" w:lineRule="exact"/>
        <w:ind w:firstLine="640"/>
        <w:outlineLvl w:val="2"/>
        <w:rPr>
          <w:rFonts w:eastAsia="楷体_GB2312"/>
          <w:color w:val="000000" w:themeColor="text1"/>
          <w:sz w:val="32"/>
          <w:szCs w:val="32"/>
          <w14:textFill>
            <w14:solidFill>
              <w14:schemeClr w14:val="tx1"/>
            </w14:solidFill>
          </w14:textFill>
        </w:rPr>
      </w:pPr>
      <w:bookmarkStart w:id="347" w:name="_Toc31791"/>
      <w:bookmarkStart w:id="348" w:name="_Toc9632"/>
      <w:bookmarkStart w:id="349" w:name="_Toc4076"/>
      <w:bookmarkStart w:id="350" w:name="_Toc20822"/>
      <w:bookmarkStart w:id="351" w:name="_Toc9296"/>
      <w:bookmarkStart w:id="352" w:name="_Toc13891"/>
      <w:bookmarkStart w:id="353" w:name="_Toc26632"/>
      <w:bookmarkStart w:id="354" w:name="_Toc6359"/>
      <w:bookmarkStart w:id="355" w:name="_Toc12232"/>
      <w:r>
        <w:rPr>
          <w:rFonts w:eastAsia="楷体_GB2312"/>
          <w:color w:val="000000" w:themeColor="text1"/>
          <w:sz w:val="32"/>
          <w:szCs w:val="32"/>
          <w14:textFill>
            <w14:solidFill>
              <w14:schemeClr w14:val="tx1"/>
            </w14:solidFill>
          </w14:textFill>
        </w:rPr>
        <w:t>（三）推动基础设施融合</w:t>
      </w:r>
      <w:bookmarkEnd w:id="347"/>
      <w:bookmarkEnd w:id="348"/>
      <w:bookmarkEnd w:id="349"/>
      <w:bookmarkEnd w:id="350"/>
      <w:bookmarkEnd w:id="351"/>
      <w:bookmarkEnd w:id="352"/>
      <w:bookmarkEnd w:id="353"/>
      <w:bookmarkEnd w:id="354"/>
      <w:bookmarkEnd w:id="355"/>
      <w:r>
        <w:rPr>
          <w:rFonts w:eastAsia="楷体_GB2312"/>
          <w:color w:val="000000" w:themeColor="text1"/>
          <w:sz w:val="32"/>
          <w:szCs w:val="32"/>
          <w14:textFill>
            <w14:solidFill>
              <w14:schemeClr w14:val="tx1"/>
            </w14:solidFill>
          </w14:textFill>
        </w:rPr>
        <w:t>，促进全域联动发展</w:t>
      </w:r>
    </w:p>
    <w:p w14:paraId="0F41184E">
      <w:pPr>
        <w:topLinePunct/>
        <w:spacing w:line="560" w:lineRule="exact"/>
        <w:ind w:firstLine="640"/>
        <w:rPr>
          <w:rFonts w:eastAsia="仿宋_GB2312"/>
          <w:bCs/>
          <w:color w:val="000000" w:themeColor="text1"/>
          <w:sz w:val="32"/>
          <w:szCs w:val="32"/>
          <w14:textFill>
            <w14:solidFill>
              <w14:schemeClr w14:val="tx1"/>
            </w14:solidFill>
          </w14:textFill>
        </w:rPr>
      </w:pPr>
      <w:r>
        <w:rPr>
          <w:rFonts w:eastAsia="仿宋_GB2312"/>
          <w:bCs/>
          <w:color w:val="000000" w:themeColor="text1"/>
          <w:sz w:val="32"/>
          <w:szCs w:val="32"/>
          <w14:textFill>
            <w14:solidFill>
              <w14:schemeClr w14:val="tx1"/>
            </w14:solidFill>
          </w14:textFill>
        </w:rPr>
        <w:t>强化与周边区域的联系互动，全面参与滇中城市经济圈一体化发展；加快构筑“多式联运”，强化作为昆明西部咽喉的辐射力；依托并整合公交、轨道等站场设施，促进各种交通方式从分散、独立发展转向一体化发展。推动城区、产业园区、乡镇全域联动发展，实现产业集群化、集群基地化、基地园区化、园区社区化、社区新型城镇化，发挥高度城市化优势，串联以主城区为代表的都市经济、以海口产业新城为代表的县域经济、以团结街道花红</w:t>
      </w:r>
      <w:r>
        <w:rPr>
          <w:rFonts w:eastAsia="仿宋_GB2312"/>
          <w:bCs/>
          <w:color w:val="000000" w:themeColor="text1"/>
          <w:spacing w:val="-6"/>
          <w:sz w:val="32"/>
          <w:szCs w:val="32"/>
          <w14:textFill>
            <w14:solidFill>
              <w14:schemeClr w14:val="tx1"/>
            </w14:solidFill>
          </w14:textFill>
        </w:rPr>
        <w:t>园社区为代表的镇域经济、以特色村庄为代表的乡村经济四层结构。</w:t>
      </w:r>
    </w:p>
    <w:p w14:paraId="21782136">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（四）加快城乡资本融合，强化平台载体功能</w:t>
      </w:r>
    </w:p>
    <w:p w14:paraId="7021EE24">
      <w:pPr>
        <w:topLinePunct/>
        <w:spacing w:line="560" w:lineRule="exact"/>
        <w:ind w:firstLine="640"/>
        <w:rPr>
          <w:rFonts w:eastAsia="仿宋_GB2312"/>
          <w:bCs/>
          <w:color w:val="000000" w:themeColor="text1"/>
          <w:sz w:val="32"/>
          <w:szCs w:val="32"/>
          <w14:textFill>
            <w14:solidFill>
              <w14:schemeClr w14:val="tx1"/>
            </w14:solidFill>
          </w14:textFill>
        </w:rPr>
      </w:pPr>
      <w:r>
        <w:rPr>
          <w:rFonts w:eastAsia="仿宋_GB2312"/>
          <w:bCs/>
          <w:color w:val="000000" w:themeColor="text1"/>
          <w:sz w:val="32"/>
          <w:szCs w:val="32"/>
          <w14:textFill>
            <w14:solidFill>
              <w14:schemeClr w14:val="tx1"/>
            </w14:solidFill>
          </w14:textFill>
        </w:rPr>
        <w:t>实施一批乡村振兴重大工程项目，推动形成财政优先保障、金融重点倾斜、招商引资聚焦、社会资本积极参与的多元投入格局。加快以政府注资、股权融资、特许权入股、资源入股等形式筹建西山绿色发展投资公司，统筹融合三农资金、政策资源、土地要素、品牌价值等，打造城乡综合投融资平台。打造以消费金融、互联网金融、供应链物流金融、产城融合等为内涵的金融特色小镇，促进区域金融开放、绿色金融创新、普惠金融下沉，实现产业链与资金链高度融合发展。围绕重点领域积极构建资源平台，做好区域系统规划，搭建项目孵化器，汇集资金聚集池。打造招商平台、投资服务平台、运营平台及综合管理平台等，实现投资、融资、建设、运营、管理等全要素全生命周期合作，推动乡村发展。</w:t>
      </w:r>
    </w:p>
    <w:p w14:paraId="6F6F250C">
      <w:pPr>
        <w:topLinePunct/>
        <w:spacing w:line="560" w:lineRule="exact"/>
        <w:ind w:firstLine="640" w:firstLineChars="200"/>
        <w:outlineLvl w:val="2"/>
        <w:rPr>
          <w:rFonts w:eastAsia="楷体_GB2312"/>
          <w:color w:val="000000" w:themeColor="text1"/>
          <w:sz w:val="32"/>
          <w:szCs w:val="32"/>
          <w14:textFill>
            <w14:solidFill>
              <w14:schemeClr w14:val="tx1"/>
            </w14:solidFill>
          </w14:textFill>
        </w:rPr>
      </w:pPr>
      <w:bookmarkStart w:id="356" w:name="_Toc24570"/>
      <w:bookmarkStart w:id="357" w:name="_Toc12375"/>
      <w:bookmarkStart w:id="358" w:name="_Toc736"/>
      <w:bookmarkStart w:id="359" w:name="_Toc29712"/>
      <w:bookmarkStart w:id="360" w:name="_Toc29154"/>
      <w:bookmarkStart w:id="361" w:name="_Toc1776"/>
      <w:bookmarkStart w:id="362" w:name="_Toc5107"/>
      <w:bookmarkStart w:id="363" w:name="_Toc13670"/>
      <w:bookmarkStart w:id="364" w:name="_Toc17057"/>
      <w:r>
        <w:rPr>
          <w:rFonts w:eastAsia="楷体_GB2312"/>
          <w:color w:val="000000" w:themeColor="text1"/>
          <w:sz w:val="32"/>
          <w:szCs w:val="32"/>
          <w14:textFill>
            <w14:solidFill>
              <w14:schemeClr w14:val="tx1"/>
            </w14:solidFill>
          </w14:textFill>
        </w:rPr>
        <w:t>（五）</w:t>
      </w:r>
      <w:bookmarkEnd w:id="356"/>
      <w:bookmarkEnd w:id="357"/>
      <w:bookmarkEnd w:id="358"/>
      <w:bookmarkEnd w:id="359"/>
      <w:bookmarkEnd w:id="360"/>
      <w:bookmarkEnd w:id="361"/>
      <w:bookmarkEnd w:id="362"/>
      <w:bookmarkEnd w:id="363"/>
      <w:bookmarkEnd w:id="364"/>
      <w:bookmarkStart w:id="365" w:name="_Toc15106"/>
      <w:bookmarkStart w:id="366" w:name="_Toc30017"/>
      <w:bookmarkStart w:id="367" w:name="_Toc6398"/>
      <w:bookmarkStart w:id="368" w:name="_Toc6936"/>
      <w:bookmarkStart w:id="369" w:name="_Toc20407"/>
      <w:bookmarkStart w:id="370" w:name="_Toc29585"/>
      <w:bookmarkStart w:id="371" w:name="_Toc9506"/>
      <w:bookmarkStart w:id="372" w:name="_Toc13398"/>
      <w:bookmarkStart w:id="373" w:name="_Toc7882"/>
      <w:r>
        <w:rPr>
          <w:rFonts w:eastAsia="楷体_GB2312"/>
          <w:color w:val="000000" w:themeColor="text1"/>
          <w:sz w:val="32"/>
          <w:szCs w:val="32"/>
          <w14:textFill>
            <w14:solidFill>
              <w14:schemeClr w14:val="tx1"/>
            </w14:solidFill>
          </w14:textFill>
        </w:rPr>
        <w:t>加强公共服务融合，提升城乡IP融合</w:t>
      </w:r>
      <w:bookmarkEnd w:id="365"/>
      <w:r>
        <w:rPr>
          <w:rFonts w:eastAsia="楷体_GB2312"/>
          <w:color w:val="000000" w:themeColor="text1"/>
          <w:sz w:val="32"/>
          <w:szCs w:val="32"/>
          <w14:textFill>
            <w14:solidFill>
              <w14:schemeClr w14:val="tx1"/>
            </w14:solidFill>
          </w14:textFill>
        </w:rPr>
        <w:t>水平</w:t>
      </w:r>
      <w:bookmarkEnd w:id="366"/>
      <w:bookmarkEnd w:id="367"/>
      <w:bookmarkEnd w:id="368"/>
      <w:bookmarkEnd w:id="369"/>
      <w:bookmarkEnd w:id="370"/>
      <w:bookmarkEnd w:id="371"/>
      <w:bookmarkEnd w:id="372"/>
      <w:bookmarkEnd w:id="373"/>
    </w:p>
    <w:p w14:paraId="42902387">
      <w:pPr>
        <w:topLinePunct/>
        <w:spacing w:line="560" w:lineRule="exact"/>
        <w:ind w:firstLine="640" w:firstLineChars="200"/>
        <w:rPr>
          <w:rFonts w:eastAsia="仿宋_GB2312"/>
          <w:bCs/>
          <w:color w:val="000000" w:themeColor="text1"/>
          <w:sz w:val="32"/>
          <w:szCs w:val="32"/>
          <w14:textFill>
            <w14:solidFill>
              <w14:schemeClr w14:val="tx1"/>
            </w14:solidFill>
          </w14:textFill>
        </w:rPr>
      </w:pPr>
      <w:r>
        <w:rPr>
          <w:rFonts w:eastAsia="仿宋_GB2312"/>
          <w:bCs/>
          <w:color w:val="000000" w:themeColor="text1"/>
          <w:sz w:val="32"/>
          <w:szCs w:val="32"/>
          <w14:textFill>
            <w14:solidFill>
              <w14:schemeClr w14:val="tx1"/>
            </w14:solidFill>
          </w14:textFill>
        </w:rPr>
        <w:t>统筹基本公共服务设施的空间布局，逐步完善行政村公共设施网络。深度挖掘本地特色民俗节日资源，以苗族花山节、“三月三耍西山”、火把节、西山睡美人文化艺术节等活动打造全季旅游特色节庆，进一步提升文化资源附加值，打造民族特色城乡旅游IP。培育扶持相关产品生产龙头企业，打造企业品牌。挖掘特色资源，培育特色产品，打造产品品牌，结合区域产业竞争力与影响力，组建行业协会联盟，打造草莓主题乐园、茶花种植观光园等城乡品牌地标。</w:t>
      </w:r>
      <w:bookmarkStart w:id="374" w:name="_Toc20802"/>
      <w:bookmarkStart w:id="375" w:name="_Toc61644807"/>
    </w:p>
    <w:p w14:paraId="27A0F465">
      <w:pPr>
        <w:topLinePunct/>
        <w:spacing w:line="560" w:lineRule="exact"/>
        <w:ind w:firstLine="640"/>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三、</w:t>
      </w:r>
      <w:bookmarkEnd w:id="374"/>
      <w:r>
        <w:rPr>
          <w:rFonts w:eastAsia="黑体"/>
          <w:bCs/>
          <w:color w:val="000000" w:themeColor="text1"/>
          <w:sz w:val="32"/>
          <w:szCs w:val="32"/>
          <w14:textFill>
            <w14:solidFill>
              <w14:schemeClr w14:val="tx1"/>
            </w14:solidFill>
          </w14:textFill>
        </w:rPr>
        <w:t>打造海口健康养生卫星城</w:t>
      </w:r>
      <w:bookmarkEnd w:id="375"/>
    </w:p>
    <w:p w14:paraId="19391DFE">
      <w:pPr>
        <w:topLinePunct/>
        <w:spacing w:line="560" w:lineRule="exact"/>
        <w:ind w:firstLine="643"/>
        <w:rPr>
          <w:rFonts w:eastAsia="仿宋_GB2312"/>
          <w:bCs/>
          <w:color w:val="000000" w:themeColor="text1"/>
          <w:sz w:val="32"/>
          <w:szCs w:val="32"/>
          <w14:textFill>
            <w14:solidFill>
              <w14:schemeClr w14:val="tx1"/>
            </w14:solidFill>
          </w14:textFill>
        </w:rPr>
      </w:pPr>
      <w:r>
        <w:rPr>
          <w:rFonts w:eastAsia="仿宋_GB2312"/>
          <w:b/>
          <w:bCs/>
          <w:color w:val="000000" w:themeColor="text1"/>
          <w:sz w:val="32"/>
          <w:szCs w:val="32"/>
          <w14:textFill>
            <w14:solidFill>
              <w14:schemeClr w14:val="tx1"/>
            </w14:solidFill>
          </w14:textFill>
        </w:rPr>
        <w:t>打造海口健康养生卫星城。</w:t>
      </w:r>
      <w:r>
        <w:rPr>
          <w:rFonts w:eastAsia="仿宋_GB2312"/>
          <w:color w:val="000000" w:themeColor="text1"/>
          <w:sz w:val="32"/>
          <w:szCs w:val="32"/>
          <w14:textFill>
            <w14:solidFill>
              <w14:schemeClr w14:val="tx1"/>
            </w14:solidFill>
          </w14:textFill>
        </w:rPr>
        <w:t>重点抓产业结构调整与产城融合发展，加强体制机制创新与示范基地建设，孵化工业大麻产业示范园，抢占工业大麻科技研发、生产加工、仓储物流、交易结算的制高点，带动园区向生化产业、精细化工、装备智造等科技创新、绿色生态、高附加值的产业转型，促进楼宇工业发展，增加公共服务，拉动空间集约与人口聚集，提升城市面貌，改变城市气质，培育卫星城，形成</w:t>
      </w:r>
      <w:r>
        <w:rPr>
          <w:rFonts w:eastAsia="仿宋_GB2312"/>
          <w:bCs/>
          <w:color w:val="000000" w:themeColor="text1"/>
          <w:sz w:val="32"/>
          <w:szCs w:val="32"/>
          <w14:textFill>
            <w14:solidFill>
              <w14:schemeClr w14:val="tx1"/>
            </w14:solidFill>
          </w14:textFill>
        </w:rPr>
        <w:t>以海口街道、海口工业园区双主体协调联动，海口康养星城、军民融合片区、新型智造园区、新型化工园区、尖山磷矿矿区、农旅互动景区六板块协同互动的发展格局，有序推动海口全域土地综合整治试点工作和全域城镇化试点建设工作。</w:t>
      </w:r>
    </w:p>
    <w:p w14:paraId="68A67117">
      <w:pPr>
        <w:topLinePunct/>
        <w:spacing w:line="560" w:lineRule="exact"/>
        <w:ind w:firstLine="640"/>
        <w:rPr>
          <w:rFonts w:eastAsia="仿宋_GB2312"/>
          <w:bCs/>
          <w:color w:val="000000" w:themeColor="text1"/>
          <w:sz w:val="32"/>
          <w:szCs w:val="32"/>
          <w14:textFill>
            <w14:solidFill>
              <w14:schemeClr w14:val="tx1"/>
            </w14:solidFill>
          </w14:textFill>
        </w:rPr>
      </w:pPr>
      <w:r>
        <w:rPr>
          <w:rFonts w:eastAsia="仿宋_GB2312"/>
          <w:bCs/>
          <w:color w:val="000000" w:themeColor="text1"/>
          <w:sz w:val="32"/>
          <w:szCs w:val="32"/>
          <w14:textFill>
            <w14:solidFill>
              <w14:schemeClr w14:val="tx1"/>
            </w14:solidFill>
          </w14:textFill>
        </w:rPr>
        <w:t>海口康养星城：在白鱼口、浪泥湾地区整合省交通疗养院和省工人疗养院规划，开发海口康养星城。激活昆明主城与晋宁城区间的战略节点，提升海口的门户形象，形成新的城乡融合发展格局。</w:t>
      </w:r>
    </w:p>
    <w:p w14:paraId="171ACC02">
      <w:pPr>
        <w:topLinePunct/>
        <w:spacing w:line="560" w:lineRule="exact"/>
        <w:ind w:firstLine="640"/>
        <w:rPr>
          <w:rFonts w:eastAsia="仿宋_GB2312"/>
          <w:bCs/>
          <w:color w:val="000000" w:themeColor="text1"/>
          <w:sz w:val="32"/>
          <w:szCs w:val="32"/>
          <w14:textFill>
            <w14:solidFill>
              <w14:schemeClr w14:val="tx1"/>
            </w14:solidFill>
          </w14:textFill>
        </w:rPr>
      </w:pPr>
      <w:r>
        <w:rPr>
          <w:rFonts w:eastAsia="仿宋_GB2312"/>
          <w:bCs/>
          <w:color w:val="000000" w:themeColor="text1"/>
          <w:sz w:val="32"/>
          <w:szCs w:val="32"/>
          <w14:textFill>
            <w14:solidFill>
              <w14:schemeClr w14:val="tx1"/>
            </w14:solidFill>
          </w14:textFill>
        </w:rPr>
        <w:t>军民融合片区：强化军民融合产业集聚，打通浪泥湾与军民融合片区连接新道路，提升军民融合发展格局；依托海口云南西仪公司、云光发展集团有限公司等军工、光学仪器企业，发展先进装备制造一体化工程和应急救灾等公共安全产品生产、储运园区，打造海口军民融合产业发展基地。</w:t>
      </w:r>
    </w:p>
    <w:p w14:paraId="3B7BF215">
      <w:pPr>
        <w:topLinePunct/>
        <w:spacing w:line="560" w:lineRule="exact"/>
        <w:ind w:firstLine="640"/>
        <w:rPr>
          <w:rFonts w:eastAsia="仿宋_GB2312"/>
          <w:bCs/>
          <w:color w:val="000000" w:themeColor="text1"/>
          <w:sz w:val="32"/>
          <w:szCs w:val="32"/>
          <w14:textFill>
            <w14:solidFill>
              <w14:schemeClr w14:val="tx1"/>
            </w14:solidFill>
          </w14:textFill>
        </w:rPr>
      </w:pPr>
      <w:r>
        <w:rPr>
          <w:rFonts w:eastAsia="仿宋_GB2312"/>
          <w:bCs/>
          <w:color w:val="000000" w:themeColor="text1"/>
          <w:sz w:val="32"/>
          <w:szCs w:val="32"/>
          <w14:textFill>
            <w14:solidFill>
              <w14:schemeClr w14:val="tx1"/>
            </w14:solidFill>
          </w14:textFill>
        </w:rPr>
        <w:t>新型智造园区：织密螳螂川两岸的交通连接，在原海口新城板块，建设新型智造园区，形成新的产城融合发展格局。</w:t>
      </w:r>
    </w:p>
    <w:p w14:paraId="3F670A8E">
      <w:pPr>
        <w:topLinePunct/>
        <w:spacing w:line="560" w:lineRule="exact"/>
        <w:ind w:firstLine="640"/>
        <w:rPr>
          <w:rFonts w:eastAsia="仿宋_GB2312"/>
          <w:bCs/>
          <w:color w:val="000000" w:themeColor="text1"/>
          <w:sz w:val="32"/>
          <w:szCs w:val="32"/>
          <w14:textFill>
            <w14:solidFill>
              <w14:schemeClr w14:val="tx1"/>
            </w14:solidFill>
          </w14:textFill>
        </w:rPr>
      </w:pPr>
      <w:r>
        <w:rPr>
          <w:rFonts w:eastAsia="仿宋_GB2312"/>
          <w:bCs/>
          <w:color w:val="000000" w:themeColor="text1"/>
          <w:sz w:val="32"/>
          <w:szCs w:val="32"/>
          <w14:textFill>
            <w14:solidFill>
              <w14:schemeClr w14:val="tx1"/>
            </w14:solidFill>
          </w14:textFill>
        </w:rPr>
        <w:t>新型化工园区：推进海口工业园区整合优化提升，以发展精细磷化工、新型化工为主，促进磷化产业向特色化工、生物化工、精细化工转型。</w:t>
      </w:r>
    </w:p>
    <w:p w14:paraId="16593E8F">
      <w:pPr>
        <w:topLinePunct/>
        <w:spacing w:line="560" w:lineRule="exact"/>
        <w:ind w:firstLine="640"/>
        <w:rPr>
          <w:rFonts w:eastAsia="仿宋_GB2312"/>
          <w:bCs/>
          <w:color w:val="000000" w:themeColor="text1"/>
          <w:sz w:val="32"/>
          <w:szCs w:val="32"/>
          <w14:textFill>
            <w14:solidFill>
              <w14:schemeClr w14:val="tx1"/>
            </w14:solidFill>
          </w14:textFill>
        </w:rPr>
      </w:pPr>
      <w:r>
        <w:rPr>
          <w:rFonts w:eastAsia="仿宋_GB2312"/>
          <w:bCs/>
          <w:color w:val="000000" w:themeColor="text1"/>
          <w:sz w:val="32"/>
          <w:szCs w:val="32"/>
          <w14:textFill>
            <w14:solidFill>
              <w14:schemeClr w14:val="tx1"/>
            </w14:solidFill>
          </w14:textFill>
        </w:rPr>
        <w:t>尖山磷矿矿区：通过尖山磷矿矿区，保障原料供应、储备土地资源，推动尖山矿区生态发展，稳定产量，加快治理，储备工业发展空间。</w:t>
      </w:r>
    </w:p>
    <w:p w14:paraId="1C439F81">
      <w:pPr>
        <w:topLinePunct/>
        <w:spacing w:line="560" w:lineRule="exact"/>
        <w:ind w:firstLine="640"/>
        <w:rPr>
          <w:rFonts w:eastAsia="仿宋_GB2312"/>
          <w:bCs/>
          <w:color w:val="000000" w:themeColor="text1"/>
          <w:sz w:val="32"/>
          <w:szCs w:val="32"/>
          <w14:textFill>
            <w14:solidFill>
              <w14:schemeClr w14:val="tx1"/>
            </w14:solidFill>
          </w14:textFill>
        </w:rPr>
      </w:pPr>
      <w:r>
        <w:rPr>
          <w:rFonts w:eastAsia="仿宋_GB2312"/>
          <w:bCs/>
          <w:color w:val="000000" w:themeColor="text1"/>
          <w:sz w:val="32"/>
          <w:szCs w:val="32"/>
          <w14:textFill>
            <w14:solidFill>
              <w14:schemeClr w14:val="tx1"/>
            </w14:solidFill>
          </w14:textFill>
        </w:rPr>
        <w:t>农旅互动景区：利用交通优势和流域本底，集中连片规划农旅互动景区，将新经济新生活体验带纵深推向海口，激活海口全域高质量发展。</w:t>
      </w:r>
      <w:bookmarkStart w:id="376" w:name="_Toc61644808"/>
    </w:p>
    <w:p w14:paraId="5EBC3A8D">
      <w:pPr>
        <w:topLinePunct/>
        <w:spacing w:line="560" w:lineRule="exact"/>
        <w:ind w:firstLine="640"/>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四、打造碧鸡绿色健康会客厅</w:t>
      </w:r>
      <w:bookmarkEnd w:id="376"/>
    </w:p>
    <w:p w14:paraId="094C13BD">
      <w:pPr>
        <w:topLinePunct/>
        <w:spacing w:line="560" w:lineRule="exact"/>
        <w:ind w:firstLine="643"/>
        <w:rPr>
          <w:rFonts w:eastAsia="仿宋_GB2312"/>
          <w:color w:val="000000" w:themeColor="text1"/>
          <w:sz w:val="32"/>
          <w:szCs w:val="32"/>
          <w14:textFill>
            <w14:solidFill>
              <w14:schemeClr w14:val="tx1"/>
            </w14:solidFill>
          </w14:textFill>
        </w:rPr>
      </w:pPr>
      <w:r>
        <w:rPr>
          <w:rFonts w:eastAsia="仿宋_GB2312"/>
          <w:b/>
          <w:bCs/>
          <w:color w:val="000000" w:themeColor="text1"/>
          <w:sz w:val="32"/>
          <w:szCs w:val="32"/>
          <w14:textFill>
            <w14:solidFill>
              <w14:schemeClr w14:val="tx1"/>
            </w14:solidFill>
          </w14:textFill>
        </w:rPr>
        <w:t>打造碧鸡会客厅组团</w:t>
      </w:r>
      <w:r>
        <w:rPr>
          <w:rFonts w:eastAsia="仿宋_GB2312"/>
          <w:color w:val="000000" w:themeColor="text1"/>
          <w:sz w:val="32"/>
          <w:szCs w:val="32"/>
          <w14:textFill>
            <w14:solidFill>
              <w14:schemeClr w14:val="tx1"/>
            </w14:solidFill>
          </w14:textFill>
        </w:rPr>
        <w:t>（环草海城市客厅+西山风景区）。重点加快供地保障和公共服务配套，导入品牌开发商，开发新载体，聚集龙头企业，发展高端地产、大健康、主题旅游、特色商贸、会议培训等，强化城市会客厅功能，形成新经济新生活体验。巩固西山景区猫猫箐村、西华社区（街村）创建云南省美丽村庄成</w:t>
      </w:r>
      <w:r>
        <w:rPr>
          <w:rFonts w:eastAsia="仿宋_GB2312"/>
          <w:color w:val="000000" w:themeColor="text1"/>
          <w:spacing w:val="-6"/>
          <w:sz w:val="32"/>
          <w:szCs w:val="32"/>
          <w14:textFill>
            <w14:solidFill>
              <w14:schemeClr w14:val="tx1"/>
            </w14:solidFill>
          </w14:textFill>
        </w:rPr>
        <w:t>果，以“一园两核三带四点”发展思路引领碧鸡经济社会高质量发展。</w:t>
      </w:r>
    </w:p>
    <w:p w14:paraId="512F24DC">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一园：长坡园区。长坡园区结合“产城一体、产城融合”思路，进行规划调整，探索引入专业运营团队参与园区运营管理，打造生态、智慧、宜居的产业新城。</w:t>
      </w:r>
    </w:p>
    <w:p w14:paraId="177D0379">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两核：一是龙门高</w:t>
      </w:r>
      <w:r>
        <w:rPr>
          <w:rFonts w:eastAsia="方正仿宋_GBK"/>
          <w:color w:val="000000" w:themeColor="text1"/>
          <w:sz w:val="32"/>
          <w:szCs w:val="32"/>
          <w14:textFill>
            <w14:solidFill>
              <w14:schemeClr w14:val="tx1"/>
            </w14:solidFill>
          </w14:textFill>
        </w:rPr>
        <w:t>峣</w:t>
      </w:r>
      <w:r>
        <w:rPr>
          <w:rFonts w:eastAsia="仿宋_GB2312"/>
          <w:color w:val="000000" w:themeColor="text1"/>
          <w:sz w:val="32"/>
          <w:szCs w:val="32"/>
          <w14:textFill>
            <w14:solidFill>
              <w14:schemeClr w14:val="tx1"/>
            </w14:solidFill>
          </w14:textFill>
        </w:rPr>
        <w:t>碧鸡关历史文化核心区。依托西园、周培源故居等资源，以龙门村石牌坊为中心，推动龙门旅游小镇开发建设。依托西山风景区、地铁三号线和茶马花街，加快王家堆生态湿地建设及高</w:t>
      </w:r>
      <w:r>
        <w:rPr>
          <w:rFonts w:eastAsia="方正仿宋_GBK"/>
          <w:color w:val="000000" w:themeColor="text1"/>
          <w:sz w:val="32"/>
          <w:szCs w:val="32"/>
          <w14:textFill>
            <w14:solidFill>
              <w14:schemeClr w14:val="tx1"/>
            </w14:solidFill>
          </w14:textFill>
        </w:rPr>
        <w:t>峣</w:t>
      </w:r>
      <w:r>
        <w:rPr>
          <w:rFonts w:eastAsia="仿宋_GB2312"/>
          <w:color w:val="000000" w:themeColor="text1"/>
          <w:sz w:val="32"/>
          <w:szCs w:val="32"/>
          <w14:textFill>
            <w14:solidFill>
              <w14:schemeClr w14:val="tx1"/>
            </w14:solidFill>
          </w14:textFill>
        </w:rPr>
        <w:t>古渡码头恢复，保护和传承片区历史文物古迹，发展餐饮美食和民俗民宿，实现上可游山、下可玩水，打造高</w:t>
      </w:r>
      <w:r>
        <w:rPr>
          <w:rFonts w:eastAsia="方正仿宋_GBK"/>
          <w:color w:val="000000" w:themeColor="text1"/>
          <w:sz w:val="32"/>
          <w:szCs w:val="32"/>
          <w14:textFill>
            <w14:solidFill>
              <w14:schemeClr w14:val="tx1"/>
            </w14:solidFill>
          </w14:textFill>
        </w:rPr>
        <w:t>峣</w:t>
      </w:r>
      <w:r>
        <w:rPr>
          <w:rFonts w:eastAsia="仿宋_GB2312"/>
          <w:color w:val="000000" w:themeColor="text1"/>
          <w:sz w:val="32"/>
          <w:szCs w:val="32"/>
          <w14:textFill>
            <w14:solidFill>
              <w14:schemeClr w14:val="tx1"/>
            </w14:solidFill>
          </w14:textFill>
        </w:rPr>
        <w:t>碧鸡关片区历史文化旅游区。二是西华富善观音山民俗文化核心区。以传承传统优秀文化为目标，以文化活动为载体，以滇池沿岸秀丽山水风光为依托，规划建设大健康及特色民俗民居开发项目。</w:t>
      </w:r>
    </w:p>
    <w:p w14:paraId="1B07EF8F">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三带：一是高海公路沿线环滇池党建示范带。围绕滇池保护治理、乡村振兴战略、社会治理体系创新等工作，巩固原有观音山“党建+五大工程”、西华“党建+五民工作法”、富善“党建+军警民企共建共享和谐繁荣”等党建品牌，促进街道基层党建工作全面提质增效。二是西侧公路沿线高原特色休闲农业观光旅游带。加快“农业生态公园”建设力度，以西侧公路为主线，辐射周边区域，整合现有产业，打造集农业示范、生态环保、民俗文化、休闲旅游为一体的农业生态旅游圈。三是昆安公路沿线经济带。结合渝昆高铁昆明西客站综合交通枢纽落点石咀片区的便利条件，发展春雨路沿线轻轨经济和铁路枢纽经济，打造昆明城市西部的枢纽门户；发挥通往滇西大通道及碧鸡关立交区的便利优势，利用现有碧鸡汽车博览园、卡车交易市场，建立商贸经济带。</w:t>
      </w:r>
    </w:p>
    <w:p w14:paraId="7513B266">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四点：一是龙门餐饮文化美食街。以土菜和滇菜引领，通过每年举办美食文化节，着力打造龙门美食文化街区，唤起滇池边味蕾深处的记忆。二是观音山民俗民居文化旅游。利用观音山建于清代的北方四合院“一颗印”传统民居文化和观音寺、董氏宗祠、李培莲墓穴牌坊等名胜古迹，融入滇池沿岸渔耕文化、观音山庙会，发展民俗民居文化旅游。三是西华富善高原特色农业示范区。组织开展碧鸡草莓文化艺术节，发展电商平台，果园采摘体验，构建西华富善高原特色农业示范区。四是黑荞母西合园花卉观光采摘旅游。利用黑荞母西合园花卉种植优势，以花卉采摘、观光游览为依托，整合小人国（世界蝴蝶园）旅游资源，大力发展花卉观光采摘和餐饮民宿旅游。</w:t>
      </w:r>
      <w:bookmarkStart w:id="377" w:name="_Toc61644809"/>
    </w:p>
    <w:p w14:paraId="1C0301EB">
      <w:pPr>
        <w:topLinePunct/>
        <w:spacing w:line="560" w:lineRule="exact"/>
        <w:ind w:firstLine="640"/>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五、打造团结民族风情后花园</w:t>
      </w:r>
      <w:bookmarkEnd w:id="377"/>
    </w:p>
    <w:p w14:paraId="1610F149">
      <w:pPr>
        <w:topLinePunct/>
        <w:spacing w:line="560" w:lineRule="exact"/>
        <w:ind w:firstLine="643"/>
        <w:rPr>
          <w:rFonts w:eastAsia="仿宋_GB2312"/>
          <w:color w:val="000000" w:themeColor="text1"/>
          <w:sz w:val="32"/>
          <w:szCs w:val="32"/>
          <w14:textFill>
            <w14:solidFill>
              <w14:schemeClr w14:val="tx1"/>
            </w14:solidFill>
          </w14:textFill>
        </w:rPr>
      </w:pPr>
      <w:r>
        <w:rPr>
          <w:rFonts w:eastAsia="仿宋_GB2312"/>
          <w:b/>
          <w:bCs/>
          <w:color w:val="000000" w:themeColor="text1"/>
          <w:sz w:val="32"/>
          <w:szCs w:val="32"/>
          <w14:textFill>
            <w14:solidFill>
              <w14:schemeClr w14:val="tx1"/>
            </w14:solidFill>
          </w14:textFill>
        </w:rPr>
        <w:t>打造团结民族风情后花园。</w:t>
      </w:r>
      <w:r>
        <w:rPr>
          <w:rFonts w:eastAsia="仿宋_GB2312"/>
          <w:color w:val="000000" w:themeColor="text1"/>
          <w:sz w:val="32"/>
          <w:szCs w:val="32"/>
          <w14:textFill>
            <w14:solidFill>
              <w14:schemeClr w14:val="tx1"/>
            </w14:solidFill>
          </w14:textFill>
        </w:rPr>
        <w:t>重点以高原特色都市型现代农业为基础，以大健康产业为主导，发展养生养老、康体休闲、生态文化旅游、生物医药等生态型产业，以“一心、三带、六板块”为产业聚集空间形态，打造成为昆明主城区的重要生态屏障和民族风情后花园。</w:t>
      </w:r>
    </w:p>
    <w:p w14:paraId="4DB516E9">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一心：团结现代服务业核心，以建设苹果小镇为触媒，重点发展商贸居住、都市休闲、民族风情体验、文化创意等产业。</w:t>
      </w:r>
    </w:p>
    <w:p w14:paraId="5B406E49">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三带：昆楚高速生态服务产业带，重点发展休闲度假、健康服务与商贸物流产业，配套发展高原特色农业，打造“康+旅+商+农+休”结合发展的特色产业带；绕城高速区域性工贸产业带，发展生物医药、生物资源加工、商贸物流等产业，加强沿线生态环境保护和废弃矿山修复利用；螳螂川生态旅游产业带，发展生态观光、乡村旅游、民族风情体验等产业，加强沿线生态环境保护和水环境治理。</w:t>
      </w:r>
    </w:p>
    <w:p w14:paraId="2816B761">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六板块：花红园文旅休闲板块、明朗大健康产业板块、妥吉棋台特色农业板块、卧云山养生度假板块、永靖下冲都市农业板块、螳螂川生态旅游板块。</w:t>
      </w:r>
      <w:bookmarkEnd w:id="323"/>
      <w:bookmarkEnd w:id="324"/>
      <w:bookmarkEnd w:id="325"/>
      <w:bookmarkEnd w:id="326"/>
      <w:bookmarkEnd w:id="327"/>
      <w:bookmarkEnd w:id="328"/>
      <w:bookmarkEnd w:id="329"/>
      <w:bookmarkEnd w:id="330"/>
      <w:bookmarkEnd w:id="331"/>
      <w:bookmarkStart w:id="378" w:name="_Toc59205884"/>
      <w:bookmarkStart w:id="379" w:name="_Toc61644810"/>
    </w:p>
    <w:p w14:paraId="56DCEEBD">
      <w:pPr>
        <w:topLinePunct/>
        <w:spacing w:line="560" w:lineRule="exact"/>
        <w:jc w:val="center"/>
        <w:rPr>
          <w:rFonts w:eastAsia="黑体"/>
          <w:b/>
          <w:sz w:val="32"/>
          <w:szCs w:val="32"/>
        </w:rPr>
      </w:pPr>
      <w:r>
        <w:rPr>
          <w:rFonts w:eastAsia="黑体"/>
          <w:sz w:val="32"/>
          <w:szCs w:val="32"/>
        </w:rPr>
        <w:t>第八章 加强协调发展，塑造新发展</w:t>
      </w:r>
      <w:bookmarkEnd w:id="378"/>
      <w:r>
        <w:rPr>
          <w:rFonts w:eastAsia="黑体"/>
          <w:sz w:val="32"/>
          <w:szCs w:val="32"/>
        </w:rPr>
        <w:t>面貌</w:t>
      </w:r>
      <w:bookmarkEnd w:id="379"/>
    </w:p>
    <w:p w14:paraId="0590401F">
      <w:pPr>
        <w:topLinePunct/>
        <w:spacing w:line="560" w:lineRule="exact"/>
        <w:ind w:firstLine="640"/>
        <w:rPr>
          <w:rFonts w:eastAsia="仿宋_GB2312"/>
          <w:color w:val="000000" w:themeColor="text1"/>
          <w:sz w:val="32"/>
          <w:szCs w:val="32"/>
          <w14:textFill>
            <w14:solidFill>
              <w14:schemeClr w14:val="tx1"/>
            </w14:solidFill>
          </w14:textFill>
        </w:rPr>
      </w:pPr>
      <w:bookmarkStart w:id="380" w:name="_Toc2993"/>
      <w:bookmarkStart w:id="381" w:name="_Toc59205885"/>
      <w:bookmarkStart w:id="382" w:name="_Toc58957650"/>
      <w:r>
        <w:rPr>
          <w:rFonts w:eastAsia="仿宋_GB2312"/>
          <w:color w:val="000000" w:themeColor="text1"/>
          <w:sz w:val="32"/>
          <w:szCs w:val="32"/>
          <w14:textFill>
            <w14:solidFill>
              <w14:schemeClr w14:val="tx1"/>
            </w14:solidFill>
          </w14:textFill>
        </w:rPr>
        <w:t>坚持高品质发展城市理念，加快补齐城市建设短板和薄弱领域，完善基础设施配套，提升可持续发展的内生动力，彰显“城市让生活更美好”。</w:t>
      </w:r>
      <w:bookmarkStart w:id="383" w:name="_Toc61644811"/>
    </w:p>
    <w:p w14:paraId="34B74DAB">
      <w:pPr>
        <w:topLinePunct/>
        <w:spacing w:line="560" w:lineRule="exact"/>
        <w:ind w:firstLine="640"/>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一、</w:t>
      </w:r>
      <w:bookmarkEnd w:id="380"/>
      <w:r>
        <w:rPr>
          <w:rFonts w:eastAsia="黑体"/>
          <w:bCs/>
          <w:color w:val="000000" w:themeColor="text1"/>
          <w:sz w:val="32"/>
          <w:szCs w:val="32"/>
          <w14:textFill>
            <w14:solidFill>
              <w14:schemeClr w14:val="tx1"/>
            </w14:solidFill>
          </w14:textFill>
        </w:rPr>
        <w:t>科学有序推动城市更新改造</w:t>
      </w:r>
      <w:bookmarkEnd w:id="381"/>
      <w:bookmarkEnd w:id="382"/>
      <w:bookmarkEnd w:id="383"/>
    </w:p>
    <w:p w14:paraId="49CBA115">
      <w:pPr>
        <w:topLinePunct/>
        <w:spacing w:line="560" w:lineRule="exact"/>
        <w:ind w:firstLine="641"/>
        <w:contextualSpacing/>
        <w:rPr>
          <w:rFonts w:eastAsia="仿宋_GB2312"/>
          <w:color w:val="000000" w:themeColor="text1"/>
          <w:sz w:val="32"/>
          <w:szCs w:val="32"/>
          <w14:textFill>
            <w14:solidFill>
              <w14:schemeClr w14:val="tx1"/>
            </w14:solidFill>
          </w14:textFill>
        </w:rPr>
      </w:pPr>
      <w:r>
        <w:rPr>
          <w:rFonts w:eastAsia="仿宋_GB2312"/>
          <w:b/>
          <w:bCs/>
          <w:color w:val="000000" w:themeColor="text1"/>
          <w:sz w:val="32"/>
          <w:szCs w:val="32"/>
          <w14:textFill>
            <w14:solidFill>
              <w14:schemeClr w14:val="tx1"/>
            </w14:solidFill>
          </w14:textFill>
        </w:rPr>
        <w:t>坚持规划引领和设计引导城市更新。</w:t>
      </w:r>
      <w:r>
        <w:rPr>
          <w:rFonts w:eastAsia="仿宋_GB2312"/>
          <w:color w:val="000000" w:themeColor="text1"/>
          <w:sz w:val="32"/>
          <w:szCs w:val="32"/>
          <w14:textFill>
            <w14:solidFill>
              <w14:schemeClr w14:val="tx1"/>
            </w14:solidFill>
          </w14:textFill>
        </w:rPr>
        <w:t>在“生态修复、城市修补”的统领下，妥善处理好城市更新改造与有序发展的关系，不断完善城市功能，提升城市品质，优化社区形态。全面开展城市体检，围绕“生态宜居、健康舒适、安全韧性、交通便捷、风貌特色、整洁有序、多元包容、创新活力”等8个方面，探索建立“一年一体检、五年一评估”的城市体检工作制度。优化城市交通体系，加强城市基础设施建设，着力提升城市风貌，大力推进城市生态修复，促进智慧城市健康发展。</w:t>
      </w:r>
      <w:r>
        <w:rPr>
          <w:rFonts w:eastAsia="仿宋_GB2312"/>
          <w:color w:val="000000"/>
          <w:sz w:val="32"/>
          <w:szCs w:val="32"/>
        </w:rPr>
        <w:t>加快推进老城区功能疏解、人口转移、形象提升，促进二环以内地区功能升级和布局优化，严控新增建设用地。加强城市治理中的风险防控，加强城市消防、防洪、供水管网、污水管网、疫情防控、抗震等基础设施建设。加大历史文化保护力度，修复山水都市传统格局和肌理。到2025年，完成纳入计划的城市更新（城中村）改造。</w:t>
      </w:r>
      <w:r>
        <w:rPr>
          <w:rFonts w:eastAsia="仿宋_GB2312"/>
          <w:b/>
          <w:bCs/>
          <w:color w:val="000000" w:themeColor="text1"/>
          <w:sz w:val="32"/>
          <w:szCs w:val="32"/>
          <w14:textFill>
            <w14:solidFill>
              <w14:schemeClr w14:val="tx1"/>
            </w14:solidFill>
          </w14:textFill>
        </w:rPr>
        <w:t>统筹推进“三旧连片”开发改造。</w:t>
      </w:r>
      <w:r>
        <w:rPr>
          <w:rFonts w:eastAsia="仿宋_GB2312"/>
          <w:color w:val="000000" w:themeColor="text1"/>
          <w:sz w:val="32"/>
          <w:szCs w:val="32"/>
          <w14:textFill>
            <w14:solidFill>
              <w14:schemeClr w14:val="tx1"/>
            </w14:solidFill>
          </w14:textFill>
        </w:rPr>
        <w:t>加快推进旧住宅区、旧厂区、城中村等三旧改造项目，将城市更新、城市棚户区改造、连片开发建设相结合，探索“区块链”在老旧小区建设中的运用。优先推进辖区内具备改造条件、群众改造需求迫切的城市更新改造项目，采取拆除重建、综合整治（微基建）等多种模式实施改造，积极化解历史遗留问题，突出草海生态保护圈，建设完成草海片区内市政基础设施，高标准实施环草海生态湿地、环湖截污、环湖道路、环湖慢行系统建设，构建草海经济圈，宣传“草海新昆明”新名片。</w:t>
      </w:r>
      <w:r>
        <w:rPr>
          <w:rFonts w:eastAsia="仿宋_GB2312"/>
          <w:b/>
          <w:bCs/>
          <w:color w:val="000000" w:themeColor="text1"/>
          <w:sz w:val="32"/>
          <w:szCs w:val="32"/>
          <w14:textFill>
            <w14:solidFill>
              <w14:schemeClr w14:val="tx1"/>
            </w14:solidFill>
          </w14:textFill>
        </w:rPr>
        <w:t>有序推进民生工程和发展工程建设。</w:t>
      </w:r>
      <w:r>
        <w:rPr>
          <w:rFonts w:eastAsia="仿宋_GB2312"/>
          <w:color w:val="000000" w:themeColor="text1"/>
          <w:sz w:val="32"/>
          <w:szCs w:val="32"/>
          <w14:textFill>
            <w14:solidFill>
              <w14:schemeClr w14:val="tx1"/>
            </w14:solidFill>
          </w14:textFill>
        </w:rPr>
        <w:t>全力推进城建惠民、教育惠民、卫生惠民、文化惠民、就业服务、城市通畅、乡村通畅、养老服务、生态治理等民生工程，完善公共设施和城市功能，</w:t>
      </w:r>
      <w:r>
        <w:rPr>
          <w:rFonts w:eastAsia="仿宋_GB2312"/>
          <w:color w:val="000000"/>
          <w:sz w:val="32"/>
          <w:szCs w:val="32"/>
        </w:rPr>
        <w:t>加快构建适应不同层次需求的15分钟公共服务圈。</w:t>
      </w:r>
      <w:r>
        <w:rPr>
          <w:rFonts w:eastAsia="仿宋_GB2312"/>
          <w:color w:val="000000" w:themeColor="text1"/>
          <w:sz w:val="32"/>
          <w:szCs w:val="32"/>
          <w14:textFill>
            <w14:solidFill>
              <w14:schemeClr w14:val="tx1"/>
            </w14:solidFill>
          </w14:textFill>
        </w:rPr>
        <w:t>统筹生产、生活、生态空间，科学规划城市功能区，着力提升城市生态功能。</w:t>
      </w:r>
      <w:r>
        <w:rPr>
          <w:rFonts w:eastAsia="仿宋_GB2312"/>
          <w:b/>
          <w:color w:val="000000" w:themeColor="text1"/>
          <w:sz w:val="32"/>
          <w:szCs w:val="32"/>
          <w14:textFill>
            <w14:solidFill>
              <w14:schemeClr w14:val="tx1"/>
            </w14:solidFill>
          </w14:textFill>
        </w:rPr>
        <w:t>提高城区园林绿化品质</w:t>
      </w:r>
      <w:r>
        <w:rPr>
          <w:rFonts w:eastAsia="仿宋_GB2312"/>
          <w:color w:val="000000" w:themeColor="text1"/>
          <w:sz w:val="32"/>
          <w:szCs w:val="32"/>
          <w14:textFill>
            <w14:solidFill>
              <w14:schemeClr w14:val="tx1"/>
            </w14:solidFill>
          </w14:textFill>
        </w:rPr>
        <w:t>。按照“</w:t>
      </w:r>
      <w:r>
        <w:rPr>
          <w:rFonts w:eastAsia="仿宋_GB2312"/>
          <w:color w:val="333333"/>
          <w:sz w:val="32"/>
          <w:szCs w:val="32"/>
          <w:shd w:val="clear" w:color="auto" w:fill="FFFFFF"/>
        </w:rPr>
        <w:t>中国春城</w:t>
      </w:r>
      <w:r>
        <w:rPr>
          <w:rFonts w:eastAsia="仿宋_GB2312"/>
          <w:color w:val="000000" w:themeColor="text1"/>
          <w:sz w:val="32"/>
          <w:szCs w:val="32"/>
          <w14:textFill>
            <w14:solidFill>
              <w14:schemeClr w14:val="tx1"/>
            </w14:solidFill>
          </w14:textFill>
        </w:rPr>
        <w:t>”城市景观要求，建成具有西山特色的主题绿化观赏区。深入开展增绿行动，大力发展主体绿化，提升道路和公园景观品质，打造多种景观观赏区，加强城区绿化服务。坚持长效摆花机制，结合我区民族文化资源和自然资源，打造精彩纷呈“美丽节点”。结合步行系统和社区中微型口袋公园建设，推进口袋公园绿地提升改造扩建和新建。以《生物多样性公约》第十五次缔约方大会为契机，加强绿地广场服务，优化提升现有绿地，打造特色鲜明“美丽公园”和多彩缤纷“美丽街道”，形成全区绚丽多彩、丰富多元的绿地格局，到2025年，绿化管养考核平台化率达到100%。</w:t>
      </w:r>
      <w:bookmarkStart w:id="384" w:name="_Toc59205886"/>
      <w:bookmarkStart w:id="385" w:name="_Toc61644812"/>
    </w:p>
    <w:p w14:paraId="41F686CE">
      <w:pPr>
        <w:topLinePunct/>
        <w:spacing w:line="560" w:lineRule="exact"/>
        <w:ind w:firstLine="641"/>
        <w:contextualSpacing/>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二、加快补齐城市建设发展短板</w:t>
      </w:r>
      <w:bookmarkEnd w:id="384"/>
      <w:bookmarkEnd w:id="385"/>
    </w:p>
    <w:p w14:paraId="0D870F88">
      <w:pPr>
        <w:topLinePunct/>
        <w:spacing w:line="560" w:lineRule="exact"/>
        <w:ind w:firstLine="643"/>
        <w:contextualSpacing/>
        <w:rPr>
          <w:rFonts w:eastAsia="仿宋_GB2312"/>
          <w:color w:val="000000" w:themeColor="text1"/>
          <w:sz w:val="32"/>
          <w:szCs w:val="32"/>
          <w14:textFill>
            <w14:solidFill>
              <w14:schemeClr w14:val="tx1"/>
            </w14:solidFill>
          </w14:textFill>
        </w:rPr>
      </w:pPr>
      <w:r>
        <w:rPr>
          <w:rFonts w:eastAsia="仿宋_GB2312"/>
          <w:b/>
          <w:bCs/>
          <w:color w:val="000000" w:themeColor="text1"/>
          <w:sz w:val="32"/>
          <w:szCs w:val="32"/>
          <w14:textFill>
            <w14:solidFill>
              <w14:schemeClr w14:val="tx1"/>
            </w14:solidFill>
          </w14:textFill>
        </w:rPr>
        <w:t>加强城市道路交通建设。</w:t>
      </w:r>
      <w:r>
        <w:rPr>
          <w:rFonts w:eastAsia="仿宋_GB2312"/>
          <w:color w:val="000000" w:themeColor="text1"/>
          <w:sz w:val="32"/>
          <w:szCs w:val="32"/>
          <w14:textFill>
            <w14:solidFill>
              <w14:schemeClr w14:val="tx1"/>
            </w14:solidFill>
          </w14:textFill>
        </w:rPr>
        <w:t>提高交通综合承载能力，优化城市道路网络功能和级配结构，进一步丰富和完善快速路、主干路、次干路和支路等级配合理的道路网络系统，强化次干路、支路建设。提高建成区路网密度，打通“断头路”，提高道路通达性，加强城市道路与桥梁的养护、改造，通过盘活存量，提高既有路网的承载能力和运行水平。建设城市慢行系统，保护慢行路权，引导慢行良好发展。</w:t>
      </w:r>
      <w:r>
        <w:rPr>
          <w:rFonts w:eastAsia="仿宋_GB2312"/>
          <w:b/>
          <w:bCs/>
          <w:color w:val="000000" w:themeColor="text1"/>
          <w:sz w:val="32"/>
          <w:szCs w:val="32"/>
          <w14:textFill>
            <w14:solidFill>
              <w14:schemeClr w14:val="tx1"/>
            </w14:solidFill>
          </w14:textFill>
        </w:rPr>
        <w:t>加快停车设施建设。</w:t>
      </w:r>
      <w:r>
        <w:rPr>
          <w:rFonts w:eastAsia="仿宋_GB2312"/>
          <w:color w:val="000000" w:themeColor="text1"/>
          <w:sz w:val="32"/>
          <w:szCs w:val="32"/>
          <w14:textFill>
            <w14:solidFill>
              <w14:schemeClr w14:val="tx1"/>
            </w14:solidFill>
          </w14:textFill>
        </w:rPr>
        <w:t>形成以配建停车为主体、路外公共停车为辅助、路内停车为补充的停车设施差别化供给模式。以居住区、大型综合交通枢纽、城市轨道交通外围站点、医院、学校、旅游景区等特殊地区为重点，通过内部挖潜改造建设停车场，并在有条件的周边区域增建公共停车场，加强城市建筑物非机动车、机动车车位配建。有序发展公共自行车服务系统，加强人行道、自行车道建设，倡导绿色出行。</w:t>
      </w:r>
      <w:r>
        <w:rPr>
          <w:rFonts w:eastAsia="仿宋_GB2312"/>
          <w:b/>
          <w:bCs/>
          <w:color w:val="000000" w:themeColor="text1"/>
          <w:sz w:val="32"/>
          <w:szCs w:val="32"/>
          <w14:textFill>
            <w14:solidFill>
              <w14:schemeClr w14:val="tx1"/>
            </w14:solidFill>
          </w14:textFill>
        </w:rPr>
        <w:t>大力提升城市公共设施和服务能力。</w:t>
      </w:r>
      <w:r>
        <w:rPr>
          <w:rFonts w:eastAsia="仿宋_GB2312"/>
          <w:color w:val="000000" w:themeColor="text1"/>
          <w:sz w:val="32"/>
          <w:szCs w:val="32"/>
          <w14:textFill>
            <w14:solidFill>
              <w14:schemeClr w14:val="tx1"/>
            </w14:solidFill>
          </w14:textFill>
        </w:rPr>
        <w:t>围绕公共服务设施提标扩面，优化医疗卫生设施、教育设施、养老托育设施、文旅体育设施、社会福利设施和社区综合服务设施。围绕环境卫生设施提级扩能，完善垃圾无害化资源化处理设施、污水集中处理设施和公共厕所，持续推进道路环境整治，加强环卫一体化考核管理，进行防尘污染防治和建筑垃圾消纳处置，规范占道经营，提高城市宜居质量。到2025年，城市生活垃圾无害化处理率达到100%，主次干道清扫保洁机械化作业率达到95%，城市生活垃圾分类收集率达到25%、回收利用率达到40%。围绕市政公用设施提挡升级，推进市政交通设施、市政管网设施、配送投递设施更新改造。加快推进城市老旧小区水电路气等配套设施更新，支持加装电梯，健全便民市场、便利店、步行街、停车场、无障碍通道等生活服务设施。</w:t>
      </w:r>
      <w:r>
        <w:rPr>
          <w:rFonts w:eastAsia="仿宋_GB2312"/>
          <w:b/>
          <w:bCs/>
          <w:color w:val="000000" w:themeColor="text1"/>
          <w:sz w:val="32"/>
          <w:szCs w:val="32"/>
          <w14:textFill>
            <w14:solidFill>
              <w14:schemeClr w14:val="tx1"/>
            </w14:solidFill>
          </w14:textFill>
        </w:rPr>
        <w:t>推进市政设施智慧建设。</w:t>
      </w:r>
      <w:r>
        <w:rPr>
          <w:rFonts w:eastAsia="仿宋_GB2312"/>
          <w:color w:val="000000" w:themeColor="text1"/>
          <w:sz w:val="32"/>
          <w:szCs w:val="32"/>
          <w14:textFill>
            <w14:solidFill>
              <w14:schemeClr w14:val="tx1"/>
            </w14:solidFill>
          </w14:textFill>
        </w:rPr>
        <w:t>实施“互联网+”市政基础设施计划，加强通信光缆、机房、基站等信息通信基础设施建设，促进现代信息技术与市政基础设施的深度融合。发展智慧道路，建立道路设施与通行主体之间信息交互机制，提高通行效率。发展智慧水务，构建覆盖供排水全过程，涵盖水量、水质、水压、水设施的信息采集、处理与控制体系。发展智慧管网，实现城市地下空间、地下综合管廊、地下管网管理信息化和运行智能化。发展智慧环卫，合理设计规划环卫管理模式，提升环卫作业质量。发展智慧能源，对能源供需实施精细化控制，促进节能减排，提高能源供应安全保障水平。发展智慧园林，实现园林绿化监测、管控与公众服务的智能化。</w:t>
      </w:r>
      <w:r>
        <w:rPr>
          <w:rFonts w:eastAsia="仿宋_GB2312"/>
          <w:b/>
          <w:bCs/>
          <w:color w:val="000000" w:themeColor="text1"/>
          <w:sz w:val="32"/>
          <w:szCs w:val="32"/>
          <w14:textFill>
            <w14:solidFill>
              <w14:schemeClr w14:val="tx1"/>
            </w14:solidFill>
          </w14:textFill>
        </w:rPr>
        <w:t>加快海绵城市、韧性城市建设。</w:t>
      </w:r>
      <w:r>
        <w:rPr>
          <w:rFonts w:eastAsia="仿宋_GB2312"/>
          <w:color w:val="000000" w:themeColor="text1"/>
          <w:sz w:val="32"/>
          <w:szCs w:val="32"/>
          <w14:textFill>
            <w14:solidFill>
              <w14:schemeClr w14:val="tx1"/>
            </w14:solidFill>
          </w14:textFill>
        </w:rPr>
        <w:t>实现城市建设模式转型，统筹推进新老城区海绵城市建设，治理城市内涝与黑臭水体。因地制宜采取屋顶绿化、雨水调蓄与收集利用、微地形等措施，推广海绵型建筑与小区。加快推动建设雨水花园、下凹式绿地、人工湿地等，增强公园和绿地系统的城市海绵体功能。加强城市地下市政基础设施建设，提升城市安全韧性。</w:t>
      </w:r>
      <w:bookmarkStart w:id="386" w:name="_Toc59205887"/>
      <w:bookmarkStart w:id="387" w:name="_Toc61644813"/>
    </w:p>
    <w:p w14:paraId="2882E29A">
      <w:pPr>
        <w:topLinePunct/>
        <w:spacing w:line="560" w:lineRule="exact"/>
        <w:ind w:firstLine="643"/>
        <w:contextualSpacing/>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三、构建“三生”融合发展</w:t>
      </w:r>
      <w:bookmarkEnd w:id="386"/>
      <w:r>
        <w:rPr>
          <w:rFonts w:eastAsia="黑体"/>
          <w:bCs/>
          <w:color w:val="000000" w:themeColor="text1"/>
          <w:sz w:val="32"/>
          <w:szCs w:val="32"/>
          <w14:textFill>
            <w14:solidFill>
              <w14:schemeClr w14:val="tx1"/>
            </w14:solidFill>
          </w14:textFill>
        </w:rPr>
        <w:t>形态</w:t>
      </w:r>
      <w:bookmarkEnd w:id="387"/>
    </w:p>
    <w:p w14:paraId="3F93A5C2">
      <w:pPr>
        <w:topLinePunct/>
        <w:spacing w:line="560" w:lineRule="exact"/>
        <w:ind w:firstLine="640"/>
        <w:rPr>
          <w:rFonts w:eastAsia="仿宋_GB2312"/>
          <w:bCs/>
          <w:color w:val="000000" w:themeColor="text1"/>
          <w:sz w:val="32"/>
          <w:szCs w:val="32"/>
          <w14:textFill>
            <w14:solidFill>
              <w14:schemeClr w14:val="tx1"/>
            </w14:solidFill>
          </w14:textFill>
        </w:rPr>
      </w:pPr>
      <w:r>
        <w:rPr>
          <w:rFonts w:eastAsia="仿宋_GB2312"/>
          <w:bCs/>
          <w:color w:val="000000" w:themeColor="text1"/>
          <w:sz w:val="32"/>
          <w:szCs w:val="32"/>
          <w14:textFill>
            <w14:solidFill>
              <w14:schemeClr w14:val="tx1"/>
            </w14:solidFill>
          </w14:textFill>
        </w:rPr>
        <w:t>打造成为全省“三生”融合先行区、示范区。</w:t>
      </w:r>
      <w:r>
        <w:rPr>
          <w:rFonts w:eastAsia="仿宋_GB2312"/>
          <w:b/>
          <w:color w:val="000000" w:themeColor="text1"/>
          <w:sz w:val="32"/>
          <w:szCs w:val="32"/>
          <w14:textFill>
            <w14:solidFill>
              <w14:schemeClr w14:val="tx1"/>
            </w14:solidFill>
          </w14:textFill>
        </w:rPr>
        <w:t>重点优化主城核心区组团空间定位</w:t>
      </w:r>
      <w:r>
        <w:rPr>
          <w:rFonts w:eastAsia="仿宋_GB2312"/>
          <w:bCs/>
          <w:color w:val="000000" w:themeColor="text1"/>
          <w:sz w:val="32"/>
          <w:szCs w:val="32"/>
          <w14:textFill>
            <w14:solidFill>
              <w14:schemeClr w14:val="tx1"/>
            </w14:solidFill>
          </w14:textFill>
        </w:rPr>
        <w:t>。强化楼宇经济运营能力，导入平台型企业，营造新场景，聚集创新要素，发展数字经济、服务贸易、大健康、文化创意、普惠金融、绿色结算和新零售等产业，强化服务贸易高地功能，形成新平台新生态聚集。</w:t>
      </w:r>
      <w:r>
        <w:rPr>
          <w:rFonts w:eastAsia="仿宋_GB2312"/>
          <w:b/>
          <w:color w:val="000000" w:themeColor="text1"/>
          <w:sz w:val="32"/>
          <w:szCs w:val="32"/>
          <w14:textFill>
            <w14:solidFill>
              <w14:schemeClr w14:val="tx1"/>
            </w14:solidFill>
          </w14:textFill>
        </w:rPr>
        <w:t>重点加快会客厅组团供地保障和公共服务配套</w:t>
      </w:r>
      <w:r>
        <w:rPr>
          <w:rFonts w:eastAsia="仿宋_GB2312"/>
          <w:bCs/>
          <w:color w:val="000000" w:themeColor="text1"/>
          <w:sz w:val="32"/>
          <w:szCs w:val="32"/>
          <w14:textFill>
            <w14:solidFill>
              <w14:schemeClr w14:val="tx1"/>
            </w14:solidFill>
          </w14:textFill>
        </w:rPr>
        <w:t>。导入品牌开发商，开发新载体，聚集龙头企业，发展高端地产、大健康、主题旅游、特色商贸、会议培训等，强化城市客厅功能，形成新经济新生活体验。</w:t>
      </w:r>
      <w:r>
        <w:rPr>
          <w:rFonts w:eastAsia="仿宋_GB2312"/>
          <w:b/>
          <w:color w:val="000000" w:themeColor="text1"/>
          <w:sz w:val="32"/>
          <w:szCs w:val="32"/>
          <w14:textFill>
            <w14:solidFill>
              <w14:schemeClr w14:val="tx1"/>
            </w14:solidFill>
          </w14:textFill>
        </w:rPr>
        <w:t>加快推进西门户组团重大项目建设与城市更新。</w:t>
      </w:r>
      <w:r>
        <w:rPr>
          <w:rFonts w:eastAsia="仿宋_GB2312"/>
          <w:bCs/>
          <w:color w:val="000000" w:themeColor="text1"/>
          <w:sz w:val="32"/>
          <w:szCs w:val="32"/>
          <w14:textFill>
            <w14:solidFill>
              <w14:schemeClr w14:val="tx1"/>
            </w14:solidFill>
          </w14:textFill>
        </w:rPr>
        <w:t>导入产业运营商，加强项目策划和城市设计，发挥长坡产业新城、健康科创城、</w:t>
      </w:r>
      <w:r>
        <w:rPr>
          <w:rFonts w:eastAsia="仿宋_GB2312"/>
          <w:color w:val="000000" w:themeColor="text1"/>
          <w:sz w:val="32"/>
          <w:szCs w:val="32"/>
          <w14:textFill>
            <w14:solidFill>
              <w14:schemeClr w14:val="tx1"/>
            </w14:solidFill>
          </w14:textFill>
        </w:rPr>
        <w:t>渝昆高铁昆明西客站综合交通枢纽</w:t>
      </w:r>
      <w:r>
        <w:rPr>
          <w:rFonts w:eastAsia="仿宋_GB2312"/>
          <w:bCs/>
          <w:color w:val="000000" w:themeColor="text1"/>
          <w:sz w:val="32"/>
          <w:szCs w:val="32"/>
          <w14:textFill>
            <w14:solidFill>
              <w14:schemeClr w14:val="tx1"/>
            </w14:solidFill>
          </w14:textFill>
        </w:rPr>
        <w:t>、春雨路改造工程、云安会都扩建工程等提升带动作用，增强科创、文创、绿创要素融合，植入特色产品市场、服务市场和要素市场。</w:t>
      </w:r>
      <w:r>
        <w:rPr>
          <w:rFonts w:eastAsia="仿宋_GB2312"/>
          <w:b/>
          <w:color w:val="000000" w:themeColor="text1"/>
          <w:sz w:val="32"/>
          <w:szCs w:val="32"/>
          <w14:textFill>
            <w14:solidFill>
              <w14:schemeClr w14:val="tx1"/>
            </w14:solidFill>
          </w14:textFill>
        </w:rPr>
        <w:t>加快推进卫星城组团产业结构调整与产城融合发展。</w:t>
      </w:r>
      <w:r>
        <w:rPr>
          <w:rFonts w:eastAsia="仿宋_GB2312"/>
          <w:bCs/>
          <w:color w:val="000000" w:themeColor="text1"/>
          <w:sz w:val="32"/>
          <w:szCs w:val="32"/>
          <w14:textFill>
            <w14:solidFill>
              <w14:schemeClr w14:val="tx1"/>
            </w14:solidFill>
          </w14:textFill>
        </w:rPr>
        <w:t>导入特殊要素，加强体制机制创新与示范基地建设，孵化工业大麻产业示范园，抢占工业大麻科技研发、生产加工、仓储物流、交易结算的制高点，带动园区向生化产业、精细化工、装备智造等科技创新、绿色生态、高附加值的产业转型，促进楼宇工业发展，增加公共服务。力争白鱼口片区彩云湾项目落地建设，加快半山酒店、工疗、交疗等康养产业综合小镇建设。</w:t>
      </w:r>
      <w:r>
        <w:rPr>
          <w:rFonts w:eastAsia="仿宋_GB2312"/>
          <w:b/>
          <w:color w:val="000000" w:themeColor="text1"/>
          <w:sz w:val="32"/>
          <w:szCs w:val="32"/>
          <w14:textFill>
            <w14:solidFill>
              <w14:schemeClr w14:val="tx1"/>
            </w14:solidFill>
          </w14:textFill>
        </w:rPr>
        <w:t>加快推进风情镇组团战略项目策划与存量片区改造。</w:t>
      </w:r>
      <w:r>
        <w:rPr>
          <w:rFonts w:eastAsia="仿宋_GB2312"/>
          <w:bCs/>
          <w:color w:val="000000" w:themeColor="text1"/>
          <w:sz w:val="32"/>
          <w:szCs w:val="32"/>
          <w14:textFill>
            <w14:solidFill>
              <w14:schemeClr w14:val="tx1"/>
            </w14:solidFill>
          </w14:textFill>
        </w:rPr>
        <w:t>引入大型文旅集团与小镇投资运营商，以增量带动与存量提升，策划系列大型的民族文化IP、节庆品牌、实景电影，植入影视题材、网红基地、汽车营地、共享经济等现代元素，引流特色文化消费、生态消费和休闲康养消费，打造宜居宜业宜游宜养的民族风情小城镇。</w:t>
      </w:r>
      <w:r>
        <w:rPr>
          <w:rFonts w:eastAsia="仿宋_GB2312"/>
          <w:b/>
          <w:color w:val="000000" w:themeColor="text1"/>
          <w:sz w:val="32"/>
          <w:szCs w:val="32"/>
          <w14:textFill>
            <w14:solidFill>
              <w14:schemeClr w14:val="tx1"/>
            </w14:solidFill>
          </w14:textFill>
        </w:rPr>
        <w:t>加快推进后花园组团策划与发展主体培育。</w:t>
      </w:r>
      <w:r>
        <w:rPr>
          <w:rFonts w:eastAsia="仿宋_GB2312"/>
          <w:bCs/>
          <w:color w:val="000000" w:themeColor="text1"/>
          <w:sz w:val="32"/>
          <w:szCs w:val="32"/>
          <w14:textFill>
            <w14:solidFill>
              <w14:schemeClr w14:val="tx1"/>
            </w14:solidFill>
          </w14:textFill>
        </w:rPr>
        <w:t>引入城市运营商与战略投资人，促进花红园社区与棋盘山国家森林公园整体打造，完善规划手续，落实区域管控，加强土地收储，优化交通基础，协调建设指标，聚落式发展生物制药、森林康养、民族养生、高端养老、都市庄园、芳香理疗等生态康旅业态，升级后花园的功能承载，促进“三生”互动与城乡融合发展。</w:t>
      </w:r>
      <w:bookmarkStart w:id="388" w:name="_Toc61644814"/>
      <w:bookmarkStart w:id="389" w:name="_Toc59205888"/>
      <w:bookmarkStart w:id="390" w:name="_Toc17157_WPSOffice_Level3"/>
    </w:p>
    <w:p w14:paraId="1DBC7D4B">
      <w:pPr>
        <w:topLinePunct/>
        <w:spacing w:line="560" w:lineRule="exact"/>
        <w:ind w:firstLine="640"/>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四、推进以人为核心的新型城镇化</w:t>
      </w:r>
      <w:bookmarkEnd w:id="388"/>
      <w:bookmarkEnd w:id="389"/>
      <w:bookmarkEnd w:id="390"/>
    </w:p>
    <w:p w14:paraId="7EB05EB4">
      <w:pPr>
        <w:topLinePunct/>
        <w:spacing w:line="560" w:lineRule="exact"/>
        <w:ind w:firstLine="643"/>
        <w:contextualSpacing/>
        <w:rPr>
          <w:rFonts w:eastAsia="仿宋_GB2312"/>
          <w:color w:val="000000" w:themeColor="text1"/>
          <w:sz w:val="32"/>
          <w:szCs w:val="32"/>
          <w14:textFill>
            <w14:solidFill>
              <w14:schemeClr w14:val="tx1"/>
            </w14:solidFill>
          </w14:textFill>
        </w:rPr>
      </w:pPr>
      <w:r>
        <w:rPr>
          <w:rFonts w:eastAsia="仿宋_GB2312"/>
          <w:b/>
          <w:color w:val="000000" w:themeColor="text1"/>
          <w:sz w:val="32"/>
          <w:szCs w:val="32"/>
          <w14:textFill>
            <w14:solidFill>
              <w14:schemeClr w14:val="tx1"/>
            </w14:solidFill>
          </w14:textFill>
        </w:rPr>
        <w:t>坚持“房住不炒”发展定位。</w:t>
      </w:r>
      <w:r>
        <w:rPr>
          <w:rFonts w:eastAsia="仿宋_GB2312"/>
          <w:color w:val="000000" w:themeColor="text1"/>
          <w:sz w:val="32"/>
          <w:szCs w:val="32"/>
          <w14:textFill>
            <w14:solidFill>
              <w14:schemeClr w14:val="tx1"/>
            </w14:solidFill>
          </w14:textFill>
        </w:rPr>
        <w:t>稳妥实施房地产市场调控，健全长效机制，促进房地产市场平稳健康发展。扩大保障性租赁住房供给，加快建立多主体供给、多渠道保障、租购并举的住房制度，推动实现全体人民住有所居。</w:t>
      </w:r>
      <w:r>
        <w:rPr>
          <w:rFonts w:eastAsia="仿宋_GB2312"/>
          <w:b/>
          <w:color w:val="000000" w:themeColor="text1"/>
          <w:sz w:val="32"/>
          <w:szCs w:val="32"/>
          <w14:textFill>
            <w14:solidFill>
              <w14:schemeClr w14:val="tx1"/>
            </w14:solidFill>
          </w14:textFill>
        </w:rPr>
        <w:t>健全城乡要素配置体制机制。</w:t>
      </w:r>
      <w:r>
        <w:rPr>
          <w:rFonts w:eastAsia="仿宋_GB2312"/>
          <w:color w:val="000000" w:themeColor="text1"/>
          <w:sz w:val="32"/>
          <w:szCs w:val="32"/>
          <w14:textFill>
            <w14:solidFill>
              <w14:schemeClr w14:val="tx1"/>
            </w14:solidFill>
          </w14:textFill>
        </w:rPr>
        <w:t>加快消除城乡二元结构的体制机制障碍，统一城乡要素市场建设，促进土地、技术、资本、劳动力等要素在城乡间平等交换、自由流动，逐步形成以城带乡、城乡互动发展机制。</w:t>
      </w:r>
      <w:r>
        <w:rPr>
          <w:rFonts w:eastAsia="仿宋_GB2312"/>
          <w:b/>
          <w:bCs/>
          <w:color w:val="000000" w:themeColor="text1"/>
          <w:sz w:val="32"/>
          <w:szCs w:val="32"/>
          <w14:textFill>
            <w14:solidFill>
              <w14:schemeClr w14:val="tx1"/>
            </w14:solidFill>
          </w14:textFill>
        </w:rPr>
        <w:t>落实户籍制度改革。</w:t>
      </w:r>
      <w:r>
        <w:rPr>
          <w:rFonts w:eastAsia="仿宋_GB2312"/>
          <w:color w:val="000000" w:themeColor="text1"/>
          <w:sz w:val="32"/>
          <w:szCs w:val="32"/>
          <w14:textFill>
            <w14:solidFill>
              <w14:schemeClr w14:val="tx1"/>
            </w14:solidFill>
          </w14:textFill>
        </w:rPr>
        <w:t>全面取消大中专院校毕业生、国民教育同等学历人员、留学归国人员和各类技术技能人才落户限制。取消民营企业员工、个体工商户落户限制。全面实行农村籍大学生、农村籍退伍转业军人来去自由的落户政策。建立和完善覆盖全区人口、以公民身份号码为唯一标识、以人口基础信息为基准的人口基础信息库。</w:t>
      </w:r>
      <w:r>
        <w:rPr>
          <w:rFonts w:eastAsia="仿宋_GB2312"/>
          <w:b/>
          <w:bCs/>
          <w:color w:val="000000" w:themeColor="text1"/>
          <w:sz w:val="32"/>
          <w:szCs w:val="32"/>
          <w14:textFill>
            <w14:solidFill>
              <w14:schemeClr w14:val="tx1"/>
            </w14:solidFill>
          </w14:textFill>
        </w:rPr>
        <w:t>扩大基本公共服务覆盖范围。</w:t>
      </w:r>
      <w:r>
        <w:rPr>
          <w:rFonts w:eastAsia="仿宋_GB2312"/>
          <w:color w:val="000000" w:themeColor="text1"/>
          <w:sz w:val="32"/>
          <w:szCs w:val="32"/>
          <w14:textFill>
            <w14:solidFill>
              <w14:schemeClr w14:val="tx1"/>
            </w14:solidFill>
          </w14:textFill>
        </w:rPr>
        <w:t>保障农业转移人口及其他常住人口随迁子女平等享有受教育的权利、公共卫生和基本医疗服务、养老服务以及就业帮扶、创业资助等各类待遇。建立健全城乡统一的养老和医疗保险制度。强化用人单位参保缴费责任，扩大农业转移人口参加城镇职工养老保险、工伤保险、失业保险、生育保险比例，努力实现应保尽保。加强农民工住房保障和供应体系建设，多渠道解决农民工住房问题。</w:t>
      </w:r>
      <w:bookmarkStart w:id="391" w:name="_Toc59205889"/>
      <w:bookmarkStart w:id="392" w:name="_Toc61644815"/>
    </w:p>
    <w:p w14:paraId="3952DCC9">
      <w:pPr>
        <w:topLinePunct/>
        <w:spacing w:line="560" w:lineRule="exact"/>
        <w:contextualSpacing/>
        <w:jc w:val="center"/>
        <w:rPr>
          <w:rFonts w:eastAsia="黑体"/>
          <w:b/>
          <w:sz w:val="32"/>
          <w:szCs w:val="32"/>
        </w:rPr>
      </w:pPr>
      <w:r>
        <w:rPr>
          <w:rFonts w:eastAsia="黑体"/>
          <w:sz w:val="32"/>
          <w:szCs w:val="32"/>
        </w:rPr>
        <w:t>第九章 发力城市管理运营，实践新发展</w:t>
      </w:r>
      <w:bookmarkEnd w:id="391"/>
      <w:r>
        <w:rPr>
          <w:rFonts w:eastAsia="黑体"/>
          <w:sz w:val="32"/>
          <w:szCs w:val="32"/>
        </w:rPr>
        <w:t>模式</w:t>
      </w:r>
      <w:bookmarkEnd w:id="392"/>
    </w:p>
    <w:p w14:paraId="56E8B31C">
      <w:pPr>
        <w:topLinePunct/>
        <w:spacing w:line="560" w:lineRule="exact"/>
        <w:ind w:firstLine="640"/>
        <w:rPr>
          <w:rFonts w:eastAsia="仿宋_GB2312"/>
          <w:color w:val="000000" w:themeColor="text1"/>
          <w:sz w:val="32"/>
          <w:szCs w:val="32"/>
          <w14:textFill>
            <w14:solidFill>
              <w14:schemeClr w14:val="tx1"/>
            </w14:solidFill>
          </w14:textFill>
        </w:rPr>
      </w:pPr>
      <w:bookmarkStart w:id="393" w:name="_Toc59205890"/>
      <w:bookmarkStart w:id="394" w:name="_Toc47106171"/>
      <w:bookmarkStart w:id="395" w:name="_Toc10361"/>
      <w:bookmarkStart w:id="396" w:name="_Toc1157"/>
      <w:bookmarkStart w:id="397" w:name="_Toc25934"/>
      <w:bookmarkStart w:id="398" w:name="_Toc24101"/>
      <w:bookmarkStart w:id="399" w:name="_Toc12774"/>
      <w:bookmarkStart w:id="400" w:name="_Toc15416"/>
      <w:bookmarkStart w:id="401" w:name="_Toc21277"/>
      <w:bookmarkStart w:id="402" w:name="_Toc58957654"/>
      <w:bookmarkStart w:id="403" w:name="_Toc9874"/>
      <w:bookmarkStart w:id="404" w:name="_Toc2814"/>
      <w:bookmarkStart w:id="405" w:name="_Toc7311"/>
      <w:r>
        <w:rPr>
          <w:rFonts w:eastAsia="仿宋_GB2312"/>
          <w:color w:val="000000" w:themeColor="text1"/>
          <w:sz w:val="32"/>
          <w:szCs w:val="32"/>
          <w14:textFill>
            <w14:solidFill>
              <w14:schemeClr w14:val="tx1"/>
            </w14:solidFill>
          </w14:textFill>
        </w:rPr>
        <w:t>树立全周期管理理念，注重建管并举，加快补齐短板弱项，推动城市治理科学化、精细化、智能化，满足市民多样化需求，切实提高城市风险防控能力，显著提升城市韧性。</w:t>
      </w:r>
      <w:bookmarkStart w:id="406" w:name="_Toc61644816"/>
    </w:p>
    <w:p w14:paraId="71273190">
      <w:pPr>
        <w:topLinePunct/>
        <w:spacing w:line="560" w:lineRule="exact"/>
        <w:ind w:firstLine="640"/>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一、聚力加强城市全周期管理</w:t>
      </w:r>
      <w:bookmarkEnd w:id="393"/>
      <w:bookmarkEnd w:id="394"/>
      <w:bookmarkEnd w:id="406"/>
    </w:p>
    <w:p w14:paraId="31377284">
      <w:pPr>
        <w:topLinePunct/>
        <w:spacing w:line="560" w:lineRule="exact"/>
        <w:ind w:firstLine="643"/>
        <w:rPr>
          <w:rFonts w:eastAsia="仿宋_GB2312"/>
          <w:bCs/>
          <w:color w:val="000000" w:themeColor="text1"/>
          <w:sz w:val="32"/>
          <w:szCs w:val="32"/>
          <w14:textFill>
            <w14:solidFill>
              <w14:schemeClr w14:val="tx1"/>
            </w14:solidFill>
          </w14:textFill>
        </w:rPr>
      </w:pPr>
      <w:r>
        <w:rPr>
          <w:rFonts w:eastAsia="仿宋_GB2312"/>
          <w:b/>
          <w:color w:val="000000" w:themeColor="text1"/>
          <w:sz w:val="32"/>
          <w:szCs w:val="32"/>
          <w14:textFill>
            <w14:solidFill>
              <w14:schemeClr w14:val="tx1"/>
            </w14:solidFill>
          </w14:textFill>
        </w:rPr>
        <w:t>推进城市管理网格化。</w:t>
      </w:r>
      <w:r>
        <w:rPr>
          <w:rFonts w:eastAsia="仿宋_GB2312"/>
          <w:bCs/>
          <w:color w:val="000000" w:themeColor="text1"/>
          <w:sz w:val="32"/>
          <w:szCs w:val="32"/>
          <w14:textFill>
            <w14:solidFill>
              <w14:schemeClr w14:val="tx1"/>
            </w14:solidFill>
          </w14:textFill>
        </w:rPr>
        <w:t>完善城市管理“一张网”，巩固“1+9+X”网格化工作模式。健全“网格管理、责任到人、发现及时、处置快速、解决有效、参与广泛、监督有力”的网格化城市管理模式。推动完成度假区海埂片区22平方公里街道管理机构设置，整合城市网格化，真正实现一张网格管到底。推行网格化责任清单，加强网格化管理责任制的考评和责任追究，构建网格责任链条，实现城市管理各环节无缝衔接。</w:t>
      </w:r>
      <w:r>
        <w:rPr>
          <w:rFonts w:eastAsia="仿宋_GB2312"/>
          <w:b/>
          <w:color w:val="000000" w:themeColor="text1"/>
          <w:sz w:val="32"/>
          <w:szCs w:val="32"/>
          <w14:textFill>
            <w14:solidFill>
              <w14:schemeClr w14:val="tx1"/>
            </w14:solidFill>
          </w14:textFill>
        </w:rPr>
        <w:t>提升智慧城市管理水平。</w:t>
      </w:r>
      <w:r>
        <w:rPr>
          <w:rFonts w:eastAsia="仿宋_GB2312"/>
          <w:bCs/>
          <w:color w:val="000000" w:themeColor="text1"/>
          <w:sz w:val="32"/>
          <w:szCs w:val="32"/>
          <w14:textFill>
            <w14:solidFill>
              <w14:schemeClr w14:val="tx1"/>
            </w14:solidFill>
          </w14:textFill>
        </w:rPr>
        <w:t>依托数字化城管信息平台，建成智慧城管综合指挥系统，实现与公安、交通等部门道路视频监控系统信息部分共享。加强无人机参与城市精细化管理工作，有效避免管理盲区。应用区块链信息反馈机制，建立城管执法记录和行政许可记录，增强城市管理针对性和有效性。运用大数据网络，深入分析信息规律，提升前期介入、预防性管理水平，推进“城市大脑”系统建设工程。</w:t>
      </w:r>
      <w:bookmarkStart w:id="407" w:name="_Toc61644817"/>
    </w:p>
    <w:p w14:paraId="1BF46A49">
      <w:pPr>
        <w:topLinePunct/>
        <w:spacing w:line="560" w:lineRule="exact"/>
        <w:ind w:firstLine="643"/>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二、推进城市投融资模式创新</w:t>
      </w:r>
      <w:bookmarkEnd w:id="407"/>
    </w:p>
    <w:p w14:paraId="4587AC0E">
      <w:pPr>
        <w:topLinePunct/>
        <w:spacing w:line="560" w:lineRule="exact"/>
        <w:ind w:firstLine="643"/>
        <w:rPr>
          <w:rFonts w:eastAsia="仿宋_GB2312"/>
          <w:bCs/>
          <w:color w:val="000000" w:themeColor="text1"/>
          <w:spacing w:val="4"/>
          <w:sz w:val="32"/>
          <w:szCs w:val="32"/>
          <w14:textFill>
            <w14:solidFill>
              <w14:schemeClr w14:val="tx1"/>
            </w14:solidFill>
          </w14:textFill>
        </w:rPr>
      </w:pPr>
      <w:r>
        <w:rPr>
          <w:rFonts w:eastAsia="仿宋_GB2312"/>
          <w:b/>
          <w:color w:val="000000" w:themeColor="text1"/>
          <w:sz w:val="32"/>
          <w:szCs w:val="32"/>
          <w14:textFill>
            <w14:solidFill>
              <w14:schemeClr w14:val="tx1"/>
            </w14:solidFill>
          </w14:textFill>
        </w:rPr>
        <w:t>构建投融资体系。</w:t>
      </w:r>
      <w:r>
        <w:rPr>
          <w:rFonts w:eastAsia="仿宋_GB2312"/>
          <w:bCs/>
          <w:color w:val="000000" w:themeColor="text1"/>
          <w:sz w:val="32"/>
          <w:szCs w:val="32"/>
          <w14:textFill>
            <w14:solidFill>
              <w14:schemeClr w14:val="tx1"/>
            </w14:solidFill>
          </w14:textFill>
        </w:rPr>
        <w:t>构建以“西山发展投资集团”为西山区投融资体系的源动力，设立重点领域政府投资引导资金，成立西山国有融资担保公司、西山园区发展公司、西山城市发展母基金公司“三位一体”的功能性金融服务公司为投融资体系的放大器，结合战略社会资本和其他优质社会资本，兼顾政府专项债等常规模式，金融供应链等创新模式，打造政策性资本、开发性资本、金融资本、产业资本、建设资本、供应链金融、消费金融环环贯通、相互促进、整体联动的健康稳定投融资体系。</w:t>
      </w:r>
      <w:r>
        <w:rPr>
          <w:rFonts w:eastAsia="仿宋_GB2312"/>
          <w:b/>
          <w:color w:val="000000" w:themeColor="text1"/>
          <w:sz w:val="32"/>
          <w:szCs w:val="32"/>
          <w14:textFill>
            <w14:solidFill>
              <w14:schemeClr w14:val="tx1"/>
            </w14:solidFill>
          </w14:textFill>
        </w:rPr>
        <w:t>建立投融资杠杆。</w:t>
      </w:r>
      <w:r>
        <w:rPr>
          <w:rFonts w:eastAsia="仿宋_GB2312"/>
          <w:bCs/>
          <w:color w:val="000000" w:themeColor="text1"/>
          <w:sz w:val="32"/>
          <w:szCs w:val="32"/>
          <w14:textFill>
            <w14:solidFill>
              <w14:schemeClr w14:val="tx1"/>
            </w14:solidFill>
          </w14:textFill>
        </w:rPr>
        <w:t>吸引区内外社会资本进入西山区域开发、产业投资和重大平台建设，构建财政资金与金融资源、社会资本之间的系统联动机制，示范引导母基金向下设立“产城融合基金+战略产业基金”，两个子基金向下设N个专项发展基金，形成引导西山投融资创新发展的资源集中、不断放大、开发兼容、产城兼顾的“1+2+N”的系列基金组合。</w:t>
      </w:r>
      <w:r>
        <w:rPr>
          <w:rFonts w:eastAsia="仿宋_GB2312"/>
          <w:b/>
          <w:color w:val="000000" w:themeColor="text1"/>
          <w:sz w:val="32"/>
          <w:szCs w:val="32"/>
          <w14:textFill>
            <w14:solidFill>
              <w14:schemeClr w14:val="tx1"/>
            </w14:solidFill>
          </w14:textFill>
        </w:rPr>
        <w:t>夯实投融资支点。</w:t>
      </w:r>
      <w:r>
        <w:rPr>
          <w:rFonts w:eastAsia="仿宋_GB2312"/>
          <w:bCs/>
          <w:color w:val="000000" w:themeColor="text1"/>
          <w:sz w:val="32"/>
          <w:szCs w:val="32"/>
          <w14:textFill>
            <w14:solidFill>
              <w14:schemeClr w14:val="tx1"/>
            </w14:solidFill>
          </w14:textFill>
        </w:rPr>
        <w:t>依托西山发展投资集团，新</w:t>
      </w:r>
      <w:r>
        <w:rPr>
          <w:rFonts w:eastAsia="仿宋_GB2312"/>
          <w:bCs/>
          <w:color w:val="000000" w:themeColor="text1"/>
          <w:spacing w:val="4"/>
          <w:sz w:val="32"/>
          <w:szCs w:val="32"/>
          <w14:textFill>
            <w14:solidFill>
              <w14:schemeClr w14:val="tx1"/>
            </w14:solidFill>
          </w14:textFill>
        </w:rPr>
        <w:t>设融资担保平台，以建立西山区融资担保平台重构政府性融资担保体系，依托政府支持的融资担保公司，完善政府、银行业金融机构、融资担保公司合作机制。</w:t>
      </w:r>
      <w:r>
        <w:rPr>
          <w:rFonts w:eastAsia="仿宋_GB2312"/>
          <w:b/>
          <w:color w:val="000000" w:themeColor="text1"/>
          <w:spacing w:val="4"/>
          <w:sz w:val="32"/>
          <w:szCs w:val="32"/>
          <w14:textFill>
            <w14:solidFill>
              <w14:schemeClr w14:val="tx1"/>
            </w14:solidFill>
          </w14:textFill>
        </w:rPr>
        <w:t>优化供应链金融。</w:t>
      </w:r>
      <w:r>
        <w:rPr>
          <w:rFonts w:eastAsia="仿宋_GB2312"/>
          <w:bCs/>
          <w:color w:val="000000" w:themeColor="text1"/>
          <w:spacing w:val="4"/>
          <w:sz w:val="32"/>
          <w:szCs w:val="32"/>
          <w14:textFill>
            <w14:solidFill>
              <w14:schemeClr w14:val="tx1"/>
            </w14:solidFill>
          </w14:textFill>
        </w:rPr>
        <w:t>探索供应链金融等创新方式，积极创新质押信贷模式，盘活存量资源、在途资源，发展仓储质押融资、供应链融资、保理融资，鼓励优质品牌企业通过上市发债筹集资金，增强企业间活跃性，提升产业间互通性。</w:t>
      </w:r>
      <w:r>
        <w:rPr>
          <w:rFonts w:eastAsia="仿宋_GB2312"/>
          <w:b/>
          <w:color w:val="000000" w:themeColor="text1"/>
          <w:spacing w:val="4"/>
          <w:sz w:val="32"/>
          <w:szCs w:val="32"/>
          <w14:textFill>
            <w14:solidFill>
              <w14:schemeClr w14:val="tx1"/>
            </w14:solidFill>
          </w14:textFill>
        </w:rPr>
        <w:t>创新投融资体制机制。</w:t>
      </w:r>
      <w:r>
        <w:rPr>
          <w:rFonts w:eastAsia="仿宋_GB2312"/>
          <w:bCs/>
          <w:color w:val="000000" w:themeColor="text1"/>
          <w:spacing w:val="4"/>
          <w:sz w:val="32"/>
          <w:szCs w:val="32"/>
          <w14:textFill>
            <w14:solidFill>
              <w14:schemeClr w14:val="tx1"/>
            </w14:solidFill>
          </w14:textFill>
        </w:rPr>
        <w:t>加快激活主体、激活要素、激活市场，主动加快经营体制创新、人才机制创新、平台动力机制创新、资金统筹机制创新，加快优势资源向产业链、价值链高</w:t>
      </w:r>
      <w:r>
        <w:rPr>
          <w:rFonts w:eastAsia="仿宋_GB2312"/>
          <w:bCs/>
          <w:color w:val="000000" w:themeColor="text1"/>
          <w:sz w:val="32"/>
          <w:szCs w:val="32"/>
          <w14:textFill>
            <w14:solidFill>
              <w14:schemeClr w14:val="tx1"/>
            </w14:solidFill>
          </w14:textFill>
        </w:rPr>
        <w:t>端聚集。积极对接云南省股权交易中心，大力发展区域股权市场。</w:t>
      </w:r>
      <w:bookmarkStart w:id="408" w:name="_Toc59205892"/>
      <w:bookmarkStart w:id="409" w:name="_Toc58957657"/>
      <w:bookmarkStart w:id="410" w:name="_Toc61644818"/>
    </w:p>
    <w:p w14:paraId="4ACCEF08">
      <w:pPr>
        <w:topLinePunct/>
        <w:spacing w:line="560" w:lineRule="exact"/>
        <w:ind w:firstLine="643"/>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三、搭建国企城市运营平台</w:t>
      </w:r>
      <w:bookmarkEnd w:id="408"/>
      <w:bookmarkEnd w:id="409"/>
      <w:bookmarkEnd w:id="410"/>
    </w:p>
    <w:p w14:paraId="591B60EE">
      <w:pPr>
        <w:topLinePunct/>
        <w:spacing w:line="560" w:lineRule="exact"/>
        <w:ind w:firstLine="643"/>
        <w:rPr>
          <w:rFonts w:eastAsia="仿宋_GB2312"/>
          <w:bCs/>
          <w:color w:val="000000" w:themeColor="text1"/>
          <w:sz w:val="32"/>
          <w:szCs w:val="32"/>
          <w14:textFill>
            <w14:solidFill>
              <w14:schemeClr w14:val="tx1"/>
            </w14:solidFill>
          </w14:textFill>
        </w:rPr>
      </w:pPr>
      <w:r>
        <w:rPr>
          <w:rFonts w:eastAsia="仿宋_GB2312"/>
          <w:b/>
          <w:color w:val="000000" w:themeColor="text1"/>
          <w:sz w:val="32"/>
          <w:szCs w:val="32"/>
          <w14:textFill>
            <w14:solidFill>
              <w14:schemeClr w14:val="tx1"/>
            </w14:solidFill>
          </w14:textFill>
        </w:rPr>
        <w:t>提升国企运营平台发展水平。</w:t>
      </w:r>
      <w:r>
        <w:rPr>
          <w:rFonts w:eastAsia="仿宋_GB2312"/>
          <w:bCs/>
          <w:color w:val="000000" w:themeColor="text1"/>
          <w:sz w:val="32"/>
          <w:szCs w:val="32"/>
          <w14:textFill>
            <w14:solidFill>
              <w14:schemeClr w14:val="tx1"/>
            </w14:solidFill>
          </w14:textFill>
        </w:rPr>
        <w:t>以做大做强优势产业为目标，坚持以市场为导向，优化国有资本布局结构，加快结构调整和转型升级，完善国有资本投资运营平台。</w:t>
      </w:r>
      <w:r>
        <w:rPr>
          <w:rFonts w:eastAsia="仿宋_GB2312"/>
          <w:b/>
          <w:color w:val="000000" w:themeColor="text1"/>
          <w:sz w:val="32"/>
          <w:szCs w:val="32"/>
          <w14:textFill>
            <w14:solidFill>
              <w14:schemeClr w14:val="tx1"/>
            </w14:solidFill>
          </w14:textFill>
        </w:rPr>
        <w:t>拓展国企运营平台发展空间。</w:t>
      </w:r>
      <w:r>
        <w:rPr>
          <w:rFonts w:eastAsia="仿宋_GB2312"/>
          <w:bCs/>
          <w:color w:val="000000" w:themeColor="text1"/>
          <w:sz w:val="32"/>
          <w:szCs w:val="32"/>
          <w14:textFill>
            <w14:solidFill>
              <w14:schemeClr w14:val="tx1"/>
            </w14:solidFill>
          </w14:textFill>
        </w:rPr>
        <w:t>依托国企运营平台和国资基金群，实施“上市公司+”战略，完善国有资本投资运营平台功能，加强基金群体系化规范化运营，大力推进资源资产化、资产资本化、资本证券化。</w:t>
      </w:r>
      <w:r>
        <w:rPr>
          <w:rFonts w:eastAsia="仿宋_GB2312"/>
          <w:b/>
          <w:color w:val="000000" w:themeColor="text1"/>
          <w:sz w:val="32"/>
          <w:szCs w:val="32"/>
          <w14:textFill>
            <w14:solidFill>
              <w14:schemeClr w14:val="tx1"/>
            </w14:solidFill>
          </w14:textFill>
        </w:rPr>
        <w:t>建立国企运营平台协调机制。</w:t>
      </w:r>
      <w:r>
        <w:rPr>
          <w:rFonts w:eastAsia="仿宋_GB2312"/>
          <w:bCs/>
          <w:color w:val="000000" w:themeColor="text1"/>
          <w:sz w:val="32"/>
          <w:szCs w:val="32"/>
          <w14:textFill>
            <w14:solidFill>
              <w14:schemeClr w14:val="tx1"/>
            </w14:solidFill>
          </w14:textFill>
        </w:rPr>
        <w:t>坚持全区国资国企“一盘棋”，实施资源整合“头雁”战略、金融能级提升战略、战略性新兴产业聚变战略，研究制定新一轮国有企业改革行动计划，抓重点、补短板、强弱项，健全现代企业制度，完善国资监管体制，推进国有经济布局优化和结构调整，增强国有经济竞争力、创新力、控制力、影响力、抗风险能力。</w:t>
      </w:r>
      <w:bookmarkEnd w:id="395"/>
      <w:bookmarkEnd w:id="396"/>
      <w:bookmarkEnd w:id="397"/>
      <w:bookmarkEnd w:id="398"/>
      <w:bookmarkEnd w:id="399"/>
      <w:bookmarkEnd w:id="400"/>
      <w:bookmarkEnd w:id="401"/>
      <w:bookmarkEnd w:id="402"/>
      <w:bookmarkEnd w:id="403"/>
      <w:bookmarkEnd w:id="404"/>
      <w:bookmarkEnd w:id="405"/>
      <w:bookmarkStart w:id="411" w:name="_Toc61644819"/>
      <w:bookmarkStart w:id="412" w:name="_Toc59205894"/>
      <w:bookmarkStart w:id="413" w:name="_Toc59205891"/>
      <w:bookmarkStart w:id="414" w:name="_Toc58957656"/>
    </w:p>
    <w:p w14:paraId="6B6FF94C">
      <w:pPr>
        <w:topLinePunct/>
        <w:spacing w:line="560" w:lineRule="exact"/>
        <w:ind w:firstLine="643"/>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四、构建西山国资国企发展模式</w:t>
      </w:r>
      <w:bookmarkEnd w:id="411"/>
    </w:p>
    <w:p w14:paraId="2D7AC331">
      <w:pPr>
        <w:topLinePunct/>
        <w:spacing w:line="560" w:lineRule="exact"/>
        <w:ind w:firstLine="643"/>
        <w:rPr>
          <w:rFonts w:eastAsia="仿宋_GB2312"/>
          <w:bCs/>
          <w:color w:val="000000" w:themeColor="text1"/>
          <w:sz w:val="32"/>
          <w:szCs w:val="32"/>
          <w14:textFill>
            <w14:solidFill>
              <w14:schemeClr w14:val="tx1"/>
            </w14:solidFill>
          </w14:textFill>
        </w:rPr>
      </w:pPr>
      <w:r>
        <w:rPr>
          <w:rFonts w:eastAsia="仿宋_GB2312"/>
          <w:b/>
          <w:color w:val="000000" w:themeColor="text1"/>
          <w:sz w:val="32"/>
          <w:szCs w:val="32"/>
          <w14:textFill>
            <w14:solidFill>
              <w14:schemeClr w14:val="tx1"/>
            </w14:solidFill>
          </w14:textFill>
        </w:rPr>
        <w:t>清晰国有企业功能定位。</w:t>
      </w:r>
      <w:r>
        <w:rPr>
          <w:rFonts w:eastAsia="仿宋_GB2312"/>
          <w:bCs/>
          <w:color w:val="000000" w:themeColor="text1"/>
          <w:sz w:val="32"/>
          <w:szCs w:val="32"/>
          <w14:textFill>
            <w14:solidFill>
              <w14:schemeClr w14:val="tx1"/>
            </w14:solidFill>
          </w14:textFill>
        </w:rPr>
        <w:t>重点围绕区委、区政府重大战略部署，确定西山区国有企业功能定位，确定主业和非主业界限，引导各公司回归主业、做强主业。充分发挥国有企业在基础设施建设、环境生态治理、教育、景区打造、产业发展、保障和改善民生方面的功能作用。</w:t>
      </w:r>
      <w:r>
        <w:rPr>
          <w:rFonts w:eastAsia="仿宋_GB2312"/>
          <w:b/>
          <w:color w:val="000000" w:themeColor="text1"/>
          <w:sz w:val="32"/>
          <w:szCs w:val="32"/>
          <w14:textFill>
            <w14:solidFill>
              <w14:schemeClr w14:val="tx1"/>
            </w14:solidFill>
          </w14:textFill>
        </w:rPr>
        <w:t>优化国有资本布局结构。</w:t>
      </w:r>
      <w:r>
        <w:rPr>
          <w:rFonts w:eastAsia="仿宋_GB2312"/>
          <w:bCs/>
          <w:color w:val="000000" w:themeColor="text1"/>
          <w:sz w:val="32"/>
          <w:szCs w:val="32"/>
          <w14:textFill>
            <w14:solidFill>
              <w14:schemeClr w14:val="tx1"/>
            </w14:solidFill>
          </w14:textFill>
        </w:rPr>
        <w:t>通过整合重组一批、改制退出一批、创新发展一批国有企业，保留、打造1家区属国有企业集团—昆明市西山区发展投资集团有限公司。</w:t>
      </w:r>
      <w:r>
        <w:rPr>
          <w:rFonts w:eastAsia="仿宋_GB2312"/>
          <w:b/>
          <w:color w:val="000000" w:themeColor="text1"/>
          <w:sz w:val="32"/>
          <w:szCs w:val="32"/>
          <w14:textFill>
            <w14:solidFill>
              <w14:schemeClr w14:val="tx1"/>
            </w14:solidFill>
          </w14:textFill>
        </w:rPr>
        <w:t>整合六大板块资源。</w:t>
      </w:r>
      <w:r>
        <w:rPr>
          <w:rFonts w:eastAsia="仿宋_GB2312"/>
          <w:bCs/>
          <w:color w:val="000000" w:themeColor="text1"/>
          <w:sz w:val="32"/>
          <w:szCs w:val="32"/>
          <w14:textFill>
            <w14:solidFill>
              <w14:schemeClr w14:val="tx1"/>
            </w14:solidFill>
          </w14:textFill>
        </w:rPr>
        <w:t>按领域将企业归集为城市开发、公共事业、教育文旅、园区发展、产业投资、生态环保六大业务板块，在集团公司内按业务板块设立事业部，整合服务资源，把握市场机遇，充分参与市场竞争。</w:t>
      </w:r>
    </w:p>
    <w:tbl>
      <w:tblPr>
        <w:tblStyle w:val="43"/>
        <w:tblW w:w="88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73"/>
      </w:tblGrid>
      <w:tr w14:paraId="32B9A4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73" w:type="dxa"/>
            <w:vAlign w:val="center"/>
          </w:tcPr>
          <w:p w14:paraId="08282405">
            <w:pPr>
              <w:topLinePunct/>
              <w:jc w:val="center"/>
              <w:rPr>
                <w:b/>
                <w:bCs/>
                <w:color w:val="000000" w:themeColor="text1"/>
                <w:sz w:val="28"/>
                <w:szCs w:val="28"/>
                <w14:textFill>
                  <w14:solidFill>
                    <w14:schemeClr w14:val="tx1"/>
                  </w14:solidFill>
                </w14:textFill>
              </w:rPr>
            </w:pPr>
            <w:r>
              <w:rPr>
                <w:rFonts w:eastAsia="黑体"/>
                <w:color w:val="000000" w:themeColor="text1"/>
                <w:sz w:val="28"/>
                <w:szCs w:val="28"/>
                <w14:textFill>
                  <w14:solidFill>
                    <w14:schemeClr w14:val="tx1"/>
                  </w14:solidFill>
                </w14:textFill>
              </w:rPr>
              <w:t>专栏22 六大业务板块承担功能</w:t>
            </w:r>
          </w:p>
        </w:tc>
      </w:tr>
      <w:tr w14:paraId="5154B9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73" w:type="dxa"/>
            <w:vAlign w:val="center"/>
          </w:tcPr>
          <w:p w14:paraId="4BA9D5B7">
            <w:pPr>
              <w:topLinePunct/>
              <w:rPr>
                <w:rFonts w:eastAsia="仿宋_GB2312"/>
                <w:color w:val="000000" w:themeColor="text1"/>
                <w:kern w:val="0"/>
                <w:sz w:val="24"/>
                <w14:textFill>
                  <w14:solidFill>
                    <w14:schemeClr w14:val="tx1"/>
                  </w14:solidFill>
                </w14:textFill>
              </w:rPr>
            </w:pPr>
            <w:r>
              <w:rPr>
                <w:rFonts w:eastAsia="仿宋_GB2312"/>
                <w:b/>
                <w:bCs/>
                <w:color w:val="000000" w:themeColor="text1"/>
                <w:kern w:val="0"/>
                <w:sz w:val="24"/>
                <w14:textFill>
                  <w14:solidFill>
                    <w14:schemeClr w14:val="tx1"/>
                  </w14:solidFill>
                </w14:textFill>
              </w:rPr>
              <w:t>城市板块。</w:t>
            </w:r>
            <w:r>
              <w:rPr>
                <w:rFonts w:eastAsia="仿宋_GB2312"/>
                <w:color w:val="000000" w:themeColor="text1"/>
                <w:kern w:val="0"/>
                <w:sz w:val="24"/>
                <w14:textFill>
                  <w14:solidFill>
                    <w14:schemeClr w14:val="tx1"/>
                  </w14:solidFill>
                </w14:textFill>
              </w:rPr>
              <w:t>主要负责基础设施建设、土地一二级开发、城区改造、城市资源开发等投</w:t>
            </w:r>
            <w:r>
              <w:rPr>
                <w:rFonts w:eastAsia="仿宋_GB2312"/>
                <w:bCs/>
                <w:color w:val="000000" w:themeColor="text1"/>
                <w:kern w:val="0"/>
                <w:sz w:val="24"/>
                <w14:textFill>
                  <w14:solidFill>
                    <w14:schemeClr w14:val="tx1"/>
                  </w14:solidFill>
                </w14:textFill>
              </w:rPr>
              <w:t>融资建设运营板块。</w:t>
            </w:r>
          </w:p>
          <w:p w14:paraId="524E90E6">
            <w:pPr>
              <w:topLinePunct/>
              <w:rPr>
                <w:rFonts w:eastAsia="仿宋_GB2312"/>
                <w:color w:val="000000" w:themeColor="text1"/>
                <w:kern w:val="0"/>
                <w:sz w:val="24"/>
                <w14:textFill>
                  <w14:solidFill>
                    <w14:schemeClr w14:val="tx1"/>
                  </w14:solidFill>
                </w14:textFill>
              </w:rPr>
            </w:pPr>
            <w:r>
              <w:rPr>
                <w:rFonts w:eastAsia="仿宋_GB2312"/>
                <w:b/>
                <w:bCs/>
                <w:color w:val="000000" w:themeColor="text1"/>
                <w:kern w:val="0"/>
                <w:sz w:val="24"/>
                <w14:textFill>
                  <w14:solidFill>
                    <w14:schemeClr w14:val="tx1"/>
                  </w14:solidFill>
                </w14:textFill>
              </w:rPr>
              <w:t>公共事业板块。</w:t>
            </w:r>
            <w:r>
              <w:rPr>
                <w:rFonts w:eastAsia="仿宋_GB2312"/>
                <w:color w:val="000000" w:themeColor="text1"/>
                <w:kern w:val="0"/>
                <w:sz w:val="24"/>
                <w14:textFill>
                  <w14:solidFill>
                    <w14:schemeClr w14:val="tx1"/>
                  </w14:solidFill>
                </w14:textFill>
              </w:rPr>
              <w:t>主要负责园林绿化、地下空间运营、公共物业管理、粮油储备、民生保障及公共服务等投融资运营。</w:t>
            </w:r>
          </w:p>
          <w:p w14:paraId="237606F9">
            <w:pPr>
              <w:topLinePunct/>
              <w:rPr>
                <w:rFonts w:eastAsia="仿宋_GB2312"/>
                <w:color w:val="000000" w:themeColor="text1"/>
                <w:kern w:val="0"/>
                <w:sz w:val="24"/>
                <w14:textFill>
                  <w14:solidFill>
                    <w14:schemeClr w14:val="tx1"/>
                  </w14:solidFill>
                </w14:textFill>
              </w:rPr>
            </w:pPr>
            <w:r>
              <w:rPr>
                <w:rFonts w:eastAsia="仿宋_GB2312"/>
                <w:b/>
                <w:bCs/>
                <w:color w:val="000000" w:themeColor="text1"/>
                <w:kern w:val="0"/>
                <w:sz w:val="24"/>
                <w14:textFill>
                  <w14:solidFill>
                    <w14:schemeClr w14:val="tx1"/>
                  </w14:solidFill>
                </w14:textFill>
              </w:rPr>
              <w:t>教育文旅板块。</w:t>
            </w:r>
            <w:r>
              <w:rPr>
                <w:rFonts w:eastAsia="仿宋_GB2312"/>
                <w:color w:val="000000" w:themeColor="text1"/>
                <w:kern w:val="0"/>
                <w:sz w:val="24"/>
                <w14:textFill>
                  <w14:solidFill>
                    <w14:schemeClr w14:val="tx1"/>
                  </w14:solidFill>
                </w14:textFill>
              </w:rPr>
              <w:t>主要负责教育文创、旅游相关产业、景区、大健康产业等投融资运营。</w:t>
            </w:r>
          </w:p>
          <w:p w14:paraId="48260DC1">
            <w:pPr>
              <w:topLinePunct/>
              <w:rPr>
                <w:rFonts w:eastAsia="仿宋_GB2312"/>
                <w:color w:val="000000" w:themeColor="text1"/>
                <w:kern w:val="0"/>
                <w:sz w:val="24"/>
                <w14:textFill>
                  <w14:solidFill>
                    <w14:schemeClr w14:val="tx1"/>
                  </w14:solidFill>
                </w14:textFill>
              </w:rPr>
            </w:pPr>
            <w:r>
              <w:rPr>
                <w:rFonts w:eastAsia="仿宋_GB2312"/>
                <w:b/>
                <w:bCs/>
                <w:color w:val="000000" w:themeColor="text1"/>
                <w:kern w:val="0"/>
                <w:sz w:val="24"/>
                <w14:textFill>
                  <w14:solidFill>
                    <w14:schemeClr w14:val="tx1"/>
                  </w14:solidFill>
                </w14:textFill>
              </w:rPr>
              <w:t>园区发展板块。</w:t>
            </w:r>
            <w:r>
              <w:rPr>
                <w:rFonts w:eastAsia="仿宋_GB2312"/>
                <w:color w:val="000000" w:themeColor="text1"/>
                <w:kern w:val="0"/>
                <w:sz w:val="24"/>
                <w14:textFill>
                  <w14:solidFill>
                    <w14:schemeClr w14:val="tx1"/>
                  </w14:solidFill>
                </w14:textFill>
              </w:rPr>
              <w:t>主要负责海口工业园区、长坡产业新城及新设园区投融资运营。</w:t>
            </w:r>
          </w:p>
          <w:p w14:paraId="0FBA1E2A">
            <w:pPr>
              <w:topLinePunct/>
              <w:rPr>
                <w:rFonts w:eastAsia="仿宋_GB2312"/>
                <w:color w:val="000000" w:themeColor="text1"/>
                <w:kern w:val="0"/>
                <w:sz w:val="24"/>
                <w14:textFill>
                  <w14:solidFill>
                    <w14:schemeClr w14:val="tx1"/>
                  </w14:solidFill>
                </w14:textFill>
              </w:rPr>
            </w:pPr>
            <w:r>
              <w:rPr>
                <w:rFonts w:eastAsia="仿宋_GB2312"/>
                <w:b/>
                <w:bCs/>
                <w:color w:val="000000" w:themeColor="text1"/>
                <w:kern w:val="0"/>
                <w:sz w:val="24"/>
                <w14:textFill>
                  <w14:solidFill>
                    <w14:schemeClr w14:val="tx1"/>
                  </w14:solidFill>
                </w14:textFill>
              </w:rPr>
              <w:t>产业投资板块。</w:t>
            </w:r>
            <w:r>
              <w:rPr>
                <w:rFonts w:eastAsia="仿宋_GB2312"/>
                <w:color w:val="000000" w:themeColor="text1"/>
                <w:kern w:val="0"/>
                <w:sz w:val="24"/>
                <w14:textFill>
                  <w14:solidFill>
                    <w14:schemeClr w14:val="tx1"/>
                  </w14:solidFill>
                </w14:textFill>
              </w:rPr>
              <w:t>主要负责商贸物流、自然资源综合服务、数字智能经济等现代新兴产业、高原特色农业等产业投融资运营。</w:t>
            </w:r>
          </w:p>
          <w:p w14:paraId="01D29EFA">
            <w:pPr>
              <w:topLinePunct/>
              <w:rPr>
                <w:color w:val="000000" w:themeColor="text1"/>
                <w:kern w:val="0"/>
                <w:sz w:val="24"/>
                <w14:textFill>
                  <w14:solidFill>
                    <w14:schemeClr w14:val="tx1"/>
                  </w14:solidFill>
                </w14:textFill>
              </w:rPr>
            </w:pPr>
            <w:r>
              <w:rPr>
                <w:rFonts w:eastAsia="仿宋_GB2312"/>
                <w:b/>
                <w:bCs/>
                <w:color w:val="000000" w:themeColor="text1"/>
                <w:kern w:val="0"/>
                <w:sz w:val="24"/>
                <w14:textFill>
                  <w14:solidFill>
                    <w14:schemeClr w14:val="tx1"/>
                  </w14:solidFill>
                </w14:textFill>
              </w:rPr>
              <w:t>生态环保板块。</w:t>
            </w:r>
            <w:r>
              <w:rPr>
                <w:rFonts w:eastAsia="仿宋_GB2312"/>
                <w:color w:val="000000" w:themeColor="text1"/>
                <w:kern w:val="0"/>
                <w:sz w:val="24"/>
                <w14:textFill>
                  <w14:solidFill>
                    <w14:schemeClr w14:val="tx1"/>
                  </w14:solidFill>
                </w14:textFill>
              </w:rPr>
              <w:t>主要负责生态治理与发展、环保技术、环保新型材料等相关产业投融资运营。</w:t>
            </w:r>
          </w:p>
        </w:tc>
      </w:tr>
    </w:tbl>
    <w:p w14:paraId="1F02B71B">
      <w:pPr>
        <w:spacing w:line="560" w:lineRule="exact"/>
        <w:jc w:val="center"/>
        <w:rPr>
          <w:rFonts w:eastAsia="黑体"/>
          <w:sz w:val="32"/>
          <w:szCs w:val="32"/>
        </w:rPr>
      </w:pPr>
      <w:bookmarkStart w:id="415" w:name="_Toc61644820"/>
      <w:r>
        <w:rPr>
          <w:rFonts w:eastAsia="黑体"/>
          <w:sz w:val="32"/>
          <w:szCs w:val="32"/>
        </w:rPr>
        <w:t>第十章 构筑现代基础设施网络，释放新发展效能</w:t>
      </w:r>
      <w:bookmarkEnd w:id="412"/>
      <w:bookmarkEnd w:id="415"/>
    </w:p>
    <w:p w14:paraId="5FC94852">
      <w:pPr>
        <w:topLinePunct/>
        <w:spacing w:line="560" w:lineRule="exact"/>
        <w:ind w:firstLine="640"/>
        <w:rPr>
          <w:rFonts w:eastAsia="仿宋_GB2312"/>
          <w:color w:val="000000" w:themeColor="text1"/>
          <w:sz w:val="32"/>
          <w:szCs w:val="32"/>
          <w14:textFill>
            <w14:solidFill>
              <w14:schemeClr w14:val="tx1"/>
            </w14:solidFill>
          </w14:textFill>
        </w:rPr>
      </w:pPr>
      <w:bookmarkStart w:id="416" w:name="_Toc59205895"/>
      <w:bookmarkStart w:id="417" w:name="_Toc5978"/>
      <w:r>
        <w:rPr>
          <w:rFonts w:eastAsia="仿宋_GB2312"/>
          <w:color w:val="000000" w:themeColor="text1"/>
          <w:sz w:val="32"/>
          <w:szCs w:val="32"/>
          <w14:textFill>
            <w14:solidFill>
              <w14:schemeClr w14:val="tx1"/>
            </w14:solidFill>
          </w14:textFill>
        </w:rPr>
        <w:t>面向现代产业体系建设和产业布局优化需求，深化基础设施供给侧结构性改革，以推进新型基础设施和“五网”建设为抓手，加快构筑现代基础设施网络，为推动经济社会发展提供有力支撑。</w:t>
      </w:r>
      <w:bookmarkStart w:id="418" w:name="_Toc61644821"/>
    </w:p>
    <w:p w14:paraId="5F63BDF2">
      <w:pPr>
        <w:topLinePunct/>
        <w:spacing w:line="560" w:lineRule="exact"/>
        <w:ind w:firstLine="640"/>
        <w:rPr>
          <w:rFonts w:eastAsia="黑体"/>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一、积极推进“数字西山”建设</w:t>
      </w:r>
      <w:bookmarkEnd w:id="416"/>
      <w:bookmarkEnd w:id="418"/>
    </w:p>
    <w:p w14:paraId="3249A4BD">
      <w:pPr>
        <w:topLinePunct/>
        <w:spacing w:line="560" w:lineRule="exact"/>
        <w:ind w:firstLine="640"/>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（一）推进新型基础设施建设</w:t>
      </w:r>
    </w:p>
    <w:p w14:paraId="16A60F49">
      <w:pPr>
        <w:topLinePunct/>
        <w:spacing w:line="560" w:lineRule="exact"/>
        <w:ind w:firstLine="643"/>
        <w:rPr>
          <w:color w:val="000000" w:themeColor="text1"/>
          <w:sz w:val="32"/>
          <w:szCs w:val="32"/>
          <w14:textFill>
            <w14:solidFill>
              <w14:schemeClr w14:val="tx1"/>
            </w14:solidFill>
          </w14:textFill>
        </w:rPr>
      </w:pPr>
      <w:r>
        <w:rPr>
          <w:rFonts w:eastAsia="仿宋_GB2312"/>
          <w:b/>
          <w:color w:val="000000" w:themeColor="text1"/>
          <w:sz w:val="32"/>
          <w:szCs w:val="32"/>
          <w14:textFill>
            <w14:solidFill>
              <w14:schemeClr w14:val="tx1"/>
            </w14:solidFill>
          </w14:textFill>
        </w:rPr>
        <w:t>加快推动“新基建”。</w:t>
      </w:r>
      <w:r>
        <w:rPr>
          <w:rFonts w:eastAsia="仿宋_GB2312"/>
          <w:color w:val="000000" w:themeColor="text1"/>
          <w:sz w:val="32"/>
          <w:szCs w:val="32"/>
          <w14:textFill>
            <w14:solidFill>
              <w14:schemeClr w14:val="tx1"/>
            </w14:solidFill>
          </w14:textFill>
        </w:rPr>
        <w:t>加快大数据中心、5G基站、互联网数据中心（IDC）机房等建设，重点建设西山政务云中心，推动建设交通、医疗、教育、文化等重点行业的云服务平台，在养老、健康医疗、家政服务、旅游休闲等民生领域鼓励发展云服务。围绕绿色食品、生态农产品、工艺品及高端用品，建设一批区块链追溯平台。</w:t>
      </w:r>
      <w:r>
        <w:rPr>
          <w:rFonts w:eastAsia="仿宋_GB2312"/>
          <w:b/>
          <w:color w:val="000000" w:themeColor="text1"/>
          <w:sz w:val="32"/>
          <w:szCs w:val="32"/>
          <w14:textFill>
            <w14:solidFill>
              <w14:schemeClr w14:val="tx1"/>
            </w14:solidFill>
          </w14:textFill>
        </w:rPr>
        <w:t>优化物联网感知能力。</w:t>
      </w:r>
      <w:r>
        <w:rPr>
          <w:rFonts w:eastAsia="仿宋_GB2312"/>
          <w:color w:val="000000" w:themeColor="text1"/>
          <w:sz w:val="32"/>
          <w:szCs w:val="32"/>
          <w14:textFill>
            <w14:solidFill>
              <w14:schemeClr w14:val="tx1"/>
            </w14:solidFill>
          </w14:textFill>
        </w:rPr>
        <w:t>优化地下管线、公用设施、建筑、重点公共场所等的视频监控设备布局，加快建设城市环境感知和自动监测设施，加强对大气、水、噪声、辐射、土壤等生态环境要素的物联网监测。推进智能停车场、综合管廊等新型物联网集成载体建设。建设智慧生活感知设施，推动基于互联网和智能硬件的智慧生活服务设施建设，支持智能机器人、智能支付、虚拟现实等智能化应用。加强对物联管理对象和感知设备的规范管理，实现数据网络平台化管理。</w:t>
      </w:r>
      <w:r>
        <w:rPr>
          <w:rFonts w:eastAsia="仿宋_GB2312"/>
          <w:b/>
          <w:color w:val="000000" w:themeColor="text1"/>
          <w:sz w:val="32"/>
          <w:szCs w:val="32"/>
          <w14:textFill>
            <w14:solidFill>
              <w14:schemeClr w14:val="tx1"/>
            </w14:solidFill>
          </w14:textFill>
        </w:rPr>
        <w:t>加快公共充电设施建设。</w:t>
      </w:r>
      <w:r>
        <w:rPr>
          <w:rFonts w:eastAsia="仿宋_GB2312"/>
          <w:color w:val="000000" w:themeColor="text1"/>
          <w:sz w:val="32"/>
          <w:szCs w:val="32"/>
          <w14:textFill>
            <w14:solidFill>
              <w14:schemeClr w14:val="tx1"/>
            </w14:solidFill>
          </w14:textFill>
        </w:rPr>
        <w:t>在大型商场、超市、文体场馆等公共场所配建停车场及公共充电设施。新建住宅小区配建一定比例充电桩、充电停车位，鼓励在具备条件的加油站配建公共快充设施，适当新建独立占地的公共快充站。推进“互联网+充电基础设施”，提高充电服务智能化水平，提升运营效率和用户体验，促进电动汽车与智能电网间能量和信息的双向互动。围绕物流、执法、环卫等优先推广领域，充分结合车辆使用时间、运行半径等，合理布局一批充电设施，规划公共充电站密度不低于1.5站/平方公里。</w:t>
      </w:r>
    </w:p>
    <w:p w14:paraId="3CCC6D89">
      <w:pPr>
        <w:topLinePunct/>
        <w:spacing w:line="560" w:lineRule="exact"/>
        <w:ind w:firstLine="640"/>
        <w:outlineLvl w:val="2"/>
        <w:rPr>
          <w:rFonts w:eastAsia="楷体_GB2312"/>
          <w:color w:val="000000" w:themeColor="text1"/>
          <w:sz w:val="32"/>
          <w:szCs w:val="32"/>
          <w14:textFill>
            <w14:solidFill>
              <w14:schemeClr w14:val="tx1"/>
            </w14:solidFill>
          </w14:textFill>
        </w:rPr>
      </w:pPr>
      <w:bookmarkStart w:id="419" w:name="_Toc59205896"/>
      <w:r>
        <w:rPr>
          <w:rFonts w:eastAsia="楷体_GB2312"/>
          <w:color w:val="000000" w:themeColor="text1"/>
          <w:sz w:val="32"/>
          <w:szCs w:val="32"/>
          <w14:textFill>
            <w14:solidFill>
              <w14:schemeClr w14:val="tx1"/>
            </w14:solidFill>
          </w14:textFill>
        </w:rPr>
        <w:t>（二）推进信息基础设施建设</w:t>
      </w:r>
    </w:p>
    <w:p w14:paraId="330EAC67">
      <w:pPr>
        <w:topLinePunct/>
        <w:spacing w:line="560" w:lineRule="exact"/>
        <w:ind w:firstLine="643"/>
        <w:rPr>
          <w:rFonts w:eastAsia="仿宋_GB2312"/>
          <w:color w:val="000000" w:themeColor="text1"/>
          <w:sz w:val="32"/>
          <w:szCs w:val="32"/>
          <w14:textFill>
            <w14:solidFill>
              <w14:schemeClr w14:val="tx1"/>
            </w14:solidFill>
          </w14:textFill>
        </w:rPr>
      </w:pPr>
      <w:r>
        <w:rPr>
          <w:rFonts w:eastAsia="仿宋_GB2312"/>
          <w:b/>
          <w:bCs/>
          <w:color w:val="000000" w:themeColor="text1"/>
          <w:sz w:val="32"/>
          <w:szCs w:val="32"/>
          <w14:textFill>
            <w14:solidFill>
              <w14:schemeClr w14:val="tx1"/>
            </w14:solidFill>
          </w14:textFill>
        </w:rPr>
        <w:t>加快城市光网建设。</w:t>
      </w:r>
      <w:r>
        <w:rPr>
          <w:rFonts w:eastAsia="仿宋_GB2312"/>
          <w:color w:val="000000" w:themeColor="text1"/>
          <w:sz w:val="32"/>
          <w:szCs w:val="32"/>
          <w14:textFill>
            <w14:solidFill>
              <w14:schemeClr w14:val="tx1"/>
            </w14:solidFill>
          </w14:textFill>
        </w:rPr>
        <w:t>建设城乡一体、快速高效的全光纤网络，实现用户签约带宽最低50M、普及100M。持续推进有线电视高清交互网络系统优化扩容，构建融合智能的下一代广播电视网络。实现行政村光网和无线通信信号覆盖率100%，自然村（20户以上不搬迁的）光网和无线通信信号覆盖率98.5%；城区5G信号覆盖率达到95%以上，并向乡村地区延伸覆盖。</w:t>
      </w:r>
      <w:r>
        <w:rPr>
          <w:rFonts w:eastAsia="仿宋_GB2312"/>
          <w:b/>
          <w:bCs/>
          <w:color w:val="000000" w:themeColor="text1"/>
          <w:sz w:val="32"/>
          <w:szCs w:val="32"/>
          <w14:textFill>
            <w14:solidFill>
              <w14:schemeClr w14:val="tx1"/>
            </w14:solidFill>
          </w14:textFill>
        </w:rPr>
        <w:t>推进IPv6改造升级工程。</w:t>
      </w:r>
      <w:r>
        <w:rPr>
          <w:rFonts w:eastAsia="仿宋_GB2312"/>
          <w:color w:val="000000" w:themeColor="text1"/>
          <w:sz w:val="32"/>
          <w:szCs w:val="32"/>
          <w14:textFill>
            <w14:solidFill>
              <w14:schemeClr w14:val="tx1"/>
            </w14:solidFill>
          </w14:textFill>
        </w:rPr>
        <w:t>加快提升内容分发网络（CDN）IPv6应用加速能力，大幅提升IPv6节点数、服务覆盖率、应用加速性能，为打造区域金融结算中心奠定坚实基础。</w:t>
      </w:r>
      <w:r>
        <w:rPr>
          <w:rFonts w:eastAsia="仿宋_GB2312"/>
          <w:b/>
          <w:bCs/>
          <w:color w:val="000000" w:themeColor="text1"/>
          <w:sz w:val="32"/>
          <w:szCs w:val="32"/>
          <w14:textFill>
            <w14:solidFill>
              <w14:schemeClr w14:val="tx1"/>
            </w14:solidFill>
          </w14:textFill>
        </w:rPr>
        <w:t>提升乡村地区宽带覆盖水平。</w:t>
      </w:r>
      <w:r>
        <w:rPr>
          <w:rFonts w:eastAsia="仿宋_GB2312"/>
          <w:color w:val="000000" w:themeColor="text1"/>
          <w:sz w:val="32"/>
          <w:szCs w:val="32"/>
          <w14:textFill>
            <w14:solidFill>
              <w14:schemeClr w14:val="tx1"/>
            </w14:solidFill>
          </w14:textFill>
        </w:rPr>
        <w:t>加快4G补盲提速工程，推进电信普遍服务试点，实施宽带乡村工程。持续加强光纤到村建设，到2025年，实现乡村地区家庭宽带普及率达到90%以上，家庭用户宽带接入能力达到200Mbps以上。</w:t>
      </w:r>
    </w:p>
    <w:p w14:paraId="479F1582">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（三）推进全要素数字化转型</w:t>
      </w:r>
    </w:p>
    <w:p w14:paraId="085DC68B">
      <w:pPr>
        <w:topLinePunct/>
        <w:spacing w:line="560" w:lineRule="exact"/>
        <w:ind w:firstLine="643"/>
        <w:rPr>
          <w:rFonts w:eastAsia="仿宋_GB2312"/>
          <w:color w:val="000000" w:themeColor="text1"/>
          <w:sz w:val="32"/>
          <w:szCs w:val="32"/>
          <w14:textFill>
            <w14:solidFill>
              <w14:schemeClr w14:val="tx1"/>
            </w14:solidFill>
          </w14:textFill>
        </w:rPr>
      </w:pPr>
      <w:r>
        <w:rPr>
          <w:rFonts w:eastAsia="仿宋_GB2312"/>
          <w:b/>
          <w:bCs/>
          <w:color w:val="000000" w:themeColor="text1"/>
          <w:sz w:val="32"/>
          <w:szCs w:val="32"/>
          <w14:textFill>
            <w14:solidFill>
              <w14:schemeClr w14:val="tx1"/>
            </w14:solidFill>
          </w14:textFill>
        </w:rPr>
        <w:t>推进数字产业化建设。</w:t>
      </w:r>
      <w:r>
        <w:rPr>
          <w:rFonts w:eastAsia="仿宋_GB2312"/>
          <w:color w:val="000000" w:themeColor="text1"/>
          <w:sz w:val="32"/>
          <w:szCs w:val="32"/>
          <w14:textFill>
            <w14:solidFill>
              <w14:schemeClr w14:val="tx1"/>
            </w14:solidFill>
          </w14:textFill>
        </w:rPr>
        <w:t>运用移动互联网、云计算、大数据、人工智能、区块链、物联网、卫星互联网等数字技术，强化“以应用换产业”，推动建设数字应用场景，积极培育数据融合新业态新模式。加强个人信息保护，有效防范数字经济发展带来的安全风险。</w:t>
      </w:r>
      <w:r>
        <w:rPr>
          <w:rFonts w:eastAsia="仿宋_GB2312"/>
          <w:b/>
          <w:bCs/>
          <w:color w:val="000000" w:themeColor="text1"/>
          <w:sz w:val="32"/>
          <w:szCs w:val="32"/>
          <w14:textFill>
            <w14:solidFill>
              <w14:schemeClr w14:val="tx1"/>
            </w14:solidFill>
          </w14:textFill>
        </w:rPr>
        <w:t>推进产业数字化建设，</w:t>
      </w:r>
      <w:r>
        <w:rPr>
          <w:rFonts w:eastAsia="仿宋_GB2312"/>
          <w:color w:val="000000" w:themeColor="text1"/>
          <w:sz w:val="32"/>
          <w:szCs w:val="32"/>
          <w14:textFill>
            <w14:solidFill>
              <w14:schemeClr w14:val="tx1"/>
            </w14:solidFill>
          </w14:textFill>
        </w:rPr>
        <w:t>深化数字技术和“4×3”重点产业的融合发展，推进5G技术、区块链技术在电子合同、发票和产业链金融方面的应用，促进产业数字化转型。</w:t>
      </w:r>
      <w:r>
        <w:rPr>
          <w:rFonts w:eastAsia="仿宋_GB2312"/>
          <w:b/>
          <w:bCs/>
          <w:color w:val="000000" w:themeColor="text1"/>
          <w:sz w:val="32"/>
          <w:szCs w:val="32"/>
          <w14:textFill>
            <w14:solidFill>
              <w14:schemeClr w14:val="tx1"/>
            </w14:solidFill>
          </w14:textFill>
        </w:rPr>
        <w:t>推进资源数字化，加快数字社会建设。</w:t>
      </w:r>
      <w:r>
        <w:rPr>
          <w:rFonts w:eastAsia="仿宋_GB2312"/>
          <w:color w:val="000000" w:themeColor="text1"/>
          <w:sz w:val="32"/>
          <w:szCs w:val="32"/>
          <w14:textFill>
            <w14:solidFill>
              <w14:schemeClr w14:val="tx1"/>
            </w14:solidFill>
          </w14:textFill>
        </w:rPr>
        <w:t>以优化提升民生服务、完善社会治理体系、激发社会活力、促进信息技术应用市场化服务为重点，加快发展智慧教育、数字文化、远程医疗、智慧养老、智慧交通、数字环保、数字应急、数字传媒等智慧化服务体系，加快建设智慧城市、数字社区、数字乡村，加快构建数字化信用系统、不断提升全民数字技能、推动全社会数字化转型，加快数字社会建设。</w:t>
      </w:r>
      <w:r>
        <w:rPr>
          <w:rFonts w:eastAsia="仿宋_GB2312"/>
          <w:b/>
          <w:bCs/>
          <w:color w:val="000000" w:themeColor="text1"/>
          <w:sz w:val="32"/>
          <w:szCs w:val="32"/>
          <w14:textFill>
            <w14:solidFill>
              <w14:schemeClr w14:val="tx1"/>
            </w14:solidFill>
          </w14:textFill>
        </w:rPr>
        <w:t>推进治理数字化，加快数字政府建设。</w:t>
      </w:r>
      <w:r>
        <w:rPr>
          <w:rFonts w:eastAsia="仿宋_GB2312"/>
          <w:color w:val="000000" w:themeColor="text1"/>
          <w:sz w:val="32"/>
          <w:szCs w:val="32"/>
          <w14:textFill>
            <w14:solidFill>
              <w14:schemeClr w14:val="tx1"/>
            </w14:solidFill>
          </w14:textFill>
        </w:rPr>
        <w:t>深化数字技术与政务服务和社会治理深度融合，优化和再造政务业务流程，推动政务信息开放共享，开展“互联网+政务”，提高数字政务服务管理水平。全面打造数据资源、政务办公、公共服务、政府监管、社会治理一体化体系，提升政府科学决策和精细治理水平，提高政务服务管理运行效率，推动人民满意的服务型政府建设。</w:t>
      </w:r>
    </w:p>
    <w:tbl>
      <w:tblPr>
        <w:tblStyle w:val="43"/>
        <w:tblW w:w="88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73"/>
      </w:tblGrid>
      <w:tr w14:paraId="75E452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73" w:type="dxa"/>
            <w:vAlign w:val="center"/>
          </w:tcPr>
          <w:p w14:paraId="6828BCBD">
            <w:pPr>
              <w:topLinePunct/>
              <w:jc w:val="center"/>
              <w:rPr>
                <w:rFonts w:eastAsia="黑体"/>
                <w:color w:val="000000" w:themeColor="text1"/>
                <w:sz w:val="24"/>
                <w14:textFill>
                  <w14:solidFill>
                    <w14:schemeClr w14:val="tx1"/>
                  </w14:solidFill>
                </w14:textFill>
              </w:rPr>
            </w:pPr>
            <w:r>
              <w:rPr>
                <w:rFonts w:eastAsia="黑体"/>
                <w:color w:val="000000" w:themeColor="text1"/>
                <w:sz w:val="28"/>
                <w:szCs w:val="28"/>
                <w14:textFill>
                  <w14:solidFill>
                    <w14:schemeClr w14:val="tx1"/>
                  </w14:solidFill>
                </w14:textFill>
              </w:rPr>
              <w:t>专栏23 “数字西山”建设重大领域</w:t>
            </w:r>
          </w:p>
        </w:tc>
      </w:tr>
      <w:tr w14:paraId="797687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73" w:type="dxa"/>
            <w:vAlign w:val="center"/>
          </w:tcPr>
          <w:p w14:paraId="2B6DB0A2">
            <w:pPr>
              <w:topLinePunct/>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1.加快新型基础设施建设。</w:t>
            </w:r>
            <w:r>
              <w:rPr>
                <w:rFonts w:eastAsia="仿宋_GB2312"/>
                <w:color w:val="000000" w:themeColor="text1"/>
                <w:sz w:val="24"/>
                <w14:textFill>
                  <w14:solidFill>
                    <w14:schemeClr w14:val="tx1"/>
                  </w14:solidFill>
                </w14:textFill>
              </w:rPr>
              <w:t>加快信息网络、5G基站、大数据中心、互联网数据中心（IDC）机房、IPv6改造升级、工业互联网、物联网等新型基础设施领域建设。</w:t>
            </w:r>
          </w:p>
          <w:p w14:paraId="46B46A10">
            <w:pPr>
              <w:topLinePunct/>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2.推动数字产业化</w:t>
            </w:r>
            <w:r>
              <w:rPr>
                <w:rFonts w:eastAsia="仿宋_GB2312"/>
                <w:color w:val="000000" w:themeColor="text1"/>
                <w:sz w:val="24"/>
                <w14:textFill>
                  <w14:solidFill>
                    <w14:schemeClr w14:val="tx1"/>
                  </w14:solidFill>
                </w14:textFill>
              </w:rPr>
              <w:t>。引入和培育5G产业链上下游企业，助力中小微企业上云用数赋智，推动建设数字应用场景，有效防范数字经济发展带来的安全风险。</w:t>
            </w:r>
          </w:p>
          <w:p w14:paraId="3A391881">
            <w:pPr>
              <w:topLinePunct/>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3.推进产业数字化。</w:t>
            </w:r>
            <w:r>
              <w:rPr>
                <w:rFonts w:eastAsia="仿宋_GB2312"/>
                <w:color w:val="000000" w:themeColor="text1"/>
                <w:sz w:val="24"/>
                <w14:textFill>
                  <w14:solidFill>
                    <w14:schemeClr w14:val="tx1"/>
                  </w14:solidFill>
                </w14:textFill>
              </w:rPr>
              <w:t>推动“4×3”产业与数字技术的融合发展，重点加快装备制造、康养文旅等领域的数字化转型，鼓励推动电子合同、发票等数字应用。</w:t>
            </w:r>
          </w:p>
          <w:p w14:paraId="2CDD9D97">
            <w:pPr>
              <w:topLinePunct/>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4.打造数字社会。</w:t>
            </w:r>
            <w:r>
              <w:rPr>
                <w:rFonts w:eastAsia="仿宋_GB2312"/>
                <w:color w:val="000000" w:themeColor="text1"/>
                <w:sz w:val="24"/>
                <w14:textFill>
                  <w14:solidFill>
                    <w14:schemeClr w14:val="tx1"/>
                  </w14:solidFill>
                </w14:textFill>
              </w:rPr>
              <w:t>加快发展智慧教育、数字文化、远程医疗、智慧养老、智慧交通、数字环保、数字应急、数字传媒等智慧化服务体系，加快建设智慧城市、数字社区、数字乡村，加快构建数字化信用系统，推广“刷脸就行”工程。</w:t>
            </w:r>
          </w:p>
          <w:p w14:paraId="433755AE">
            <w:pPr>
              <w:topLinePunct/>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5.实现数字政务。</w:t>
            </w:r>
            <w:r>
              <w:rPr>
                <w:rFonts w:eastAsia="仿宋_GB2312"/>
                <w:color w:val="000000" w:themeColor="text1"/>
                <w:sz w:val="24"/>
                <w14:textFill>
                  <w14:solidFill>
                    <w14:schemeClr w14:val="tx1"/>
                  </w14:solidFill>
                </w14:textFill>
              </w:rPr>
              <w:t>推动实现全区“一网通办”，开展“互联网+政务”，建立“互联网+监管”平台，加快“政务云”建设。</w:t>
            </w:r>
          </w:p>
        </w:tc>
      </w:tr>
    </w:tbl>
    <w:p w14:paraId="7F8363E4">
      <w:pPr>
        <w:spacing w:line="560" w:lineRule="exact"/>
        <w:ind w:firstLine="640" w:firstLineChars="200"/>
        <w:rPr>
          <w:rFonts w:eastAsia="黑体"/>
          <w:sz w:val="32"/>
          <w:szCs w:val="32"/>
        </w:rPr>
      </w:pPr>
      <w:bookmarkStart w:id="420" w:name="_Toc61644822"/>
      <w:r>
        <w:rPr>
          <w:rFonts w:eastAsia="黑体"/>
          <w:sz w:val="32"/>
          <w:szCs w:val="32"/>
        </w:rPr>
        <w:t>二、构建互联互通的综合交通网</w:t>
      </w:r>
      <w:bookmarkEnd w:id="419"/>
      <w:bookmarkEnd w:id="420"/>
    </w:p>
    <w:p w14:paraId="4F577EF8">
      <w:pPr>
        <w:topLinePunct/>
        <w:spacing w:line="560" w:lineRule="exact"/>
        <w:ind w:firstLine="656"/>
        <w:rPr>
          <w:rFonts w:eastAsia="仿宋_GB2312"/>
          <w:color w:val="000000" w:themeColor="text1"/>
          <w:spacing w:val="4"/>
          <w:sz w:val="32"/>
          <w:szCs w:val="32"/>
          <w14:textFill>
            <w14:solidFill>
              <w14:schemeClr w14:val="tx1"/>
            </w14:solidFill>
          </w14:textFill>
        </w:rPr>
      </w:pPr>
      <w:r>
        <w:rPr>
          <w:rFonts w:eastAsia="仿宋_GB2312"/>
          <w:color w:val="000000" w:themeColor="text1"/>
          <w:spacing w:val="4"/>
          <w:sz w:val="32"/>
          <w:szCs w:val="32"/>
          <w14:textFill>
            <w14:solidFill>
              <w14:schemeClr w14:val="tx1"/>
            </w14:solidFill>
          </w14:textFill>
        </w:rPr>
        <w:t>转变交通发展方式，初步建成区域交通、城乡交通、城市交通一体化体系，形成点线面衔接顺畅、干支层次清晰、不同交通方式分工协作、交通结构高效合理的多层次综合交通系统。</w:t>
      </w:r>
    </w:p>
    <w:p w14:paraId="032A72E9">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（一）加强对外交通通道建设</w:t>
      </w:r>
    </w:p>
    <w:p w14:paraId="0E605997">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加快与滇中新区的通道联系建设，强化与周边区域的互联互通，打造复合型的综合交通网络，全面融入滇中城市经济圈一体化发展。打造联接滇西、滇南的区域性交通枢纽，加快构筑公路、铁路、航空、水运“互通互联”，强化西山区作为昆明西部咽喉的辐射力。依托并整合铁路、航空、公路和公交、轨道等大型站场枢纽设施，实现“以枢纽整合交通网络和交通方式”。加快推进渝昆高铁昆明西客站综合交通枢纽建设，强化西山区作为昆明枢纽的地位。</w:t>
      </w:r>
    </w:p>
    <w:p w14:paraId="0E169F05">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（二）加快区内交通连接建设</w:t>
      </w:r>
    </w:p>
    <w:p w14:paraId="4B854532">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建成贯通10个街道的通市域、跨区域的快速通道系统，强化主城与副城、组团与其他县（市）区的交通网络，推进区域公共交通一体化发展，完善以轨道交通为支撑、快速通道为骨架、农村公路为主体的城乡一体、高效衔接、高度畅达的“全域交通网”，形成各组团（街道）间半小时交通圈。启动主城至团结城市干道连接工程，碧鸡、海口片区道路改扩和白鱼口至海口光学片区连通，海口集镇、工业园区的互通；加快滇池西岸的“六横三纵”道路网建设，推动滇池西岸的城市发展。</w:t>
      </w:r>
    </w:p>
    <w:p w14:paraId="751C9996">
      <w:pPr>
        <w:pStyle w:val="3"/>
        <w:spacing w:before="120" w:line="14" w:lineRule="exact"/>
        <w:rPr>
          <w:rFonts w:ascii="Times New Roman" w:hAnsi="Times New Roman"/>
        </w:rPr>
      </w:pPr>
    </w:p>
    <w:tbl>
      <w:tblPr>
        <w:tblStyle w:val="43"/>
        <w:tblW w:w="88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73"/>
      </w:tblGrid>
      <w:tr w14:paraId="05CE74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873" w:type="dxa"/>
            <w:vAlign w:val="center"/>
          </w:tcPr>
          <w:p w14:paraId="378A0481">
            <w:pPr>
              <w:topLinePunct/>
              <w:jc w:val="center"/>
              <w:rPr>
                <w:rFonts w:eastAsia="黑体"/>
                <w:color w:val="000000" w:themeColor="text1"/>
                <w:sz w:val="28"/>
                <w:szCs w:val="28"/>
                <w14:textFill>
                  <w14:solidFill>
                    <w14:schemeClr w14:val="tx1"/>
                  </w14:solidFill>
                </w14:textFill>
              </w:rPr>
            </w:pPr>
            <w:r>
              <w:rPr>
                <w:rFonts w:eastAsia="黑体"/>
                <w:color w:val="000000" w:themeColor="text1"/>
                <w:sz w:val="28"/>
                <w:szCs w:val="28"/>
                <w14:textFill>
                  <w14:solidFill>
                    <w14:schemeClr w14:val="tx1"/>
                  </w14:solidFill>
                </w14:textFill>
              </w:rPr>
              <w:t>专栏24 综合交通基础设施建设重点工程</w:t>
            </w:r>
          </w:p>
        </w:tc>
      </w:tr>
      <w:tr w14:paraId="65CDF7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73" w:type="dxa"/>
            <w:vAlign w:val="center"/>
          </w:tcPr>
          <w:p w14:paraId="56C7286C">
            <w:pPr>
              <w:topLinePunct/>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未来滇池西岸的路网结构将形成“六横三纵”的干路网结构。</w:t>
            </w:r>
          </w:p>
          <w:p w14:paraId="50EA6FA0">
            <w:pPr>
              <w:topLinePunct/>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横向第一至第四通道：</w:t>
            </w:r>
            <w:r>
              <w:rPr>
                <w:rFonts w:eastAsia="仿宋_GB2312"/>
                <w:color w:val="000000" w:themeColor="text1"/>
                <w:sz w:val="24"/>
                <w14:textFill>
                  <w14:solidFill>
                    <w14:schemeClr w14:val="tx1"/>
                  </w14:solidFill>
                </w14:textFill>
              </w:rPr>
              <w:t>主要承担东西向绕城高速与春雨路—高海高速的联系功能，需保证双向2车道。</w:t>
            </w:r>
          </w:p>
          <w:p w14:paraId="1D6DDDA6">
            <w:pPr>
              <w:topLinePunct/>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横向第五通道：</w:t>
            </w:r>
            <w:r>
              <w:rPr>
                <w:rFonts w:eastAsia="仿宋_GB2312"/>
                <w:color w:val="000000" w:themeColor="text1"/>
                <w:sz w:val="24"/>
                <w14:textFill>
                  <w14:solidFill>
                    <w14:schemeClr w14:val="tx1"/>
                  </w14:solidFill>
                </w14:textFill>
              </w:rPr>
              <w:t>横向第五通道与安宁安海大道、太平友谊大道相连，且未来是滇池第二通道的重要组成部分，需保证双向4车道。</w:t>
            </w:r>
          </w:p>
          <w:p w14:paraId="01480FD4">
            <w:pPr>
              <w:topLinePunct/>
            </w:pPr>
            <w:r>
              <w:rPr>
                <w:rFonts w:eastAsia="仿宋_GB2312"/>
                <w:b/>
                <w:bCs/>
                <w:color w:val="000000" w:themeColor="text1"/>
                <w:sz w:val="24"/>
                <w14:textFill>
                  <w14:solidFill>
                    <w14:schemeClr w14:val="tx1"/>
                  </w14:solidFill>
                </w14:textFill>
              </w:rPr>
              <w:t>横向第六通道：</w:t>
            </w:r>
            <w:r>
              <w:rPr>
                <w:rFonts w:eastAsia="仿宋_GB2312"/>
                <w:color w:val="000000" w:themeColor="text1"/>
                <w:sz w:val="24"/>
                <w14:textFill>
                  <w14:solidFill>
                    <w14:schemeClr w14:val="tx1"/>
                  </w14:solidFill>
                </w14:textFill>
              </w:rPr>
              <w:t>横向第六通道是未来基地与海口联系的主要通道，以小汽车交通为主。白鱼口与海口的重要联系通道，慢行出行比例也较高，需按城市道路断面设计，保证双向4车道。</w:t>
            </w:r>
          </w:p>
          <w:p w14:paraId="6C8B77B8">
            <w:pPr>
              <w:topLinePunct/>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纵向西部通道：</w:t>
            </w:r>
            <w:r>
              <w:rPr>
                <w:rFonts w:eastAsia="仿宋_GB2312"/>
                <w:color w:val="000000" w:themeColor="text1"/>
                <w:sz w:val="24"/>
                <w14:textFill>
                  <w14:solidFill>
                    <w14:schemeClr w14:val="tx1"/>
                  </w14:solidFill>
                </w14:textFill>
              </w:rPr>
              <w:t>纵向西部通道与安宁市货运通道以及昆楚高速、安晋高速相连，承担太平镇、滇池西岸的货运交通，需双向4车道。具体定位为以货运交通和过境交通为主的交通干道。</w:t>
            </w:r>
          </w:p>
          <w:p w14:paraId="38CE352D">
            <w:pPr>
              <w:topLinePunct/>
              <w:rPr>
                <w:rFonts w:eastAsia="仿宋_GB2312"/>
                <w:b/>
                <w:bCs/>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纵向中部通道：</w:t>
            </w:r>
            <w:r>
              <w:rPr>
                <w:rFonts w:eastAsia="仿宋_GB2312"/>
                <w:color w:val="000000" w:themeColor="text1"/>
                <w:sz w:val="24"/>
                <w14:textFill>
                  <w14:solidFill>
                    <w14:schemeClr w14:val="tx1"/>
                  </w14:solidFill>
                </w14:textFill>
              </w:rPr>
              <w:t>以景区串联为主，交通量较小，更注重驾乘体验与景观打造，流量较小，设双向2车道。</w:t>
            </w:r>
          </w:p>
          <w:p w14:paraId="7C89B438">
            <w:pPr>
              <w:topLinePunct/>
            </w:pPr>
            <w:r>
              <w:rPr>
                <w:rFonts w:eastAsia="仿宋_GB2312"/>
                <w:b/>
                <w:bCs/>
                <w:color w:val="000000" w:themeColor="text1"/>
                <w:sz w:val="24"/>
                <w14:textFill>
                  <w14:solidFill>
                    <w14:schemeClr w14:val="tx1"/>
                  </w14:solidFill>
                </w14:textFill>
              </w:rPr>
              <w:t>纵向东部通道：</w:t>
            </w:r>
            <w:r>
              <w:rPr>
                <w:rFonts w:eastAsia="仿宋_GB2312"/>
                <w:color w:val="000000" w:themeColor="text1"/>
                <w:sz w:val="24"/>
                <w14:textFill>
                  <w14:solidFill>
                    <w14:schemeClr w14:val="tx1"/>
                  </w14:solidFill>
                </w14:textFill>
              </w:rPr>
              <w:t>高海快速路—高海高速公路，沿线串联特色节点。</w:t>
            </w:r>
          </w:p>
        </w:tc>
      </w:tr>
    </w:tbl>
    <w:p w14:paraId="49DFDB56">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（三）加快城市道路建设</w:t>
      </w:r>
    </w:p>
    <w:p w14:paraId="407D7F60">
      <w:pPr>
        <w:topLinePunct/>
        <w:spacing w:line="560" w:lineRule="exact"/>
        <w:ind w:firstLine="640"/>
        <w:rPr>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全面提升城市交通服务水平，创建便捷的快速通道，带动城市空间结构调整与功能转移，加快网络化大都市的建设步伐。不断强化碧鸡、海口、团结区域的公交优先发展战略，大力配合推进城市轨道线网建设，全力构建“多形态、大容量、无缝化”的立体公共交通系统，公交全方式出行分担率达到39%，实现城市交通公交导向发展。“十四五”期间总计建设城市道路63条，总长42.4km。</w:t>
      </w:r>
    </w:p>
    <w:p w14:paraId="5B4D39EC">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（四）加快农村公路建设</w:t>
      </w:r>
    </w:p>
    <w:p w14:paraId="6B4C1402">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以区政府为中心，以3个涉农街道为枢纽，以35个社区为节点，以223个居民小组为辐射点，完成对县乡公路升级改造、村级公路提质通达，基本完成乡道及以上行政等级公路安全隐患治理。</w:t>
      </w:r>
    </w:p>
    <w:p w14:paraId="14C19715">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（五）加快滇池航运建设发展</w:t>
      </w:r>
    </w:p>
    <w:p w14:paraId="51F910CA">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结合滇池湖滨生态建设和湿地水环境治理，建设一批旅游客运码头。结合不同主题的观光游线设置，配套建设滇池航道和盘龙江航道。“十四五”时期，提升现有大观楼至晋宁张家村</w:t>
      </w:r>
      <w:r>
        <w:rPr>
          <w:rFonts w:hint="eastAsia" w:ascii="宋体" w:hAnsi="宋体" w:cs="宋体"/>
          <w:color w:val="000000" w:themeColor="text1"/>
          <w:sz w:val="32"/>
          <w:szCs w:val="32"/>
          <w14:textFill>
            <w14:solidFill>
              <w14:schemeClr w14:val="tx1"/>
            </w14:solidFill>
          </w14:textFill>
        </w:rPr>
        <w:t>Ⅲ</w:t>
      </w:r>
      <w:r>
        <w:rPr>
          <w:rFonts w:eastAsia="仿宋_GB2312"/>
          <w:color w:val="000000" w:themeColor="text1"/>
          <w:sz w:val="32"/>
          <w:szCs w:val="32"/>
          <w14:textFill>
            <w14:solidFill>
              <w14:schemeClr w14:val="tx1"/>
            </w14:solidFill>
          </w14:textFill>
        </w:rPr>
        <w:t>级航线52km为</w:t>
      </w:r>
      <w:r>
        <w:rPr>
          <w:rFonts w:hint="eastAsia" w:ascii="宋体" w:hAnsi="宋体" w:cs="宋体"/>
          <w:color w:val="000000" w:themeColor="text1"/>
          <w:sz w:val="32"/>
          <w:szCs w:val="32"/>
          <w14:textFill>
            <w14:solidFill>
              <w14:schemeClr w14:val="tx1"/>
            </w14:solidFill>
          </w14:textFill>
        </w:rPr>
        <w:t>Ⅳ</w:t>
      </w:r>
      <w:r>
        <w:rPr>
          <w:rFonts w:eastAsia="仿宋_GB2312"/>
          <w:color w:val="000000" w:themeColor="text1"/>
          <w:sz w:val="32"/>
          <w:szCs w:val="32"/>
          <w14:textFill>
            <w14:solidFill>
              <w14:schemeClr w14:val="tx1"/>
            </w14:solidFill>
          </w14:textFill>
        </w:rPr>
        <w:t>级航道。以传承历史文脉为基点，打造盘龙江景观航道。</w:t>
      </w:r>
      <w:bookmarkStart w:id="421" w:name="_Toc59205897"/>
      <w:bookmarkStart w:id="422" w:name="_Toc61644823"/>
    </w:p>
    <w:p w14:paraId="4FFBC99B">
      <w:pPr>
        <w:topLinePunct/>
        <w:spacing w:line="560" w:lineRule="exact"/>
        <w:ind w:firstLine="640"/>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三、构建集约高效可靠的水网</w:t>
      </w:r>
      <w:bookmarkEnd w:id="421"/>
      <w:bookmarkEnd w:id="422"/>
    </w:p>
    <w:p w14:paraId="72D1F7B9">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加强水利基础设施建设，补齐水利工程短板，基本建成与水利现代化格局相匹配的、有力支撑经济社会发展的水安全保障体系。</w:t>
      </w:r>
    </w:p>
    <w:p w14:paraId="7C2271C1">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（一）加强重点水源工程建设</w:t>
      </w:r>
    </w:p>
    <w:p w14:paraId="57A1F099">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在强化节水的前提下，加大骨干水源工程建设力度。继续推进牛鼻村小</w:t>
      </w:r>
      <w:r>
        <w:rPr>
          <w:rFonts w:hint="eastAsia" w:ascii="宋体" w:hAnsi="宋体" w:cs="宋体"/>
          <w:color w:val="000000" w:themeColor="text1"/>
          <w:sz w:val="32"/>
          <w:szCs w:val="32"/>
          <w14:textFill>
            <w14:solidFill>
              <w14:schemeClr w14:val="tx1"/>
            </w14:solidFill>
          </w14:textFill>
        </w:rPr>
        <w:t>Ⅰ</w:t>
      </w:r>
      <w:r>
        <w:rPr>
          <w:rFonts w:eastAsia="仿宋_GB2312"/>
          <w:color w:val="000000" w:themeColor="text1"/>
          <w:sz w:val="32"/>
          <w:szCs w:val="32"/>
          <w14:textFill>
            <w14:solidFill>
              <w14:schemeClr w14:val="tx1"/>
            </w14:solidFill>
          </w14:textFill>
        </w:rPr>
        <w:t>型水库建设。深化西山区境内三家村水库、大坝水库、长坡水库、茨沟花山坡水库、茨沟水库等8个备用饮用水水源地保护工作，逐步建立备用饮用水水源地保护体系。谋划滇中水资源战略储备工程，提高特殊情况供水安全保障能力，缓解西山长远发展供水压力，提高全区及周边供水保障能力。规划新建陡咀水库，缓解滇中城市群供水压力。</w:t>
      </w:r>
    </w:p>
    <w:p w14:paraId="04D17D90">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（二）加强农村人饮供水安全保障</w:t>
      </w:r>
    </w:p>
    <w:p w14:paraId="539E9250">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持续提升农村人饮供水提升工程，实施水源地保护提升工程，开展重要饮用水水源地安全达标建设，实施小型供水工程。“十四五”期间，农村供水保障规划工程33项，覆盖人口27286人。到2025年，城镇集中式饮用水源地水质达标率稳定在100%，农村集中式饮用水水源地水质达标率达到80%。加快推进海口、团结集镇和高海高速沿线供水工程建设。</w:t>
      </w:r>
    </w:p>
    <w:p w14:paraId="02B4EC0F">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（三）实施病险水库除险加固</w:t>
      </w:r>
    </w:p>
    <w:p w14:paraId="7766EB27">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全面消除现有病险水库和中型病险水闸的安全隐患，恢复其供水、防洪等功能。加强水库水闸运行管理和日常维修养护，建立健全长效机制，确保工程安全运行；加大投入力度，加快除险加固步伐，同步完善工程安全监测设施。“十四五”期间，重点实施黑荞母水库除险加固工程，实施力哨水库等5个小</w:t>
      </w:r>
      <w:r>
        <w:rPr>
          <w:rFonts w:hint="eastAsia" w:ascii="宋体" w:hAnsi="宋体" w:cs="宋体"/>
          <w:color w:val="000000" w:themeColor="text1"/>
          <w:sz w:val="32"/>
          <w:szCs w:val="32"/>
          <w14:textFill>
            <w14:solidFill>
              <w14:schemeClr w14:val="tx1"/>
            </w14:solidFill>
          </w14:textFill>
        </w:rPr>
        <w:t>Ⅱ</w:t>
      </w:r>
      <w:r>
        <w:rPr>
          <w:rFonts w:eastAsia="仿宋_GB2312"/>
          <w:color w:val="000000" w:themeColor="text1"/>
          <w:sz w:val="32"/>
          <w:szCs w:val="32"/>
          <w14:textFill>
            <w14:solidFill>
              <w14:schemeClr w14:val="tx1"/>
            </w14:solidFill>
          </w14:textFill>
        </w:rPr>
        <w:t>型水库除险加固。</w:t>
      </w:r>
    </w:p>
    <w:p w14:paraId="6C4E9E9E">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（四）加快完善城乡防洪排涝体系</w:t>
      </w:r>
    </w:p>
    <w:p w14:paraId="13716E72">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遵循“全面规划、防排结合、科学调度、统筹兼顾、因地制宜、综合治理”的方针，加强内涝防治，整体推进上截系统、中疏系统、下泄系统和高蓄系统建设。加快推进西山区滇池西岸面山洪水拦截工程建设，全面提升城区河道防洪能力，有效降低城区大面积长时间淹积水发生的频次。主要修建塘坝、新建引洪沟、改建排洪沟渠等防洪设施。到2025年，城乡排涝能力明显提升，主城区内无明显淹水点。</w:t>
      </w:r>
    </w:p>
    <w:p w14:paraId="53CA9D46">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（五）打造智慧水网</w:t>
      </w:r>
    </w:p>
    <w:p w14:paraId="0B8DCE3B">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以智慧水务引领水务现代化为目标，以大数据、互联网、云计算、人工智能等新技术为驱动，以建设基础设施、信息资源和应用支撑、应用服务、安全保障四大体系为抓手，加快推进智慧水务建设。到2025年，基本建成“采集监控多元化、数据资源系统化、应用系统实用化、服务功能移动化、标准体系规范化”的智慧水网。</w:t>
      </w:r>
      <w:bookmarkStart w:id="423" w:name="_Toc61644824"/>
      <w:bookmarkStart w:id="424" w:name="_Toc59205898"/>
    </w:p>
    <w:p w14:paraId="680B42CD">
      <w:pPr>
        <w:topLinePunct/>
        <w:spacing w:line="560" w:lineRule="exact"/>
        <w:ind w:firstLine="640"/>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四、构建保障有力的绿色能源网</w:t>
      </w:r>
      <w:bookmarkEnd w:id="423"/>
      <w:bookmarkEnd w:id="424"/>
    </w:p>
    <w:p w14:paraId="25127D16">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全力维护区域内国家重点油气、燃气等战略管道安全和运行顺畅。加快能源基础设施建设，完善电网结构，加大新能源开发建设，加快构建“清洁低碳、安全高效”的现代能源体系，到2025年，能源建设能更好支撑全区经济社会的发展。</w:t>
      </w:r>
    </w:p>
    <w:p w14:paraId="33264501">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（一）确保能源绿色安全供给</w:t>
      </w:r>
    </w:p>
    <w:p w14:paraId="60479A33">
      <w:pPr>
        <w:topLinePunct/>
        <w:spacing w:line="560" w:lineRule="exact"/>
        <w:ind w:firstLine="643"/>
        <w:rPr>
          <w:rFonts w:eastAsia="仿宋_GB2312"/>
          <w:color w:val="000000" w:themeColor="text1"/>
          <w:sz w:val="32"/>
          <w:szCs w:val="32"/>
          <w14:textFill>
            <w14:solidFill>
              <w14:schemeClr w14:val="tx1"/>
            </w14:solidFill>
          </w14:textFill>
        </w:rPr>
      </w:pPr>
      <w:r>
        <w:rPr>
          <w:rFonts w:eastAsia="仿宋_GB2312"/>
          <w:b/>
          <w:color w:val="000000" w:themeColor="text1"/>
          <w:sz w:val="32"/>
          <w:szCs w:val="32"/>
          <w14:textFill>
            <w14:solidFill>
              <w14:schemeClr w14:val="tx1"/>
            </w14:solidFill>
          </w14:textFill>
        </w:rPr>
        <w:t>完善供电网架。</w:t>
      </w:r>
      <w:r>
        <w:rPr>
          <w:rFonts w:eastAsia="仿宋_GB2312"/>
          <w:color w:val="000000" w:themeColor="text1"/>
          <w:sz w:val="32"/>
          <w:szCs w:val="32"/>
          <w14:textFill>
            <w14:solidFill>
              <w14:schemeClr w14:val="tx1"/>
            </w14:solidFill>
          </w14:textFill>
        </w:rPr>
        <w:t>以改造现状10千伏线路网架不合理、线路重载及配变重过载、末端电压低、业扩受限等问题为切入点，加快完成110千伏春苑变电站、220千伏永和等变电站建设，形成供电骨干网。以满足环草海片区用电需求为主，根据用电负荷的位置、大小来确定中压设备的选取和放置，新建10千伏台区解决10千伏变压器重过载和末端电压低等问题。</w:t>
      </w:r>
      <w:r>
        <w:rPr>
          <w:rFonts w:eastAsia="仿宋_GB2312"/>
          <w:b/>
          <w:color w:val="000000" w:themeColor="text1"/>
          <w:sz w:val="32"/>
          <w:szCs w:val="32"/>
          <w14:textFill>
            <w14:solidFill>
              <w14:schemeClr w14:val="tx1"/>
            </w14:solidFill>
          </w14:textFill>
        </w:rPr>
        <w:t>保障供电安全。</w:t>
      </w:r>
      <w:r>
        <w:rPr>
          <w:rFonts w:eastAsia="仿宋_GB2312"/>
          <w:color w:val="000000" w:themeColor="text1"/>
          <w:sz w:val="32"/>
          <w:szCs w:val="32"/>
          <w14:textFill>
            <w14:solidFill>
              <w14:schemeClr w14:val="tx1"/>
            </w14:solidFill>
          </w14:textFill>
        </w:rPr>
        <w:t>完善配电自动化终端，确保供电自动化和智能化。新建线路10千伏电源点原则上应至少来自两个不同的变电站；对同一变电站供电的线路，应来自不同的母线段。新建接线模式以电缆单环网为主，全部实现联络及转供。对受影响较大、协调难度较高的10千伏线路路径，充分保障实施的可行性，并对现有10千伏线路根据现有情况进行合理化改造。进一步加快道路架空线入地工作，确保城区、景区、园区电线入地。到2025年，供电可靠率达到99.9%以上，综合电压合格率达到99.9%以上，110千伏及以下综合线损率不高于8.3%，供电服务承诺兑现率达到100%，加大公共区域充电桩或充电设备设施的投入，动态完成新增充电桩等设施的用电保障。</w:t>
      </w:r>
    </w:p>
    <w:p w14:paraId="6F1B1B8D">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（二）加快燃气能源建设</w:t>
      </w:r>
    </w:p>
    <w:p w14:paraId="0773C8A9">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以天然气和LPG基础设施普及为抓手，推动燃气下乡，完善覆盖城乡的天然气基础设施，确保工业园区、景区、15户以上农村聚居点燃气管道全覆盖，散居居民LPG服务全覆盖。根据重点用气单位需要，增设储气调峰设施。根据“煤改气”“油改气”进度，以及LNG、CNG发展需要，及时完成天然气管道基础设施建设。到2025年，形成天然气通达聚居点、LPG覆盖散居点的能源格局，确保燃气基础设施全面保障西山、服务昆明。</w:t>
      </w:r>
    </w:p>
    <w:p w14:paraId="4F6F8322">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（三）推进新能源开发建设</w:t>
      </w:r>
    </w:p>
    <w:p w14:paraId="672F5E3F">
      <w:pPr>
        <w:topLinePunct/>
        <w:spacing w:line="560" w:lineRule="exact"/>
        <w:ind w:firstLine="640"/>
        <w:rPr>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加强生物质综合利用，积极推进秸秆固化成型燃料项目建设，加快推广专用生物质节能炉具，争取在团结街道新建以秸秆为主的生物质综合利用设施1处，总产能8万吨/年；在海口、碧鸡分2处建设农林剩余物收购加工点。到2025年，力争实现秸秆收集全覆盖，全区新增秸秆固化成型项目1—3处，区内秸秆年处理量达到85%以上。推进垃圾能源化利用，维持海口生活垃圾焚烧发电厂规模，逐步更新设施设备和工艺。继续推行餐厨垃圾的收集，推行油水分离和废油脂资源化利用，实现营运单位餐厨垃圾全利用、城区居民餐厨垃圾收集利用率不低于40%的目标。实施文笔山风电场二期建设。实施“风电+”，依托文笔山风电场发展风电旅游、风电试验等功能。加强太阳能利用，推进低密度住宅区整体规划、建设户用光伏发电装置，探索利用废弃工矿地发展太阳能光伏电站，推进农户分布式光伏项目建设。到2025</w:t>
      </w:r>
      <w:r>
        <w:rPr>
          <w:rFonts w:eastAsia="仿宋_GB2312"/>
          <w:color w:val="000000" w:themeColor="text1"/>
          <w:spacing w:val="-6"/>
          <w:sz w:val="32"/>
          <w:szCs w:val="32"/>
          <w14:textFill>
            <w14:solidFill>
              <w14:schemeClr w14:val="tx1"/>
            </w14:solidFill>
          </w14:textFill>
        </w:rPr>
        <w:t>年，建成3—5个分布式光伏示范区，90%以上农户具备户用沼气。</w:t>
      </w:r>
    </w:p>
    <w:p w14:paraId="0447B3E3">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（四）加快推进新能源微电网建设</w:t>
      </w:r>
    </w:p>
    <w:p w14:paraId="330782E1">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推进以互联网和储能技术为支撑、新能源发挥重要作用的联网型新能源微电网示范工程。建立充分利用新能源发电和电网提供系统支持的新型供用电模式，形成千家万户发展新能源以及“自发自用、余量上网、电网调剂”的新局面。到2025年，建成1—2个可再生微能源网示范工程。</w:t>
      </w:r>
      <w:bookmarkStart w:id="425" w:name="_Toc61644825"/>
      <w:bookmarkStart w:id="426" w:name="_Toc59205899"/>
    </w:p>
    <w:p w14:paraId="757E8D58">
      <w:pPr>
        <w:topLinePunct/>
        <w:spacing w:line="560" w:lineRule="exact"/>
        <w:ind w:firstLine="640"/>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五、构建畅通高效的现代物流网</w:t>
      </w:r>
      <w:bookmarkEnd w:id="425"/>
      <w:bookmarkEnd w:id="426"/>
    </w:p>
    <w:p w14:paraId="45B905D7">
      <w:pPr>
        <w:topLinePunct/>
        <w:spacing w:line="560" w:lineRule="exact"/>
        <w:ind w:firstLine="643"/>
        <w:rPr>
          <w:rFonts w:eastAsiaTheme="majorEastAsia"/>
          <w:color w:val="000000" w:themeColor="text1"/>
          <w14:textFill>
            <w14:solidFill>
              <w14:schemeClr w14:val="tx1"/>
            </w14:solidFill>
          </w14:textFill>
        </w:rPr>
      </w:pPr>
      <w:r>
        <w:rPr>
          <w:rFonts w:eastAsia="仿宋_GB2312"/>
          <w:b/>
          <w:color w:val="000000" w:themeColor="text1"/>
          <w:sz w:val="32"/>
          <w:szCs w:val="32"/>
          <w14:textFill>
            <w14:solidFill>
              <w14:schemeClr w14:val="tx1"/>
            </w14:solidFill>
          </w14:textFill>
        </w:rPr>
        <w:t>推动智慧物流发展。</w:t>
      </w:r>
      <w:r>
        <w:rPr>
          <w:rFonts w:eastAsia="仿宋_GB2312"/>
          <w:color w:val="000000" w:themeColor="text1"/>
          <w:sz w:val="32"/>
          <w:szCs w:val="32"/>
          <w14:textFill>
            <w14:solidFill>
              <w14:schemeClr w14:val="tx1"/>
            </w14:solidFill>
          </w14:textFill>
        </w:rPr>
        <w:t>推进物流业与重点领域互动融合、协同发展。在农业领域，建立从生产到销售的全线物流模式，促进西山区花椒、中药种植等特色农业发展；在零售领域，深入实施“互联网+物流”，构建线上线下一体化物流零售体系。利用地缘优势，大力推进西山区与国际物流市场对接，加快高速服务区等重要交通枢纽间的商品流动。</w:t>
      </w:r>
      <w:r>
        <w:rPr>
          <w:rFonts w:eastAsia="仿宋_GB2312"/>
          <w:bCs/>
          <w:color w:val="000000" w:themeColor="text1"/>
          <w:sz w:val="32"/>
          <w:szCs w:val="32"/>
          <w14:textFill>
            <w14:solidFill>
              <w14:schemeClr w14:val="tx1"/>
            </w14:solidFill>
          </w14:textFill>
        </w:rPr>
        <w:t>支持布局规模适度、满足需求的冷链物流集配设施。推动绕城线内货运市场搬迁，缓解交通阻塞、扰民问题，改善城市生产生活环境。</w:t>
      </w:r>
      <w:r>
        <w:rPr>
          <w:rFonts w:eastAsia="仿宋_GB2312"/>
          <w:b/>
          <w:bCs/>
          <w:color w:val="000000" w:themeColor="text1"/>
          <w:sz w:val="32"/>
          <w:szCs w:val="32"/>
          <w14:textFill>
            <w14:solidFill>
              <w14:schemeClr w14:val="tx1"/>
            </w14:solidFill>
          </w14:textFill>
        </w:rPr>
        <w:t>加快农产品配送中心建设。</w:t>
      </w:r>
      <w:r>
        <w:rPr>
          <w:rFonts w:eastAsia="仿宋_GB2312"/>
          <w:bCs/>
          <w:color w:val="000000" w:themeColor="text1"/>
          <w:sz w:val="32"/>
          <w:szCs w:val="32"/>
          <w14:textFill>
            <w14:solidFill>
              <w14:schemeClr w14:val="tx1"/>
            </w14:solidFill>
          </w14:textFill>
        </w:rPr>
        <w:t>加快完成昆明中禄农副产品仓储交易中心建设，打造农副产品分拨加工中心、配送中心、交易中心。加快推进区、街道、社区三级物流站场设施和信息系统建设，基本建成全面覆盖的乡村物流网络。</w:t>
      </w:r>
      <w:bookmarkEnd w:id="413"/>
      <w:bookmarkEnd w:id="414"/>
      <w:bookmarkEnd w:id="417"/>
    </w:p>
    <w:p w14:paraId="2E418291">
      <w:pPr>
        <w:spacing w:line="560" w:lineRule="exact"/>
        <w:jc w:val="center"/>
        <w:rPr>
          <w:rFonts w:eastAsia="黑体"/>
          <w:sz w:val="32"/>
          <w:szCs w:val="32"/>
        </w:rPr>
      </w:pPr>
      <w:bookmarkStart w:id="427" w:name="_Toc59205900"/>
      <w:bookmarkStart w:id="428" w:name="_Toc61644826"/>
      <w:r>
        <w:rPr>
          <w:rFonts w:eastAsia="黑体"/>
          <w:sz w:val="32"/>
          <w:szCs w:val="32"/>
        </w:rPr>
        <w:t>第十一章 实施文化强区，打造</w:t>
      </w:r>
      <w:bookmarkEnd w:id="427"/>
      <w:r>
        <w:rPr>
          <w:rFonts w:eastAsia="黑体"/>
          <w:sz w:val="32"/>
          <w:szCs w:val="32"/>
        </w:rPr>
        <w:t>新发展名片</w:t>
      </w:r>
      <w:bookmarkEnd w:id="428"/>
    </w:p>
    <w:p w14:paraId="4D616170">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强化落实“历史文化名城”要求和提升“文明城市创建”成果，坚持以社会主义核心价值观引领文化建设，坚定文化自信，加强社会主义精神文明建设，提升公共文化服务水平，加强现代文化产业体系建设，推动文化事业繁荣发展。</w:t>
      </w:r>
      <w:bookmarkStart w:id="429" w:name="_Toc61644827"/>
    </w:p>
    <w:p w14:paraId="139F460E">
      <w:pPr>
        <w:topLinePunct/>
        <w:spacing w:line="560" w:lineRule="exact"/>
        <w:ind w:firstLine="640"/>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一、全力提升社会文明程度</w:t>
      </w:r>
      <w:bookmarkEnd w:id="429"/>
    </w:p>
    <w:p w14:paraId="0F3233BD">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（一）培育践行社会主义核心价值体系</w:t>
      </w:r>
    </w:p>
    <w:p w14:paraId="012B7E52">
      <w:pPr>
        <w:topLinePunct/>
        <w:spacing w:line="560" w:lineRule="exact"/>
        <w:ind w:firstLine="643"/>
        <w:rPr>
          <w:rFonts w:eastAsia="仿宋_GB2312"/>
          <w:color w:val="000000" w:themeColor="text1"/>
          <w:sz w:val="32"/>
          <w:szCs w:val="32"/>
          <w14:textFill>
            <w14:solidFill>
              <w14:schemeClr w14:val="tx1"/>
            </w14:solidFill>
          </w14:textFill>
        </w:rPr>
      </w:pPr>
      <w:r>
        <w:rPr>
          <w:rFonts w:eastAsia="仿宋_GB2312"/>
          <w:b/>
          <w:bCs/>
          <w:color w:val="000000" w:themeColor="text1"/>
          <w:sz w:val="32"/>
          <w:szCs w:val="32"/>
          <w14:textFill>
            <w14:solidFill>
              <w14:schemeClr w14:val="tx1"/>
            </w14:solidFill>
          </w14:textFill>
        </w:rPr>
        <w:t>弘扬社会主义核心价值观。</w:t>
      </w:r>
      <w:r>
        <w:rPr>
          <w:rFonts w:eastAsia="仿宋_GB2312"/>
          <w:color w:val="000000" w:themeColor="text1"/>
          <w:sz w:val="32"/>
          <w:szCs w:val="32"/>
          <w14:textFill>
            <w14:solidFill>
              <w14:schemeClr w14:val="tx1"/>
            </w14:solidFill>
          </w14:textFill>
        </w:rPr>
        <w:t>充分发挥社会主义核心价值体系对教育、精神文明建设、精神文化产品创作生产传播的引领作用，大力开展爱国主义教育和培养社会主义理想信念教育。加强青少年思想道德建设，贯穿学校、家庭、社会教育各个环节。推进社会公德、职业道德、家庭美德、个人品德建设，推动形成自尊自信、积极向上的道德风尚。</w:t>
      </w:r>
      <w:r>
        <w:rPr>
          <w:rFonts w:eastAsia="仿宋_GB2312"/>
          <w:b/>
          <w:bCs/>
          <w:color w:val="000000" w:themeColor="text1"/>
          <w:sz w:val="32"/>
          <w:szCs w:val="32"/>
          <w14:textFill>
            <w14:solidFill>
              <w14:schemeClr w14:val="tx1"/>
            </w14:solidFill>
          </w14:textFill>
        </w:rPr>
        <w:t>强化先进典型塑造。</w:t>
      </w:r>
      <w:r>
        <w:rPr>
          <w:rFonts w:eastAsia="仿宋_GB2312"/>
          <w:color w:val="000000" w:themeColor="text1"/>
          <w:sz w:val="32"/>
          <w:szCs w:val="32"/>
          <w14:textFill>
            <w14:solidFill>
              <w14:schemeClr w14:val="tx1"/>
            </w14:solidFill>
          </w14:textFill>
        </w:rPr>
        <w:t>梳理区内具有爱国主义教育、红色文化内涵、抗战纪念、徐霞客游线等文物，在提升保护的同时，植入教育、科普、研学等体验内容，开展红色主题参观和研学，展示文物背后的故事。广泛开展先进典型学习活动，营造崇尚英雄、学习典范的浓厚氛围。</w:t>
      </w:r>
      <w:r>
        <w:rPr>
          <w:rFonts w:eastAsia="仿宋_GB2312"/>
          <w:b/>
          <w:bCs/>
          <w:color w:val="000000" w:themeColor="text1"/>
          <w:sz w:val="32"/>
          <w:szCs w:val="32"/>
          <w14:textFill>
            <w14:solidFill>
              <w14:schemeClr w14:val="tx1"/>
            </w14:solidFill>
          </w14:textFill>
        </w:rPr>
        <w:t>持续开展文明社会风尚行动。</w:t>
      </w:r>
      <w:r>
        <w:rPr>
          <w:rFonts w:eastAsia="仿宋_GB2312"/>
          <w:color w:val="000000" w:themeColor="text1"/>
          <w:sz w:val="32"/>
          <w:szCs w:val="32"/>
          <w14:textFill>
            <w14:solidFill>
              <w14:schemeClr w14:val="tx1"/>
            </w14:solidFill>
          </w14:textFill>
        </w:rPr>
        <w:t>开展以劳动创造幸福为主题的宣传教育，加强市民文明素养、行为规范教育，深化文明景区创建，加强网络文明建设。</w:t>
      </w:r>
    </w:p>
    <w:p w14:paraId="13DD25A6">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（二）筑牢城市文明基础</w:t>
      </w:r>
    </w:p>
    <w:p w14:paraId="205BA519">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推动文明城市向城市文明迈进，巩固提升全国文明城市创建成果。深入开展文明单位、文明村镇、文明社区、文明行业等群众性精神文明创建活动。健全志愿者服务体系，广泛开展志愿者服务活动。积极主动引导公共舆论、突发事件和社会热点问题坚持正确舆论导向。</w:t>
      </w:r>
      <w:bookmarkStart w:id="430" w:name="_Toc61644828"/>
      <w:bookmarkStart w:id="431" w:name="_Toc59205903"/>
    </w:p>
    <w:p w14:paraId="13C9FCE5">
      <w:pPr>
        <w:topLinePunct/>
        <w:spacing w:line="560" w:lineRule="exact"/>
        <w:ind w:firstLine="640"/>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二、健全公共文化服务体系</w:t>
      </w:r>
      <w:bookmarkEnd w:id="430"/>
      <w:bookmarkEnd w:id="431"/>
    </w:p>
    <w:p w14:paraId="53C4E9DE">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（一）推进传统文化保护和传承</w:t>
      </w:r>
    </w:p>
    <w:p w14:paraId="2A6EF6F4">
      <w:pPr>
        <w:topLinePunct/>
        <w:spacing w:line="560" w:lineRule="exact"/>
        <w:ind w:firstLine="643"/>
        <w:rPr>
          <w:rFonts w:eastAsia="仿宋_GB2312"/>
          <w:color w:val="000000" w:themeColor="text1"/>
          <w:sz w:val="32"/>
          <w:szCs w:val="32"/>
          <w14:textFill>
            <w14:solidFill>
              <w14:schemeClr w14:val="tx1"/>
            </w14:solidFill>
          </w14:textFill>
        </w:rPr>
      </w:pPr>
      <w:r>
        <w:rPr>
          <w:rFonts w:eastAsia="仿宋_GB2312"/>
          <w:b/>
          <w:bCs/>
          <w:color w:val="000000" w:themeColor="text1"/>
          <w:sz w:val="32"/>
          <w:szCs w:val="32"/>
          <w14:textFill>
            <w14:solidFill>
              <w14:schemeClr w14:val="tx1"/>
            </w14:solidFill>
          </w14:textFill>
        </w:rPr>
        <w:t>深化文物资源的保护与利用。</w:t>
      </w:r>
      <w:r>
        <w:rPr>
          <w:rFonts w:eastAsia="仿宋_GB2312"/>
          <w:color w:val="000000" w:themeColor="text1"/>
          <w:sz w:val="32"/>
          <w:szCs w:val="32"/>
          <w14:textFill>
            <w14:solidFill>
              <w14:schemeClr w14:val="tx1"/>
            </w14:solidFill>
          </w14:textFill>
        </w:rPr>
        <w:t>围绕聂耳墓、张天虚墓、石龙坝水电站、南洋华侨机工抗日纪念碑等名人名仕、工业遗迹、红色文化资源，做好有效保护与合理开发。丰富展陈方式，增加游客休憩区域，完善游客接待，适度安排文创商品销售，变单纯的文化展示空间为互动的文化传承和体验空间。</w:t>
      </w:r>
    </w:p>
    <w:tbl>
      <w:tblPr>
        <w:tblStyle w:val="43"/>
        <w:tblW w:w="88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73"/>
      </w:tblGrid>
      <w:tr w14:paraId="046F4E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73" w:type="dxa"/>
            <w:vAlign w:val="center"/>
          </w:tcPr>
          <w:p w14:paraId="3F09BA10">
            <w:pPr>
              <w:topLinePunct/>
              <w:jc w:val="center"/>
              <w:rPr>
                <w:color w:val="000000" w:themeColor="text1"/>
                <w:sz w:val="28"/>
                <w:szCs w:val="28"/>
                <w14:textFill>
                  <w14:solidFill>
                    <w14:schemeClr w14:val="tx1"/>
                  </w14:solidFill>
                </w14:textFill>
              </w:rPr>
            </w:pPr>
            <w:r>
              <w:rPr>
                <w:rFonts w:eastAsia="黑体"/>
                <w:color w:val="000000" w:themeColor="text1"/>
                <w:sz w:val="28"/>
                <w:szCs w:val="28"/>
                <w14:textFill>
                  <w14:solidFill>
                    <w14:schemeClr w14:val="tx1"/>
                  </w14:solidFill>
                </w14:textFill>
              </w:rPr>
              <w:t>专栏25 历史文化遗产的保护性开发重点</w:t>
            </w:r>
          </w:p>
        </w:tc>
      </w:tr>
      <w:tr w14:paraId="7761A8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73" w:type="dxa"/>
            <w:vAlign w:val="center"/>
          </w:tcPr>
          <w:p w14:paraId="7A1402C9">
            <w:pPr>
              <w:topLinePunct/>
              <w:rPr>
                <w:rFonts w:eastAsia="仿宋_GB2312"/>
                <w:bCs/>
                <w:color w:val="000000" w:themeColor="text1"/>
                <w:sz w:val="24"/>
                <w14:textFill>
                  <w14:solidFill>
                    <w14:schemeClr w14:val="tx1"/>
                  </w14:solidFill>
                </w14:textFill>
              </w:rPr>
            </w:pPr>
            <w:r>
              <w:rPr>
                <w:rFonts w:eastAsia="仿宋_GB2312"/>
                <w:bCs/>
                <w:color w:val="000000" w:themeColor="text1"/>
                <w:sz w:val="24"/>
                <w14:textFill>
                  <w14:solidFill>
                    <w14:schemeClr w14:val="tx1"/>
                  </w14:solidFill>
                </w14:textFill>
              </w:rPr>
              <w:t>1.推进文化遗产保护。</w:t>
            </w:r>
            <w:r>
              <w:rPr>
                <w:rFonts w:eastAsia="仿宋_GB2312"/>
                <w:b/>
                <w:bCs/>
                <w:color w:val="000000" w:themeColor="text1"/>
                <w:sz w:val="24"/>
                <w14:textFill>
                  <w14:solidFill>
                    <w14:schemeClr w14:val="tx1"/>
                  </w14:solidFill>
                </w14:textFill>
              </w:rPr>
              <w:t>历史文物古迹保护。</w:t>
            </w:r>
            <w:r>
              <w:rPr>
                <w:rFonts w:eastAsia="仿宋_GB2312"/>
                <w:bCs/>
                <w:color w:val="000000" w:themeColor="text1"/>
                <w:sz w:val="24"/>
                <w14:textFill>
                  <w14:solidFill>
                    <w14:schemeClr w14:val="tx1"/>
                  </w14:solidFill>
                </w14:textFill>
              </w:rPr>
              <w:t>西山龙门、升庵祠、西园、三清阁、太华寺、华亭寺、磊楼、盘龙阁、倪蜕墓、观音山观音寺、甘美医院旧址、巡津新村裴氏楼、普坪石刻、里仁清真寺、石城等市级文物保护单位。节孝石牌坊、义学碑刻、乡规民约碑、柿花桥、陈家花园、达子长村榨油房、毛友桂墓、棋台文笔塔、李培莲墓石碑坊及墓庐、丰裕寺大殿、黄氏宅院、耀龙电力公司抽水机房等区级文物保护单位。</w:t>
            </w:r>
            <w:r>
              <w:rPr>
                <w:rFonts w:eastAsia="仿宋_GB2312"/>
                <w:b/>
                <w:bCs/>
                <w:color w:val="000000" w:themeColor="text1"/>
                <w:sz w:val="24"/>
                <w14:textFill>
                  <w14:solidFill>
                    <w14:schemeClr w14:val="tx1"/>
                  </w14:solidFill>
                </w14:textFill>
              </w:rPr>
              <w:t>红色遗迹遗址保护。</w:t>
            </w:r>
            <w:r>
              <w:rPr>
                <w:rFonts w:eastAsia="仿宋_GB2312"/>
                <w:bCs/>
                <w:color w:val="000000" w:themeColor="text1"/>
                <w:sz w:val="24"/>
                <w14:textFill>
                  <w14:solidFill>
                    <w14:schemeClr w14:val="tx1"/>
                  </w14:solidFill>
                </w14:textFill>
              </w:rPr>
              <w:t>强化对石龙坝水电站、聂耳墓、南洋华侨机工抗日纪念碑、周培源旧居、海口林场、一得测侯所、中国远征军将官住所旧址、昆明国际无线电支台旧址之红庙收信台、陈荣昌墓、马氏宅院等红色文化遗迹遗址的保护。</w:t>
            </w:r>
          </w:p>
          <w:p w14:paraId="38F60F59">
            <w:pPr>
              <w:topLinePunct/>
              <w:rPr>
                <w:color w:val="000000" w:themeColor="text1"/>
                <w:sz w:val="28"/>
                <w:szCs w:val="28"/>
                <w14:textFill>
                  <w14:solidFill>
                    <w14:schemeClr w14:val="tx1"/>
                  </w14:solidFill>
                </w14:textFill>
              </w:rPr>
            </w:pPr>
            <w:r>
              <w:rPr>
                <w:rFonts w:eastAsia="仿宋_GB2312"/>
                <w:bCs/>
                <w:color w:val="000000" w:themeColor="text1"/>
                <w:sz w:val="24"/>
                <w14:textFill>
                  <w14:solidFill>
                    <w14:schemeClr w14:val="tx1"/>
                  </w14:solidFill>
                </w14:textFill>
              </w:rPr>
              <w:t>2.提升文化遗产的保护性开发。</w:t>
            </w:r>
            <w:r>
              <w:rPr>
                <w:rFonts w:eastAsia="仿宋_GB2312"/>
                <w:b/>
                <w:bCs/>
                <w:color w:val="000000" w:themeColor="text1"/>
                <w:sz w:val="24"/>
                <w14:textFill>
                  <w14:solidFill>
                    <w14:schemeClr w14:val="tx1"/>
                  </w14:solidFill>
                </w14:textFill>
              </w:rPr>
              <w:t>名仕文化和传统民居保护开发。</w:t>
            </w:r>
            <w:r>
              <w:rPr>
                <w:rFonts w:eastAsia="仿宋_GB2312"/>
                <w:bCs/>
                <w:color w:val="000000" w:themeColor="text1"/>
                <w:sz w:val="24"/>
                <w14:textFill>
                  <w14:solidFill>
                    <w14:schemeClr w14:val="tx1"/>
                  </w14:solidFill>
                </w14:textFill>
              </w:rPr>
              <w:t>重点依托西山风景名胜区、大观楼等综合性景区的名仕文化、传统建筑等资源，提升对中国远征军将官住所旧址、周培源旧居、巡津新村裴氏楼等历史遗迹和名人故居，以及陈家花园、李氏宅院、马氏宅院、马家别墅、鲁氏别墅、黄氏宅院等传统民居、名人故居，和聂耳墓、张天虚墓、杨杰墓、倪蜕墓、陈荣昌墓等名士陵墓的保护性开发建设。</w:t>
            </w:r>
            <w:r>
              <w:rPr>
                <w:rFonts w:eastAsia="仿宋_GB2312"/>
                <w:b/>
                <w:bCs/>
                <w:color w:val="000000" w:themeColor="text1"/>
                <w:sz w:val="24"/>
                <w14:textFill>
                  <w14:solidFill>
                    <w14:schemeClr w14:val="tx1"/>
                  </w14:solidFill>
                </w14:textFill>
              </w:rPr>
              <w:t>工业遗迹遗址保护开发。</w:t>
            </w:r>
            <w:r>
              <w:rPr>
                <w:rFonts w:eastAsia="仿宋_GB2312"/>
                <w:bCs/>
                <w:color w:val="000000" w:themeColor="text1"/>
                <w:sz w:val="24"/>
                <w14:textFill>
                  <w14:solidFill>
                    <w14:schemeClr w14:val="tx1"/>
                  </w14:solidFill>
                </w14:textFill>
              </w:rPr>
              <w:t xml:space="preserve">对石龙坝水电站、中央电工器材厂一厂旧址、海口川字闸、一得测侯所、昆明国际无线电支台旧址之红庙收信台、云南水泥厂立窑、昆明冶炼厂旧厂等工业遗址遗迹，在保持其原本形态与文化沉淀的基础上，利用博物馆与文创园区等方式进行开发保护。 </w:t>
            </w:r>
          </w:p>
        </w:tc>
      </w:tr>
    </w:tbl>
    <w:p w14:paraId="130A900E">
      <w:pPr>
        <w:topLinePunct/>
        <w:spacing w:line="560" w:lineRule="exact"/>
        <w:ind w:firstLine="643"/>
        <w:rPr>
          <w:color w:val="000000" w:themeColor="text1"/>
          <w:sz w:val="32"/>
          <w:szCs w:val="32"/>
          <w14:textFill>
            <w14:solidFill>
              <w14:schemeClr w14:val="tx1"/>
            </w14:solidFill>
          </w14:textFill>
        </w:rPr>
      </w:pPr>
      <w:r>
        <w:rPr>
          <w:rFonts w:eastAsia="仿宋_GB2312"/>
          <w:b/>
          <w:bCs/>
          <w:color w:val="000000" w:themeColor="text1"/>
          <w:sz w:val="32"/>
          <w:szCs w:val="32"/>
          <w14:textFill>
            <w14:solidFill>
              <w14:schemeClr w14:val="tx1"/>
            </w14:solidFill>
          </w14:textFill>
        </w:rPr>
        <w:t>提升节庆文化产品供给。</w:t>
      </w:r>
      <w:r>
        <w:rPr>
          <w:rFonts w:eastAsia="仿宋_GB2312"/>
          <w:color w:val="000000" w:themeColor="text1"/>
          <w:sz w:val="32"/>
          <w:szCs w:val="32"/>
          <w14:textFill>
            <w14:solidFill>
              <w14:schemeClr w14:val="tx1"/>
            </w14:solidFill>
          </w14:textFill>
        </w:rPr>
        <w:t>擦亮“三月三耍西山”“六月十九观音山庙会”“六月二十四火把节”“苗族花山节”等西山特有的民俗民族节庆文化名片。整合资源、共建共享，把节庆策划和主导权交给基层社区和群众；整合驻地企业、文创项目等多元力量共同举办。加大民族节庆文化宣传力度，利用节庆集中展示少数民族服饰、歌舞、美食、民间工艺等民族文化。升级打造西山音乐节、团结丰收节、睡美人艺术节等现代文化节庆活动，鼓励社会力量通过承办、协办和冠名等方式积极参与，丰富“卖点+亮点”等特色主题节庆活动内容，进行市场化开发、产业化运作，增强文化活动的国际性、参与性和体验性</w:t>
      </w:r>
      <w:r>
        <w:rPr>
          <w:color w:val="000000" w:themeColor="text1"/>
          <w:sz w:val="32"/>
          <w:szCs w:val="32"/>
          <w14:textFill>
            <w14:solidFill>
              <w14:schemeClr w14:val="tx1"/>
            </w14:solidFill>
          </w14:textFill>
        </w:rPr>
        <w:t>。</w:t>
      </w:r>
    </w:p>
    <w:tbl>
      <w:tblPr>
        <w:tblStyle w:val="43"/>
        <w:tblW w:w="88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73"/>
      </w:tblGrid>
      <w:tr w14:paraId="59ED3C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73" w:type="dxa"/>
          </w:tcPr>
          <w:p w14:paraId="75B14E4B">
            <w:pPr>
              <w:topLinePunct/>
              <w:jc w:val="center"/>
              <w:rPr>
                <w:rFonts w:eastAsia="仿宋_GB2312"/>
                <w:color w:val="000000" w:themeColor="text1"/>
                <w:sz w:val="28"/>
                <w:szCs w:val="28"/>
                <w14:textFill>
                  <w14:solidFill>
                    <w14:schemeClr w14:val="tx1"/>
                  </w14:solidFill>
                </w14:textFill>
              </w:rPr>
            </w:pPr>
            <w:r>
              <w:rPr>
                <w:rFonts w:eastAsia="黑体"/>
                <w:color w:val="000000" w:themeColor="text1"/>
                <w:sz w:val="28"/>
                <w:szCs w:val="28"/>
                <w14:textFill>
                  <w14:solidFill>
                    <w14:schemeClr w14:val="tx1"/>
                  </w14:solidFill>
                </w14:textFill>
              </w:rPr>
              <w:t>专栏26 节庆民俗文化活动</w:t>
            </w:r>
          </w:p>
        </w:tc>
      </w:tr>
      <w:tr w14:paraId="7D65CB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73" w:type="dxa"/>
          </w:tcPr>
          <w:p w14:paraId="4D915404">
            <w:pPr>
              <w:topLinePunct/>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持续举办现有节庆活动。</w:t>
            </w:r>
            <w:r>
              <w:rPr>
                <w:rFonts w:eastAsia="仿宋_GB2312"/>
                <w:color w:val="000000" w:themeColor="text1"/>
                <w:sz w:val="24"/>
                <w14:textFill>
                  <w14:solidFill>
                    <w14:schemeClr w14:val="tx1"/>
                  </w14:solidFill>
                </w14:textFill>
              </w:rPr>
              <w:t xml:space="preserve">持续举办“我们的节日”系列活动、西山音乐节、睡美人艺术节、“中国梦·传承者在行动”主题活动、碧鸡草莓文化节、“三月三耍西山”、“六月十九”观音山庙会、苗族花山节、团结丰收节、金碧戏曲文化艺术节、永昌文化艺术节、福海民俗共享会等一系列具有西山区民俗特色的节庆活动。 </w:t>
            </w:r>
          </w:p>
          <w:p w14:paraId="28826EF7">
            <w:pPr>
              <w:topLinePunct/>
              <w:rPr>
                <w:rFonts w:eastAsia="仿宋_GB2312"/>
                <w:color w:val="000000" w:themeColor="text1"/>
                <w:sz w:val="28"/>
                <w:szCs w:val="28"/>
                <w14:textFill>
                  <w14:solidFill>
                    <w14:schemeClr w14:val="tx1"/>
                  </w14:solidFill>
                </w14:textFill>
              </w:rPr>
            </w:pPr>
            <w:r>
              <w:rPr>
                <w:rFonts w:eastAsia="仿宋_GB2312"/>
                <w:b/>
                <w:bCs/>
                <w:color w:val="000000" w:themeColor="text1"/>
                <w:sz w:val="24"/>
                <w14:textFill>
                  <w14:solidFill>
                    <w14:schemeClr w14:val="tx1"/>
                  </w14:solidFill>
                </w14:textFill>
              </w:rPr>
              <w:t>培育新的节庆活动。</w:t>
            </w:r>
            <w:r>
              <w:rPr>
                <w:rFonts w:eastAsia="仿宋_GB2312"/>
                <w:color w:val="000000" w:themeColor="text1"/>
                <w:sz w:val="24"/>
                <w14:textFill>
                  <w14:solidFill>
                    <w14:schemeClr w14:val="tx1"/>
                  </w14:solidFill>
                </w14:textFill>
              </w:rPr>
              <w:t>持续提升现有质量与规模，结合西山区传统民俗、特色资源，再挖掘一批如草海观鸟节、融创狂欢节、西山夜游节、大观汉服节等具有西山区特色的节庆活动。</w:t>
            </w:r>
          </w:p>
        </w:tc>
      </w:tr>
    </w:tbl>
    <w:p w14:paraId="14EA0B33">
      <w:pPr>
        <w:topLinePunct/>
        <w:spacing w:line="560" w:lineRule="exact"/>
        <w:ind w:firstLine="643"/>
        <w:rPr>
          <w:rFonts w:eastAsia="仿宋_GB2312"/>
          <w:color w:val="000000" w:themeColor="text1"/>
          <w:sz w:val="32"/>
          <w:szCs w:val="32"/>
          <w14:textFill>
            <w14:solidFill>
              <w14:schemeClr w14:val="tx1"/>
            </w14:solidFill>
          </w14:textFill>
        </w:rPr>
      </w:pPr>
      <w:r>
        <w:rPr>
          <w:rFonts w:eastAsia="仿宋_GB2312"/>
          <w:b/>
          <w:bCs/>
          <w:color w:val="000000" w:themeColor="text1"/>
          <w:sz w:val="32"/>
          <w:szCs w:val="32"/>
          <w14:textFill>
            <w14:solidFill>
              <w14:schemeClr w14:val="tx1"/>
            </w14:solidFill>
          </w14:textFill>
        </w:rPr>
        <w:t>推动非物质文化遗产的传承利用。</w:t>
      </w:r>
      <w:r>
        <w:rPr>
          <w:rFonts w:eastAsia="仿宋_GB2312"/>
          <w:color w:val="000000" w:themeColor="text1"/>
          <w:sz w:val="32"/>
          <w:szCs w:val="32"/>
          <w14:textFill>
            <w14:solidFill>
              <w14:schemeClr w14:val="tx1"/>
            </w14:solidFill>
          </w14:textFill>
        </w:rPr>
        <w:t>加强非遗保护工作队伍建设，实施“非遗传承人研修研习培训计划”，开展非遗传承利用活动。实施传统技艺工艺振兴行动计划，打造一批传统技艺工艺品展示项目；推动非遗文化“入馆、进景区、进校园”，打造非遗文化精品；提炼非物质文化遗产的核心文化元素，将非物质文化转化为“看得见、摸得着”的城市文化景观、文化小品等。重点打造昆湖牌拓东甜酱油、永香斋玫瑰大头菜、祖式刺绣、苗族刺绣、葫芦雕绘、瓢画、陶艺、滇剧等非遗传承工程。</w:t>
      </w:r>
    </w:p>
    <w:tbl>
      <w:tblPr>
        <w:tblStyle w:val="43"/>
        <w:tblW w:w="88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73"/>
      </w:tblGrid>
      <w:tr w14:paraId="2138C4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73" w:type="dxa"/>
          </w:tcPr>
          <w:p w14:paraId="1D45D550">
            <w:pPr>
              <w:topLinePunct/>
              <w:jc w:val="center"/>
              <w:rPr>
                <w:rFonts w:eastAsia="仿宋_GB2312"/>
                <w:color w:val="000000" w:themeColor="text1"/>
                <w:sz w:val="28"/>
                <w:szCs w:val="28"/>
                <w14:textFill>
                  <w14:solidFill>
                    <w14:schemeClr w14:val="tx1"/>
                  </w14:solidFill>
                </w14:textFill>
              </w:rPr>
            </w:pPr>
            <w:r>
              <w:rPr>
                <w:rFonts w:eastAsia="黑体"/>
                <w:color w:val="000000" w:themeColor="text1"/>
                <w:sz w:val="28"/>
                <w:szCs w:val="28"/>
                <w14:textFill>
                  <w14:solidFill>
                    <w14:schemeClr w14:val="tx1"/>
                  </w14:solidFill>
                </w14:textFill>
              </w:rPr>
              <w:t>专栏27 非物质文化遗产活化工程</w:t>
            </w:r>
          </w:p>
        </w:tc>
      </w:tr>
      <w:tr w14:paraId="602407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73" w:type="dxa"/>
          </w:tcPr>
          <w:p w14:paraId="1A02EF6E">
            <w:pPr>
              <w:topLinePunct/>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国家级非遗代表性项目：</w:t>
            </w:r>
            <w:r>
              <w:rPr>
                <w:rFonts w:eastAsia="仿宋_GB2312"/>
                <w:color w:val="000000" w:themeColor="text1"/>
                <w:sz w:val="24"/>
                <w14:textFill>
                  <w14:solidFill>
                    <w14:schemeClr w14:val="tx1"/>
                  </w14:solidFill>
                </w14:textFill>
              </w:rPr>
              <w:t xml:space="preserve">昆中药传统中药制剂。 </w:t>
            </w:r>
          </w:p>
          <w:p w14:paraId="0572BCCA">
            <w:pPr>
              <w:topLinePunct/>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省级非遗代表性项目</w:t>
            </w:r>
            <w:r>
              <w:rPr>
                <w:rFonts w:eastAsia="仿宋_GB2312"/>
                <w:color w:val="000000" w:themeColor="text1"/>
                <w:sz w:val="24"/>
                <w14:textFill>
                  <w14:solidFill>
                    <w14:schemeClr w14:val="tx1"/>
                  </w14:solidFill>
                </w14:textFill>
              </w:rPr>
              <w:t xml:space="preserve">：昆明调、“三月三耍西山”、永香斋玫瑰大头菜制作技艺、昆湖牌拓东甜酱油酿造技艺、管氏针灸疗法、姚氏中医妇科疗法。 </w:t>
            </w:r>
          </w:p>
          <w:p w14:paraId="2636203B">
            <w:pPr>
              <w:topLinePunct/>
              <w:rPr>
                <w:rFonts w:eastAsia="仿宋_GB2312"/>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市级非遗代表性项目：</w:t>
            </w:r>
            <w:r>
              <w:rPr>
                <w:rFonts w:eastAsia="仿宋_GB2312"/>
                <w:color w:val="000000" w:themeColor="text1"/>
                <w:sz w:val="24"/>
                <w14:textFill>
                  <w14:solidFill>
                    <w14:schemeClr w14:val="tx1"/>
                  </w14:solidFill>
                </w14:textFill>
              </w:rPr>
              <w:t xml:space="preserve">葫芦雕绘、民间故事《睡美人的传说》、苗族民间故事《天翻地覆》《兄妹结婚》、白族民间故事《白族火把节》、昆明小调《拈鱼》《猜调》、海口双哨彝族秧佬鼓舞、观音山庙会等。 </w:t>
            </w:r>
          </w:p>
          <w:p w14:paraId="474F74CA">
            <w:pPr>
              <w:topLinePunct/>
              <w:rPr>
                <w:rFonts w:eastAsia="仿宋_GB2312"/>
                <w:color w:val="000000" w:themeColor="text1"/>
                <w:sz w:val="28"/>
                <w:szCs w:val="28"/>
                <w14:textFill>
                  <w14:solidFill>
                    <w14:schemeClr w14:val="tx1"/>
                  </w14:solidFill>
                </w14:textFill>
              </w:rPr>
            </w:pPr>
            <w:r>
              <w:rPr>
                <w:rFonts w:eastAsia="仿宋_GB2312"/>
                <w:b/>
                <w:bCs/>
                <w:color w:val="000000" w:themeColor="text1"/>
                <w:sz w:val="24"/>
                <w14:textFill>
                  <w14:solidFill>
                    <w14:schemeClr w14:val="tx1"/>
                  </w14:solidFill>
                </w14:textFill>
              </w:rPr>
              <w:t>区级非遗代表性项目</w:t>
            </w:r>
            <w:r>
              <w:rPr>
                <w:rFonts w:eastAsia="仿宋_GB2312"/>
                <w:color w:val="000000" w:themeColor="text1"/>
                <w:sz w:val="24"/>
                <w14:textFill>
                  <w14:solidFill>
                    <w14:schemeClr w14:val="tx1"/>
                  </w14:solidFill>
                </w14:textFill>
              </w:rPr>
              <w:t>：祖氏滇绣画、木叶吹奏、陶艺、团结苗族芦笙舞等。</w:t>
            </w:r>
          </w:p>
        </w:tc>
      </w:tr>
    </w:tbl>
    <w:p w14:paraId="14E92D55">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（二）增强文化软实力和竞争力</w:t>
      </w:r>
    </w:p>
    <w:p w14:paraId="3598B904">
      <w:pPr>
        <w:topLinePunct/>
        <w:spacing w:line="560" w:lineRule="exact"/>
        <w:ind w:firstLine="643"/>
        <w:rPr>
          <w:rFonts w:eastAsia="仿宋_GB2312"/>
          <w:color w:val="000000" w:themeColor="text1"/>
          <w:sz w:val="32"/>
          <w:szCs w:val="32"/>
          <w14:textFill>
            <w14:solidFill>
              <w14:schemeClr w14:val="tx1"/>
            </w14:solidFill>
          </w14:textFill>
        </w:rPr>
      </w:pPr>
      <w:r>
        <w:rPr>
          <w:rFonts w:eastAsia="仿宋_GB2312"/>
          <w:b/>
          <w:color w:val="000000" w:themeColor="text1"/>
          <w:sz w:val="32"/>
          <w:szCs w:val="32"/>
          <w14:textFill>
            <w14:solidFill>
              <w14:schemeClr w14:val="tx1"/>
            </w14:solidFill>
          </w14:textFill>
        </w:rPr>
        <w:t>推动文化事业全面繁荣。</w:t>
      </w:r>
      <w:r>
        <w:rPr>
          <w:rFonts w:eastAsia="仿宋_GB2312"/>
          <w:color w:val="000000" w:themeColor="text1"/>
          <w:sz w:val="32"/>
          <w:szCs w:val="32"/>
          <w14:textFill>
            <w14:solidFill>
              <w14:schemeClr w14:val="tx1"/>
            </w14:solidFill>
          </w14:textFill>
        </w:rPr>
        <w:t>加强重大公共文化工程和文化项目建设，积极发展新闻出版、文学艺术事业，推进媒体管理制度化、科学化。</w:t>
      </w:r>
      <w:r>
        <w:rPr>
          <w:rFonts w:eastAsia="仿宋_GB2312"/>
          <w:b/>
          <w:color w:val="000000" w:themeColor="text1"/>
          <w:sz w:val="32"/>
          <w:szCs w:val="32"/>
          <w14:textFill>
            <w14:solidFill>
              <w14:schemeClr w14:val="tx1"/>
            </w14:solidFill>
          </w14:textFill>
        </w:rPr>
        <w:t>促进文化和科技融合。</w:t>
      </w:r>
      <w:r>
        <w:rPr>
          <w:rFonts w:eastAsia="仿宋_GB2312"/>
          <w:color w:val="000000" w:themeColor="text1"/>
          <w:sz w:val="32"/>
          <w:szCs w:val="32"/>
          <w14:textFill>
            <w14:solidFill>
              <w14:schemeClr w14:val="tx1"/>
            </w14:solidFill>
          </w14:textFill>
        </w:rPr>
        <w:t>做大做强一批文化科技企业和基地，着力完善以企业为主体、市场为导向、产学研创相结合的文化技术创新体系，增强自主创新能力，发展新型文化业态。</w:t>
      </w:r>
      <w:r>
        <w:rPr>
          <w:rFonts w:eastAsia="仿宋_GB2312"/>
          <w:b/>
          <w:bCs/>
          <w:color w:val="000000" w:themeColor="text1"/>
          <w:sz w:val="32"/>
          <w:szCs w:val="32"/>
          <w14:textFill>
            <w14:solidFill>
              <w14:schemeClr w14:val="tx1"/>
            </w14:solidFill>
          </w14:textFill>
        </w:rPr>
        <w:t>推动文化产业快速发展。</w:t>
      </w:r>
      <w:r>
        <w:rPr>
          <w:rFonts w:eastAsia="仿宋_GB2312"/>
          <w:color w:val="000000" w:themeColor="text1"/>
          <w:sz w:val="32"/>
          <w:szCs w:val="32"/>
          <w14:textFill>
            <w14:solidFill>
              <w14:schemeClr w14:val="tx1"/>
            </w14:solidFill>
          </w14:textFill>
        </w:rPr>
        <w:t>加强文化产业基地规划和建设，提高文化产业规模化、集群化和专业化水平。创新商业模式，开发特色文化消费，扩大文化服务消费，提高基层文化消费水平，为文化产业发展提供内生动力。加快提升经营性文化单位管理能力，培育合格市场主体，推动文化产业快速发展。</w:t>
      </w:r>
      <w:r>
        <w:rPr>
          <w:rFonts w:eastAsia="仿宋_GB2312"/>
          <w:b/>
          <w:color w:val="000000" w:themeColor="text1"/>
          <w:sz w:val="32"/>
          <w:szCs w:val="32"/>
          <w14:textFill>
            <w14:solidFill>
              <w14:schemeClr w14:val="tx1"/>
            </w14:solidFill>
          </w14:textFill>
        </w:rPr>
        <w:t>扩大文化领域对外开放。</w:t>
      </w:r>
      <w:r>
        <w:rPr>
          <w:rFonts w:eastAsia="仿宋_GB2312"/>
          <w:color w:val="000000" w:themeColor="text1"/>
          <w:sz w:val="32"/>
          <w:szCs w:val="32"/>
          <w14:textFill>
            <w14:solidFill>
              <w14:schemeClr w14:val="tx1"/>
            </w14:solidFill>
          </w14:textFill>
        </w:rPr>
        <w:t>开展多渠道多形式多层次对外文化交流，创新对外宣传方式方法，实施文化“走出去”工程，培育一批具有国际竞争力的外向型文化企业和中介机构，开拓国际文化市场，积极开展中外人文交流。</w:t>
      </w:r>
    </w:p>
    <w:p w14:paraId="6445D68C">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（三）提升乡村文化服务水平</w:t>
      </w:r>
    </w:p>
    <w:p w14:paraId="6408E883">
      <w:pPr>
        <w:topLinePunct/>
        <w:spacing w:line="560" w:lineRule="exact"/>
        <w:ind w:firstLine="643"/>
        <w:rPr>
          <w:rFonts w:eastAsia="仿宋_GB2312"/>
          <w:color w:val="000000" w:themeColor="text1"/>
          <w:sz w:val="32"/>
          <w:szCs w:val="32"/>
          <w14:textFill>
            <w14:solidFill>
              <w14:schemeClr w14:val="tx1"/>
            </w14:solidFill>
          </w14:textFill>
        </w:rPr>
      </w:pPr>
      <w:r>
        <w:rPr>
          <w:rFonts w:eastAsia="仿宋_GB2312"/>
          <w:b/>
          <w:color w:val="000000" w:themeColor="text1"/>
          <w:sz w:val="32"/>
          <w:szCs w:val="32"/>
          <w14:textFill>
            <w14:solidFill>
              <w14:schemeClr w14:val="tx1"/>
            </w14:solidFill>
          </w14:textFill>
        </w:rPr>
        <w:t>创新乡居建筑工艺传承方式。</w:t>
      </w:r>
      <w:r>
        <w:rPr>
          <w:rFonts w:eastAsia="仿宋_GB2312"/>
          <w:color w:val="000000" w:themeColor="text1"/>
          <w:sz w:val="32"/>
          <w:szCs w:val="32"/>
          <w14:textFill>
            <w14:solidFill>
              <w14:schemeClr w14:val="tx1"/>
            </w14:solidFill>
          </w14:textFill>
        </w:rPr>
        <w:t>加强对古村落建筑修复和乡居建筑工艺传承。统一整理所有的古村落信息，打造具有代表性的古村落</w:t>
      </w:r>
      <w:r>
        <w:rPr>
          <w:rFonts w:hint="eastAsia" w:eastAsia="仿宋_GB2312"/>
          <w:color w:val="000000" w:themeColor="text1"/>
          <w:sz w:val="32"/>
          <w:szCs w:val="32"/>
          <w:lang w:val="en-US" w:eastAsia="zh-CN"/>
          <w14:textFill>
            <w14:solidFill>
              <w14:schemeClr w14:val="tx1"/>
            </w14:solidFill>
          </w14:textFill>
        </w:rPr>
        <w:t xml:space="preserve"> </w:t>
      </w:r>
      <w:r>
        <w:rPr>
          <w:rFonts w:eastAsia="仿宋_GB2312"/>
          <w:color w:val="000000" w:themeColor="text1"/>
          <w:sz w:val="32"/>
          <w:szCs w:val="32"/>
          <w14:textFill>
            <w14:solidFill>
              <w14:schemeClr w14:val="tx1"/>
            </w14:solidFill>
          </w14:textFill>
        </w:rPr>
        <w:t>实习创作基地，通过网络综艺节目、古建筑设计展览周、动画制作中民居元素应用等活动传承和传播乡居建筑文化。</w:t>
      </w:r>
      <w:r>
        <w:rPr>
          <w:rFonts w:eastAsia="仿宋_GB2312"/>
          <w:b/>
          <w:color w:val="000000" w:themeColor="text1"/>
          <w:sz w:val="32"/>
          <w:szCs w:val="32"/>
          <w14:textFill>
            <w14:solidFill>
              <w14:schemeClr w14:val="tx1"/>
            </w14:solidFill>
          </w14:textFill>
        </w:rPr>
        <w:t>推进乡村博物馆建设。</w:t>
      </w:r>
      <w:r>
        <w:rPr>
          <w:rFonts w:eastAsia="仿宋_GB2312"/>
          <w:color w:val="000000" w:themeColor="text1"/>
          <w:sz w:val="32"/>
          <w:szCs w:val="32"/>
          <w14:textFill>
            <w14:solidFill>
              <w14:schemeClr w14:val="tx1"/>
            </w14:solidFill>
          </w14:textFill>
        </w:rPr>
        <w:t>打造线上线下一体的乡村博物馆、新型农民培训、学习场所和返乡创客基地，提升乡村文化气息，建设村民文化自信，唤醒乡村记忆。</w:t>
      </w:r>
      <w:r>
        <w:rPr>
          <w:rFonts w:eastAsia="仿宋_GB2312"/>
          <w:b/>
          <w:color w:val="000000" w:themeColor="text1"/>
          <w:sz w:val="32"/>
          <w:szCs w:val="32"/>
          <w14:textFill>
            <w14:solidFill>
              <w14:schemeClr w14:val="tx1"/>
            </w14:solidFill>
          </w14:textFill>
        </w:rPr>
        <w:t>创新乡村文化休闲方式。</w:t>
      </w:r>
      <w:r>
        <w:rPr>
          <w:rFonts w:eastAsia="仿宋_GB2312"/>
          <w:color w:val="000000" w:themeColor="text1"/>
          <w:sz w:val="32"/>
          <w:szCs w:val="32"/>
          <w14:textFill>
            <w14:solidFill>
              <w14:schemeClr w14:val="tx1"/>
            </w14:solidFill>
          </w14:textFill>
        </w:rPr>
        <w:t>通过印制村庄明信片，创办村刊，编纂乡史，创办乡村网站，举办传统仪式、节庆活动、民族体育运动、读书节等各种文化活动，培训绣娘、农民画家、农民音乐家等方式，保存文化基因，丰富休闲方式。</w:t>
      </w:r>
      <w:r>
        <w:rPr>
          <w:rFonts w:eastAsia="仿宋_GB2312"/>
          <w:b/>
          <w:color w:val="000000" w:themeColor="text1"/>
          <w:sz w:val="32"/>
          <w:szCs w:val="32"/>
          <w14:textFill>
            <w14:solidFill>
              <w14:schemeClr w14:val="tx1"/>
            </w14:solidFill>
          </w14:textFill>
        </w:rPr>
        <w:t>促进乡村饮食文化传承和创新。</w:t>
      </w:r>
      <w:r>
        <w:rPr>
          <w:rFonts w:eastAsia="仿宋_GB2312"/>
          <w:color w:val="000000" w:themeColor="text1"/>
          <w:sz w:val="32"/>
          <w:szCs w:val="32"/>
          <w14:textFill>
            <w14:solidFill>
              <w14:schemeClr w14:val="tx1"/>
            </w14:solidFill>
          </w14:textFill>
        </w:rPr>
        <w:t>宣传乡村美食文化，构建西山区乡村美食集合推广渠道，打造乐居村线上线下博物馆，宣传当地“八大碗”、花椒鸡等，培训一批西山区民间名厨，引进和培育一批餐饮品牌运营商，让文化旅游作为乡村餐饮文化展示和体验的窗口。</w:t>
      </w:r>
    </w:p>
    <w:tbl>
      <w:tblPr>
        <w:tblStyle w:val="43"/>
        <w:tblW w:w="88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73"/>
      </w:tblGrid>
      <w:tr w14:paraId="513E8A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73" w:type="dxa"/>
          </w:tcPr>
          <w:p w14:paraId="75CC4C75">
            <w:pPr>
              <w:topLinePunct/>
              <w:jc w:val="center"/>
              <w:rPr>
                <w:rFonts w:eastAsia="黑体"/>
                <w:color w:val="000000" w:themeColor="text1"/>
                <w:sz w:val="28"/>
                <w:szCs w:val="28"/>
                <w14:textFill>
                  <w14:solidFill>
                    <w14:schemeClr w14:val="tx1"/>
                  </w14:solidFill>
                </w14:textFill>
              </w:rPr>
            </w:pPr>
            <w:r>
              <w:rPr>
                <w:rFonts w:eastAsia="黑体"/>
                <w:color w:val="000000" w:themeColor="text1"/>
                <w:sz w:val="28"/>
                <w:szCs w:val="28"/>
                <w14:textFill>
                  <w14:solidFill>
                    <w14:schemeClr w14:val="tx1"/>
                  </w14:solidFill>
                </w14:textFill>
              </w:rPr>
              <w:t>专栏28 乡村文化服务水平提升任务</w:t>
            </w:r>
          </w:p>
        </w:tc>
      </w:tr>
      <w:tr w14:paraId="1ACB6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73" w:type="dxa"/>
          </w:tcPr>
          <w:p w14:paraId="3A34C3A6">
            <w:pPr>
              <w:topLinePunct/>
              <w:ind w:firstLine="480"/>
              <w:rPr>
                <w:rFonts w:eastAsia="仿宋_GB2312"/>
                <w:color w:val="000000" w:themeColor="text1"/>
                <w:sz w:val="28"/>
                <w:szCs w:val="28"/>
                <w14:textFill>
                  <w14:solidFill>
                    <w14:schemeClr w14:val="tx1"/>
                  </w14:solidFill>
                </w14:textFill>
              </w:rPr>
            </w:pPr>
            <w:r>
              <w:rPr>
                <w:rFonts w:eastAsia="仿宋_GB2312"/>
                <w:color w:val="000000" w:themeColor="text1"/>
                <w:sz w:val="24"/>
                <w14:textFill>
                  <w14:solidFill>
                    <w14:schemeClr w14:val="tx1"/>
                  </w14:solidFill>
                </w14:textFill>
              </w:rPr>
              <w:t>包括观音山传统文化村落、乐居传统文化村落、白石岩传统文化村落、卧龙岗民族民俗村落、里仁民族民俗村落、大墨雨民宿公园、核桃箐乡村休闲度假乐园、龙潭传统民居古村、团结妥排社区白格村、团结乐亩社区桃树箐村、团结律则社区螃蟹箐村、团结永靖社区杨庄房村、碧鸡百草村、海口青鱼社区永青鱼塘村、海口云龙社区下平村等村落，注重其民居、民俗、民食的保护，在保持原生态的状况下进行提升改造。</w:t>
            </w:r>
          </w:p>
        </w:tc>
      </w:tr>
    </w:tbl>
    <w:p w14:paraId="0DA97B6C">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（四）推动公共文化设施资源共建共享</w:t>
      </w:r>
    </w:p>
    <w:p w14:paraId="1131DBFD">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以推进文化馆、图书馆、博物馆、科技馆、体育馆等“五馆”建设为抓手，完善文化基础设施建设。积极发展城市公共空间艺术，推进文化进广场、地铁、绿地、商圈、街区、校园等工程，注重培育文化内涵。党政机关、国有企事业单位及学校在条件允许的情况下将各类文体设施向社会免费或优惠开放，推动主流媒体、剧场、云南省文化艺术职业学院等文化机构开展艺术普及教育。推进区内经营性文化设施、非物质文化遗产、工业遗址、红色文化、抗战文化传习场所、传统民俗文化活动场所等向公众提供公益性文化服务。合理利用历史街区、民宅村落、工业闲置厂房等场所兴办公共文化项目。</w:t>
      </w:r>
    </w:p>
    <w:p w14:paraId="45B946F2">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（五）推进公共文化数字化建设</w:t>
      </w:r>
    </w:p>
    <w:p w14:paraId="664493A7">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推动公共文化服务智慧化发展，重点建设西山区数字化公共文化平台，构建以西山区智慧图书馆、智慧博物馆、智慧文化馆等引领的数字化公共文化服务体系。推进文化数字化互动终端发展。积极推进数字化互动终端发展，推动APP、AR、VR等新技术应用，丰富网络音乐、网络动漫、网络表演、数字艺术展示等数字内容及可穿戴设备、智能家居等产品供给，提升文化产品开发和服务设计的数字化水平。推进文化众创空间发展。促进文化与现代技术相互融合，发展新一代沉浸式体验型文化和旅游消费，鼓励支持文化和旅游创新平台、创客空间、创新基地等新型众创空间发展，结合西山区内各老工业基地、老厂区打造一批文创园区，为扩大文化消费奠定基础。</w:t>
      </w:r>
      <w:bookmarkStart w:id="432" w:name="_Toc61644829"/>
      <w:bookmarkStart w:id="433" w:name="_Toc59205902"/>
      <w:bookmarkStart w:id="434" w:name="_Toc21599"/>
      <w:bookmarkStart w:id="435" w:name="_Toc3944"/>
    </w:p>
    <w:p w14:paraId="5B6564CD">
      <w:pPr>
        <w:topLinePunct/>
        <w:spacing w:line="560" w:lineRule="exact"/>
        <w:ind w:firstLine="640"/>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三、丰富人民精神文化生活</w:t>
      </w:r>
      <w:bookmarkEnd w:id="432"/>
      <w:bookmarkEnd w:id="433"/>
    </w:p>
    <w:p w14:paraId="5EE84FC0">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（一）加强引导文化精品创作生产</w:t>
      </w:r>
    </w:p>
    <w:p w14:paraId="138DE1C1">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全面促进文化艺术繁荣兴旺。全面贯彻为人民服务，坚持以人民为中心的创作导向，实施文艺作品质量提升工程，搭建文化人才培育平台，认真对待和积极追求文化精品，提高文化精品质量，创作生产更多思想性艺术性观赏性相统一、人民喜闻乐见的优秀文艺作品。</w:t>
      </w:r>
    </w:p>
    <w:p w14:paraId="6B66908C">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（二）深入实施重点文化惠民工程</w:t>
      </w:r>
    </w:p>
    <w:p w14:paraId="410EDE9F">
      <w:pPr>
        <w:topLinePunct/>
        <w:spacing w:line="560" w:lineRule="exact"/>
        <w:ind w:firstLine="640"/>
        <w:rPr>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坚持面向基层、服务群众，切实加大对城乡基层文化建设投入力度。深入实施广播电视、街道（社区）基层综合性文化服务中心、文化信息资源共享等重点文化惠民工程，努力完善公共文化基础设施。大力发展健康向上的网络文化，加强和改进网络内容建设，加强网络社会管理，推进网络依法规范有序运行，唱响网上主旋律，使互联网等新兴媒体真正成为社会主义先进文化新阵地、公共文化服务新平台、人民精神文化新空间。</w:t>
      </w:r>
    </w:p>
    <w:p w14:paraId="00557416">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（三）广泛开展群众性文化活动</w:t>
      </w:r>
    </w:p>
    <w:p w14:paraId="070256DA">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开展群众乐于参与、便于参与的文化活动，支持群众兴办各种门类的文化创作演出活动，引导群众在文化建设中自我表现、自我教育、自我服务，依靠人民的智慧和力量推动文化繁荣发展。</w:t>
      </w:r>
      <w:bookmarkEnd w:id="434"/>
      <w:bookmarkEnd w:id="435"/>
      <w:bookmarkStart w:id="436" w:name="_Toc61644830"/>
      <w:bookmarkStart w:id="437" w:name="_Toc7403"/>
    </w:p>
    <w:p w14:paraId="6CFEEB5A">
      <w:pPr>
        <w:topLinePunct/>
        <w:spacing w:line="560" w:lineRule="exact"/>
        <w:ind w:firstLine="640"/>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四、打造“心往春城·脉汇西山”区域文化名片</w:t>
      </w:r>
      <w:bookmarkEnd w:id="436"/>
    </w:p>
    <w:p w14:paraId="0DA73AA8">
      <w:pPr>
        <w:topLinePunct/>
        <w:spacing w:line="560" w:lineRule="exact"/>
        <w:ind w:firstLine="624"/>
        <w:rPr>
          <w:rFonts w:eastAsia="仿宋_GB2312"/>
          <w:color w:val="000000" w:themeColor="text1"/>
          <w:sz w:val="32"/>
          <w:szCs w:val="32"/>
          <w14:textFill>
            <w14:solidFill>
              <w14:schemeClr w14:val="tx1"/>
            </w14:solidFill>
          </w14:textFill>
        </w:rPr>
      </w:pPr>
      <w:r>
        <w:rPr>
          <w:rFonts w:eastAsia="仿宋_GB2312"/>
          <w:color w:val="000000" w:themeColor="text1"/>
          <w:spacing w:val="-4"/>
          <w:sz w:val="32"/>
          <w:szCs w:val="32"/>
          <w14:textFill>
            <w14:solidFill>
              <w14:schemeClr w14:val="tx1"/>
            </w14:solidFill>
          </w14:textFill>
        </w:rPr>
        <w:t>不断提升地区美誉度、打造地区软实力</w:t>
      </w:r>
      <w:bookmarkEnd w:id="437"/>
      <w:r>
        <w:rPr>
          <w:rFonts w:eastAsia="仿宋_GB2312"/>
          <w:color w:val="000000" w:themeColor="text1"/>
          <w:spacing w:val="-4"/>
          <w:sz w:val="32"/>
          <w:szCs w:val="32"/>
          <w14:textFill>
            <w14:solidFill>
              <w14:schemeClr w14:val="tx1"/>
            </w14:solidFill>
          </w14:textFill>
        </w:rPr>
        <w:t>，树立“心往春城·脉</w:t>
      </w:r>
      <w:r>
        <w:rPr>
          <w:rFonts w:eastAsia="仿宋_GB2312"/>
          <w:color w:val="000000" w:themeColor="text1"/>
          <w:sz w:val="32"/>
          <w:szCs w:val="32"/>
          <w14:textFill>
            <w14:solidFill>
              <w14:schemeClr w14:val="tx1"/>
            </w14:solidFill>
          </w14:textFill>
        </w:rPr>
        <w:t>汇西山”品牌。</w:t>
      </w:r>
    </w:p>
    <w:p w14:paraId="4669F009">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（一）统筹文化发展，培育文化品牌</w:t>
      </w:r>
    </w:p>
    <w:p w14:paraId="55F1740C">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提升西山区文化产品市场竞争力和品牌影响力，立足西山区丰厚的文化资源，创新创作一批文化演艺品牌剧目。紧扣时代主题，以“文化+演艺”的新模式彰显西山区特色。运用沉浸投影、数字模拟等高新技术，创新精品剧目表现形式。鼓励和支持以民间故事为题材进行文化艺术创作，努力推上银幕和舞台。鼓励发展昆明小调《拈鱼》《猜调》，海口双哨彝族秧佬鼓舞等传统表演艺术，提升非物质文化遗产节目创意，成为既有昆明特色又有市场效益的文化品牌。</w:t>
      </w:r>
    </w:p>
    <w:tbl>
      <w:tblPr>
        <w:tblStyle w:val="43"/>
        <w:tblW w:w="88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73"/>
      </w:tblGrid>
      <w:tr w14:paraId="255D29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73" w:type="dxa"/>
          </w:tcPr>
          <w:p w14:paraId="78B35177">
            <w:pPr>
              <w:topLinePunct/>
              <w:jc w:val="center"/>
              <w:rPr>
                <w:rFonts w:eastAsia="黑体"/>
                <w:color w:val="000000" w:themeColor="text1"/>
                <w:szCs w:val="32"/>
                <w14:textFill>
                  <w14:solidFill>
                    <w14:schemeClr w14:val="tx1"/>
                  </w14:solidFill>
                </w14:textFill>
              </w:rPr>
            </w:pPr>
            <w:r>
              <w:rPr>
                <w:rFonts w:eastAsia="黑体"/>
                <w:color w:val="000000" w:themeColor="text1"/>
                <w:sz w:val="28"/>
                <w:szCs w:val="28"/>
                <w14:textFill>
                  <w14:solidFill>
                    <w14:schemeClr w14:val="tx1"/>
                  </w14:solidFill>
                </w14:textFill>
              </w:rPr>
              <w:t>专栏29 文化演艺品牌剧目</w:t>
            </w:r>
          </w:p>
        </w:tc>
      </w:tr>
      <w:tr w14:paraId="42A819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73" w:type="dxa"/>
          </w:tcPr>
          <w:p w14:paraId="4B91A80A">
            <w:pPr>
              <w:topLinePunct/>
              <w:rPr>
                <w:rFonts w:eastAsia="仿宋_GB2312"/>
                <w:color w:val="000000" w:themeColor="text1"/>
                <w:sz w:val="24"/>
                <w:szCs w:val="20"/>
                <w14:textFill>
                  <w14:solidFill>
                    <w14:schemeClr w14:val="tx1"/>
                  </w14:solidFill>
                </w14:textFill>
              </w:rPr>
            </w:pPr>
            <w:r>
              <w:rPr>
                <w:rFonts w:eastAsia="仿宋_GB2312"/>
                <w:b/>
                <w:bCs/>
                <w:color w:val="000000" w:themeColor="text1"/>
                <w:sz w:val="24"/>
                <w:szCs w:val="20"/>
                <w14:textFill>
                  <w14:solidFill>
                    <w14:schemeClr w14:val="tx1"/>
                  </w14:solidFill>
                </w14:textFill>
              </w:rPr>
              <w:t>1.打造精品剧目。</w:t>
            </w:r>
            <w:r>
              <w:rPr>
                <w:rFonts w:eastAsia="仿宋_GB2312"/>
                <w:color w:val="000000" w:themeColor="text1"/>
                <w:sz w:val="24"/>
                <w:szCs w:val="20"/>
                <w14:textFill>
                  <w14:solidFill>
                    <w14:schemeClr w14:val="tx1"/>
                  </w14:solidFill>
                </w14:textFill>
              </w:rPr>
              <w:t>重点扶持现有文化演艺企业，包括云南杨丽萍文化传播股份有限公司和草海融创文旅城，创作一批诸如《云南映象》《云南的响声》《孔雀》、睡美人故事、滇池巅峰—西山悬崖里的文化、海世界海豚剧场剧目、雨林剧场剧目、人鱼传说等类型的大型精品演艺剧目，引进大型商业展演企业和团队，创新演艺剧目。</w:t>
            </w:r>
          </w:p>
          <w:p w14:paraId="66469D9D">
            <w:pPr>
              <w:topLinePunct/>
              <w:rPr>
                <w:color w:val="000000" w:themeColor="text1"/>
                <w14:textFill>
                  <w14:solidFill>
                    <w14:schemeClr w14:val="tx1"/>
                  </w14:solidFill>
                </w14:textFill>
              </w:rPr>
            </w:pPr>
            <w:r>
              <w:rPr>
                <w:rFonts w:eastAsia="仿宋_GB2312"/>
                <w:b/>
                <w:bCs/>
                <w:color w:val="000000" w:themeColor="text1"/>
                <w:sz w:val="24"/>
                <w:szCs w:val="20"/>
                <w14:textFill>
                  <w14:solidFill>
                    <w14:schemeClr w14:val="tx1"/>
                  </w14:solidFill>
                </w14:textFill>
              </w:rPr>
              <w:t>2.推动民间非遗演艺剧目创新。</w:t>
            </w:r>
            <w:r>
              <w:rPr>
                <w:rFonts w:eastAsia="仿宋_GB2312"/>
                <w:color w:val="000000" w:themeColor="text1"/>
                <w:sz w:val="24"/>
                <w:szCs w:val="20"/>
                <w14:textFill>
                  <w14:solidFill>
                    <w14:schemeClr w14:val="tx1"/>
                  </w14:solidFill>
                </w14:textFill>
              </w:rPr>
              <w:t>在《花儿绽放》《赶花山》《滇池夕阳》等数十部文艺精品，《想着春天》《款西山》等抗疫作品的基础上，鼓励结合民间故事《睡美人的传说》《天翻地覆》《兄妹结婚》《白族火把节》、昆明小调《拈鱼》《猜调》、海口双哨彝族秧佬鼓舞、团结苗族芦笙舞等表演艺术，深入挖掘西山区传统表演艺术类非物质文化遗产，创新演艺剧目及演艺方式，通过艺术创新，将其搬上舞台、搬上银幕。并在各大文旅项目中引进大型商业展演，利用场馆引进大型商业展演，如：演唱会、音乐剧、舞台剧、签售会、相声小品、动漫展会等。</w:t>
            </w:r>
          </w:p>
        </w:tc>
      </w:tr>
    </w:tbl>
    <w:p w14:paraId="25F8B1BC">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（二）突出文化IP，提升文化内涵</w:t>
      </w:r>
    </w:p>
    <w:p w14:paraId="71BE7AD6">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重点打造“心往春城·脉汇西山”的文化IP新形象。以特色非遗传统制作技艺为重点，依托“一部手机游云南”平台、草海夜游、环草海马拉松、草海自行车赛等，将文化旅游整体形象、历史遗迹、文艺创作等IP化，打造文创企业品牌。培育扶持相关文化产品生产的龙头企业，借助龙头企业的科研技术、创意创新推动文化行业发展。组建行业协会联盟，继续加大文化旅游与农业的融合力度，举办碧鸡草莓文化节、团结苹果节等农业文化节庆活动，促进西山区农耕文化、乡村旅游的升级发展。</w:t>
      </w:r>
      <w:bookmarkStart w:id="438" w:name="_Toc59205905"/>
      <w:bookmarkStart w:id="439" w:name="_Toc61644831"/>
    </w:p>
    <w:p w14:paraId="3D49CAB5">
      <w:pPr>
        <w:topLinePunct/>
        <w:spacing w:line="560" w:lineRule="exact"/>
        <w:jc w:val="center"/>
        <w:rPr>
          <w:rFonts w:eastAsia="黑体"/>
          <w:sz w:val="32"/>
          <w:szCs w:val="32"/>
        </w:rPr>
      </w:pPr>
      <w:r>
        <w:rPr>
          <w:rFonts w:eastAsia="黑体"/>
          <w:sz w:val="32"/>
          <w:szCs w:val="32"/>
        </w:rPr>
        <w:t>第十二章 践行绿色生态理念，厚植新发展</w:t>
      </w:r>
      <w:bookmarkEnd w:id="438"/>
      <w:r>
        <w:rPr>
          <w:rFonts w:eastAsia="黑体"/>
          <w:sz w:val="32"/>
          <w:szCs w:val="32"/>
        </w:rPr>
        <w:t>优势</w:t>
      </w:r>
      <w:bookmarkEnd w:id="439"/>
    </w:p>
    <w:p w14:paraId="7EBC5D29">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落实“共抓大保护、不搞大开发”和“生态优先、绿色发展”的长江经济带发展战略，打造生态文明建设的西山样板，彰显人与自然和谐共生的山水品质都市魅力。到2025年，环境空间管控格局形成，生态环境质量总体改善；生态保护红线和产业准入正面清单全面落实，环境安全得到有效保障；资源利用效率显著提高，城市经济与环境保护协调发展的格局基本形成；有效落实碳达峰和碳中和目标，主要污染物排放得到全面控制，碳排放量得到有效控制；城市空气质量优良率保持全国领先；水环境质量持续改善，重点流域生态环境明显改善；土壤环境质量总体保持稳定，土壤环境风险得到基本控制；绿色低碳水平进一步提升。</w:t>
      </w:r>
      <w:bookmarkStart w:id="440" w:name="_Toc59205906"/>
      <w:bookmarkStart w:id="441" w:name="_Toc61644832"/>
    </w:p>
    <w:p w14:paraId="095088B8">
      <w:pPr>
        <w:topLinePunct/>
        <w:spacing w:line="560" w:lineRule="exact"/>
        <w:ind w:firstLine="640"/>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一、推进绿色低碳发展，建设山水都市品质区</w:t>
      </w:r>
      <w:bookmarkEnd w:id="440"/>
      <w:bookmarkEnd w:id="441"/>
    </w:p>
    <w:p w14:paraId="6ACCEC6F">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（一）发展绿色低碳循环的全产业生态经济</w:t>
      </w:r>
    </w:p>
    <w:p w14:paraId="7DDB7280">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严格执行产业环保准入制度，大力推进经济生态化，狠抓工业污染防治，持续加大落后产能淘汰和过剩产能压减力度，加快绿色技术创新，构建绿色制造体系，发展绿色建筑，发展节能环保产业，推进重点行业和重要领域绿色化改造，推进服务业绿色发展。大力推进生态经济化，发展生态工业、生态旅游、生态农业。创建“绿水青山就是金山银山”综合改革试点，深化绿色金融改革，推行生态产品价值实现机制。大力发展循环经济，加快构建废旧物资循环利用体系。</w:t>
      </w:r>
    </w:p>
    <w:p w14:paraId="3868273B">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（二）开展绿色生活创建活动</w:t>
      </w:r>
    </w:p>
    <w:p w14:paraId="57993D2B">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推行绿色生活方式，深入推动绿色发展。</w:t>
      </w:r>
      <w:r>
        <w:rPr>
          <w:rFonts w:eastAsia="仿宋_GB2312"/>
          <w:bCs/>
          <w:color w:val="000000" w:themeColor="text1"/>
          <w:sz w:val="32"/>
          <w:szCs w:val="32"/>
          <w14:textFill>
            <w14:solidFill>
              <w14:schemeClr w14:val="tx1"/>
            </w14:solidFill>
          </w14:textFill>
        </w:rPr>
        <w:t>倡导“低碳环保生活，绿色文明出行”，依托山水资源优势，探索沿滇池西岸或区域水系资源“碧道”建设，提高山水都市整体性开发建设品质及精细化管理水平。</w:t>
      </w:r>
      <w:r>
        <w:rPr>
          <w:rFonts w:eastAsia="仿宋_GB2312"/>
          <w:color w:val="000000" w:themeColor="text1"/>
          <w:sz w:val="32"/>
          <w:szCs w:val="32"/>
          <w14:textFill>
            <w14:solidFill>
              <w14:schemeClr w14:val="tx1"/>
            </w14:solidFill>
          </w14:textFill>
        </w:rPr>
        <w:t>围绕节约型机关创建、绿色家庭创建、绿色学校创建、绿色社区创建、绿色出行创建、绿色商场创建、绿色建筑创建七大重点行动领域，扩大垃圾分类示范社区覆盖面，使绿色发展理念深入人心。加大生态文明和绿色低碳生活方式宣传，增强市民植绿、护绿、爱绿、兴绿意识，推动形成全民生态自觉。</w:t>
      </w:r>
    </w:p>
    <w:p w14:paraId="2E62B029">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（三）打造山水全系列美丽城乡</w:t>
      </w:r>
    </w:p>
    <w:p w14:paraId="32F25C39">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把美丽中国典范城区与山水都市品质区建设统一起来，切实以全球生物多样性大会筹备、举办和后续延伸为契机，彰显山水显韵的生态本底，突出多元民族文化特色，提升西山城市气质，营造美丽健康生活场景。加强城市绿色空间网络体系的构建，重视城市森林生态系统廊道建设，加强城市周边、滇池面山、交通沿线、河流两岸等重点区域的造林绿化工作，抓好西山森林公园森林旅游走廊及城镇周边现有森林资源的保护和林相改造，全面提升城市品质。推动农村生活垃圾分类处理、生活污水处理设施建设改造、运维管理和无害化卫生改厕全覆盖，高水平提升乡村人居环境。</w:t>
      </w:r>
      <w:bookmarkStart w:id="442" w:name="_Toc61644833"/>
      <w:bookmarkStart w:id="443" w:name="_Toc59205907"/>
    </w:p>
    <w:p w14:paraId="03E3E963">
      <w:pPr>
        <w:topLinePunct/>
        <w:spacing w:line="560" w:lineRule="exact"/>
        <w:ind w:firstLine="640"/>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二、统筹山水林田湖草，持续优化生态环境质量</w:t>
      </w:r>
      <w:bookmarkEnd w:id="442"/>
      <w:bookmarkEnd w:id="443"/>
    </w:p>
    <w:p w14:paraId="1C54533A">
      <w:pPr>
        <w:topLinePunct/>
        <w:spacing w:line="560" w:lineRule="exact"/>
        <w:ind w:firstLine="640"/>
        <w:outlineLvl w:val="2"/>
        <w:rPr>
          <w:rFonts w:eastAsia="楷体_GB2312"/>
          <w:color w:val="000000" w:themeColor="text1"/>
          <w:sz w:val="32"/>
          <w:szCs w:val="32"/>
          <w14:textFill>
            <w14:solidFill>
              <w14:schemeClr w14:val="tx1"/>
            </w14:solidFill>
          </w14:textFill>
        </w:rPr>
      </w:pPr>
      <w:bookmarkStart w:id="444" w:name="_Toc18293"/>
      <w:bookmarkStart w:id="445" w:name="_Toc20712"/>
      <w:bookmarkStart w:id="446" w:name="_Toc24746"/>
      <w:bookmarkStart w:id="447" w:name="_Toc23647"/>
      <w:bookmarkStart w:id="448" w:name="_Toc29249"/>
      <w:bookmarkStart w:id="449" w:name="_Toc31833"/>
      <w:bookmarkStart w:id="450" w:name="_Toc32532"/>
      <w:bookmarkStart w:id="451" w:name="_Toc16230"/>
      <w:bookmarkStart w:id="452" w:name="_Toc511"/>
      <w:r>
        <w:rPr>
          <w:rFonts w:eastAsia="楷体_GB2312"/>
          <w:color w:val="000000" w:themeColor="text1"/>
          <w:sz w:val="32"/>
          <w:szCs w:val="32"/>
          <w14:textFill>
            <w14:solidFill>
              <w14:schemeClr w14:val="tx1"/>
            </w14:solidFill>
          </w14:textFill>
        </w:rPr>
        <w:t>（一）加强山水林田湖草生态系统综合保护与修复</w:t>
      </w:r>
    </w:p>
    <w:p w14:paraId="0E197F72">
      <w:pPr>
        <w:topLinePunct/>
        <w:spacing w:line="580" w:lineRule="exact"/>
        <w:ind w:firstLine="641"/>
        <w:rPr>
          <w:rFonts w:eastAsia="仿宋_GB2312"/>
          <w:color w:val="000000" w:themeColor="text1"/>
          <w:sz w:val="32"/>
          <w:szCs w:val="32"/>
          <w14:textFill>
            <w14:solidFill>
              <w14:schemeClr w14:val="tx1"/>
            </w14:solidFill>
          </w14:textFill>
        </w:rPr>
      </w:pPr>
      <w:r>
        <w:rPr>
          <w:rFonts w:eastAsia="仿宋_GB2312"/>
          <w:b/>
          <w:color w:val="000000" w:themeColor="text1"/>
          <w:sz w:val="32"/>
          <w:szCs w:val="32"/>
          <w14:textFill>
            <w14:solidFill>
              <w14:schemeClr w14:val="tx1"/>
            </w14:solidFill>
          </w14:textFill>
        </w:rPr>
        <w:t>统筹山水林田湖草等生态资源保护利用。</w:t>
      </w:r>
      <w:r>
        <w:rPr>
          <w:rFonts w:eastAsia="仿宋_GB2312"/>
          <w:color w:val="000000" w:themeColor="text1"/>
          <w:sz w:val="32"/>
          <w:szCs w:val="32"/>
          <w14:textFill>
            <w14:solidFill>
              <w14:schemeClr w14:val="tx1"/>
            </w14:solidFill>
          </w14:textFill>
        </w:rPr>
        <w:t>保护生态用地，提升生态服务功能。加强已建成的生态湿地、林带的管理和养护。全面开展草海沿岸生态环境综合治理，实施环草海生态治理及重点区域绿化、生态环境恢复等重点工程，提升草海片区品质。深入实施“四退三还一护”工程，提升湖滨湿地水环境功能和景观功能，打造湖滨生态旅游休闲带。推动建立湖滨带生态功能区和湿地自然保护区，强化巩固对湖滨带生态系统、河湖管理范围划定及岸线的保护。落实水土保持工程，加强生态脆弱地区水土流失综合治理，抓好滇池流域“五采区”植被生态恢复，推动碧鸡街道（黑荞母、长坡）、团结街道（白眉、龙潭、棋台，双山磷矿）、海口街道等地的滑坡、水土流失、矿渣乱堆放治理和生态植被恢复。构建以高原湖泊为主体，林地、水面相连，带状环绕、块状相间的高原生态格局。到2025年，“山”—初步建成“两山”理论实践创新基地，“水”—滇池水资源、水生态、水环境统筹推进格局初步形成，“林”—森林覆盖率保持52.88%，“田”—高标准农田稳定提升，“湖”—滇池草海和外海水质稳定达到</w:t>
      </w:r>
      <w:r>
        <w:rPr>
          <w:rFonts w:hint="eastAsia" w:ascii="宋体" w:hAnsi="宋体" w:cs="宋体"/>
          <w:color w:val="000000" w:themeColor="text1"/>
          <w:sz w:val="32"/>
          <w:szCs w:val="32"/>
          <w14:textFill>
            <w14:solidFill>
              <w14:schemeClr w14:val="tx1"/>
            </w14:solidFill>
          </w14:textFill>
        </w:rPr>
        <w:t>Ⅳ</w:t>
      </w:r>
      <w:r>
        <w:rPr>
          <w:rFonts w:eastAsia="仿宋_GB2312"/>
          <w:color w:val="000000" w:themeColor="text1"/>
          <w:sz w:val="32"/>
          <w:szCs w:val="32"/>
          <w14:textFill>
            <w14:solidFill>
              <w14:schemeClr w14:val="tx1"/>
            </w14:solidFill>
          </w14:textFill>
        </w:rPr>
        <w:t>类及以上，主要入湖河流水质达到</w:t>
      </w:r>
      <w:r>
        <w:rPr>
          <w:rFonts w:hint="eastAsia" w:ascii="宋体" w:hAnsi="宋体" w:cs="宋体"/>
          <w:color w:val="000000" w:themeColor="text1"/>
          <w:sz w:val="32"/>
          <w:szCs w:val="32"/>
          <w14:textFill>
            <w14:solidFill>
              <w14:schemeClr w14:val="tx1"/>
            </w14:solidFill>
          </w14:textFill>
        </w:rPr>
        <w:t>Ⅳ</w:t>
      </w:r>
      <w:r>
        <w:rPr>
          <w:rFonts w:eastAsia="仿宋_GB2312"/>
          <w:color w:val="000000" w:themeColor="text1"/>
          <w:sz w:val="32"/>
          <w:szCs w:val="32"/>
          <w14:textFill>
            <w14:solidFill>
              <w14:schemeClr w14:val="tx1"/>
            </w14:solidFill>
          </w14:textFill>
        </w:rPr>
        <w:t>类及以上，“草”—智慧林草基本建成，“湿地”—辖区72千米环滇池湖岸生态湿地优化提升。</w:t>
      </w:r>
    </w:p>
    <w:p w14:paraId="32363A9C">
      <w:pPr>
        <w:topLinePunct/>
        <w:spacing w:line="580" w:lineRule="exact"/>
        <w:ind w:firstLine="641"/>
        <w:rPr>
          <w:color w:val="000000" w:themeColor="text1"/>
          <w:sz w:val="32"/>
          <w:szCs w:val="32"/>
          <w14:textFill>
            <w14:solidFill>
              <w14:schemeClr w14:val="tx1"/>
            </w14:solidFill>
          </w14:textFill>
        </w:rPr>
      </w:pPr>
      <w:bookmarkStart w:id="453" w:name="_Toc12355"/>
      <w:r>
        <w:rPr>
          <w:rFonts w:eastAsia="仿宋_GB2312"/>
          <w:b/>
          <w:color w:val="000000" w:themeColor="text1"/>
          <w:sz w:val="32"/>
          <w:szCs w:val="32"/>
          <w14:textFill>
            <w14:solidFill>
              <w14:schemeClr w14:val="tx1"/>
            </w14:solidFill>
          </w14:textFill>
        </w:rPr>
        <w:t>加强生物多样性建设。</w:t>
      </w:r>
      <w:r>
        <w:rPr>
          <w:rFonts w:eastAsia="仿宋_GB2312"/>
          <w:color w:val="000000" w:themeColor="text1"/>
          <w:sz w:val="32"/>
          <w:szCs w:val="32"/>
          <w14:textFill>
            <w14:solidFill>
              <w14:schemeClr w14:val="tx1"/>
            </w14:solidFill>
          </w14:textFill>
        </w:rPr>
        <w:t>落实《云南省生物多样性保护条例》，构建自然保护体系。全面推行林长制，深化国土绿化行动，打造森林城市和森林乡村。积极保护以亚热带常绿阔叶林为主的地带性植被，重点保护以云南松中幼林为主的现有植被。强化野生动植物保护、生物安全管理、遗传资源保护、外来物种管控。加强长江上游生态保护，狠抓国家移交的长江经济带生态环境突出问题整治，贯彻落实好长江十年禁渔。落实滇池湿地生物多样性保护战略与行动计划项目，削减滇池生态环境安全压力，提升长江流域生物多样性安全屏障质量。</w:t>
      </w:r>
    </w:p>
    <w:tbl>
      <w:tblPr>
        <w:tblStyle w:val="42"/>
        <w:tblW w:w="88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73"/>
      </w:tblGrid>
      <w:tr w14:paraId="098D3D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8873" w:type="dxa"/>
            <w:tcBorders>
              <w:top w:val="single" w:color="auto" w:sz="4" w:space="0"/>
              <w:left w:val="single" w:color="auto" w:sz="4" w:space="0"/>
              <w:bottom w:val="single" w:color="auto" w:sz="4" w:space="0"/>
              <w:right w:val="single" w:color="auto" w:sz="4" w:space="0"/>
            </w:tcBorders>
            <w:shd w:val="clear" w:color="auto" w:fill="auto"/>
          </w:tcPr>
          <w:p w14:paraId="7FE4C2A9">
            <w:pPr>
              <w:topLinePunct/>
              <w:jc w:val="center"/>
              <w:rPr>
                <w:rFonts w:eastAsia="仿宋_GB2312"/>
                <w:color w:val="000000" w:themeColor="text1"/>
                <w:sz w:val="24"/>
                <w14:textFill>
                  <w14:solidFill>
                    <w14:schemeClr w14:val="tx1"/>
                  </w14:solidFill>
                </w14:textFill>
              </w:rPr>
            </w:pPr>
            <w:r>
              <w:rPr>
                <w:rFonts w:eastAsia="黑体"/>
                <w:bCs/>
                <w:color w:val="000000" w:themeColor="text1"/>
                <w:sz w:val="28"/>
                <w:szCs w:val="28"/>
                <w14:textFill>
                  <w14:solidFill>
                    <w14:schemeClr w14:val="tx1"/>
                  </w14:solidFill>
                </w14:textFill>
              </w:rPr>
              <w:t>专栏30 西山区“十四五”林业和草原重点工程</w:t>
            </w:r>
            <w:bookmarkEnd w:id="453"/>
          </w:p>
        </w:tc>
      </w:tr>
      <w:tr w14:paraId="2FA93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73" w:type="dxa"/>
            <w:tcBorders>
              <w:top w:val="single" w:color="auto" w:sz="4" w:space="0"/>
              <w:left w:val="single" w:color="auto" w:sz="4" w:space="0"/>
              <w:bottom w:val="single" w:color="auto" w:sz="4" w:space="0"/>
              <w:right w:val="single" w:color="auto" w:sz="4" w:space="0"/>
            </w:tcBorders>
            <w:shd w:val="clear" w:color="auto" w:fill="auto"/>
          </w:tcPr>
          <w:p w14:paraId="56B50F3F">
            <w:pPr>
              <w:topLinePunct/>
              <w:snapToGrid w:val="0"/>
              <w:rPr>
                <w:rFonts w:eastAsia="仿宋_GB2312"/>
                <w:bCs/>
                <w:color w:val="000000" w:themeColor="text1"/>
                <w:sz w:val="24"/>
                <w14:textFill>
                  <w14:solidFill>
                    <w14:schemeClr w14:val="tx1"/>
                  </w14:solidFill>
                </w14:textFill>
              </w:rPr>
            </w:pPr>
            <w:r>
              <w:rPr>
                <w:rFonts w:eastAsia="仿宋_GB2312"/>
                <w:b/>
                <w:color w:val="000000" w:themeColor="text1"/>
                <w:sz w:val="24"/>
                <w14:textFill>
                  <w14:solidFill>
                    <w14:schemeClr w14:val="tx1"/>
                  </w14:solidFill>
                </w14:textFill>
              </w:rPr>
              <w:t>生态林草提质工程：</w:t>
            </w:r>
            <w:r>
              <w:rPr>
                <w:rFonts w:eastAsia="仿宋_GB2312"/>
                <w:bCs/>
                <w:color w:val="000000" w:themeColor="text1"/>
                <w:sz w:val="24"/>
                <w14:textFill>
                  <w14:solidFill>
                    <w14:schemeClr w14:val="tx1"/>
                  </w14:solidFill>
                </w14:textFill>
              </w:rPr>
              <w:t>绿化造林工程、生态公益林建设、森林经营工程、自然公园整合优化、滇池流域及西山重点保护区域生态治理修复，滇池面山美化绿化提升改造，城市森林保健功能提升，湿地保护与修复。</w:t>
            </w:r>
          </w:p>
          <w:p w14:paraId="36A52EBB">
            <w:pPr>
              <w:topLinePunct/>
              <w:snapToGrid w:val="0"/>
              <w:rPr>
                <w:rFonts w:eastAsia="仿宋_GB2312"/>
                <w:bCs/>
                <w:color w:val="000000" w:themeColor="text1"/>
                <w:sz w:val="24"/>
                <w14:textFill>
                  <w14:solidFill>
                    <w14:schemeClr w14:val="tx1"/>
                  </w14:solidFill>
                </w14:textFill>
              </w:rPr>
            </w:pPr>
            <w:r>
              <w:rPr>
                <w:rFonts w:eastAsia="仿宋_GB2312"/>
                <w:b/>
                <w:color w:val="000000" w:themeColor="text1"/>
                <w:sz w:val="24"/>
                <w14:textFill>
                  <w14:solidFill>
                    <w14:schemeClr w14:val="tx1"/>
                  </w14:solidFill>
                </w14:textFill>
              </w:rPr>
              <w:t>林草产业富民工程：</w:t>
            </w:r>
            <w:r>
              <w:rPr>
                <w:rFonts w:eastAsia="仿宋_GB2312"/>
                <w:bCs/>
                <w:color w:val="000000" w:themeColor="text1"/>
                <w:sz w:val="24"/>
                <w14:textFill>
                  <w14:solidFill>
                    <w14:schemeClr w14:val="tx1"/>
                  </w14:solidFill>
                </w14:textFill>
              </w:rPr>
              <w:t>观赏苗木发展、林下经济建设、特色经济林基地建设、林草产业品牌建设、生态旅游发展、森林康养发展、乡村特色旅游发展。</w:t>
            </w:r>
          </w:p>
          <w:p w14:paraId="344408A7">
            <w:pPr>
              <w:topLinePunct/>
              <w:snapToGrid w:val="0"/>
              <w:rPr>
                <w:rFonts w:eastAsia="仿宋_GB2312"/>
                <w:bCs/>
                <w:color w:val="000000" w:themeColor="text1"/>
                <w:sz w:val="24"/>
                <w14:textFill>
                  <w14:solidFill>
                    <w14:schemeClr w14:val="tx1"/>
                  </w14:solidFill>
                </w14:textFill>
              </w:rPr>
            </w:pPr>
            <w:r>
              <w:rPr>
                <w:rFonts w:eastAsia="仿宋_GB2312"/>
                <w:b/>
                <w:color w:val="000000" w:themeColor="text1"/>
                <w:sz w:val="24"/>
                <w14:textFill>
                  <w14:solidFill>
                    <w14:schemeClr w14:val="tx1"/>
                  </w14:solidFill>
                </w14:textFill>
              </w:rPr>
              <w:t>人文林草培育工程：</w:t>
            </w:r>
            <w:r>
              <w:rPr>
                <w:rFonts w:eastAsia="仿宋_GB2312"/>
                <w:bCs/>
                <w:color w:val="000000" w:themeColor="text1"/>
                <w:sz w:val="24"/>
                <w14:textFill>
                  <w14:solidFill>
                    <w14:schemeClr w14:val="tx1"/>
                  </w14:solidFill>
                </w14:textFill>
              </w:rPr>
              <w:t>创新全民植树形式、创建森林乡村和康养小镇、保护古树名木、挖掘与宣传森林文化、打造特色森林步道。</w:t>
            </w:r>
          </w:p>
          <w:p w14:paraId="480E240F">
            <w:pPr>
              <w:topLinePunct/>
              <w:snapToGrid w:val="0"/>
              <w:rPr>
                <w:rFonts w:eastAsia="仿宋_GB2312"/>
                <w:bCs/>
                <w:color w:val="000000" w:themeColor="text1"/>
                <w:sz w:val="24"/>
                <w14:textFill>
                  <w14:solidFill>
                    <w14:schemeClr w14:val="tx1"/>
                  </w14:solidFill>
                </w14:textFill>
              </w:rPr>
            </w:pPr>
            <w:r>
              <w:rPr>
                <w:rFonts w:eastAsia="仿宋_GB2312"/>
                <w:b/>
                <w:color w:val="000000" w:themeColor="text1"/>
                <w:sz w:val="24"/>
                <w14:textFill>
                  <w14:solidFill>
                    <w14:schemeClr w14:val="tx1"/>
                  </w14:solidFill>
                </w14:textFill>
              </w:rPr>
              <w:t>厚植林草基础工程：</w:t>
            </w:r>
            <w:r>
              <w:rPr>
                <w:rFonts w:eastAsia="仿宋_GB2312"/>
                <w:bCs/>
                <w:color w:val="000000" w:themeColor="text1"/>
                <w:sz w:val="24"/>
                <w14:textFill>
                  <w14:solidFill>
                    <w14:schemeClr w14:val="tx1"/>
                  </w14:solidFill>
                </w14:textFill>
              </w:rPr>
              <w:t>森林消防建设、林草有害生物防控、林草应急管理体系建设、森林生态监测评价体系建设。</w:t>
            </w:r>
          </w:p>
          <w:p w14:paraId="7F1A68B4">
            <w:pPr>
              <w:topLinePunct/>
              <w:snapToGrid w:val="0"/>
              <w:rPr>
                <w:rFonts w:eastAsia="仿宋_GB2312"/>
                <w:color w:val="000000" w:themeColor="text1"/>
                <w:sz w:val="24"/>
                <w14:textFill>
                  <w14:solidFill>
                    <w14:schemeClr w14:val="tx1"/>
                  </w14:solidFill>
                </w14:textFill>
              </w:rPr>
            </w:pPr>
            <w:r>
              <w:rPr>
                <w:rFonts w:eastAsia="仿宋_GB2312"/>
                <w:b/>
                <w:color w:val="000000" w:themeColor="text1"/>
                <w:sz w:val="24"/>
                <w14:textFill>
                  <w14:solidFill>
                    <w14:schemeClr w14:val="tx1"/>
                  </w14:solidFill>
                </w14:textFill>
              </w:rPr>
              <w:t>林草法治建设工程：</w:t>
            </w:r>
            <w:r>
              <w:rPr>
                <w:rFonts w:eastAsia="仿宋_GB2312"/>
                <w:bCs/>
                <w:color w:val="000000" w:themeColor="text1"/>
                <w:sz w:val="24"/>
                <w14:textFill>
                  <w14:solidFill>
                    <w14:schemeClr w14:val="tx1"/>
                  </w14:solidFill>
                </w14:textFill>
              </w:rPr>
              <w:t>推行依法治林、深化简政放权、推进综合执法、加强采伐管理和普法宣传教育。</w:t>
            </w:r>
          </w:p>
        </w:tc>
      </w:tr>
    </w:tbl>
    <w:p w14:paraId="3303D14B">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（二）建设天蓝地绿水清的全要素美丽生态环境</w:t>
      </w:r>
    </w:p>
    <w:p w14:paraId="06150546">
      <w:pPr>
        <w:topLinePunct/>
        <w:spacing w:line="560" w:lineRule="exact"/>
        <w:ind w:firstLine="643"/>
        <w:rPr>
          <w:rFonts w:eastAsia="仿宋_GB2312"/>
          <w:color w:val="000000" w:themeColor="text1"/>
          <w:sz w:val="32"/>
          <w:szCs w:val="32"/>
          <w14:textFill>
            <w14:solidFill>
              <w14:schemeClr w14:val="tx1"/>
            </w14:solidFill>
          </w14:textFill>
        </w:rPr>
      </w:pPr>
      <w:r>
        <w:rPr>
          <w:rFonts w:eastAsia="仿宋_GB2312"/>
          <w:b/>
          <w:color w:val="000000" w:themeColor="text1"/>
          <w:sz w:val="32"/>
          <w:szCs w:val="32"/>
          <w14:textFill>
            <w14:solidFill>
              <w14:schemeClr w14:val="tx1"/>
            </w14:solidFill>
          </w14:textFill>
        </w:rPr>
        <w:t>全力打好蓝天保卫战。</w:t>
      </w:r>
      <w:r>
        <w:rPr>
          <w:rFonts w:eastAsia="仿宋_GB2312"/>
          <w:color w:val="000000" w:themeColor="text1"/>
          <w:sz w:val="32"/>
          <w:szCs w:val="32"/>
          <w14:textFill>
            <w14:solidFill>
              <w14:schemeClr w14:val="tx1"/>
            </w14:solidFill>
          </w14:textFill>
        </w:rPr>
        <w:t>注重二氧化</w:t>
      </w:r>
      <w:r>
        <w:rPr>
          <w:rFonts w:eastAsia="仿宋_GB2312"/>
          <w:bCs/>
          <w:color w:val="000000" w:themeColor="text1"/>
          <w:sz w:val="32"/>
          <w:szCs w:val="32"/>
          <w14:textFill>
            <w14:solidFill>
              <w14:schemeClr w14:val="tx1"/>
            </w14:solidFill>
          </w14:textFill>
        </w:rPr>
        <w:t>碳达峰和实现碳中和工作，</w:t>
      </w:r>
      <w:r>
        <w:rPr>
          <w:rFonts w:eastAsia="仿宋_GB2312"/>
          <w:color w:val="000000" w:themeColor="text1"/>
          <w:sz w:val="32"/>
          <w:szCs w:val="32"/>
          <w14:textFill>
            <w14:solidFill>
              <w14:schemeClr w14:val="tx1"/>
            </w14:solidFill>
          </w14:textFill>
        </w:rPr>
        <w:t>压实大气污染防治工作责任，形成大气污染防治合力，努力提高分析预警、预测研判和调度管理能力，力争全市排名稳中有进；强化工业企业大气污染排放监管监测，严厉打击违法行为；做好大气监测站点网格化建设维护工作。到2025年，环境空气质量持续稳定达到国家二级标准，优良率保持在98%以上。</w:t>
      </w:r>
      <w:r>
        <w:rPr>
          <w:rFonts w:eastAsia="仿宋_GB2312"/>
          <w:b/>
          <w:color w:val="000000" w:themeColor="text1"/>
          <w:sz w:val="32"/>
          <w:szCs w:val="32"/>
          <w14:textFill>
            <w14:solidFill>
              <w14:schemeClr w14:val="tx1"/>
            </w14:solidFill>
          </w14:textFill>
        </w:rPr>
        <w:t>全力打好碧水保卫战。</w:t>
      </w:r>
      <w:r>
        <w:rPr>
          <w:rFonts w:eastAsia="仿宋_GB2312"/>
          <w:bCs/>
          <w:color w:val="000000" w:themeColor="text1"/>
          <w:sz w:val="32"/>
          <w:szCs w:val="32"/>
          <w14:textFill>
            <w14:solidFill>
              <w14:schemeClr w14:val="tx1"/>
            </w14:solidFill>
          </w14:textFill>
        </w:rPr>
        <w:t>坚持推进滇池流域生态文明建设和环境保护，</w:t>
      </w:r>
      <w:r>
        <w:rPr>
          <w:rFonts w:eastAsia="仿宋_GB2312"/>
          <w:color w:val="000000" w:themeColor="text1"/>
          <w:sz w:val="32"/>
          <w:szCs w:val="32"/>
          <w14:textFill>
            <w14:solidFill>
              <w14:schemeClr w14:val="tx1"/>
            </w14:solidFill>
          </w14:textFill>
        </w:rPr>
        <w:t>启动二环内水环境综合整治等35个滇池保护治理规划项目。强化河湖长制，加强11条主要出入滇池河道的日常监管和监测预警；积极开展辖区河道污染源排查工作，深化重点流域污染防治。持续做好饮用水水源地环境保护专项行动，</w:t>
      </w:r>
      <w:r>
        <w:rPr>
          <w:rFonts w:eastAsia="仿宋_GB2312"/>
          <w:sz w:val="32"/>
          <w:szCs w:val="32"/>
        </w:rPr>
        <w:t>开展重要饮用水水源地安全达标建设</w:t>
      </w:r>
      <w:r>
        <w:rPr>
          <w:sz w:val="32"/>
          <w:szCs w:val="32"/>
        </w:rPr>
        <w:t>。</w:t>
      </w:r>
      <w:r>
        <w:rPr>
          <w:rFonts w:eastAsia="仿宋_GB2312"/>
          <w:color w:val="000000" w:themeColor="text1"/>
          <w:sz w:val="32"/>
          <w:szCs w:val="32"/>
          <w14:textFill>
            <w14:solidFill>
              <w14:schemeClr w14:val="tx1"/>
            </w14:solidFill>
          </w14:textFill>
        </w:rPr>
        <w:t>深化“五水共治”碧水行动，开展片区雨污分流改造，实施雨季溢流点“一点一策”综合整治。巩固黑臭水体治理成果。“十四五”时期，推进第十三污水处理厂扩建及配套管网、海口工业园区新区污水处理厂配套管网工程建设。到2025年，全区城镇污水处理设施全面优于一级A排放标准，污水处理率达到95%；化学需氧量、总氮、总磷削减量大幅提升。</w:t>
      </w:r>
      <w:r>
        <w:rPr>
          <w:rFonts w:eastAsia="仿宋_GB2312"/>
          <w:b/>
          <w:color w:val="000000" w:themeColor="text1"/>
          <w:sz w:val="32"/>
          <w:szCs w:val="32"/>
          <w14:textFill>
            <w14:solidFill>
              <w14:schemeClr w14:val="tx1"/>
            </w14:solidFill>
          </w14:textFill>
        </w:rPr>
        <w:t>全力打好净土保卫战。</w:t>
      </w:r>
      <w:r>
        <w:rPr>
          <w:rFonts w:eastAsia="仿宋_GB2312"/>
          <w:color w:val="000000" w:themeColor="text1"/>
          <w:sz w:val="32"/>
          <w:szCs w:val="32"/>
          <w14:textFill>
            <w14:solidFill>
              <w14:schemeClr w14:val="tx1"/>
            </w14:solidFill>
          </w14:textFill>
        </w:rPr>
        <w:t>加强土壤环境全过程风险防控，突出重金属污染防控，重点做好海口工业园区、碧鸡片区、螳螂川流域及重点行业和企业的重金属污染防治，加大农业面源污染防治、垃圾处置力度，不断改善土壤环境质量。推进全区域土地综合整治。到2025年，城镇集中式地表饮用水水源重点重金属污染物达标率100%，地表水国控、省控、市控断面重点重金属污染物达标率100%，工业固体废物冶炼铜渣和尾矿处置率达到100%，工业危险废物安全处置率达到100%。主要农作物化肥、农药使用量实现零增长，再开发利用的污染地块安全利用率达到92%以上。</w:t>
      </w:r>
      <w:r>
        <w:rPr>
          <w:rFonts w:eastAsia="仿宋_GB2312"/>
          <w:b/>
          <w:color w:val="000000" w:themeColor="text1"/>
          <w:sz w:val="32"/>
          <w:szCs w:val="32"/>
          <w14:textFill>
            <w14:solidFill>
              <w14:schemeClr w14:val="tx1"/>
            </w14:solidFill>
          </w14:textFill>
        </w:rPr>
        <w:t>统筹实施其他污染防治。</w:t>
      </w:r>
      <w:r>
        <w:rPr>
          <w:rFonts w:eastAsia="仿宋_GB2312"/>
          <w:color w:val="000000" w:themeColor="text1"/>
          <w:sz w:val="32"/>
          <w:szCs w:val="32"/>
          <w14:textFill>
            <w14:solidFill>
              <w14:schemeClr w14:val="tx1"/>
            </w14:solidFill>
          </w14:textFill>
        </w:rPr>
        <w:t>实施“宁静行动”，降低城市噪声污染。科学规划固体废物集中处置设施布局，强化固废安全处置，推进危险废物、医疗废物利用处置设施建设，重视新污染物治理。加强塑料污染治理，禁止部分塑料制品项目准入，大力推广使用非塑料制品和可降解购物袋，到2025年，主城区实现塑料垃圾零填埋。</w:t>
      </w:r>
    </w:p>
    <w:tbl>
      <w:tblPr>
        <w:tblStyle w:val="43"/>
        <w:tblW w:w="90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54"/>
      </w:tblGrid>
      <w:tr w14:paraId="5D439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54" w:type="dxa"/>
          </w:tcPr>
          <w:p w14:paraId="4020E53D">
            <w:pPr>
              <w:topLinePunct/>
              <w:jc w:val="center"/>
              <w:outlineLvl w:val="2"/>
              <w:rPr>
                <w:rFonts w:eastAsia="楷体_GB2312"/>
                <w:color w:val="000000" w:themeColor="text1"/>
                <w:szCs w:val="32"/>
                <w14:textFill>
                  <w14:solidFill>
                    <w14:schemeClr w14:val="tx1"/>
                  </w14:solidFill>
                </w14:textFill>
              </w:rPr>
            </w:pPr>
            <w:r>
              <w:rPr>
                <w:rFonts w:eastAsia="黑体"/>
                <w:bCs/>
                <w:color w:val="000000" w:themeColor="text1"/>
                <w:sz w:val="28"/>
                <w:szCs w:val="28"/>
                <w14:textFill>
                  <w14:solidFill>
                    <w14:schemeClr w14:val="tx1"/>
                  </w14:solidFill>
                </w14:textFill>
              </w:rPr>
              <w:t>专栏31 西山区“十四五”污染防治规划重点任务</w:t>
            </w:r>
          </w:p>
        </w:tc>
      </w:tr>
      <w:tr w14:paraId="48ACC5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54" w:type="dxa"/>
          </w:tcPr>
          <w:p w14:paraId="6898C6D8">
            <w:pPr>
              <w:topLinePunct/>
              <w:snapToGrid w:val="0"/>
              <w:rPr>
                <w:rFonts w:eastAsia="仿宋_GB2312"/>
                <w:bCs/>
                <w:color w:val="000000" w:themeColor="text1"/>
                <w:sz w:val="24"/>
                <w14:textFill>
                  <w14:solidFill>
                    <w14:schemeClr w14:val="tx1"/>
                  </w14:solidFill>
                </w14:textFill>
              </w:rPr>
            </w:pPr>
            <w:r>
              <w:rPr>
                <w:rFonts w:eastAsia="仿宋_GB2312"/>
                <w:b/>
                <w:color w:val="000000" w:themeColor="text1"/>
                <w:sz w:val="24"/>
                <w14:textFill>
                  <w14:solidFill>
                    <w14:schemeClr w14:val="tx1"/>
                  </w14:solidFill>
                </w14:textFill>
              </w:rPr>
              <w:t>重金属污染防治重点任务共6项，包括：</w:t>
            </w:r>
            <w:r>
              <w:rPr>
                <w:rFonts w:eastAsia="仿宋_GB2312"/>
                <w:bCs/>
                <w:color w:val="000000" w:themeColor="text1"/>
                <w:sz w:val="24"/>
                <w14:textFill>
                  <w14:solidFill>
                    <w14:schemeClr w14:val="tx1"/>
                  </w14:solidFill>
                </w14:textFill>
              </w:rPr>
              <w:t>污染源综合治理，淘汰落后产能，磷石膏及尾矿库固废资源化，建立重金属重点企业一企一策监管体系，构建环境监测网络，环境监测信息化建设。</w:t>
            </w:r>
          </w:p>
          <w:p w14:paraId="16161A4C">
            <w:pPr>
              <w:topLinePunct/>
              <w:outlineLvl w:val="2"/>
              <w:rPr>
                <w:rFonts w:eastAsia="楷体_GB2312"/>
                <w:color w:val="000000" w:themeColor="text1"/>
                <w:szCs w:val="32"/>
                <w14:textFill>
                  <w14:solidFill>
                    <w14:schemeClr w14:val="tx1"/>
                  </w14:solidFill>
                </w14:textFill>
              </w:rPr>
            </w:pPr>
            <w:r>
              <w:rPr>
                <w:rFonts w:eastAsia="仿宋_GB2312"/>
                <w:b/>
                <w:color w:val="000000" w:themeColor="text1"/>
                <w:sz w:val="24"/>
                <w14:textFill>
                  <w14:solidFill>
                    <w14:schemeClr w14:val="tx1"/>
                  </w14:solidFill>
                </w14:textFill>
              </w:rPr>
              <w:t>水污染防治骨干工程项目共设置28项，其中：</w:t>
            </w:r>
            <w:r>
              <w:rPr>
                <w:rFonts w:eastAsia="仿宋_GB2312"/>
                <w:bCs/>
                <w:color w:val="000000" w:themeColor="text1"/>
                <w:sz w:val="24"/>
                <w14:textFill>
                  <w14:solidFill>
                    <w14:schemeClr w14:val="tx1"/>
                  </w14:solidFill>
                </w14:textFill>
              </w:rPr>
              <w:t>饮用水源保护类工程3项，污染减排类工程12项，水资源保障类工程3项，水生态保护修复类5项，水环境风险管控类工程1项，其他研究类项目4项。</w:t>
            </w:r>
          </w:p>
        </w:tc>
      </w:tr>
    </w:tbl>
    <w:p w14:paraId="168D8D4F">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 xml:space="preserve">（三）提高资源综合利用效率 </w:t>
      </w:r>
    </w:p>
    <w:p w14:paraId="324A1708">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推进资源全面节约和循环利用，重点以磷石膏工业固废的综合利用为主导，鼓励在企业内部和企业之间加强固体废物的回收与循环利用，合理开发和充分利用再生资源，提高资源利用率，提升一般固体废弃物处理利用率。</w:t>
      </w:r>
      <w:bookmarkStart w:id="454" w:name="_Toc61644834"/>
      <w:bookmarkStart w:id="455" w:name="_Toc59205908"/>
    </w:p>
    <w:p w14:paraId="2B78378F">
      <w:pPr>
        <w:topLinePunct/>
        <w:spacing w:line="560" w:lineRule="exact"/>
        <w:ind w:firstLine="640"/>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三、完善科学高效完备的全领域美丽治理体系</w:t>
      </w:r>
      <w:bookmarkEnd w:id="454"/>
      <w:bookmarkEnd w:id="455"/>
    </w:p>
    <w:p w14:paraId="05958331">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强化国土空间规划和用途管控，严守生态保护红线、永久基本农田、城镇开发边界等空间管制控制线。建立地上地下、河湖统筹的生态环境治理制度，实施以“三线一单”为核心的生态环境分区管控体系。开展生态系统生产总值核算，完善市场化、多元化生态补偿，探索实施排污权、用能权、用水权、碳排放权市场化交易。完善环境保护、节能减排约束性指标管理，健全自然资源资产产权制度。完善生态环境长期跟踪监测和定期评估考核体系，加强基层生态环境保护执法工作，强化螳螂川流域整治，建立生态环境保护社会共同参与制度，积极引导全社会参与生态空间保护、建设和监督。健全生态环境治理法规标准体系，完善环境污染问题发现、风险预警和应急处置机制，完善生态环境突出问题全过程闭环管理长效机制，完善生态环境损害赔偿制度。实施节能、节水、节地、节材行动，强化水资源刚性约束。</w:t>
      </w:r>
      <w:bookmarkStart w:id="456" w:name="_Toc61644835"/>
    </w:p>
    <w:p w14:paraId="4AB4D10E">
      <w:pPr>
        <w:topLinePunct/>
        <w:spacing w:line="560" w:lineRule="exact"/>
        <w:ind w:firstLine="640"/>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四、加快生态资源向生态价值转化</w:t>
      </w:r>
      <w:bookmarkEnd w:id="456"/>
    </w:p>
    <w:p w14:paraId="1858BBBA">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坚持绿色发展理念，倡导绿色发展方式和生活方式并行，增强美丽中国典范城区与都市山水品质区建设的发展支撑。探索绿色发展路径，促进生态价值创造性转换，实现从“绿水青山”到“金山银山”的有效转换，培育形成新的经济增长点，实现生态环境与经济的协同发展。</w:t>
      </w:r>
    </w:p>
    <w:p w14:paraId="7EA251C7">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（一）全面落实生态资源“双控”</w:t>
      </w:r>
    </w:p>
    <w:p w14:paraId="27EDBF68">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全面落实建设用地、能源、水资源总量和强度“双控”制度，开展全民节能、节水行动，推进资源总量管理、科学配置、全面节约、循环利用，鼓励可再生能源消费。坚决控制能源消费总量，有效落实节能优先方针，严控钢铁、水泥、火电等高耗能产业和过剩产业用能。坚持以水定产、以水定城，对水资源短缺地区实行更严格的产业准入、取用水定额控制。建立覆盖主要农作物、工业产品和生活服务业的用水定额体系。加快农业、工业、城镇节水改造，加快非常规水资源利用，实施雨洪资源利用、再生水利用等工程。</w:t>
      </w:r>
    </w:p>
    <w:p w14:paraId="4F00598A">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（二）大力发展工业循环绿色园区</w:t>
      </w:r>
    </w:p>
    <w:p w14:paraId="58ABC17D">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大力发展循环经济，打造海口工业循环绿色园区。积极践行绿色发展理念，推进园区绿色化、生态化、低碳化建设，淘汰落后产能、引进以循环经济为特色的新型企业，构筑以“资源→产品→再生资源”为特征的循环发展体系。组织实施公共服务设施和企业项目循环化改造，园区工业污水处理、固体废弃物循环化利用。</w:t>
      </w:r>
    </w:p>
    <w:p w14:paraId="4E0B4FC9">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（三）打造生态（森林）康养基地</w:t>
      </w:r>
    </w:p>
    <w:p w14:paraId="2D55EE71">
      <w:pPr>
        <w:topLinePunct/>
        <w:spacing w:line="560" w:lineRule="exact"/>
        <w:ind w:firstLine="640"/>
        <w:rPr>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培育一批功能显著、设施齐备、特色突出、服务优良的森林康养基地，构建产品丰富、标准完善、管理有序、融合发展的森林康养服务体系。依托已有道路、房舍和建设用地建设康养步道、导引系统、森林康复中心、森林疗养场所、森林浴、森林氧吧等，做好公共设施无障碍建设和改造。开展保健养生、康复疗养、健康养老、休闲游憩等森林康养服务。加强森林康养食材、中药材种植培育，加强森林食品、饮品、保健品等研发、加工和销售，丰富森林康养产品。推进生态（森林）康养文化体系建设，打造国家森林康养基地。</w:t>
      </w:r>
    </w:p>
    <w:p w14:paraId="7D73513A">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（四）加强纵横向跨区域生态补偿机制建设</w:t>
      </w:r>
    </w:p>
    <w:p w14:paraId="06374B6B">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将森林、水流、耕地等重点领域、禁止开发区域、重点生态功能区等重要区域纳入生态补偿范围，以纵横向结合的统筹型资金筹集模式计算生态补偿资金。扩大生态补偿范围，提高生态补偿标准，改革生态补偿机制。推动绿色发展，调动村民参与生态保护的积极性，加速实现生态价值。</w:t>
      </w:r>
      <w:bookmarkStart w:id="457" w:name="_Toc59205909"/>
      <w:bookmarkStart w:id="458" w:name="_Toc61644836"/>
    </w:p>
    <w:p w14:paraId="20C77F33">
      <w:pPr>
        <w:topLinePunct/>
        <w:spacing w:line="560" w:lineRule="exact"/>
        <w:ind w:firstLine="640"/>
        <w:rPr>
          <w:rFonts w:eastAsia="黑体"/>
          <w:b/>
          <w:sz w:val="32"/>
          <w:szCs w:val="32"/>
        </w:rPr>
      </w:pPr>
      <w:r>
        <w:rPr>
          <w:rFonts w:eastAsia="黑体"/>
          <w:sz w:val="32"/>
          <w:szCs w:val="32"/>
        </w:rPr>
        <w:t xml:space="preserve">第十三章 </w:t>
      </w:r>
      <w:bookmarkEnd w:id="444"/>
      <w:bookmarkEnd w:id="445"/>
      <w:bookmarkEnd w:id="446"/>
      <w:bookmarkEnd w:id="447"/>
      <w:bookmarkEnd w:id="448"/>
      <w:bookmarkEnd w:id="449"/>
      <w:bookmarkEnd w:id="450"/>
      <w:bookmarkEnd w:id="451"/>
      <w:bookmarkEnd w:id="452"/>
      <w:r>
        <w:rPr>
          <w:rFonts w:eastAsia="黑体"/>
          <w:sz w:val="32"/>
          <w:szCs w:val="32"/>
        </w:rPr>
        <w:t>持续保障和改善民生，提优</w:t>
      </w:r>
      <w:bookmarkEnd w:id="457"/>
      <w:r>
        <w:rPr>
          <w:rFonts w:eastAsia="黑体"/>
          <w:sz w:val="32"/>
          <w:szCs w:val="32"/>
        </w:rPr>
        <w:t>新发展福祉</w:t>
      </w:r>
      <w:bookmarkEnd w:id="458"/>
    </w:p>
    <w:p w14:paraId="7063A9AC">
      <w:pPr>
        <w:topLinePunct/>
        <w:spacing w:line="560" w:lineRule="exact"/>
        <w:ind w:firstLine="624"/>
        <w:contextualSpacing/>
        <w:rPr>
          <w:rFonts w:eastAsia="仿宋_GB2312"/>
          <w:color w:val="000000" w:themeColor="text1"/>
          <w:spacing w:val="-4"/>
          <w:sz w:val="32"/>
          <w:szCs w:val="32"/>
          <w14:textFill>
            <w14:solidFill>
              <w14:schemeClr w14:val="tx1"/>
            </w14:solidFill>
          </w14:textFill>
        </w:rPr>
      </w:pPr>
      <w:r>
        <w:rPr>
          <w:rFonts w:eastAsia="仿宋_GB2312"/>
          <w:color w:val="000000" w:themeColor="text1"/>
          <w:spacing w:val="-4"/>
          <w:sz w:val="32"/>
          <w:szCs w:val="32"/>
          <w14:textFill>
            <w14:solidFill>
              <w14:schemeClr w14:val="tx1"/>
            </w14:solidFill>
          </w14:textFill>
        </w:rPr>
        <w:t>坚持以人民为中心的发展思想，以人民对美好生活的向往为奋斗目标，促进基本公共服务均等化、普惠化和便捷化，增强人民群众获得感、幸福感、安全感。</w:t>
      </w:r>
      <w:bookmarkStart w:id="459" w:name="_Toc61644837"/>
      <w:bookmarkStart w:id="460" w:name="_Toc59205910"/>
    </w:p>
    <w:p w14:paraId="21FE3FD2">
      <w:pPr>
        <w:topLinePunct/>
        <w:spacing w:line="560" w:lineRule="exact"/>
        <w:ind w:firstLine="624"/>
        <w:contextualSpacing/>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一、构建均衡优质教育体系</w:t>
      </w:r>
      <w:bookmarkEnd w:id="459"/>
      <w:bookmarkEnd w:id="460"/>
    </w:p>
    <w:p w14:paraId="3D90C5FF">
      <w:pPr>
        <w:pStyle w:val="41"/>
        <w:topLinePunct/>
        <w:spacing w:after="0" w:line="560" w:lineRule="exact"/>
        <w:ind w:left="0" w:leftChars="0" w:firstLine="624"/>
        <w:rPr>
          <w:rFonts w:eastAsia="仿宋_GB2312"/>
          <w:color w:val="000000" w:themeColor="text1"/>
          <w:spacing w:val="-4"/>
          <w:sz w:val="32"/>
          <w:szCs w:val="32"/>
          <w14:textFill>
            <w14:solidFill>
              <w14:schemeClr w14:val="tx1"/>
            </w14:solidFill>
          </w14:textFill>
        </w:rPr>
      </w:pPr>
      <w:r>
        <w:rPr>
          <w:rFonts w:eastAsia="仿宋_GB2312"/>
          <w:color w:val="000000" w:themeColor="text1"/>
          <w:spacing w:val="-4"/>
          <w:sz w:val="32"/>
          <w:szCs w:val="32"/>
          <w14:textFill>
            <w14:solidFill>
              <w14:schemeClr w14:val="tx1"/>
            </w14:solidFill>
          </w14:textFill>
        </w:rPr>
        <w:t>实施教育优先发展战略，着力提高教育质量，促进教育公平，优化教育结构；激发教育发展活力，推进教育智慧化发展，建立西山区教育信息化管理平台，推动精准定制化教育向薄弱地区和学校延伸，积极推进民办教育改革；培养德智体美劳全面发展的社会主义建设者和接班人，办好人民满意的教育。到2025年，</w:t>
      </w:r>
      <w:r>
        <w:rPr>
          <w:rFonts w:eastAsia="仿宋_GB2312"/>
          <w:color w:val="000000" w:themeColor="text1"/>
          <w:sz w:val="32"/>
          <w:szCs w:val="32"/>
          <w14:textFill>
            <w14:solidFill>
              <w14:schemeClr w14:val="tx1"/>
            </w14:solidFill>
          </w14:textFill>
        </w:rPr>
        <w:t>教</w:t>
      </w:r>
      <w:r>
        <w:rPr>
          <w:rFonts w:eastAsia="仿宋_GB2312"/>
          <w:color w:val="000000" w:themeColor="text1"/>
          <w:spacing w:val="-4"/>
          <w:sz w:val="32"/>
          <w:szCs w:val="32"/>
          <w14:textFill>
            <w14:solidFill>
              <w14:schemeClr w14:val="tx1"/>
            </w14:solidFill>
          </w14:textFill>
        </w:rPr>
        <w:t>育资源配置进一步</w:t>
      </w:r>
      <w:r>
        <w:rPr>
          <w:rFonts w:eastAsia="仿宋_GB2312"/>
          <w:color w:val="000000" w:themeColor="text1"/>
          <w:sz w:val="32"/>
          <w:szCs w:val="32"/>
          <w14:textFill>
            <w14:solidFill>
              <w14:schemeClr w14:val="tx1"/>
            </w14:solidFill>
          </w14:textFill>
        </w:rPr>
        <w:t>优化</w:t>
      </w:r>
      <w:r>
        <w:rPr>
          <w:rFonts w:eastAsia="仿宋_GB2312"/>
          <w:color w:val="000000" w:themeColor="text1"/>
          <w:spacing w:val="-4"/>
          <w:sz w:val="32"/>
          <w:szCs w:val="32"/>
          <w14:textFill>
            <w14:solidFill>
              <w14:schemeClr w14:val="tx1"/>
            </w14:solidFill>
          </w14:textFill>
        </w:rPr>
        <w:t>，教育发展总体水平跃居全市主城区前列。</w:t>
      </w:r>
    </w:p>
    <w:p w14:paraId="4D692450">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（一）</w:t>
      </w:r>
      <w:bookmarkStart w:id="461" w:name="_Toc27885"/>
      <w:bookmarkStart w:id="462" w:name="_Toc3052"/>
      <w:bookmarkStart w:id="463" w:name="_Toc56574701"/>
      <w:r>
        <w:rPr>
          <w:rFonts w:eastAsia="楷体_GB2312"/>
          <w:color w:val="000000" w:themeColor="text1"/>
          <w:sz w:val="32"/>
          <w:szCs w:val="32"/>
          <w14:textFill>
            <w14:solidFill>
              <w14:schemeClr w14:val="tx1"/>
            </w14:solidFill>
          </w14:textFill>
        </w:rPr>
        <w:t>坚持公益普惠，加快学前教育增量提质</w:t>
      </w:r>
      <w:bookmarkEnd w:id="461"/>
      <w:bookmarkEnd w:id="462"/>
      <w:bookmarkEnd w:id="463"/>
    </w:p>
    <w:p w14:paraId="6E7B824D">
      <w:pPr>
        <w:pStyle w:val="41"/>
        <w:topLinePunct/>
        <w:spacing w:after="0" w:line="560" w:lineRule="exact"/>
        <w:ind w:left="0" w:leftChars="0" w:firstLine="624"/>
        <w:rPr>
          <w:rFonts w:eastAsia="仿宋_GB2312"/>
          <w:color w:val="000000" w:themeColor="text1"/>
          <w:spacing w:val="-4"/>
          <w:sz w:val="32"/>
          <w:szCs w:val="32"/>
          <w14:textFill>
            <w14:solidFill>
              <w14:schemeClr w14:val="tx1"/>
            </w14:solidFill>
          </w14:textFill>
        </w:rPr>
      </w:pPr>
      <w:r>
        <w:rPr>
          <w:rFonts w:eastAsia="仿宋_GB2312"/>
          <w:color w:val="000000" w:themeColor="text1"/>
          <w:spacing w:val="-4"/>
          <w:sz w:val="32"/>
          <w:szCs w:val="32"/>
          <w14:textFill>
            <w14:solidFill>
              <w14:schemeClr w14:val="tx1"/>
            </w14:solidFill>
          </w14:textFill>
        </w:rPr>
        <w:t>加强城区住宅小区配套幼儿园和涉农街道标准化幼儿园建设，加快推进“一村一幼”“一乡两公办”建设，新建、配建和改建幼儿园57所，新增学前教育学位6685个。坚持科学保教，显著提高幼儿教师学历水平和专业素养。</w:t>
      </w:r>
      <w:bookmarkStart w:id="464" w:name="_Toc46813578"/>
      <w:bookmarkStart w:id="465" w:name="_Toc46814555"/>
      <w:bookmarkStart w:id="466" w:name="_Toc4808"/>
      <w:bookmarkStart w:id="467" w:name="_Toc46953397"/>
      <w:bookmarkStart w:id="468" w:name="_Toc46953851"/>
      <w:r>
        <w:rPr>
          <w:rFonts w:eastAsia="仿宋_GB2312"/>
          <w:color w:val="000000" w:themeColor="text1"/>
          <w:spacing w:val="-4"/>
          <w:sz w:val="32"/>
          <w:szCs w:val="32"/>
          <w14:textFill>
            <w14:solidFill>
              <w14:schemeClr w14:val="tx1"/>
            </w14:solidFill>
          </w14:textFill>
        </w:rPr>
        <w:t>探索实施“名园+分园”“名园+集体园+民办园”办园模式，以集团化办学推进西山区幼儿园同步、优质和均衡发展。</w:t>
      </w:r>
      <w:bookmarkEnd w:id="464"/>
      <w:bookmarkEnd w:id="465"/>
      <w:bookmarkEnd w:id="466"/>
      <w:bookmarkEnd w:id="467"/>
      <w:bookmarkEnd w:id="468"/>
      <w:r>
        <w:rPr>
          <w:rFonts w:eastAsia="仿宋_GB2312"/>
          <w:color w:val="000000" w:themeColor="text1"/>
          <w:spacing w:val="-4"/>
          <w:sz w:val="32"/>
          <w:szCs w:val="32"/>
          <w14:textFill>
            <w14:solidFill>
              <w14:schemeClr w14:val="tx1"/>
            </w14:solidFill>
          </w14:textFill>
        </w:rPr>
        <w:t>到2025年，省市区示范幼儿园占比达到70%以上，学前三年毛入园率达到102％。</w:t>
      </w:r>
    </w:p>
    <w:p w14:paraId="635F7511">
      <w:pPr>
        <w:topLinePunct/>
        <w:spacing w:line="560" w:lineRule="exact"/>
        <w:ind w:firstLine="640"/>
        <w:outlineLvl w:val="2"/>
        <w:rPr>
          <w:rFonts w:eastAsia="楷体_GB2312"/>
          <w:color w:val="000000" w:themeColor="text1"/>
          <w:sz w:val="32"/>
          <w:szCs w:val="32"/>
          <w14:textFill>
            <w14:solidFill>
              <w14:schemeClr w14:val="tx1"/>
            </w14:solidFill>
          </w14:textFill>
        </w:rPr>
      </w:pPr>
      <w:bookmarkStart w:id="469" w:name="_Toc5859"/>
      <w:bookmarkStart w:id="470" w:name="_Toc27476"/>
      <w:bookmarkStart w:id="471" w:name="_Toc56574702"/>
      <w:r>
        <w:rPr>
          <w:rFonts w:eastAsia="楷体_GB2312"/>
          <w:color w:val="000000" w:themeColor="text1"/>
          <w:sz w:val="32"/>
          <w:szCs w:val="32"/>
          <w14:textFill>
            <w14:solidFill>
              <w14:schemeClr w14:val="tx1"/>
            </w14:solidFill>
          </w14:textFill>
        </w:rPr>
        <w:t>（二）坚持优质均衡，全面提高义务教育质量</w:t>
      </w:r>
      <w:bookmarkEnd w:id="469"/>
      <w:bookmarkEnd w:id="470"/>
      <w:bookmarkEnd w:id="471"/>
    </w:p>
    <w:p w14:paraId="65FBF5D2">
      <w:pPr>
        <w:pStyle w:val="41"/>
        <w:topLinePunct/>
        <w:spacing w:after="0" w:line="560" w:lineRule="exact"/>
        <w:ind w:left="0" w:leftChars="0" w:firstLine="624"/>
        <w:rPr>
          <w:rFonts w:eastAsia="仿宋_GB2312"/>
          <w:color w:val="000000" w:themeColor="text1"/>
          <w:spacing w:val="-4"/>
          <w:sz w:val="32"/>
          <w:szCs w:val="32"/>
          <w14:textFill>
            <w14:solidFill>
              <w14:schemeClr w14:val="tx1"/>
            </w14:solidFill>
          </w14:textFill>
        </w:rPr>
      </w:pPr>
      <w:r>
        <w:rPr>
          <w:rFonts w:eastAsia="仿宋_GB2312"/>
          <w:color w:val="000000" w:themeColor="text1"/>
          <w:spacing w:val="-4"/>
          <w:sz w:val="32"/>
          <w:szCs w:val="32"/>
          <w14:textFill>
            <w14:solidFill>
              <w14:schemeClr w14:val="tx1"/>
            </w14:solidFill>
          </w14:textFill>
        </w:rPr>
        <w:t>开展校舍场地、仪器设备、图书和音体美设施设备等达标创建工作。加大对薄弱学校的改造力度，补齐薄弱学校和涉农义务教育短板。实施“双线十人制”和“动态归零督查制”，落实控辍保学责任。</w:t>
      </w:r>
      <w:bookmarkStart w:id="472" w:name="_Toc8250"/>
      <w:bookmarkStart w:id="473" w:name="_Toc46953399"/>
      <w:bookmarkStart w:id="474" w:name="_Toc46813580"/>
      <w:bookmarkStart w:id="475" w:name="_Toc46814557"/>
      <w:bookmarkStart w:id="476" w:name="_Toc46953853"/>
      <w:r>
        <w:rPr>
          <w:rFonts w:eastAsia="仿宋_GB2312"/>
          <w:color w:val="000000" w:themeColor="text1"/>
          <w:spacing w:val="-4"/>
          <w:sz w:val="32"/>
          <w:szCs w:val="32"/>
          <w14:textFill>
            <w14:solidFill>
              <w14:schemeClr w14:val="tx1"/>
            </w14:solidFill>
          </w14:textFill>
        </w:rPr>
        <w:t>建立完善体现素质教育要求的中小学教育教学质量监测评价制度，强化教育质量监测结果运用。</w:t>
      </w:r>
      <w:bookmarkEnd w:id="472"/>
      <w:bookmarkEnd w:id="473"/>
      <w:bookmarkEnd w:id="474"/>
      <w:bookmarkEnd w:id="475"/>
      <w:bookmarkEnd w:id="476"/>
      <w:r>
        <w:rPr>
          <w:rFonts w:eastAsia="仿宋_GB2312"/>
          <w:color w:val="000000" w:themeColor="text1"/>
          <w:spacing w:val="-4"/>
          <w:sz w:val="32"/>
          <w:szCs w:val="32"/>
          <w14:textFill>
            <w14:solidFill>
              <w14:schemeClr w14:val="tx1"/>
            </w14:solidFill>
          </w14:textFill>
        </w:rPr>
        <w:t>“十四五”期间，全区新建、改扩建中小学34所，新增小学学位24465个、初中学位14550个，实现常住人口基本公共教育服务均等化全覆盖；到2025年，全区义务教育巩固率达到99.95%。</w:t>
      </w:r>
    </w:p>
    <w:p w14:paraId="66342368">
      <w:pPr>
        <w:topLinePunct/>
        <w:spacing w:line="560" w:lineRule="exact"/>
        <w:ind w:firstLine="640"/>
        <w:outlineLvl w:val="2"/>
        <w:rPr>
          <w:rFonts w:eastAsia="楷体_GB2312"/>
          <w:color w:val="000000" w:themeColor="text1"/>
          <w:sz w:val="32"/>
          <w:szCs w:val="32"/>
          <w14:textFill>
            <w14:solidFill>
              <w14:schemeClr w14:val="tx1"/>
            </w14:solidFill>
          </w14:textFill>
        </w:rPr>
      </w:pPr>
      <w:bookmarkStart w:id="477" w:name="_Toc7928"/>
      <w:bookmarkStart w:id="478" w:name="_Toc7986"/>
      <w:bookmarkStart w:id="479" w:name="_Toc56574703"/>
      <w:r>
        <w:rPr>
          <w:rFonts w:eastAsia="楷体_GB2312"/>
          <w:color w:val="000000" w:themeColor="text1"/>
          <w:sz w:val="32"/>
          <w:szCs w:val="32"/>
          <w14:textFill>
            <w14:solidFill>
              <w14:schemeClr w14:val="tx1"/>
            </w14:solidFill>
          </w14:textFill>
        </w:rPr>
        <w:t>（三）坚持优质特色，推进普通高中特色发展</w:t>
      </w:r>
      <w:bookmarkEnd w:id="477"/>
      <w:bookmarkEnd w:id="478"/>
      <w:bookmarkEnd w:id="479"/>
    </w:p>
    <w:p w14:paraId="60E9706D">
      <w:pPr>
        <w:pStyle w:val="41"/>
        <w:topLinePunct/>
        <w:spacing w:after="0" w:line="560" w:lineRule="exact"/>
        <w:ind w:left="0" w:leftChars="0" w:firstLine="624"/>
        <w:rPr>
          <w:rFonts w:eastAsia="仿宋_GB2312"/>
          <w:color w:val="000000" w:themeColor="text1"/>
          <w:spacing w:val="-4"/>
          <w:sz w:val="32"/>
          <w:szCs w:val="32"/>
          <w14:textFill>
            <w14:solidFill>
              <w14:schemeClr w14:val="tx1"/>
            </w14:solidFill>
          </w14:textFill>
        </w:rPr>
      </w:pPr>
      <w:r>
        <w:rPr>
          <w:rFonts w:eastAsia="仿宋_GB2312"/>
          <w:color w:val="000000" w:themeColor="text1"/>
          <w:spacing w:val="-4"/>
          <w:sz w:val="32"/>
          <w:szCs w:val="32"/>
          <w14:textFill>
            <w14:solidFill>
              <w14:schemeClr w14:val="tx1"/>
            </w14:solidFill>
          </w14:textFill>
        </w:rPr>
        <w:t>引导普通高中以课程建设为基础，以教师队伍建设为重点，以特色项目建设为抓手，以有效促进学生全面多元发展为根本，明确特色定位，注重内涵发展，彰显课程特色，形成具有独特性的整体风格和出色育人成效的课程体系。普通高中资源配置满足高考综合改革新要求，区属公办普通高中100%完成达标建设。新建高中11所，建设培育特色高中5所，完成西山实验中学改扩建工程，新增普通高中学位6300个。</w:t>
      </w:r>
      <w:bookmarkStart w:id="480" w:name="_Toc46953855"/>
      <w:bookmarkStart w:id="481" w:name="_Toc46953401"/>
      <w:bookmarkStart w:id="482" w:name="_Toc46813582"/>
      <w:bookmarkStart w:id="483" w:name="_Toc32130"/>
      <w:bookmarkStart w:id="484" w:name="_Toc46814559"/>
      <w:r>
        <w:rPr>
          <w:rFonts w:eastAsia="仿宋_GB2312"/>
          <w:color w:val="000000" w:themeColor="text1"/>
          <w:spacing w:val="-4"/>
          <w:sz w:val="32"/>
          <w:szCs w:val="32"/>
          <w14:textFill>
            <w14:solidFill>
              <w14:schemeClr w14:val="tx1"/>
            </w14:solidFill>
          </w14:textFill>
        </w:rPr>
        <w:t>到2025年，高中阶段毛入学率达到98%。</w:t>
      </w:r>
    </w:p>
    <w:bookmarkEnd w:id="480"/>
    <w:bookmarkEnd w:id="481"/>
    <w:bookmarkEnd w:id="482"/>
    <w:bookmarkEnd w:id="483"/>
    <w:bookmarkEnd w:id="484"/>
    <w:p w14:paraId="6F755576">
      <w:pPr>
        <w:topLinePunct/>
        <w:spacing w:line="560" w:lineRule="exact"/>
        <w:ind w:firstLine="640"/>
        <w:outlineLvl w:val="2"/>
        <w:rPr>
          <w:rFonts w:eastAsia="楷体_GB2312"/>
          <w:color w:val="000000" w:themeColor="text1"/>
          <w:sz w:val="32"/>
          <w:szCs w:val="32"/>
          <w14:textFill>
            <w14:solidFill>
              <w14:schemeClr w14:val="tx1"/>
            </w14:solidFill>
          </w14:textFill>
        </w:rPr>
      </w:pPr>
      <w:bookmarkStart w:id="485" w:name="_Toc31718"/>
      <w:bookmarkStart w:id="486" w:name="_Toc56574704"/>
      <w:bookmarkStart w:id="487" w:name="_Toc3160"/>
      <w:r>
        <w:rPr>
          <w:rFonts w:eastAsia="楷体_GB2312"/>
          <w:color w:val="000000" w:themeColor="text1"/>
          <w:sz w:val="32"/>
          <w:szCs w:val="32"/>
          <w14:textFill>
            <w14:solidFill>
              <w14:schemeClr w14:val="tx1"/>
            </w14:solidFill>
          </w14:textFill>
        </w:rPr>
        <w:t>（四）深化产教融合，提升职业教育影响力</w:t>
      </w:r>
      <w:bookmarkEnd w:id="485"/>
      <w:bookmarkEnd w:id="486"/>
      <w:bookmarkEnd w:id="487"/>
    </w:p>
    <w:p w14:paraId="3F333FD9">
      <w:pPr>
        <w:pStyle w:val="41"/>
        <w:topLinePunct/>
        <w:spacing w:after="0" w:line="560" w:lineRule="exact"/>
        <w:ind w:left="0" w:leftChars="0" w:firstLine="624"/>
        <w:rPr>
          <w:rFonts w:eastAsia="仿宋_GB2312"/>
          <w:color w:val="000000" w:themeColor="text1"/>
          <w:spacing w:val="-4"/>
          <w:sz w:val="32"/>
          <w:szCs w:val="32"/>
          <w14:textFill>
            <w14:solidFill>
              <w14:schemeClr w14:val="tx1"/>
            </w14:solidFill>
          </w14:textFill>
        </w:rPr>
      </w:pPr>
      <w:r>
        <w:rPr>
          <w:rFonts w:eastAsia="仿宋_GB2312"/>
          <w:color w:val="000000" w:themeColor="text1"/>
          <w:spacing w:val="-4"/>
          <w:sz w:val="32"/>
          <w:szCs w:val="32"/>
          <w14:textFill>
            <w14:solidFill>
              <w14:schemeClr w14:val="tx1"/>
            </w14:solidFill>
          </w14:textFill>
        </w:rPr>
        <w:t>完善职业教育培训体系，深化产教融合、校企合作，增强中等职业教育专业吸引力，实施职业院校毕业生“1+X”证书制度。大力发展面向农业农村的职业教育，培养以高素质村民为主体的乡村实用人才。按照国家建设标准，建设西山区职业高级中学新校区，推进实训基地和数字化资源建设。到2025年，中等职业学校毕业生（含“三校生”）直升高等职业院校的比例达到80%。</w:t>
      </w:r>
    </w:p>
    <w:p w14:paraId="4639EA26">
      <w:pPr>
        <w:topLinePunct/>
        <w:spacing w:line="560" w:lineRule="exact"/>
        <w:ind w:firstLine="640"/>
        <w:outlineLvl w:val="2"/>
        <w:rPr>
          <w:rFonts w:eastAsia="楷体_GB2312"/>
          <w:color w:val="000000" w:themeColor="text1"/>
          <w:sz w:val="32"/>
          <w:szCs w:val="32"/>
          <w14:textFill>
            <w14:solidFill>
              <w14:schemeClr w14:val="tx1"/>
            </w14:solidFill>
          </w14:textFill>
        </w:rPr>
      </w:pPr>
      <w:bookmarkStart w:id="488" w:name="_Toc30013"/>
      <w:bookmarkStart w:id="489" w:name="_Toc56574705"/>
      <w:bookmarkStart w:id="490" w:name="_Toc10895"/>
      <w:r>
        <w:rPr>
          <w:rFonts w:eastAsia="楷体_GB2312"/>
          <w:color w:val="000000" w:themeColor="text1"/>
          <w:sz w:val="32"/>
          <w:szCs w:val="32"/>
          <w14:textFill>
            <w14:solidFill>
              <w14:schemeClr w14:val="tx1"/>
            </w14:solidFill>
          </w14:textFill>
        </w:rPr>
        <w:t>（五）坚持以人为本，构建多元教育服务体系</w:t>
      </w:r>
      <w:bookmarkEnd w:id="488"/>
      <w:bookmarkEnd w:id="489"/>
      <w:bookmarkEnd w:id="490"/>
    </w:p>
    <w:p w14:paraId="1EF47B0F">
      <w:pPr>
        <w:pStyle w:val="41"/>
        <w:topLinePunct/>
        <w:spacing w:after="0" w:line="560" w:lineRule="exact"/>
        <w:ind w:left="0" w:leftChars="0" w:firstLine="624"/>
        <w:rPr>
          <w:rFonts w:eastAsia="仿宋_GB2312"/>
          <w:color w:val="000000" w:themeColor="text1"/>
          <w:spacing w:val="-4"/>
          <w:sz w:val="32"/>
          <w:szCs w:val="32"/>
          <w14:textFill>
            <w14:solidFill>
              <w14:schemeClr w14:val="tx1"/>
            </w14:solidFill>
          </w14:textFill>
        </w:rPr>
      </w:pPr>
      <w:r>
        <w:rPr>
          <w:rFonts w:eastAsia="仿宋_GB2312"/>
          <w:color w:val="000000" w:themeColor="text1"/>
          <w:spacing w:val="-4"/>
          <w:sz w:val="32"/>
          <w:szCs w:val="32"/>
          <w14:textFill>
            <w14:solidFill>
              <w14:schemeClr w14:val="tx1"/>
            </w14:solidFill>
          </w14:textFill>
        </w:rPr>
        <w:t>加快完善终身教育体系，建立开放共享的终身学习线上服务平台。开设宽领域、多层次、有质量和便捷化的社区教育课程，推进社区学校、成人学校、开放大学等社会教育学校建设，建设学习型组织、学习型社区。倡导全民阅读，营造终身学习的文化氛围，促进继续教育一体化发展。建立民族团结进步教育常态化机制，加大优质普通高中定向招收少数民族学生的力度。健全特殊教育保障机制。优先让残疾儿童少年在普通学校接受教育，落实“一人一案”，通过特殊教育学校就读、普通学校随班就读，儿童福利机构、特教班就读，送教上门等多种方式，做到全覆盖、零拒绝。对本区户籍的中、重度智力残疾和听力残疾中、小学生实施义务教育阶段的特殊教育。在新建的特殊教育学校设置“特教中心”，配备特殊教育专业研究人员。到2025年，全区三类残疾（视残、听残、智残）儿童少年义务教育入学率达到95%以上。</w:t>
      </w:r>
    </w:p>
    <w:p w14:paraId="251FF4A9">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（六）坚持德能并重，加强教师队伍建设和管理</w:t>
      </w:r>
    </w:p>
    <w:p w14:paraId="1A357394">
      <w:pPr>
        <w:pStyle w:val="41"/>
        <w:topLinePunct/>
        <w:spacing w:after="0" w:line="560" w:lineRule="exact"/>
        <w:ind w:left="0" w:leftChars="0" w:firstLine="624"/>
        <w:rPr>
          <w:rFonts w:eastAsia="仿宋_GB2312"/>
          <w:color w:val="000000" w:themeColor="text1"/>
          <w:spacing w:val="-4"/>
          <w:sz w:val="32"/>
          <w:szCs w:val="32"/>
          <w14:textFill>
            <w14:solidFill>
              <w14:schemeClr w14:val="tx1"/>
            </w14:solidFill>
          </w14:textFill>
        </w:rPr>
      </w:pPr>
      <w:r>
        <w:rPr>
          <w:rFonts w:eastAsia="仿宋_GB2312"/>
          <w:color w:val="000000" w:themeColor="text1"/>
          <w:spacing w:val="-4"/>
          <w:sz w:val="32"/>
          <w:szCs w:val="32"/>
          <w14:textFill>
            <w14:solidFill>
              <w14:schemeClr w14:val="tx1"/>
            </w14:solidFill>
          </w14:textFill>
        </w:rPr>
        <w:t>全面贯彻党的教育方针，坚持社会主义办学方向，落实立德树人的根本任务，全面加强中小学思政课教师队伍建设，切实办好中小学思想政治理论课、劳动教育必修课程，不断优化中小学课程设置，为培养德智体美劳全面发展的社会主义建设者和接班人提供坚强保障。持续引进和培育优秀教师，实施教师教育振兴行动计划和师德师风建设工程，推进中小学教师“区管校聘”改革。实施乡村教师支持计划、银龄讲学计划，充实乡村教师队伍。落实“万名校长”培训计划和“中小学名师”培养工程，组织开展教师轮训，大力培养高素质专业化中小学教师。深化教师职务（职称）制度改革，健全中小学教师工资长效联动机制，激发教师队伍活力。鼓励社会在提供服务时给予教师优先和优待，引导社会形成尊师重教的风尚。到2025年，中小学本科以上专任教师比例明显提高。</w:t>
      </w:r>
      <w:bookmarkStart w:id="491" w:name="_Toc61644838"/>
      <w:bookmarkStart w:id="492" w:name="_Toc59205911"/>
    </w:p>
    <w:p w14:paraId="7C2E56F7">
      <w:pPr>
        <w:pStyle w:val="41"/>
        <w:topLinePunct/>
        <w:spacing w:after="0" w:line="560" w:lineRule="exact"/>
        <w:ind w:left="0" w:leftChars="0" w:firstLine="640"/>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二、促进更高质量充分就业</w:t>
      </w:r>
      <w:bookmarkEnd w:id="491"/>
      <w:bookmarkEnd w:id="492"/>
    </w:p>
    <w:p w14:paraId="623D1D9B">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千方百计稳定和扩大就业，强化就业优先政策，扩大就业容量、提升就业质量，坚持创业就业、融通创新、精益创业、带动就业，保障劳动者待遇和权益。</w:t>
      </w:r>
    </w:p>
    <w:p w14:paraId="729A4176">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（一）多渠道扩大就业</w:t>
      </w:r>
    </w:p>
    <w:p w14:paraId="0CA48DD4">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推进就业优先战略。坚持创造更多就业岗位和稳定现有岗位并重，实施更加积极的就业政策，支持多渠道灵活就业，促进城乡居民收入增长。鼓励个体经营发展，增加非全日制就业机会，支持发展新就业形态，推动新职业发布和应用，加大技能培训针对性，培养劳务经纪人队伍，优化人力资源服务，维护劳动保障权益。完善劳动关系协调机制、终身职业技能培训制度，鼓励失业人员自主创业和再就业，加强企业退出与保障职工权益的统筹，多渠道妥善安置；积极开发公益性岗位，帮助特殊群体稳定就业，完善就业困难人群就业援助长效机制。大力推动大众创业、万众创新。统筹重点群体就业，加强就业援助，推进高校毕业生、农民工、城镇困难人员、失业人员等重点群体就业、创业工作。注重财政、货币、金融、产业、区域、贸易等经济政策与就业政策的衔接配套，落实就业政策。</w:t>
      </w:r>
    </w:p>
    <w:p w14:paraId="4D67A754">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（二）完善就业公共服务平台和市场体系</w:t>
      </w:r>
    </w:p>
    <w:p w14:paraId="1FCB9662">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加强就业信息监测平台和公共服务平台建设，加强失业预防和调控。全面实行劳动合同制度，推进劳动用工备案制度，建立劳动用工数据库。建立健全农民工工资专用账户监管、推行银行代发工资制度。加强劳动保障监察和人事争议调解仲裁，加强劳动者权益保护，维护职工和企业合法权益。完善人力资源市场管理制度，加快建立覆盖城乡、服务各类就业群体和人才的人力资源市场体系。</w:t>
      </w:r>
    </w:p>
    <w:p w14:paraId="681BFC30">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（三）推行终身职业技能培训制度</w:t>
      </w:r>
    </w:p>
    <w:p w14:paraId="6B881CD0">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完善劳动者终身职业培训体系，建立并推行终身职业技能培训制度，持续开展职业技能提升行动，全面提升劳动者职业技能水平和就业创业能力。加快职业技能实训基地建设，积极创建市级、区级职业技能培训示范平台。大力开展紧缺职业技能培训，围绕云南省打造世界一流“三张牌”有针对性地组织相关培训。全面推行企业新型学徒制培训，采取企校双师带徒、工学交替培养，充分利用“</w:t>
      </w:r>
      <w:r>
        <w:rPr>
          <w:rFonts w:eastAsia="仿宋_GB2312"/>
          <w:snapToGrid w:val="0"/>
          <w:sz w:val="32"/>
          <w:szCs w:val="32"/>
        </w:rPr>
        <w:t>互联网+</w:t>
      </w:r>
      <w:r>
        <w:rPr>
          <w:rFonts w:eastAsia="仿宋_GB2312"/>
          <w:color w:val="000000" w:themeColor="text1"/>
          <w:sz w:val="32"/>
          <w:szCs w:val="32"/>
          <w14:textFill>
            <w14:solidFill>
              <w14:schemeClr w14:val="tx1"/>
            </w14:solidFill>
          </w14:textFill>
        </w:rPr>
        <w:t>”等现代化技术手段提升学徒知识和创新能力。实施专业技术人才知识更新工程，大力提升专业技术人才能力素质。鼓励优质社会培训机构承担补贴培训，建立基于互联网的职业技能培训公共服务平台，提升技能培训信息化水平。</w:t>
      </w:r>
    </w:p>
    <w:p w14:paraId="7C96CA04">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（四）提高居民收入水平</w:t>
      </w:r>
    </w:p>
    <w:p w14:paraId="055881B5">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坚持居民收入增长和经济增长基本同步、劳动报酬提高和劳动生产率提高基本同步。着力提高低收入群体收入，持续扩大中等收入群体，更加积极有为地促进共同富裕。建立完善有利于中等收入群体扩大的体制机制，多渠道、多途径、多领域拓展中等收入群体范围，推动农业转移人口、新型职业农民、大学毕业生、中小企业经营者等进入中等收入群体。严格落实国家收入分配政策，坚持按劳分配为主体、多种分配方式并存，提高劳动报酬在初次分配中的比重。严格落实最低工资标准制度，按相关政策要求逐步提高最低工资标准。落实完善按要素分配政策制度，健全各类生产要素由市场决定报酬的机制，增加居民要素收入。落实好降低实体经济成本各项政策，充分利用互联网等新模式，拓展经营性收入空间。落实好税收、社会保障、转移支付等为主要手段的再分配调节机制，发展慈善事业，缩小城乡、区域、行业之间的收入差距。健全职工工资决定机制、增长机制和支付保障机制，积极稳妥推进工资集体协商制度建设。加大农民工工资支付保障力度，完善失信企业联合惩戒机制。深化机关事业工资制度改革，稳步推进工资福利分配工作。</w:t>
      </w:r>
      <w:bookmarkStart w:id="493" w:name="_Toc61644839"/>
      <w:bookmarkStart w:id="494" w:name="_Toc59205912"/>
    </w:p>
    <w:p w14:paraId="4CD3ECEC">
      <w:pPr>
        <w:topLinePunct/>
        <w:spacing w:line="560" w:lineRule="exact"/>
        <w:ind w:firstLine="640"/>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三、聚力打造一流健康西山</w:t>
      </w:r>
      <w:bookmarkEnd w:id="493"/>
      <w:bookmarkEnd w:id="494"/>
    </w:p>
    <w:p w14:paraId="273E7A49">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（一）提升公共医疗卫生服务能力</w:t>
      </w:r>
    </w:p>
    <w:p w14:paraId="338D6C89">
      <w:pPr>
        <w:topLinePunct/>
        <w:spacing w:line="560" w:lineRule="exact"/>
        <w:ind w:firstLine="643"/>
        <w:rPr>
          <w:rFonts w:eastAsia="仿宋_GB2312"/>
          <w:color w:val="000000" w:themeColor="text1"/>
          <w:sz w:val="32"/>
          <w:szCs w:val="32"/>
          <w14:textFill>
            <w14:solidFill>
              <w14:schemeClr w14:val="tx1"/>
            </w14:solidFill>
          </w14:textFill>
        </w:rPr>
      </w:pPr>
      <w:r>
        <w:rPr>
          <w:rFonts w:eastAsia="仿宋_GB2312"/>
          <w:b/>
          <w:bCs/>
          <w:color w:val="000000" w:themeColor="text1"/>
          <w:sz w:val="32"/>
          <w:szCs w:val="32"/>
          <w14:textFill>
            <w14:solidFill>
              <w14:schemeClr w14:val="tx1"/>
            </w14:solidFill>
          </w14:textFill>
        </w:rPr>
        <w:t>推进医疗服务城乡均等化。</w:t>
      </w:r>
      <w:r>
        <w:rPr>
          <w:rFonts w:eastAsia="仿宋_GB2312"/>
          <w:color w:val="000000" w:themeColor="text1"/>
          <w:sz w:val="32"/>
          <w:szCs w:val="32"/>
          <w14:textFill>
            <w14:solidFill>
              <w14:schemeClr w14:val="tx1"/>
            </w14:solidFill>
          </w14:textFill>
        </w:rPr>
        <w:t>建设适应居民多层次健康需求的医疗服务网络，建立有效的分级诊疗制度，加快建立覆盖城乡居民的基本医疗卫生制度，</w:t>
      </w:r>
      <w:r>
        <w:rPr>
          <w:rFonts w:eastAsia="仿宋_GB2312"/>
          <w:snapToGrid w:val="0"/>
          <w:color w:val="000000" w:themeColor="text1"/>
          <w:sz w:val="32"/>
          <w:szCs w:val="32"/>
          <w14:textFill>
            <w14:solidFill>
              <w14:schemeClr w14:val="tx1"/>
            </w14:solidFill>
          </w14:textFill>
        </w:rPr>
        <w:t>在涉农街道每个行政村办好1所标准化村卫生室，</w:t>
      </w:r>
      <w:r>
        <w:rPr>
          <w:rFonts w:eastAsia="仿宋_GB2312"/>
          <w:color w:val="000000" w:themeColor="text1"/>
          <w:sz w:val="32"/>
          <w:szCs w:val="32"/>
          <w14:textFill>
            <w14:solidFill>
              <w14:schemeClr w14:val="tx1"/>
            </w14:solidFill>
          </w14:textFill>
        </w:rPr>
        <w:t>调整完善医疗资源布局，明确医疗服务体系架构和功能定位，完善各级各类医疗卫生机构布局布点规划，新建1所三级医院。以创建三级甲等综合医院为目标，切实提高医疗救治能力。巩固提升“以基层医疗服务机构（家庭医生）为网底、城市医疗服务机构为主体”的两级医疗服务体系。加强“紧密型医共体”建设，规范医联体建设与管理，鼓励社会办医疗机构、康复机构、护理机构参与医联体建设，促进优质医疗资源下沉。</w:t>
      </w:r>
      <w:r>
        <w:rPr>
          <w:rFonts w:eastAsia="仿宋_GB2312"/>
          <w:snapToGrid w:val="0"/>
          <w:color w:val="000000" w:themeColor="text1"/>
          <w:sz w:val="32"/>
          <w:szCs w:val="32"/>
          <w14:textFill>
            <w14:solidFill>
              <w14:schemeClr w14:val="tx1"/>
            </w14:solidFill>
          </w14:textFill>
        </w:rPr>
        <w:t>全面实施乡村医生“区管村用”管理，乡村医生数量在保证每个村卫生室不少于2名的基础上，按照1‰服务人口配备。</w:t>
      </w:r>
      <w:r>
        <w:rPr>
          <w:rFonts w:eastAsia="仿宋_GB2312"/>
          <w:color w:val="000000" w:themeColor="text1"/>
          <w:sz w:val="32"/>
          <w:szCs w:val="32"/>
          <w14:textFill>
            <w14:solidFill>
              <w14:schemeClr w14:val="tx1"/>
            </w14:solidFill>
          </w14:textFill>
        </w:rPr>
        <w:t>推进医疗设施平台化建设。深化医疗保障制度改革，推进医药服务供给侧改革，深化基层卫生服务综合改革，进一步深化公立医院改革，健全医疗卫生行业综合监管制度。加强卫生监督执法机构和队伍建设。加强基层医疗卫生机构配建，强化基层机构能力建设，到2025年，</w:t>
      </w:r>
      <w:r>
        <w:rPr>
          <w:rFonts w:eastAsia="仿宋_GB2312"/>
          <w:snapToGrid w:val="0"/>
          <w:color w:val="000000" w:themeColor="text1"/>
          <w:sz w:val="32"/>
          <w:szCs w:val="32"/>
          <w14:textFill>
            <w14:solidFill>
              <w14:schemeClr w14:val="tx1"/>
            </w14:solidFill>
          </w14:textFill>
        </w:rPr>
        <w:t>社区卫生服务中心100%创成省级甲等，</w:t>
      </w:r>
      <w:r>
        <w:rPr>
          <w:rFonts w:eastAsia="仿宋_GB2312"/>
          <w:color w:val="000000" w:themeColor="text1"/>
          <w:sz w:val="32"/>
          <w:szCs w:val="32"/>
          <w14:textFill>
            <w14:solidFill>
              <w14:schemeClr w14:val="tx1"/>
            </w14:solidFill>
          </w14:textFill>
        </w:rPr>
        <w:t>全区每千常住人口医疗卫生机构床位数达到18张，每千常住人口执业（助理）医师数达到10人。</w:t>
      </w:r>
      <w:r>
        <w:rPr>
          <w:rFonts w:eastAsia="仿宋_GB2312"/>
          <w:b/>
          <w:bCs/>
          <w:color w:val="000000" w:themeColor="text1"/>
          <w:sz w:val="32"/>
          <w:szCs w:val="32"/>
          <w14:textFill>
            <w14:solidFill>
              <w14:schemeClr w14:val="tx1"/>
            </w14:solidFill>
          </w14:textFill>
        </w:rPr>
        <w:t>提升公共卫生服务水平。</w:t>
      </w:r>
      <w:r>
        <w:rPr>
          <w:rFonts w:eastAsia="仿宋_GB2312"/>
          <w:color w:val="000000" w:themeColor="text1"/>
          <w:sz w:val="32"/>
          <w:szCs w:val="32"/>
          <w14:textFill>
            <w14:solidFill>
              <w14:schemeClr w14:val="tx1"/>
            </w14:solidFill>
          </w14:textFill>
        </w:rPr>
        <w:t>支持综合性医疗机构、社区卫生服务中心和公共卫生专业机构协同落实“医防融合”“三位一体”的全流程健康管理。加强预防保健服务，坚持预防为主，加强居民自主健康管理，完善居民健康监测体系，全方位干预健康影响因素，落实省市国民营养计划，全生命周期维护居民健康。引进优质医疗资源落地西山，支持社区医疗服务机构发展。落实妇女儿童规划，强化区级妇幼保健机构能力达标创建，推进业务用房改扩建及设备更新补齐工作，提升妇幼健康服务水平。创新中医药服务模式，健全中医药服务体系。推动卫生健康信息化发展，搭建智慧医疗平台，深入智慧医疗体系构建，完善精神卫生服务网络和投入、运行、管理机制。大力开展爱国卫生“7个专项行动”，提升卫生服务能力。通过“互联网+医疗”手段，提高家庭医生签约服务质量。到2025年</w:t>
      </w:r>
      <w:r>
        <w:rPr>
          <w:rFonts w:eastAsia="仿宋_GB2312"/>
          <w:snapToGrid w:val="0"/>
          <w:color w:val="000000" w:themeColor="text1"/>
          <w:sz w:val="32"/>
          <w:szCs w:val="32"/>
          <w14:textFill>
            <w14:solidFill>
              <w14:schemeClr w14:val="tx1"/>
            </w14:solidFill>
          </w14:textFill>
        </w:rPr>
        <w:t>，</w:t>
      </w:r>
      <w:r>
        <w:rPr>
          <w:rFonts w:eastAsia="仿宋_GB2312"/>
          <w:color w:val="000000" w:themeColor="text1"/>
          <w:sz w:val="32"/>
          <w:szCs w:val="32"/>
          <w14:textFill>
            <w14:solidFill>
              <w14:schemeClr w14:val="tx1"/>
            </w14:solidFill>
          </w14:textFill>
        </w:rPr>
        <w:t>全区居民健康素养水平达到25%以上，常住人口平均期望寿命达到80岁以上，主要健康指标总体优于全市平均水平。以“国家级慢性病综合防控示范区巩固提升工程”为契机，重点推进心脑血管疾病、癌症、糖尿病、呼吸系统疾病等重点疾病、肺尘病等职业病的防治行动，加强慢性病、艾滋病、结核病、精神卫生防治，提高辖区医院和基层医疗机构开展疾病应急处置的能力。地方病、职业病得到有效防控，致残和死亡风险逐步降低，重点人群健康状况显著改善。到2025年，重大慢性病发病率上升趋势得到有效遏制，传染病发病率持续保持低于全市平均水平。</w:t>
      </w:r>
    </w:p>
    <w:tbl>
      <w:tblPr>
        <w:tblStyle w:val="43"/>
        <w:tblW w:w="88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73"/>
      </w:tblGrid>
      <w:tr w14:paraId="46798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8873" w:type="dxa"/>
            <w:vAlign w:val="center"/>
          </w:tcPr>
          <w:p w14:paraId="64BB6A8D">
            <w:pPr>
              <w:topLinePunct/>
              <w:jc w:val="center"/>
              <w:rPr>
                <w:rFonts w:eastAsia="黑体"/>
                <w:color w:val="000000" w:themeColor="text1"/>
                <w:sz w:val="28"/>
                <w:szCs w:val="28"/>
                <w14:textFill>
                  <w14:solidFill>
                    <w14:schemeClr w14:val="tx1"/>
                  </w14:solidFill>
                </w14:textFill>
              </w:rPr>
            </w:pPr>
            <w:r>
              <w:rPr>
                <w:rFonts w:eastAsia="黑体"/>
                <w:color w:val="000000" w:themeColor="text1"/>
                <w:sz w:val="28"/>
                <w:szCs w:val="28"/>
                <w14:textFill>
                  <w14:solidFill>
                    <w14:schemeClr w14:val="tx1"/>
                  </w14:solidFill>
                </w14:textFill>
              </w:rPr>
              <w:t>专栏32 爱国卫生“7个专项行动”</w:t>
            </w:r>
          </w:p>
        </w:tc>
      </w:tr>
      <w:tr w14:paraId="0A57F4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73" w:type="dxa"/>
          </w:tcPr>
          <w:p w14:paraId="13B68B1D">
            <w:pPr>
              <w:topLinePunct/>
              <w:snapToGrid w:val="0"/>
              <w:rPr>
                <w:rFonts w:eastAsia="仿宋_GB2312"/>
                <w:bCs/>
                <w:color w:val="000000" w:themeColor="text1"/>
                <w:sz w:val="24"/>
                <w14:textFill>
                  <w14:solidFill>
                    <w14:schemeClr w14:val="tx1"/>
                  </w14:solidFill>
                </w14:textFill>
              </w:rPr>
            </w:pPr>
            <w:r>
              <w:rPr>
                <w:rFonts w:eastAsia="仿宋_GB2312"/>
                <w:b/>
                <w:color w:val="000000" w:themeColor="text1"/>
                <w:sz w:val="24"/>
                <w14:textFill>
                  <w14:solidFill>
                    <w14:schemeClr w14:val="tx1"/>
                  </w14:solidFill>
                </w14:textFill>
              </w:rPr>
              <w:t>1.垃圾清理整治行动。</w:t>
            </w:r>
            <w:r>
              <w:rPr>
                <w:rFonts w:eastAsia="仿宋_GB2312"/>
                <w:bCs/>
                <w:color w:val="000000" w:themeColor="text1"/>
                <w:sz w:val="24"/>
                <w14:textFill>
                  <w14:solidFill>
                    <w14:schemeClr w14:val="tx1"/>
                  </w14:solidFill>
                </w14:textFill>
              </w:rPr>
              <w:t>全面贯彻落实垃圾分类和清理整治规划政策，加快垃圾分类回收利用体系建成，补齐垃圾处理设施短板，进一步强化塑料垃圾污染治理。</w:t>
            </w:r>
          </w:p>
          <w:p w14:paraId="4CB0305C">
            <w:pPr>
              <w:topLinePunct/>
              <w:snapToGrid w:val="0"/>
              <w:rPr>
                <w:rFonts w:eastAsia="仿宋_GB2312"/>
                <w:bCs/>
                <w:color w:val="000000" w:themeColor="text1"/>
                <w:sz w:val="24"/>
                <w14:textFill>
                  <w14:solidFill>
                    <w14:schemeClr w14:val="tx1"/>
                  </w14:solidFill>
                </w14:textFill>
              </w:rPr>
            </w:pPr>
            <w:r>
              <w:rPr>
                <w:rFonts w:eastAsia="仿宋_GB2312"/>
                <w:b/>
                <w:color w:val="000000" w:themeColor="text1"/>
                <w:sz w:val="24"/>
                <w14:textFill>
                  <w14:solidFill>
                    <w14:schemeClr w14:val="tx1"/>
                  </w14:solidFill>
                </w14:textFill>
              </w:rPr>
              <w:t>2.公共厕所全达标行动。</w:t>
            </w:r>
            <w:r>
              <w:rPr>
                <w:rFonts w:eastAsia="仿宋_GB2312"/>
                <w:bCs/>
                <w:color w:val="000000" w:themeColor="text1"/>
                <w:sz w:val="24"/>
                <w14:textFill>
                  <w14:solidFill>
                    <w14:schemeClr w14:val="tx1"/>
                  </w14:solidFill>
                </w14:textFill>
              </w:rPr>
              <w:t>全面消除旱厕，大力推进学校卫生厕所标准化建设，</w:t>
            </w:r>
            <w:r>
              <w:rPr>
                <w:rFonts w:eastAsia="仿宋_GB2312"/>
                <w:bCs/>
                <w:color w:val="000000" w:themeColor="text1"/>
                <w:spacing w:val="-6"/>
                <w:sz w:val="24"/>
                <w14:textFill>
                  <w14:solidFill>
                    <w14:schemeClr w14:val="tx1"/>
                  </w14:solidFill>
                </w14:textFill>
              </w:rPr>
              <w:t>城市新（改）建公共厕所全部达到二类标准，新（改）建旅游厕所达到A级以上标准。</w:t>
            </w:r>
          </w:p>
          <w:p w14:paraId="5C781E86">
            <w:pPr>
              <w:topLinePunct/>
              <w:snapToGrid w:val="0"/>
              <w:rPr>
                <w:rFonts w:eastAsia="仿宋_GB2312"/>
                <w:bCs/>
                <w:color w:val="000000" w:themeColor="text1"/>
                <w:sz w:val="24"/>
                <w14:textFill>
                  <w14:solidFill>
                    <w14:schemeClr w14:val="tx1"/>
                  </w14:solidFill>
                </w14:textFill>
              </w:rPr>
            </w:pPr>
            <w:r>
              <w:rPr>
                <w:rFonts w:eastAsia="仿宋_GB2312"/>
                <w:b/>
                <w:color w:val="000000" w:themeColor="text1"/>
                <w:sz w:val="24"/>
                <w14:textFill>
                  <w14:solidFill>
                    <w14:schemeClr w14:val="tx1"/>
                  </w14:solidFill>
                </w14:textFill>
              </w:rPr>
              <w:t>3.洗手设施全配套行动。</w:t>
            </w:r>
            <w:r>
              <w:rPr>
                <w:rFonts w:eastAsia="仿宋_GB2312"/>
                <w:bCs/>
                <w:color w:val="000000" w:themeColor="text1"/>
                <w:sz w:val="24"/>
                <w14:textFill>
                  <w14:solidFill>
                    <w14:schemeClr w14:val="tx1"/>
                  </w14:solidFill>
                </w14:textFill>
              </w:rPr>
              <w:t>重点对学校、医疗机构、集贸市场、室内公共场所、公园广场、客运站、旅游景区、高速公路服务区等场所的洗手设施进行建造、改造。</w:t>
            </w:r>
          </w:p>
          <w:p w14:paraId="0C512747">
            <w:pPr>
              <w:topLinePunct/>
              <w:snapToGrid w:val="0"/>
              <w:rPr>
                <w:rFonts w:eastAsia="仿宋_GB2312"/>
                <w:bCs/>
                <w:color w:val="000000" w:themeColor="text1"/>
                <w:sz w:val="24"/>
                <w14:textFill>
                  <w14:solidFill>
                    <w14:schemeClr w14:val="tx1"/>
                  </w14:solidFill>
                </w14:textFill>
              </w:rPr>
            </w:pPr>
            <w:r>
              <w:rPr>
                <w:rFonts w:eastAsia="仿宋_GB2312"/>
                <w:b/>
                <w:color w:val="000000" w:themeColor="text1"/>
                <w:sz w:val="24"/>
                <w14:textFill>
                  <w14:solidFill>
                    <w14:schemeClr w14:val="tx1"/>
                  </w14:solidFill>
                </w14:textFill>
              </w:rPr>
              <w:t>4.餐饮服务环境卫生全改善行动。</w:t>
            </w:r>
            <w:r>
              <w:rPr>
                <w:rFonts w:eastAsia="仿宋_GB2312"/>
                <w:bCs/>
                <w:color w:val="000000" w:themeColor="text1"/>
                <w:sz w:val="24"/>
                <w14:textFill>
                  <w14:solidFill>
                    <w14:schemeClr w14:val="tx1"/>
                  </w14:solidFill>
                </w14:textFill>
              </w:rPr>
              <w:t>全面落实“不达标就整改、不整改就严处”要求，实现周边环境整洁、就餐场所干净、后厨合理达标、仓储整齐安全、餐饮用具洁净、从业人员健康、配送过程规范“七个达标”。</w:t>
            </w:r>
          </w:p>
          <w:p w14:paraId="0FB03EDB">
            <w:pPr>
              <w:topLinePunct/>
              <w:snapToGrid w:val="0"/>
              <w:rPr>
                <w:rFonts w:eastAsia="仿宋_GB2312"/>
                <w:bCs/>
                <w:color w:val="000000" w:themeColor="text1"/>
                <w:sz w:val="24"/>
                <w14:textFill>
                  <w14:solidFill>
                    <w14:schemeClr w14:val="tx1"/>
                  </w14:solidFill>
                </w14:textFill>
              </w:rPr>
            </w:pPr>
            <w:r>
              <w:rPr>
                <w:rFonts w:eastAsia="仿宋_GB2312"/>
                <w:b/>
                <w:color w:val="000000" w:themeColor="text1"/>
                <w:sz w:val="24"/>
                <w14:textFill>
                  <w14:solidFill>
                    <w14:schemeClr w14:val="tx1"/>
                  </w14:solidFill>
                </w14:textFill>
              </w:rPr>
              <w:t>5.公共场所清洁消毒全覆盖行动。</w:t>
            </w:r>
            <w:r>
              <w:rPr>
                <w:rFonts w:eastAsia="仿宋_GB2312"/>
                <w:bCs/>
                <w:color w:val="000000" w:themeColor="text1"/>
                <w:sz w:val="24"/>
                <w14:textFill>
                  <w14:solidFill>
                    <w14:schemeClr w14:val="tx1"/>
                  </w14:solidFill>
                </w14:textFill>
              </w:rPr>
              <w:t>推进常态化清洁消毒，实现公共场所清洁消毒全覆盖。客运站、高速公路服务区、A级以上旅游景区、三星级以上宾馆、商场、电影院、学校等场所卫生管理全达标。</w:t>
            </w:r>
          </w:p>
          <w:p w14:paraId="0BB1555C">
            <w:pPr>
              <w:topLinePunct/>
              <w:snapToGrid w:val="0"/>
              <w:rPr>
                <w:rFonts w:eastAsia="仿宋_GB2312"/>
                <w:bCs/>
                <w:color w:val="000000" w:themeColor="text1"/>
                <w:sz w:val="24"/>
                <w14:textFill>
                  <w14:solidFill>
                    <w14:schemeClr w14:val="tx1"/>
                  </w14:solidFill>
                </w14:textFill>
              </w:rPr>
            </w:pPr>
            <w:r>
              <w:rPr>
                <w:rFonts w:eastAsia="仿宋_GB2312"/>
                <w:b/>
                <w:color w:val="000000" w:themeColor="text1"/>
                <w:sz w:val="24"/>
                <w14:textFill>
                  <w14:solidFill>
                    <w14:schemeClr w14:val="tx1"/>
                  </w14:solidFill>
                </w14:textFill>
              </w:rPr>
              <w:t>6.农贸市场环境卫生全提升行动。</w:t>
            </w:r>
            <w:r>
              <w:rPr>
                <w:rFonts w:eastAsia="仿宋_GB2312"/>
                <w:bCs/>
                <w:color w:val="000000" w:themeColor="text1"/>
                <w:sz w:val="24"/>
                <w14:textFill>
                  <w14:solidFill>
                    <w14:schemeClr w14:val="tx1"/>
                  </w14:solidFill>
                </w14:textFill>
              </w:rPr>
              <w:t>抓环境卫生、疫情防控、食品安全、野生动物及活禽交易监管、周边环境、提升改造等6项重点工作，改变“五乱”状况、落实“五有”要求，实现“五化”目标。</w:t>
            </w:r>
          </w:p>
          <w:p w14:paraId="71539E59">
            <w:pPr>
              <w:topLinePunct/>
              <w:rPr>
                <w:rFonts w:eastAsia="仿宋_GB2312"/>
                <w:color w:val="000000" w:themeColor="text1"/>
                <w:sz w:val="24"/>
                <w14:textFill>
                  <w14:solidFill>
                    <w14:schemeClr w14:val="tx1"/>
                  </w14:solidFill>
                </w14:textFill>
              </w:rPr>
            </w:pPr>
            <w:r>
              <w:rPr>
                <w:rFonts w:eastAsia="仿宋_GB2312"/>
                <w:b/>
                <w:color w:val="000000" w:themeColor="text1"/>
                <w:sz w:val="24"/>
                <w14:textFill>
                  <w14:solidFill>
                    <w14:schemeClr w14:val="tx1"/>
                  </w14:solidFill>
                </w14:textFill>
              </w:rPr>
              <w:t>7.健康文明生活方式全参与行动。</w:t>
            </w:r>
            <w:r>
              <w:rPr>
                <w:rFonts w:eastAsia="仿宋_GB2312"/>
                <w:bCs/>
                <w:color w:val="000000" w:themeColor="text1"/>
                <w:sz w:val="24"/>
                <w14:textFill>
                  <w14:solidFill>
                    <w14:schemeClr w14:val="tx1"/>
                  </w14:solidFill>
                </w14:textFill>
              </w:rPr>
              <w:t>开展爱国卫生大扫除活动，倡导“社交距离、勤于洗手、分餐公筷、革除陋习、科学健身、控烟限酒”健康文明生活“六条新风尚”，开发健康科普核心信息，大幅提升居民健康素养水平。</w:t>
            </w:r>
          </w:p>
        </w:tc>
      </w:tr>
    </w:tbl>
    <w:p w14:paraId="49895E67">
      <w:pPr>
        <w:topLinePunct/>
        <w:spacing w:line="580" w:lineRule="exact"/>
        <w:ind w:firstLine="641"/>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（二）提升公共卫生防控救治能力</w:t>
      </w:r>
    </w:p>
    <w:p w14:paraId="07323939">
      <w:pPr>
        <w:topLinePunct/>
        <w:spacing w:line="580" w:lineRule="exact"/>
        <w:ind w:firstLine="641"/>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改革疾病预防控制体系，强化监测预警、风险评估、流行病学调查、检验检测、应急处置等职能，完善突发公共卫生监测预警处置机制，强化基层公共卫生体系，做到“平战结合”、中西医并重，完善城市传染病救治网络。健全重大疫情应急响应机制、重大疾病医疗保险和救助制度以及统一高效的应急物资保障体系，实施疾控机构核心能力提升工程，建成2个生物安全二级实验室，组建卫生应急队伍，建立科学研究、疾病控制、临床治疗的有效协同机制。完善“三位一体”疾病防控网络和工作模式，打通“直上直下”的信息传导渠道，强化医疗机构疾病防控职责，健全完善疫情八项预警机制和常态化预防控制体系，实现疾控机构、医院和基层医疗机构分工协作，达到省内先进的区域性疾病预防控制水平。提高重大传染性疾病疫苗接种率，强化疫苗安全监管。到2025年，区级以上医疗卫生机构突发公共卫生事件和传染病疫情网络直报率、社区和农村医疗卫生机构突发公共卫生事件和传染病疫情报告率均保持在100%，具有应对各类突发公共卫生事件和重大医疗救援保障的能力。</w:t>
      </w:r>
    </w:p>
    <w:tbl>
      <w:tblPr>
        <w:tblStyle w:val="43"/>
        <w:tblW w:w="88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73"/>
      </w:tblGrid>
      <w:tr w14:paraId="18CA4E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8873" w:type="dxa"/>
          </w:tcPr>
          <w:p w14:paraId="34721456">
            <w:pPr>
              <w:topLinePunct/>
              <w:jc w:val="center"/>
              <w:rPr>
                <w:rFonts w:eastAsia="黑体"/>
                <w:color w:val="000000" w:themeColor="text1"/>
                <w:sz w:val="28"/>
                <w:szCs w:val="28"/>
                <w14:textFill>
                  <w14:solidFill>
                    <w14:schemeClr w14:val="tx1"/>
                  </w14:solidFill>
                </w14:textFill>
              </w:rPr>
            </w:pPr>
            <w:r>
              <w:rPr>
                <w:rFonts w:eastAsia="黑体"/>
                <w:color w:val="000000" w:themeColor="text1"/>
                <w:sz w:val="28"/>
                <w:szCs w:val="28"/>
                <w14:textFill>
                  <w14:solidFill>
                    <w14:schemeClr w14:val="tx1"/>
                  </w14:solidFill>
                </w14:textFill>
              </w:rPr>
              <w:t>专栏33 疫情八项预警机制</w:t>
            </w:r>
          </w:p>
        </w:tc>
      </w:tr>
      <w:tr w14:paraId="1E09E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3" w:hRule="atLeast"/>
          <w:jc w:val="center"/>
        </w:trPr>
        <w:tc>
          <w:tcPr>
            <w:tcW w:w="8873" w:type="dxa"/>
          </w:tcPr>
          <w:p w14:paraId="3C7427B7">
            <w:pPr>
              <w:topLinePunct/>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1.建立防疫联络机制。2.建立公安、法院、检察院联动机制。3.建立“日报”“零报告”机制。4.建立重大疫情及时报告机制。5.建立人员监督机制。6.建立网络信息发布的内部控制机制。7.建立日常消毒机制。8.建立宣传引导机制。</w:t>
            </w:r>
          </w:p>
        </w:tc>
      </w:tr>
    </w:tbl>
    <w:p w14:paraId="69436A50">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（三）广泛开展全民健身运动</w:t>
      </w:r>
    </w:p>
    <w:p w14:paraId="2FC4C20D">
      <w:pPr>
        <w:pStyle w:val="41"/>
        <w:topLinePunct/>
        <w:spacing w:after="0" w:line="560" w:lineRule="exact"/>
        <w:ind w:left="0" w:leftChars="0"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加强公共体育设施建设。加快校园运动场、足球场标准化建设，加快推进区、街道、社区三级基础公共体育设施体系建设。盘活用好现有体育场馆资源，改造升级体育场馆，鼓励体育场馆对公众免费或低收费开放。全力打造社区“15分钟健身圈”，建立和完善全民健身、竞赛交流、科学健身指导和体质健康监测公共体育服务体系，形成学校体育全面发展、群众体育蓬勃开展、体育设施布局合理和公共服务体系较先进的发展格局，体育发展总体水平跃居全市主城区前列。推进社区“文体活动广场”“健身步道”“健身路径”等设施建设，实现街道办事处、行政村公共体育健身设施100%覆盖。到2025年，人均体育场地面积达到2.31平方米以上，经常参加体育锻炼的人口比例达到42%以上，城乡居民达到《国民体质测定标准》合格以上的人数比例达到91.3%以上，老年人基层体育组织覆盖全部街道。</w:t>
      </w:r>
    </w:p>
    <w:p w14:paraId="29A1DC20">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（四）促进人口均衡发展</w:t>
      </w:r>
    </w:p>
    <w:p w14:paraId="64C5B444">
      <w:pPr>
        <w:pStyle w:val="41"/>
        <w:topLinePunct/>
        <w:spacing w:after="0" w:line="560" w:lineRule="exact"/>
        <w:ind w:left="0" w:leftChars="0"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积极应对人口老龄化，制定人口长期发展战略，落实优化生育政策，增强生育政策包容性，提高优生优育服务水平。健全完善全员人口数据库和管理信息系统。深入开展孕产期全过程管理服务。围绕降低孕产妇和婴儿死亡率的核心目标，在全区构建区域妇、产、儿科及妇幼保健“医联体”，积极开展区级妇幼保健机构能力达标创建。保持总人口平稳增长，促进出生人口性别比实现自然平衡。</w:t>
      </w:r>
      <w:bookmarkStart w:id="495" w:name="_Toc59205913"/>
      <w:bookmarkStart w:id="496" w:name="_Toc61644840"/>
    </w:p>
    <w:p w14:paraId="62B48BB2">
      <w:pPr>
        <w:pStyle w:val="41"/>
        <w:topLinePunct/>
        <w:spacing w:after="0" w:line="560" w:lineRule="exact"/>
        <w:ind w:left="0" w:leftChars="0" w:firstLine="640"/>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四、健全多层次社会保障体系</w:t>
      </w:r>
      <w:bookmarkEnd w:id="495"/>
      <w:bookmarkEnd w:id="496"/>
    </w:p>
    <w:p w14:paraId="38F15C04">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（一）巩固扩大社会保险覆盖面</w:t>
      </w:r>
    </w:p>
    <w:p w14:paraId="17000476">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实施全民参保计划，完善统一的社会保险公共服务平台。健全社会保险关系转移接续机制，确保社保基金安全可持续运行。到2025年，各类社会保险执行率达到100%以上，全面实行医保异地就医联网直接结算。提高大病保险保障功能，降低并统一大病保险起付线。贯彻落实基本养老保险待遇合理调整机制，促进城镇职工养老保险和城乡居民养老保险制度有效衔接，城乡居民基本养老保险参保率达到97%以上。试点先行并推广长期护理保险制度，着力解决重度失能人员长期护理保障问题。继续推进生育保险和职工医疗保险合并实施。健全完善失业保险、工伤保险制度，确保失业保险执行率达到100%。</w:t>
      </w:r>
    </w:p>
    <w:p w14:paraId="41727718">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（二）健全完善社会救助体系</w:t>
      </w:r>
    </w:p>
    <w:p w14:paraId="1E9D5A1A">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健全分层分类、城乡统筹的中国特色社会救助制度体系，健全社会救助标准随经济发展及时调整的自然增长机制，稳步提高城乡居民最低生活保障标准和生活补助标准。继续落实城乡低保、特困人员供养政策，实施城乡统筹的医疗救助制度，完善自然灾害应急救助体系，健全临时救助制度。大力培育发展完善公益慈善组织，落实慈善捐赠税收优惠政策，引导金融资本和社会资本支持慈善事业健康有序发展。重点夯实基本生活救助，不断健全专项社会救助，完善急难社会救助，促进社会力量参与。促进改革发展成果更多、更公平惠及困难群众，织密织牢民生兜底保障安全网，社会救助事业实现高质量发展。建立健全特殊群体关爱服务体系和设施，大力发展社会福利事业，加强对孤儿、残疾人、空巢老人、留守儿童的关爱帮扶。</w:t>
      </w:r>
    </w:p>
    <w:p w14:paraId="3CC2C647">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（三）完善“一老一小”保障体系</w:t>
      </w:r>
    </w:p>
    <w:p w14:paraId="1510D24B">
      <w:pPr>
        <w:pStyle w:val="41"/>
        <w:topLinePunct/>
        <w:spacing w:after="0" w:line="560" w:lineRule="exact"/>
        <w:ind w:left="0" w:leftChars="0" w:firstLine="643"/>
        <w:rPr>
          <w:rFonts w:eastAsia="仿宋_GB2312"/>
          <w:color w:val="000000" w:themeColor="text1"/>
          <w:sz w:val="32"/>
          <w:szCs w:val="32"/>
          <w14:textFill>
            <w14:solidFill>
              <w14:schemeClr w14:val="tx1"/>
            </w14:solidFill>
          </w14:textFill>
        </w:rPr>
      </w:pPr>
      <w:r>
        <w:rPr>
          <w:rFonts w:eastAsia="仿宋_GB2312"/>
          <w:b/>
          <w:bCs/>
          <w:color w:val="000000" w:themeColor="text1"/>
          <w:sz w:val="32"/>
          <w:szCs w:val="32"/>
          <w14:textFill>
            <w14:solidFill>
              <w14:schemeClr w14:val="tx1"/>
            </w14:solidFill>
          </w14:textFill>
        </w:rPr>
        <w:t>积极开发老龄人力资源，发展银发经济。</w:t>
      </w:r>
      <w:r>
        <w:rPr>
          <w:rFonts w:eastAsia="仿宋_GB2312"/>
          <w:color w:val="000000" w:themeColor="text1"/>
          <w:sz w:val="32"/>
          <w:szCs w:val="32"/>
          <w14:textFill>
            <w14:solidFill>
              <w14:schemeClr w14:val="tx1"/>
            </w14:solidFill>
          </w14:textFill>
        </w:rPr>
        <w:t>全方位优化养老服务有效供给。深化公办养老机构改革，完善以居家为基础、社区为依托、机构为补充、医养相结合的养老服务体系建设，坚持公办养老机构“兜底线、保基本”的职能定位，增强社区养老服务供给。整合现有公共服务设施资源，在街道层面建设具备综合功能的社区养老服务机构（中心），在社区层面建立嵌入式养老服务机构或日间照料中心。积极引导社会力量广泛参与社区养老服务，推动形成一批具有知名品牌和较强竞争力的优质养老机构。积极培育居家养老服务，为居家老年人提供生活照料、家政服务、精神慰藉等上门服务，进一步做实做强居家养老。拓展居家养老服务市场和消费市场，加强社区养老体系建设，强化养老服务机构综合监管，促进养老服务提质增效。优化养老机构，加快养老服务专业化发展，完善养老关爱服务体系。实施长期照护保障制度，健全养老相关服务体系、发挥商业养老保险保障作用。促进老年人社会参与度，加快培育养老服务工作志愿者队伍，推动老年人参与精神文化活动和优秀文化传承，促进老年人参与自身权益维护。推进社区居家养老环境适老化改造，加强社会力量参与，统筹联动资源加强老旧小区适老化改造。</w:t>
      </w:r>
      <w:r>
        <w:rPr>
          <w:rFonts w:eastAsia="仿宋_GB2312"/>
          <w:b/>
          <w:bCs/>
          <w:color w:val="000000" w:themeColor="text1"/>
          <w:sz w:val="32"/>
          <w:szCs w:val="32"/>
          <w14:textFill>
            <w14:solidFill>
              <w14:schemeClr w14:val="tx1"/>
            </w14:solidFill>
          </w14:textFill>
        </w:rPr>
        <w:t>发展普惠托育服务体系，支持婴幼儿照护服务机构建设。</w:t>
      </w:r>
      <w:r>
        <w:rPr>
          <w:rFonts w:eastAsia="仿宋_GB2312"/>
          <w:color w:val="000000" w:themeColor="text1"/>
          <w:sz w:val="32"/>
          <w:szCs w:val="32"/>
          <w14:textFill>
            <w14:solidFill>
              <w14:schemeClr w14:val="tx1"/>
            </w14:solidFill>
          </w14:textFill>
        </w:rPr>
        <w:t>更加重视妇女、儿童和青少年身心健康，健全农村留守儿童、妇女、老人关爱服务体系，保障儿童妇女老人合法权益。探索推动3岁以下幼儿托育服务实现从“多元参与”向“体系构建”的转变，0—3 岁婴幼儿教养指导工作在社区普遍开展，到2025年，有2所以上公办幼儿园开办托育班。鼓励有条件的示范幼儿园探索和加强0—3岁婴幼儿早期教育指导服务，每年向本区2—3岁婴幼儿家庭提供免费早教指导服务不少于4次。</w:t>
      </w:r>
    </w:p>
    <w:p w14:paraId="4E8BEC65">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（四）健全完善退役军人服务保障体系</w:t>
      </w:r>
    </w:p>
    <w:p w14:paraId="42E8762B">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建立退役军人四级服务保障体系，巩固退役军人服务中心（站）规范化创建成果，切实推进退役军人服务中心（站）点建设，确保“五有”“四化”目标的实现，使中心（站）点基础设施达标、制度流程完善、服务管理规范，不断提升专（兼）职工作人员的服务水平。落实新时代退役军人工作，推进荣誉军人休养院、荣誉军人康复医院、优抚医院和光荣院等养老服务机构建设，强化烈士纪念设施及军墓建设。推进退役军人就业创业，提高退役军人相关信息的采集覆盖率，推进退役军人服务保障工作。按照自愿参加、自选专业、免费培训原则，加强以中等职业教育和技能培训为主，以高等职业教育、成人教育和普通高等教育为补充的退役军人教育培训。</w:t>
      </w:r>
      <w:bookmarkStart w:id="497" w:name="_Toc59205914"/>
      <w:bookmarkStart w:id="498" w:name="_Toc61644841"/>
    </w:p>
    <w:p w14:paraId="22065A8A">
      <w:pPr>
        <w:topLinePunct/>
        <w:spacing w:line="560" w:lineRule="exact"/>
        <w:jc w:val="center"/>
        <w:rPr>
          <w:rFonts w:eastAsia="黑体"/>
          <w:sz w:val="32"/>
          <w:szCs w:val="32"/>
        </w:rPr>
      </w:pPr>
      <w:r>
        <w:rPr>
          <w:rFonts w:eastAsia="黑体"/>
          <w:sz w:val="32"/>
          <w:szCs w:val="32"/>
        </w:rPr>
        <w:t>第十四章 推进共建共治共享，提升</w:t>
      </w:r>
      <w:bookmarkEnd w:id="497"/>
      <w:r>
        <w:rPr>
          <w:rFonts w:eastAsia="黑体"/>
          <w:sz w:val="32"/>
          <w:szCs w:val="32"/>
        </w:rPr>
        <w:t>新发展能力</w:t>
      </w:r>
      <w:bookmarkEnd w:id="498"/>
    </w:p>
    <w:p w14:paraId="13AB1FD0">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持续完善社会治理体制机制，构建党委领导、政府负责、民主协商、社会协同、公众参与、法治保障、科技支撑的社会治理体系，打造共建共治共享的社会治理格局。</w:t>
      </w:r>
      <w:bookmarkStart w:id="499" w:name="_Toc59205915"/>
      <w:bookmarkStart w:id="500" w:name="_Toc58944766"/>
      <w:bookmarkStart w:id="501" w:name="_Toc61644842"/>
    </w:p>
    <w:p w14:paraId="3A986E1E">
      <w:pPr>
        <w:topLinePunct/>
        <w:spacing w:line="560" w:lineRule="exact"/>
        <w:ind w:firstLine="640"/>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一、推进法治西山</w:t>
      </w:r>
      <w:bookmarkEnd w:id="499"/>
      <w:bookmarkEnd w:id="500"/>
      <w:r>
        <w:rPr>
          <w:rFonts w:eastAsia="黑体"/>
          <w:bCs/>
          <w:color w:val="000000" w:themeColor="text1"/>
          <w:sz w:val="32"/>
          <w:szCs w:val="32"/>
          <w14:textFill>
            <w14:solidFill>
              <w14:schemeClr w14:val="tx1"/>
            </w14:solidFill>
          </w14:textFill>
        </w:rPr>
        <w:t>建设</w:t>
      </w:r>
      <w:bookmarkEnd w:id="501"/>
    </w:p>
    <w:p w14:paraId="30D8C41F">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坚定不移走中国特色社会主义法治道路，认真贯彻国家总体安全观，弘扬社会主义法治精神，加强社会主义法治文化建设，推动全社会尊法学法守法用法，健全社会公平正义法治保障制度，提高社会治理法治化水平，把安全发展贯穿西山发展各领域和全过程，到2025年，“八五”普法规划实施完成，强化法治宣传教育，法治观念深入人心，社会领域制度规范更加健全，社会主义核心价值观融入法治建设和社会治理成效显著，公民、法人和其他组织合法权益得到切实保障，社会治理法治化水平显著提高，形成符合国情、体现时代特征、人民群众满意的法治社会建设生动局面，为2035年基本建成法治社会奠定坚实基础。</w:t>
      </w:r>
    </w:p>
    <w:p w14:paraId="341929E7">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（一）推进社会主义政治建设</w:t>
      </w:r>
    </w:p>
    <w:p w14:paraId="5B730A22">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坚持中国共产党领导、人民代表大会制度、多党合作和政治协商制度、基层自治制度等一系列领导制度、根本制度、基本制度和重要制度。健全地方党委在本地区发挥总揽全局、协调各方领导作用的机制，完善政府社会治理考核问责机制。加强人大代表同人民群众的联系，畅通民主渠道，保障人民群众依法直接行使民主权利。深化司法体制改革，健全司法体系、完善司法功能、加强司法规范化建设。健全公众参与重大公共决策的决策机制，畅通公众参与渠道。</w:t>
      </w:r>
    </w:p>
    <w:p w14:paraId="0538E84C">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（二）深入推进依法行政</w:t>
      </w:r>
    </w:p>
    <w:p w14:paraId="13B2E642">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深化行政执法体制改革。健全行政权力清单动态调整机制，落实重大行政决策法定程序，完善落实政府法律顾问制度、行政决策终身责任追究制度和责任倒查机制，行政执法机构依法履行职责。完善依法科学民主决策机制，进一步明确重大行政决策事项范围，强化决策法定程序的刚性约束。深化城乡社区依法治理，严格依法处置规划建设、生态环保、安全生产、道路交通等领域违法行为。在党组织领导下实现政府治理和社会调节、居民自治良性互动。制定和落实在社区治理方面的权责清单，健全村级议事协商制度，实施村级事务阳光工程，完善党务、村务、财务“三公开”制度。加强基层群众性自治组织规范化建设，全面推进基层单位依法治理。广泛开展行业依法治理，推进业务标准程序完善、合法合规审查到位、防范化解风险及时和法律监督有效的法治化治理方式。依法妥善处置涉及民族、宗教等因素的社会问题，促进民族关系、宗教关系和谐。</w:t>
      </w:r>
    </w:p>
    <w:p w14:paraId="08D01205">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（三）增强全社会法治观念</w:t>
      </w:r>
    </w:p>
    <w:p w14:paraId="4FE80297">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学习宣传贯彻习近平法治思想，确立普法教育在推进依法治区中的长期性基础地位，不断创新工作方法和载体，引导全民自觉守法、遇事找法、解决问题靠法。维护宪法权威、深入宣传宪法，持续开展全区学生“学宪法讲宪法”活动，推动“12·4”国家宪法日和“宪法宣传周”集中宣传活动制度化，实现宪法宣传教育常态化。增强全民法治观念，深入学习宣传习近平法治思想，深入宣传以宪法为核心的中国特色社会主义法律体系，广泛宣传《民法典》等与经济社会发展和人民群众利益密切相关的法律法规。积极组织疫病防治、野生动物保护、公共卫生安全等方面法律法规和相关知识的宣传教育活动。运用新媒体新技术普法，推进“智慧普法”平台建设。健全普法责任制，完善法官、检察官、行政复议人员、行政执法人员、律师等以案释法制度。大力加强法治文化阵地建设，有效促进法治文化与传统文化、红色文化、地方文化、行业文化、企业文化融合发展。</w:t>
      </w:r>
    </w:p>
    <w:p w14:paraId="5596CA12">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（四）加强各类主体权利保护</w:t>
      </w:r>
    </w:p>
    <w:p w14:paraId="2666D5A3">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切实保障公民基本权利，有效维护各类社会主体合法权益。坚持权利与义务相统一，社会主体要履行法定义务和承担社会责任。健全公众参与重大公共决策机制。制定与人民生产生活和现实利益密切相关的经济社会政策和出台重大改革措施，要充分体现公平正义和社会责任，畅通公众参与重大公共决策的渠道，采取多种形式广泛听取群众意见，切实保障公民、法人和其他组织合法权益。落实法律顾问、公职律师在重大公共决策中发挥积极作用的制度机制。健全企业、职工、行业协会商会等参与涉企法律法规及政策制定机制，依法平等保护企业、职工合法权益。建立人民群众监督评价机制，建立健全产权保护统筹协调工作机制，持续加强政务诚信和营商环境建设。推进政府信息公开，加强人权司法保障。加强对公民合法权益的司法保护。完善律师制度，强化诉讼参与人诉讼权利制度保障。为群众提供便捷高效的公共法律服务。引导社会主体履行法定义务承担社会责任，支持社会组织建立社会责任标准体系。推进法律服务能力。指导创建西山区律师行业党建示范基地，建立健全“一小时法律援助服务圈”，开展法律援助值班律师工作，为弱势群体提供维权服务专业化保障平台，定期开展法治教育，疏导和解决法律、心理问题。到2025年，基本形成覆盖城乡、便捷高效、均等普惠的现代公共法律服务体系，保证人民群众获得及时有效的法律帮助。</w:t>
      </w:r>
      <w:bookmarkStart w:id="502" w:name="_Toc59205916"/>
      <w:bookmarkStart w:id="503" w:name="_Toc61644843"/>
      <w:bookmarkStart w:id="504" w:name="_Toc58944764"/>
    </w:p>
    <w:p w14:paraId="46BB0970">
      <w:pPr>
        <w:topLinePunct/>
        <w:spacing w:line="560" w:lineRule="exact"/>
        <w:ind w:firstLine="640"/>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二、推进和谐西山</w:t>
      </w:r>
      <w:bookmarkEnd w:id="502"/>
      <w:r>
        <w:rPr>
          <w:rFonts w:eastAsia="黑体"/>
          <w:bCs/>
          <w:color w:val="000000" w:themeColor="text1"/>
          <w:sz w:val="32"/>
          <w:szCs w:val="32"/>
          <w14:textFill>
            <w14:solidFill>
              <w14:schemeClr w14:val="tx1"/>
            </w14:solidFill>
          </w14:textFill>
        </w:rPr>
        <w:t>建设</w:t>
      </w:r>
      <w:bookmarkEnd w:id="503"/>
    </w:p>
    <w:bookmarkEnd w:id="504"/>
    <w:p w14:paraId="193001A5">
      <w:pPr>
        <w:topLinePunct/>
        <w:spacing w:line="560" w:lineRule="exact"/>
        <w:ind w:firstLine="640"/>
        <w:outlineLvl w:val="2"/>
        <w:rPr>
          <w:rFonts w:eastAsia="楷体_GB2312"/>
          <w:color w:val="000000" w:themeColor="text1"/>
          <w:sz w:val="32"/>
          <w:szCs w:val="32"/>
          <w14:textFill>
            <w14:solidFill>
              <w14:schemeClr w14:val="tx1"/>
            </w14:solidFill>
          </w14:textFill>
        </w:rPr>
      </w:pPr>
      <w:bookmarkStart w:id="505" w:name="_Toc58944765"/>
      <w:r>
        <w:rPr>
          <w:rFonts w:eastAsia="楷体_GB2312"/>
          <w:color w:val="000000" w:themeColor="text1"/>
          <w:sz w:val="32"/>
          <w:szCs w:val="32"/>
          <w14:textFill>
            <w14:solidFill>
              <w14:schemeClr w14:val="tx1"/>
            </w14:solidFill>
          </w14:textFill>
        </w:rPr>
        <w:t>（一）加快推进市域社会治理现代化</w:t>
      </w:r>
    </w:p>
    <w:p w14:paraId="4DAC012C">
      <w:pPr>
        <w:topLinePunct/>
        <w:spacing w:line="560" w:lineRule="exact"/>
        <w:ind w:firstLine="643"/>
        <w:contextualSpacing/>
        <w:rPr>
          <w:rFonts w:eastAsia="仿宋_GB2312"/>
          <w:color w:val="000000" w:themeColor="text1"/>
          <w:sz w:val="32"/>
          <w:szCs w:val="32"/>
          <w14:textFill>
            <w14:solidFill>
              <w14:schemeClr w14:val="tx1"/>
            </w14:solidFill>
          </w14:textFill>
        </w:rPr>
      </w:pPr>
      <w:r>
        <w:rPr>
          <w:rFonts w:eastAsia="仿宋_GB2312"/>
          <w:b/>
          <w:color w:val="000000" w:themeColor="text1"/>
          <w:sz w:val="32"/>
          <w:szCs w:val="32"/>
          <w14:textFill>
            <w14:solidFill>
              <w14:schemeClr w14:val="tx1"/>
            </w14:solidFill>
          </w14:textFill>
        </w:rPr>
        <w:t>推进市域社会治理创新。</w:t>
      </w:r>
      <w:r>
        <w:rPr>
          <w:rFonts w:eastAsia="仿宋_GB2312"/>
          <w:color w:val="000000" w:themeColor="text1"/>
          <w:sz w:val="32"/>
          <w:szCs w:val="32"/>
          <w14:textFill>
            <w14:solidFill>
              <w14:schemeClr w14:val="tx1"/>
            </w14:solidFill>
          </w14:textFill>
        </w:rPr>
        <w:t>依法加快区级层面实名登记、社会信用管理、产权保护等配套制度建设，开展市域社会治理现代化试点，使法治成为市域经济社会发展的核心竞争力。深化街道体制改革，健全“党建引领、街道吹哨、部门报到”工作模式，推动社会治理中心向基层下移。探索以法治为保障、以网格强基础、以管理求实效、以动员增合力的</w:t>
      </w:r>
      <w:bookmarkStart w:id="506" w:name="_Hlk58940164"/>
      <w:r>
        <w:rPr>
          <w:rFonts w:eastAsia="仿宋_GB2312"/>
          <w:color w:val="000000" w:themeColor="text1"/>
          <w:sz w:val="32"/>
          <w:szCs w:val="32"/>
          <w14:textFill>
            <w14:solidFill>
              <w14:schemeClr w14:val="tx1"/>
            </w14:solidFill>
          </w14:textFill>
        </w:rPr>
        <w:t>“社治四策”</w:t>
      </w:r>
      <w:bookmarkEnd w:id="506"/>
      <w:r>
        <w:rPr>
          <w:rFonts w:eastAsia="仿宋_GB2312"/>
          <w:color w:val="000000" w:themeColor="text1"/>
          <w:sz w:val="32"/>
          <w:szCs w:val="32"/>
          <w14:textFill>
            <w14:solidFill>
              <w14:schemeClr w14:val="tx1"/>
            </w14:solidFill>
          </w14:textFill>
        </w:rPr>
        <w:t>，提升社会治理体系和治理能力现代化水平，打造共建共治共享的社会治理新格局。维护社会和谐稳定，建设和谐西山，不断增强人民的获得感、幸福感、安全感，推进健康宜居幸福中枢门户区建设。</w:t>
      </w:r>
      <w:r>
        <w:rPr>
          <w:rFonts w:eastAsia="仿宋_GB2312"/>
          <w:b/>
          <w:color w:val="000000" w:themeColor="text1"/>
          <w:sz w:val="32"/>
          <w:szCs w:val="32"/>
          <w14:textFill>
            <w14:solidFill>
              <w14:schemeClr w14:val="tx1"/>
            </w14:solidFill>
          </w14:textFill>
        </w:rPr>
        <w:t>发挥人民团体和社会组织在法治社会建设中的作用。</w:t>
      </w:r>
      <w:r>
        <w:rPr>
          <w:rFonts w:eastAsia="仿宋_GB2312"/>
          <w:color w:val="000000" w:themeColor="text1"/>
          <w:sz w:val="32"/>
          <w:szCs w:val="32"/>
          <w14:textFill>
            <w14:solidFill>
              <w14:schemeClr w14:val="tx1"/>
            </w14:solidFill>
          </w14:textFill>
        </w:rPr>
        <w:t>促进人民团体通过各种途径和形式参与管理行政事务、管理经济文化事业、管理社会事务。坚持党对社会组织的领导，促进社会组织健康有序发展，推进社会组织明确权责、依法自治、发挥职能。加大培育社会组织力度，重点培育、优先发展行业协会类、地方商会类、科技类、公益慈善类、社区服务类社会组织。推动和支持志愿服务组织发展，开展志愿服务标准化建设。发挥行业协会商会自律功能，探索建立行业自律组织。完善政府购买公共服务机制，促进社会组织在提供公共服务中发挥更大作用。</w:t>
      </w:r>
      <w:r>
        <w:rPr>
          <w:rFonts w:eastAsia="仿宋_GB2312"/>
          <w:b/>
          <w:bCs/>
          <w:color w:val="000000" w:themeColor="text1"/>
          <w:sz w:val="32"/>
          <w:szCs w:val="32"/>
          <w14:textFill>
            <w14:solidFill>
              <w14:schemeClr w14:val="tx1"/>
            </w14:solidFill>
          </w14:textFill>
        </w:rPr>
        <w:t>有效预防和化解社会矛盾。</w:t>
      </w:r>
      <w:r>
        <w:rPr>
          <w:rFonts w:eastAsia="仿宋_GB2312"/>
          <w:color w:val="000000" w:themeColor="text1"/>
          <w:sz w:val="32"/>
          <w:szCs w:val="32"/>
          <w14:textFill>
            <w14:solidFill>
              <w14:schemeClr w14:val="tx1"/>
            </w14:solidFill>
          </w14:textFill>
        </w:rPr>
        <w:t>坚持和发展新时代“枫桥经验”，建立畅通的群众诉求表达、利益协调、权益保障机制，健全社会稳定风险评估机制，完善社会矛盾纠纷多元预防调处化解综合机制，全面落实诉讼与信访分离制度。探索在矛盾纠纷多发领域建立“一站式”纠纷解决机制。加强农村土地承包经营纠纷调解仲裁、劳动人事争议调解仲裁工作。加强行政复议、行政调解、行政裁决工作，推动仲裁委员会积极参与基层社会纠纷解决，支持仲裁融入基层社会治理。</w:t>
      </w:r>
    </w:p>
    <w:p w14:paraId="5B8E07FC">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（二）推进信用西山建设</w:t>
      </w:r>
    </w:p>
    <w:p w14:paraId="031096E4">
      <w:pPr>
        <w:topLinePunct/>
        <w:spacing w:line="560" w:lineRule="exact"/>
        <w:ind w:firstLine="640"/>
        <w:contextualSpacing/>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加快推进政务诚信、商务诚信、社会诚信和司法公信等重点领域信用建设，推进信用信息共享，健全激励惩戒机制，提高全社会诚信水平。整合覆盖企业、个人、机关事业单位法人和社会组织等信用主体的全方位、全生命周期的信用档案，运用大数据、人工智能等新兴技术，建立适用于社会治理、市场监管、资源配置、金融借贷等各类场景的信用信息应用系统。发挥信用体系特别是社会信用功能，支撑和保障平台经济结算中心、绿色产品交易结算中心、服务贸易结算中心等载体建设。</w:t>
      </w:r>
    </w:p>
    <w:p w14:paraId="0E8F9827">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（三）促进民族团结进步与宗教和谐和顺</w:t>
      </w:r>
    </w:p>
    <w:p w14:paraId="5CEB4A7C">
      <w:pPr>
        <w:topLinePunct/>
        <w:spacing w:line="560" w:lineRule="exact"/>
        <w:ind w:firstLine="643"/>
        <w:contextualSpacing/>
        <w:rPr>
          <w:rFonts w:eastAsia="仿宋_GB2312"/>
          <w:color w:val="000000" w:themeColor="text1"/>
          <w:sz w:val="32"/>
          <w:szCs w:val="32"/>
          <w14:textFill>
            <w14:solidFill>
              <w14:schemeClr w14:val="tx1"/>
            </w14:solidFill>
          </w14:textFill>
        </w:rPr>
      </w:pPr>
      <w:r>
        <w:rPr>
          <w:rFonts w:eastAsia="仿宋_GB2312"/>
          <w:b/>
          <w:bCs/>
          <w:color w:val="000000" w:themeColor="text1"/>
          <w:sz w:val="32"/>
          <w:szCs w:val="32"/>
          <w14:textFill>
            <w14:solidFill>
              <w14:schemeClr w14:val="tx1"/>
            </w14:solidFill>
          </w14:textFill>
        </w:rPr>
        <w:t>扎实开展民族团结进步示范创建。</w:t>
      </w:r>
      <w:r>
        <w:rPr>
          <w:rFonts w:hint="eastAsia" w:eastAsia="仿宋_GB2312"/>
          <w:color w:val="000000" w:themeColor="text1"/>
          <w:sz w:val="32"/>
          <w:szCs w:val="32"/>
          <w:lang w:eastAsia="zh-CN"/>
          <w14:textFill>
            <w14:solidFill>
              <w14:schemeClr w14:val="tx1"/>
            </w14:solidFill>
          </w14:textFill>
        </w:rPr>
        <w:t>铸</w:t>
      </w:r>
      <w:r>
        <w:rPr>
          <w:rFonts w:eastAsia="仿宋_GB2312"/>
          <w:color w:val="000000" w:themeColor="text1"/>
          <w:sz w:val="32"/>
          <w:szCs w:val="32"/>
          <w14:textFill>
            <w14:solidFill>
              <w14:schemeClr w14:val="tx1"/>
            </w14:solidFill>
          </w14:textFill>
        </w:rPr>
        <w:t>牢中华民族共同体意识，将民族团结进步教育纳入国民教育、干部教育、社会教育全过程；</w:t>
      </w:r>
      <w:r>
        <w:rPr>
          <w:rFonts w:eastAsia="仿宋_GB2312"/>
          <w:color w:val="000000" w:themeColor="text1"/>
          <w:spacing w:val="4"/>
          <w:sz w:val="32"/>
          <w:szCs w:val="32"/>
          <w14:textFill>
            <w14:solidFill>
              <w14:schemeClr w14:val="tx1"/>
            </w14:solidFill>
          </w14:textFill>
        </w:rPr>
        <w:t>促进各民族广泛交往、全面交流、深度交融，全面加强国家通用语言文字教育，开展富有特色的民族团结进步交流活动。推动民族地区高质量发展，搭建少数民族鼓励扶持平台，加快民族地区特色产业培育发展，进一步落实民族团结进步创建“十进”措施，实施好“十县百乡千村万户”示范创建工程、少数民族地区基础设施零星建设、民族团结红石榴主题街区等项目，持续改善少数民族地区群众生产生活条件，完善民族地区公平公正、共建共享的公共服务体制机制。加强民族政策及法律法规执行情况监督检查，切实提高少数民族群众的法律素质，坚决反对和纠正针对特定民族成员的歧视性做法，坚决依法打击破坏民族团结和制造民族分裂的违法犯罪行为。打造1—2个国家级民族团结进步示范单位，积极争创一批省、市民族团结进步示</w:t>
      </w:r>
      <w:r>
        <w:rPr>
          <w:rFonts w:eastAsia="仿宋_GB2312"/>
          <w:color w:val="000000" w:themeColor="text1"/>
          <w:spacing w:val="-6"/>
          <w:sz w:val="32"/>
          <w:szCs w:val="32"/>
          <w14:textFill>
            <w14:solidFill>
              <w14:schemeClr w14:val="tx1"/>
            </w14:solidFill>
          </w14:textFill>
        </w:rPr>
        <w:t>范单位，到2025年，力争全区民族团结进步示范单位覆盖率超70%。</w:t>
      </w:r>
    </w:p>
    <w:p w14:paraId="1D4F3F22">
      <w:pPr>
        <w:topLinePunct/>
        <w:spacing w:line="560" w:lineRule="exact"/>
        <w:ind w:firstLine="643"/>
        <w:contextualSpacing/>
        <w:rPr>
          <w:rFonts w:eastAsia="仿宋_GB2312"/>
          <w:color w:val="000000" w:themeColor="text1"/>
          <w:sz w:val="32"/>
          <w:szCs w:val="32"/>
          <w14:textFill>
            <w14:solidFill>
              <w14:schemeClr w14:val="tx1"/>
            </w14:solidFill>
          </w14:textFill>
        </w:rPr>
      </w:pPr>
      <w:r>
        <w:rPr>
          <w:rFonts w:eastAsia="仿宋_GB2312"/>
          <w:b/>
          <w:bCs/>
          <w:color w:val="000000" w:themeColor="text1"/>
          <w:sz w:val="32"/>
          <w:szCs w:val="32"/>
          <w14:textFill>
            <w14:solidFill>
              <w14:schemeClr w14:val="tx1"/>
            </w14:solidFill>
          </w14:textFill>
        </w:rPr>
        <w:t>促进宗教和谐和顺。</w:t>
      </w:r>
      <w:r>
        <w:rPr>
          <w:rFonts w:eastAsia="仿宋_GB2312"/>
          <w:color w:val="000000" w:themeColor="text1"/>
          <w:sz w:val="32"/>
          <w:szCs w:val="32"/>
          <w14:textFill>
            <w14:solidFill>
              <w14:schemeClr w14:val="tx1"/>
            </w14:solidFill>
          </w14:textFill>
        </w:rPr>
        <w:t>教育引导各族干部群众树立正确的国家观、历史观、民族观、文化观、宗教观，加大西山特色民族文化遗产发掘保护和传承发展，实施苗族芦笙舞保护传承、彝族秧佬鼓保护传承、彝族服饰工艺保护传承等项目，建设各民族共有精神家园。引导民族宗教参与经济社会发展，深入贯彻党的宗教工作基本方针，坚持宗教的中国化方向，严格落实宗教工作“一网两单”制度，持续推进宗教领域突出问题专项整治，健全完善涉及宗教因素社会问题的妥善处理机制，加强宗教工作网络化、信息化、数字化建设，实现宗教健康发展。</w:t>
      </w:r>
      <w:bookmarkEnd w:id="505"/>
      <w:bookmarkStart w:id="507" w:name="_Toc59205917"/>
      <w:bookmarkStart w:id="508" w:name="_Toc61644844"/>
    </w:p>
    <w:p w14:paraId="4B8B5EC1">
      <w:pPr>
        <w:topLinePunct/>
        <w:spacing w:line="560" w:lineRule="exact"/>
        <w:ind w:firstLine="643"/>
        <w:contextualSpacing/>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三、推进平安西山</w:t>
      </w:r>
      <w:bookmarkEnd w:id="507"/>
      <w:r>
        <w:rPr>
          <w:rFonts w:eastAsia="黑体"/>
          <w:bCs/>
          <w:color w:val="000000" w:themeColor="text1"/>
          <w:sz w:val="32"/>
          <w:szCs w:val="32"/>
          <w14:textFill>
            <w14:solidFill>
              <w14:schemeClr w14:val="tx1"/>
            </w14:solidFill>
          </w14:textFill>
        </w:rPr>
        <w:t>建设</w:t>
      </w:r>
      <w:bookmarkEnd w:id="508"/>
    </w:p>
    <w:p w14:paraId="48350FE1">
      <w:pPr>
        <w:topLinePunct/>
        <w:spacing w:line="560" w:lineRule="exact"/>
        <w:ind w:firstLine="640"/>
        <w:outlineLvl w:val="2"/>
        <w:rPr>
          <w:rFonts w:eastAsia="楷体_GB2312"/>
          <w:color w:val="000000" w:themeColor="text1"/>
          <w:sz w:val="32"/>
          <w:szCs w:val="32"/>
          <w14:textFill>
            <w14:solidFill>
              <w14:schemeClr w14:val="tx1"/>
            </w14:solidFill>
          </w14:textFill>
        </w:rPr>
      </w:pPr>
      <w:bookmarkStart w:id="509" w:name="_Toc18419"/>
      <w:bookmarkStart w:id="510" w:name="_Toc32721"/>
      <w:bookmarkStart w:id="511" w:name="_Toc1251"/>
      <w:bookmarkStart w:id="512" w:name="_Toc27341"/>
      <w:bookmarkStart w:id="513" w:name="_Toc5085"/>
      <w:bookmarkStart w:id="514" w:name="_Toc5834"/>
      <w:bookmarkStart w:id="515" w:name="_Toc22765"/>
      <w:bookmarkStart w:id="516" w:name="_Toc24725"/>
      <w:bookmarkStart w:id="517" w:name="_Toc20849"/>
      <w:r>
        <w:rPr>
          <w:rFonts w:eastAsia="楷体_GB2312"/>
          <w:color w:val="000000" w:themeColor="text1"/>
          <w:sz w:val="32"/>
          <w:szCs w:val="32"/>
          <w14:textFill>
            <w14:solidFill>
              <w14:schemeClr w14:val="tx1"/>
            </w14:solidFill>
          </w14:textFill>
        </w:rPr>
        <w:t>（一）提高社会安全保障水平</w:t>
      </w:r>
    </w:p>
    <w:p w14:paraId="212F598F">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加强公共安全体系建设，构建公共风险管理机制，深入落实多层次、跨区域社会治安防控协作联席会议制度，进一步健全点线面结合、线上线下结合、人防物防技防联防结合、打防管控结合的立体化社会治安防控体系，不断推进“雪亮工程”建设和运用，全面推广智慧安防小区体系建设，提升小区自身管理能力，形成基层社会治理智治体系，实现对各类安全隐患“及时发现预警，及时防范处置”，2025年，居民住宅小区达到100%覆盖。贯彻落实城市安全发展工作，维护重要基础设施安全，保障正常运行，推进完善与城市公共交通、轨道交通规划配套的公共安全基础及安防设施建设，确保公共交通安全。健全疫情监测、分析、研判、处置机制，加大重大活动举办期间的安全检查和监管监控力度。强化反恐防暴和禁毒工作以及专业队伍建设，形成党委领导、政府主导、公众参与、社会协同的工作格局。严密防范、依法惩治违法犯罪活动，坚决防范打击暴力恐怖、新型网络犯罪和跨境违法犯罪，推进扫黑除恶常态化，开展第五轮禁毒人民战争。优化网络安全防控体系，打造安全网络环境。进一步加大对电信诈骗、互联网诈骗、合同诈骗、传销等经济犯罪打击力度。深入开展国家安全宣传教育，切实增强全民国家安全意识，推动全社会形成维护国家安全的强大合力。</w:t>
      </w:r>
    </w:p>
    <w:p w14:paraId="1279FDFE">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（二）强化安全生产管理</w:t>
      </w:r>
    </w:p>
    <w:p w14:paraId="6B586203">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认真贯彻落实习近平总书记关于安全生产重要论述和“从根本上消除事故隐患”重要指示精神，全面开展安全生产专项整治三年行动计划，全力打好防范化解重点行业领域安全风险攻坚战。强化企业主体责任落实。强化落实第一责任人法定责任，带头执行安全生产法律法规和规章标准，加强全过程、全方位安全生产管理，做到安全责任、安全管理、安全投入、安全培训、应急救援“五到位”。分区分类加强安全监管执法，狠抓矿山生产、危化品储运、建筑施工及工贸等重点行业领域安全风险防控，开展全方位全覆盖的自检自查、交叉检查和督促检查，组织开展本区安全生产专项整治行动，健全以风险分级管控和隐患排查治理为重点的安全预防控制体系。推动社会安全生产应急预案全覆盖，加强安全应急预案演练，加快先进适用技术与装备的推广应用。</w:t>
      </w:r>
      <w:r>
        <w:rPr>
          <w:rFonts w:eastAsia="仿宋_GB2312"/>
          <w:bCs/>
          <w:color w:val="000000" w:themeColor="text1"/>
          <w:sz w:val="32"/>
          <w:szCs w:val="32"/>
          <w14:textFill>
            <w14:solidFill>
              <w14:schemeClr w14:val="tx1"/>
            </w14:solidFill>
          </w14:textFill>
        </w:rPr>
        <w:t>探索发展保障本区、辐射周边的应急产业，打造应急产业基地或安全产业园区。</w:t>
      </w:r>
      <w:r>
        <w:rPr>
          <w:rFonts w:eastAsia="仿宋_GB2312"/>
          <w:color w:val="000000" w:themeColor="text1"/>
          <w:sz w:val="32"/>
          <w:szCs w:val="32"/>
          <w14:textFill>
            <w14:solidFill>
              <w14:schemeClr w14:val="tx1"/>
            </w14:solidFill>
          </w14:textFill>
        </w:rPr>
        <w:t>提升安全生产标准化工作水平，提高从业人员安全素质，不断提升企业本质安全水平。“十四五”期间，力争从根本上消除事故隐患，有效遏制重特大事故发生。</w:t>
      </w:r>
    </w:p>
    <w:p w14:paraId="197CAF00">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（三）完善食品药品安全监管体系</w:t>
      </w:r>
    </w:p>
    <w:p w14:paraId="7C1941A6">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kern w:val="0"/>
          <w:sz w:val="32"/>
          <w:szCs w:val="32"/>
          <w:lang w:val="zh-CN"/>
          <w14:textFill>
            <w14:solidFill>
              <w14:schemeClr w14:val="tx1"/>
            </w14:solidFill>
          </w14:textFill>
        </w:rPr>
        <w:t>强化政府主导作用，严格落实食品安全“四个最严”和“党政同责”要求，形成政府负总责、部门各行其责、企业负首责的食品安全监管责任网。不断健全食品安全责任体系、配套制度体系、监管执法体系、技术支撑体系、检验监测体系、风险防控体系、应急管理体系、人才培养体系、诚信自律体系、社会共治体系等“十大体系”，全面提升食品安全监管能力和治理水平，</w:t>
      </w:r>
      <w:r>
        <w:rPr>
          <w:rFonts w:eastAsia="仿宋_GB2312"/>
          <w:color w:val="000000" w:themeColor="text1"/>
          <w:kern w:val="0"/>
          <w:sz w:val="32"/>
          <w:szCs w:val="32"/>
          <w14:textFill>
            <w14:solidFill>
              <w14:schemeClr w14:val="tx1"/>
            </w14:solidFill>
          </w14:textFill>
        </w:rPr>
        <w:t>促进食品产业发展。加强药品动态监管和风险控制，开展药品质量定期抽检、监督检查和不良反应监测。健全基层食品药品监督管理体系，构建上下联动、区域联动、部门配合的监管执法体系，推进健康西山建设。</w:t>
      </w:r>
    </w:p>
    <w:p w14:paraId="12628CB2">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（四）提高经济安全保障能力</w:t>
      </w:r>
    </w:p>
    <w:p w14:paraId="7A189ED7">
      <w:pPr>
        <w:topLinePunct/>
        <w:spacing w:line="560" w:lineRule="exact"/>
        <w:ind w:firstLine="643"/>
        <w:rPr>
          <w:rFonts w:eastAsia="仿宋_GB2312"/>
          <w:color w:val="000000" w:themeColor="text1"/>
          <w:sz w:val="32"/>
          <w:szCs w:val="32"/>
          <w14:textFill>
            <w14:solidFill>
              <w14:schemeClr w14:val="tx1"/>
            </w14:solidFill>
          </w14:textFill>
        </w:rPr>
      </w:pPr>
      <w:r>
        <w:rPr>
          <w:rFonts w:eastAsia="仿宋_GB2312"/>
          <w:b/>
          <w:bCs/>
          <w:color w:val="000000" w:themeColor="text1"/>
          <w:sz w:val="32"/>
          <w:szCs w:val="32"/>
          <w14:textFill>
            <w14:solidFill>
              <w14:schemeClr w14:val="tx1"/>
            </w14:solidFill>
          </w14:textFill>
        </w:rPr>
        <w:t>确保经济安全。</w:t>
      </w:r>
      <w:r>
        <w:rPr>
          <w:rFonts w:eastAsia="仿宋_GB2312"/>
          <w:color w:val="000000" w:themeColor="text1"/>
          <w:sz w:val="32"/>
          <w:szCs w:val="32"/>
          <w14:textFill>
            <w14:solidFill>
              <w14:schemeClr w14:val="tx1"/>
            </w14:solidFill>
          </w14:textFill>
        </w:rPr>
        <w:t>加强经济安全风险预警、防控机制和能力建设，实现重要产业、通信网络、粮食储备、战略资源、战略物资和水电油气能源等关键领域安全可控。全面完善地方金融管理体系，加强金融风险监测预警，持续开展金融风险专项整治，严格规范各类融资行为，严厉打击非法集资，坚决守住不发生系统性和区域性风险的底线。规范政府债务举债融资机制，对地方政府债务实行规模控制，建立政府性债务风险预警机制，严控政府性债务增量，积极稳妥处置政府性债务存量，控制和化解地方政府性债务风险。</w:t>
      </w:r>
      <w:r>
        <w:rPr>
          <w:rFonts w:eastAsia="仿宋_GB2312"/>
          <w:b/>
          <w:bCs/>
          <w:color w:val="000000" w:themeColor="text1"/>
          <w:sz w:val="32"/>
          <w:szCs w:val="32"/>
          <w14:textFill>
            <w14:solidFill>
              <w14:schemeClr w14:val="tx1"/>
            </w14:solidFill>
          </w14:textFill>
        </w:rPr>
        <w:t>增强产业体系抗冲击能力。</w:t>
      </w:r>
      <w:r>
        <w:rPr>
          <w:rFonts w:eastAsia="仿宋_GB2312"/>
          <w:color w:val="000000" w:themeColor="text1"/>
          <w:sz w:val="32"/>
          <w:szCs w:val="32"/>
          <w14:textFill>
            <w14:solidFill>
              <w14:schemeClr w14:val="tx1"/>
            </w14:solidFill>
          </w14:textFill>
        </w:rPr>
        <w:t>构建地方储备、企业储备、农户储备功能互补、权责清晰、管理科学、运转高效、保障有力的粮食储备体系，不断加强粮食储备管理，提升粮食储备服务宏观调控和应对突发事件能力，维护保障国家粮食安全。完善能源应急体系建设，牢固树立安全发展理念，确保电力、石油、天然气稳定安全供应。健全疫情防控和经济社会发展中长期协调机制。全力实施应急产品生产能力储备，强化应对安全事故、火灾、地质灾害、极端天气、公共卫生等突发事件应急物资储备。建立健全集中管理、统一调拔、平时服务、灾时应急、采储结合、节约高效的应急物资管理机制、快速互助机制和征用补偿机制，形成高效应急物资保障体系。</w:t>
      </w:r>
    </w:p>
    <w:p w14:paraId="2AB6E121">
      <w:pPr>
        <w:topLinePunct/>
        <w:spacing w:line="560" w:lineRule="exact"/>
        <w:ind w:firstLine="640"/>
        <w:outlineLvl w:val="2"/>
        <w:rPr>
          <w:rFonts w:eastAsia="楷体_GB2312"/>
          <w:color w:val="000000" w:themeColor="text1"/>
          <w:sz w:val="32"/>
          <w:szCs w:val="32"/>
          <w14:textFill>
            <w14:solidFill>
              <w14:schemeClr w14:val="tx1"/>
            </w14:solidFill>
          </w14:textFill>
        </w:rPr>
      </w:pPr>
      <w:bookmarkStart w:id="518" w:name="OLE_LINK1"/>
      <w:bookmarkStart w:id="519" w:name="OLE_LINK2"/>
      <w:r>
        <w:rPr>
          <w:rFonts w:eastAsia="楷体_GB2312"/>
          <w:color w:val="000000" w:themeColor="text1"/>
          <w:sz w:val="32"/>
          <w:szCs w:val="32"/>
          <w14:textFill>
            <w14:solidFill>
              <w14:schemeClr w14:val="tx1"/>
            </w14:solidFill>
          </w14:textFill>
        </w:rPr>
        <w:t>（五）提高防灾减灾综合处置能力</w:t>
      </w:r>
    </w:p>
    <w:bookmarkEnd w:id="518"/>
    <w:bookmarkEnd w:id="519"/>
    <w:p w14:paraId="62986845">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健全社会风险评估和实施后评价机制以及突发事件应急体系，提高对自然灾害、事故灾难、公共卫生、环境风险和社会安全等突发事件的监测预警和应急处理能力。实施自然灾害风险普查与重点隐患排查、自然灾害防治重点工程，提升洪涝干旱、地质灾害、气象灾害等自然灾害防御工程标准，强化森林草原防、灭火基础设施建设，加快重点河段治理、山洪灾害防治和病险水库除险加固，抓好防震减灾相关工作。加强消防安全综合治理，强化消防安全责任制度落实，推进专职消防队伍建设。加大群防群治力度，开展“智慧消防”建设，提高智能化、信息化监管水平。加强公共消防设施建设，将消防救援站点纳入城市空间发展布局同步规划，预留消防救援站点用地，完善灭火和综合应急救援网络。加强应急管理、应急处置和专家咨询队伍建设，配备适应经济社会发展的应急救援装备，构建多元化灭火和综合应急救援队伍，完善提高事故防范和应急处置能力。</w:t>
      </w:r>
    </w:p>
    <w:p w14:paraId="0CC0E632">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（六）全力服务国防和军队现代化建设</w:t>
      </w:r>
    </w:p>
    <w:p w14:paraId="5FAC1C08">
      <w:pPr>
        <w:topLinePunct/>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深入推进经济建设项目贯彻国防要求，国防建设融入经济社会发展，落实国防和国防科技工业领域重大工程。深化资源要素共享，强化政策制度协调，加快基础设施、国防科技工业、生物安全等领域协调发展步伐，加快卫星应用、稀贵金属新材料、生物医药、新能源、人工智能、应急救援等新兴领域军民融合，统筹推进军地共建共用共享，完善国防动员体系，推动平战结合、应急应战一体化建设，加快“智慧动员”建设。强化全民国防教育，加强拥军优属工作，推进美丽军营建设，巩固军政军民团结。</w:t>
      </w:r>
      <w:bookmarkStart w:id="520" w:name="_Toc61644845"/>
      <w:bookmarkStart w:id="521" w:name="_Toc59205918"/>
    </w:p>
    <w:p w14:paraId="099C2278">
      <w:pPr>
        <w:topLinePunct/>
        <w:spacing w:line="560" w:lineRule="exact"/>
        <w:jc w:val="center"/>
        <w:rPr>
          <w:rFonts w:eastAsia="黑体"/>
          <w:b/>
          <w:sz w:val="32"/>
          <w:szCs w:val="32"/>
        </w:rPr>
      </w:pPr>
      <w:r>
        <w:rPr>
          <w:rFonts w:eastAsia="黑体"/>
          <w:sz w:val="32"/>
          <w:szCs w:val="32"/>
        </w:rPr>
        <w:t xml:space="preserve">第十五章 </w:t>
      </w:r>
      <w:bookmarkEnd w:id="509"/>
      <w:bookmarkEnd w:id="510"/>
      <w:bookmarkEnd w:id="511"/>
      <w:bookmarkEnd w:id="512"/>
      <w:bookmarkEnd w:id="513"/>
      <w:bookmarkEnd w:id="514"/>
      <w:bookmarkEnd w:id="515"/>
      <w:bookmarkEnd w:id="516"/>
      <w:bookmarkEnd w:id="517"/>
      <w:r>
        <w:rPr>
          <w:rFonts w:eastAsia="黑体"/>
          <w:sz w:val="32"/>
          <w:szCs w:val="32"/>
        </w:rPr>
        <w:t>规划实施保障</w:t>
      </w:r>
      <w:bookmarkEnd w:id="520"/>
      <w:bookmarkEnd w:id="521"/>
    </w:p>
    <w:p w14:paraId="1E63A334">
      <w:pPr>
        <w:topLinePunct/>
        <w:spacing w:line="560" w:lineRule="exact"/>
        <w:ind w:firstLine="640"/>
        <w:rPr>
          <w:rFonts w:eastAsia="仿宋_GB2312"/>
          <w:color w:val="000000" w:themeColor="text1"/>
          <w:sz w:val="32"/>
          <w:szCs w:val="32"/>
          <w14:textFill>
            <w14:solidFill>
              <w14:schemeClr w14:val="tx1"/>
            </w14:solidFill>
          </w14:textFill>
        </w:rPr>
      </w:pPr>
      <w:bookmarkStart w:id="522" w:name="_Toc59205919"/>
      <w:bookmarkStart w:id="523" w:name="_Toc14035"/>
      <w:bookmarkStart w:id="524" w:name="_Toc3162"/>
      <w:r>
        <w:rPr>
          <w:rFonts w:eastAsia="仿宋_GB2312"/>
          <w:color w:val="000000" w:themeColor="text1"/>
          <w:sz w:val="32"/>
          <w:szCs w:val="32"/>
          <w14:textFill>
            <w14:solidFill>
              <w14:schemeClr w14:val="tx1"/>
            </w14:solidFill>
          </w14:textFill>
        </w:rPr>
        <w:t>本《纲要》是由区人民政府编制，并经区人民代表大会批准的国民经济和社会发展总体规划。必须坚持党对规划工作的集中统一领导，充分调动各方面的积极性、主动性和创造性，形成推动规划实施的强大合力，将美好蓝图切实转化为发展实效。</w:t>
      </w:r>
      <w:bookmarkStart w:id="525" w:name="_Toc61644846"/>
    </w:p>
    <w:p w14:paraId="715E0465">
      <w:pPr>
        <w:topLinePunct/>
        <w:spacing w:line="560" w:lineRule="exact"/>
        <w:ind w:firstLine="640"/>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一、坚持和加强党的全面领导</w:t>
      </w:r>
      <w:bookmarkEnd w:id="522"/>
      <w:bookmarkEnd w:id="525"/>
    </w:p>
    <w:p w14:paraId="30AF0BEC">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（一）坚持党的全面领导</w:t>
      </w:r>
    </w:p>
    <w:p w14:paraId="179BAA0F">
      <w:pPr>
        <w:topLinePunct/>
        <w:spacing w:line="560" w:lineRule="exact"/>
        <w:ind w:firstLine="640"/>
        <w:rPr>
          <w:rFonts w:eastAsia="仿宋_GB2312"/>
          <w:bCs/>
          <w:color w:val="000000" w:themeColor="text1"/>
          <w:sz w:val="32"/>
          <w:szCs w:val="32"/>
          <w14:textFill>
            <w14:solidFill>
              <w14:schemeClr w14:val="tx1"/>
            </w14:solidFill>
          </w14:textFill>
        </w:rPr>
      </w:pPr>
      <w:r>
        <w:rPr>
          <w:rFonts w:eastAsia="仿宋_GB2312"/>
          <w:bCs/>
          <w:color w:val="000000" w:themeColor="text1"/>
          <w:sz w:val="32"/>
          <w:szCs w:val="32"/>
          <w14:textFill>
            <w14:solidFill>
              <w14:schemeClr w14:val="tx1"/>
            </w14:solidFill>
          </w14:textFill>
        </w:rPr>
        <w:t>坚持用习近平新时代中国特色社会主义思想武装头脑、指导实践、推动工作，增强“四个意识”，坚定“四个自信”，做到“两个维护”，确保党在推动国民经济和社会发展中始终总揽全局、协调各方，为实现“十四五”规划目标任务提供坚强组织保证。坚持和完善党领导经济社会发展的体制机制，创新改进工作理念和方式方法，充分把握新阶段经济社会发展的内在要求和运行规律。完善信息发布制度，全面推行党务公开。健全完善党的基层组织体系，着力推进乡村、城市社区、非公有制经济组织、社会组织等基层党组织建设，全面提升基层党建工作科学化水平。</w:t>
      </w:r>
    </w:p>
    <w:p w14:paraId="011EACB6">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（二）推动全面从严治党纵深发展</w:t>
      </w:r>
    </w:p>
    <w:p w14:paraId="3E1733F9">
      <w:pPr>
        <w:topLinePunct/>
        <w:spacing w:line="560" w:lineRule="exact"/>
        <w:ind w:firstLine="640"/>
        <w:rPr>
          <w:rFonts w:eastAsia="仿宋_GB2312"/>
          <w:bCs/>
          <w:color w:val="000000" w:themeColor="text1"/>
          <w:sz w:val="32"/>
          <w:szCs w:val="32"/>
          <w14:textFill>
            <w14:solidFill>
              <w14:schemeClr w14:val="tx1"/>
            </w14:solidFill>
          </w14:textFill>
        </w:rPr>
      </w:pPr>
      <w:r>
        <w:rPr>
          <w:rFonts w:eastAsia="仿宋_GB2312"/>
          <w:bCs/>
          <w:color w:val="000000" w:themeColor="text1"/>
          <w:sz w:val="32"/>
          <w:szCs w:val="32"/>
          <w14:textFill>
            <w14:solidFill>
              <w14:schemeClr w14:val="tx1"/>
            </w14:solidFill>
          </w14:textFill>
        </w:rPr>
        <w:t>落实全面从严治党主体责任、监督责任，全面推进党的政治建设、思想建设、组织建设、作风建设、纪律建设，提高党的建设质量。坚持和完善党和国家监督体系，健全党统一领导、全面覆盖、权威高效的监督体系，形成决策科学、执行坚决、监督有力的权力运行机制。推进纪律监督、监察监督、派驻监督、巡视监督统筹衔接，以党内监督为主导、推动各类监督贯通协调，形成常态长效的监督合力。强化政治监督，深化纪检监察体制改革，加大巡察向基层延伸力度，精准运用监督执纪“四种形态”。锲而不舍落实中央八项规定精神，持续纠治形式主义、官僚主义，切实防止享乐主义、奢靡之风反弹回潮，坚决整治群众身边的腐败和不正之风。坚持无禁区、全覆盖、零容忍，一体推进不敢腐、不能腐、不想腐，营造风清气正的良好政治生态和发展环境，深入推进党风廉政建设和反腐败斗争。</w:t>
      </w:r>
    </w:p>
    <w:p w14:paraId="19C346A8">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（三）打造高素质专业化干部队伍</w:t>
      </w:r>
    </w:p>
    <w:p w14:paraId="577D0249">
      <w:pPr>
        <w:topLinePunct/>
        <w:spacing w:line="560" w:lineRule="exact"/>
        <w:ind w:firstLine="640"/>
        <w:rPr>
          <w:rFonts w:eastAsia="仿宋_GB2312"/>
          <w:bCs/>
          <w:color w:val="000000" w:themeColor="text1"/>
          <w:sz w:val="32"/>
          <w:szCs w:val="32"/>
          <w14:textFill>
            <w14:solidFill>
              <w14:schemeClr w14:val="tx1"/>
            </w14:solidFill>
          </w14:textFill>
        </w:rPr>
      </w:pPr>
      <w:r>
        <w:rPr>
          <w:rFonts w:eastAsia="仿宋_GB2312"/>
          <w:bCs/>
          <w:color w:val="000000" w:themeColor="text1"/>
          <w:sz w:val="32"/>
          <w:szCs w:val="32"/>
          <w14:textFill>
            <w14:solidFill>
              <w14:schemeClr w14:val="tx1"/>
            </w14:solidFill>
          </w14:textFill>
        </w:rPr>
        <w:t>全面贯彻新时代党的组织路线，加强干部队伍建设，落实好干部标准，健全干部成长选育管用全链条机制，完善全面、立体的察人识人机制，建立综合集成、横向衔接、纵向贯通的选人用人工作闭环体系。强化年轻干部培养锻炼，强化对敢担当、善作为干部的激励保护，以正确的用人导向引领干事创业，努力培养和造就一支高素质、敢担当、善作为的专业化干部队伍。完善考核评价体系，把高质量发展综合绩效评价结果作为各级领导班子和领导干部综合考核评价、干部奖惩任免的重要依据，最大限度调动领导干部的积极性和创造力。</w:t>
      </w:r>
    </w:p>
    <w:p w14:paraId="1BBA8565">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（四）凝聚各方力量团结奋斗</w:t>
      </w:r>
    </w:p>
    <w:p w14:paraId="53E92E5C">
      <w:pPr>
        <w:topLinePunct/>
        <w:spacing w:line="560" w:lineRule="exact"/>
        <w:ind w:firstLine="640"/>
        <w:rPr>
          <w:rFonts w:eastAsia="仿宋_GB2312"/>
          <w:bCs/>
          <w:color w:val="000000" w:themeColor="text1"/>
          <w:sz w:val="32"/>
          <w:szCs w:val="32"/>
          <w14:textFill>
            <w14:solidFill>
              <w14:schemeClr w14:val="tx1"/>
            </w14:solidFill>
          </w14:textFill>
        </w:rPr>
      </w:pPr>
      <w:r>
        <w:rPr>
          <w:rFonts w:eastAsia="仿宋_GB2312"/>
          <w:bCs/>
          <w:color w:val="000000" w:themeColor="text1"/>
          <w:sz w:val="32"/>
          <w:szCs w:val="32"/>
          <w14:textFill>
            <w14:solidFill>
              <w14:schemeClr w14:val="tx1"/>
            </w14:solidFill>
          </w14:textFill>
        </w:rPr>
        <w:t>坚持和完善人民代表大会制度，支持人大及其常委会依法行使职权，健全人大对“一府一委两院”的监督制度。坚持和完善中国共产党领导的多党合作和政治协商制度，加强人民政协专门协商机构建设，发挥社会主义协商民主独特优势，提高建言资政和凝聚共识水平。健全基层群众自治制度，增强群众自我管理、自我服务、自我教育、自我监督实效。全面贯彻党的宗教工作基本方针，积极引导宗教与社会主义社会相适应。充分发挥工会、共青团、妇联等群团组织作用，把各自联系的群众紧紧凝聚在党的周围。完善大统战工作格局，充分发挥各民主党派、工商联、无党派和新的社会阶层人士作用，促进政党关系、民族关系、宗教关系、阶层关系、海内外同胞关系和谐，加强港澳台侨工作，搭建港澳台侨、归国人员和企业的鼓励扶持平台，全面贯彻党的侨务政策，凝聚侨心、服务大局。激发人民建设美好家园的主人翁意识。加强军地合作，积极支持驻区部队建设和军队改革，加快军民融合深度发展。全面深入持久开展民族团结进步示范创建，正向激励，示范引领，</w:t>
      </w:r>
      <w:r>
        <w:rPr>
          <w:rFonts w:hint="eastAsia" w:eastAsia="仿宋_GB2312"/>
          <w:bCs/>
          <w:color w:val="000000" w:themeColor="text1"/>
          <w:sz w:val="32"/>
          <w:szCs w:val="32"/>
          <w:lang w:eastAsia="zh-CN"/>
          <w14:textFill>
            <w14:solidFill>
              <w14:schemeClr w14:val="tx1"/>
            </w14:solidFill>
          </w14:textFill>
        </w:rPr>
        <w:t>铸牢中华民族共同体意识</w:t>
      </w:r>
      <w:r>
        <w:rPr>
          <w:rFonts w:eastAsia="仿宋_GB2312"/>
          <w:bCs/>
          <w:color w:val="000000" w:themeColor="text1"/>
          <w:sz w:val="32"/>
          <w:szCs w:val="32"/>
          <w14:textFill>
            <w14:solidFill>
              <w14:schemeClr w14:val="tx1"/>
            </w14:solidFill>
          </w14:textFill>
        </w:rPr>
        <w:t>，促进各民族共同团结奋斗，共同繁荣发展。</w:t>
      </w:r>
      <w:bookmarkStart w:id="526" w:name="_Toc59205920"/>
      <w:bookmarkStart w:id="527" w:name="_Toc4379"/>
      <w:bookmarkStart w:id="528" w:name="_Toc13945"/>
      <w:bookmarkStart w:id="529" w:name="_Toc7736"/>
      <w:bookmarkStart w:id="530" w:name="_Toc16898"/>
      <w:bookmarkStart w:id="531" w:name="_Toc12908"/>
      <w:bookmarkStart w:id="532" w:name="_Toc61644847"/>
      <w:bookmarkStart w:id="533" w:name="_Toc14861"/>
      <w:bookmarkStart w:id="534" w:name="_Toc2799"/>
      <w:bookmarkStart w:id="535" w:name="_Toc13082"/>
    </w:p>
    <w:p w14:paraId="70037387">
      <w:pPr>
        <w:topLinePunct/>
        <w:spacing w:line="560" w:lineRule="exact"/>
        <w:ind w:firstLine="640"/>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二、加强规划衔接协调</w:t>
      </w:r>
      <w:bookmarkEnd w:id="523"/>
      <w:bookmarkEnd w:id="524"/>
      <w:bookmarkEnd w:id="526"/>
      <w:bookmarkEnd w:id="527"/>
      <w:bookmarkEnd w:id="528"/>
      <w:bookmarkEnd w:id="529"/>
      <w:bookmarkEnd w:id="530"/>
      <w:bookmarkEnd w:id="531"/>
      <w:bookmarkEnd w:id="532"/>
      <w:bookmarkEnd w:id="533"/>
      <w:bookmarkEnd w:id="534"/>
      <w:bookmarkEnd w:id="535"/>
    </w:p>
    <w:p w14:paraId="7E24D330">
      <w:pPr>
        <w:topLinePunct/>
        <w:spacing w:line="560" w:lineRule="exact"/>
        <w:ind w:firstLine="640"/>
        <w:rPr>
          <w:bCs/>
          <w:color w:val="000000" w:themeColor="text1"/>
          <w:sz w:val="32"/>
          <w:szCs w:val="32"/>
          <w14:textFill>
            <w14:solidFill>
              <w14:schemeClr w14:val="tx1"/>
            </w14:solidFill>
          </w14:textFill>
        </w:rPr>
      </w:pPr>
      <w:r>
        <w:rPr>
          <w:rFonts w:eastAsia="仿宋_GB2312"/>
          <w:bCs/>
          <w:color w:val="000000" w:themeColor="text1"/>
          <w:sz w:val="32"/>
          <w:szCs w:val="32"/>
          <w14:textFill>
            <w14:solidFill>
              <w14:schemeClr w14:val="tx1"/>
            </w14:solidFill>
          </w14:textFill>
        </w:rPr>
        <w:t>加强规划编制的制度性管理，以国民经济和社会发展总体规划为统领，以专项规划、城乡规划和土地利用规划为承载，加快形成各类规划定位清晰、相互衔接、功能互补的规划体系。全区各部门</w:t>
      </w:r>
      <w:bookmarkStart w:id="536" w:name="_Toc2063"/>
      <w:bookmarkStart w:id="537" w:name="_Toc29539"/>
      <w:bookmarkStart w:id="538" w:name="_Toc1343"/>
      <w:bookmarkStart w:id="539" w:name="_Toc29270"/>
      <w:r>
        <w:rPr>
          <w:rFonts w:eastAsia="仿宋_GB2312"/>
          <w:bCs/>
          <w:color w:val="000000" w:themeColor="text1"/>
          <w:sz w:val="32"/>
          <w:szCs w:val="32"/>
          <w14:textFill>
            <w14:solidFill>
              <w14:schemeClr w14:val="tx1"/>
            </w14:solidFill>
          </w14:textFill>
        </w:rPr>
        <w:t>在制定本级专项、本区域规划时，自觉服从本规划《纲要》的安排部署，在制定政策、审批和核准项目、安排财务支出时，不得违反本规划《纲要》的强制性和约束性规定，区政府各部门要注意将规划《纲要》确定的相关任务纳入本部门年度计划，及时将进展情况向区人民政府汇报。</w:t>
      </w:r>
      <w:bookmarkEnd w:id="536"/>
      <w:bookmarkEnd w:id="537"/>
      <w:bookmarkEnd w:id="538"/>
      <w:bookmarkEnd w:id="539"/>
    </w:p>
    <w:tbl>
      <w:tblPr>
        <w:tblStyle w:val="42"/>
        <w:tblW w:w="88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73"/>
      </w:tblGrid>
      <w:tr w14:paraId="1EE9D3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873" w:type="dxa"/>
            <w:tcBorders>
              <w:top w:val="single" w:color="auto" w:sz="4" w:space="0"/>
              <w:left w:val="single" w:color="auto" w:sz="4" w:space="0"/>
              <w:bottom w:val="single" w:color="auto" w:sz="4" w:space="0"/>
              <w:right w:val="single" w:color="auto" w:sz="4" w:space="0"/>
            </w:tcBorders>
            <w:shd w:val="clear" w:color="auto" w:fill="auto"/>
          </w:tcPr>
          <w:p w14:paraId="76C453DC">
            <w:pPr>
              <w:topLinePunct/>
              <w:jc w:val="center"/>
              <w:rPr>
                <w:rFonts w:eastAsia="仿宋_GB2312"/>
                <w:color w:val="000000" w:themeColor="text1"/>
                <w:sz w:val="24"/>
                <w14:textFill>
                  <w14:solidFill>
                    <w14:schemeClr w14:val="tx1"/>
                  </w14:solidFill>
                </w14:textFill>
              </w:rPr>
            </w:pPr>
            <w:r>
              <w:rPr>
                <w:rFonts w:eastAsia="黑体"/>
                <w:color w:val="000000" w:themeColor="text1"/>
                <w:sz w:val="28"/>
                <w:szCs w:val="28"/>
                <w14:textFill>
                  <w14:solidFill>
                    <w14:schemeClr w14:val="tx1"/>
                  </w14:solidFill>
                </w14:textFill>
              </w:rPr>
              <w:t>专栏34 支撑“十四五”规划《纲要》的专项规划</w:t>
            </w:r>
          </w:p>
        </w:tc>
      </w:tr>
      <w:tr w14:paraId="363AFD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73" w:type="dxa"/>
            <w:tcBorders>
              <w:top w:val="single" w:color="auto" w:sz="4" w:space="0"/>
              <w:left w:val="single" w:color="auto" w:sz="4" w:space="0"/>
              <w:bottom w:val="single" w:color="auto" w:sz="4" w:space="0"/>
              <w:right w:val="single" w:color="auto" w:sz="4" w:space="0"/>
            </w:tcBorders>
            <w:shd w:val="clear" w:color="auto" w:fill="auto"/>
          </w:tcPr>
          <w:p w14:paraId="5174ADD7">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1.《西山区“十四五”重大项目建设规划》（区发展改革局牵头）</w:t>
            </w:r>
          </w:p>
          <w:p w14:paraId="10D1BFB3">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2.《西山区“十四五”人口发展专项规划》（区发展改革局牵头）</w:t>
            </w:r>
          </w:p>
          <w:p w14:paraId="7B717BE1">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3.《西山区“十四五”能源（含可再生能源）发展规划》（区发展改革局牵头）</w:t>
            </w:r>
          </w:p>
          <w:p w14:paraId="2D962AA2">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4.《西山区“十四五”粮食和物资储备发展规划》（区发展改革局牵头）</w:t>
            </w:r>
          </w:p>
          <w:p w14:paraId="4CCF4DDA">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5.《西山区“十四五”楼宇经济产业生态圈发展规划》（区发展改革局、区商务投资促进局牵头）</w:t>
            </w:r>
          </w:p>
          <w:p w14:paraId="4AF7C72B">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6.《西山区“夜经济”发展规划》（区发展改革局、区委政研室、区商务投资促进局牵头）</w:t>
            </w:r>
          </w:p>
          <w:p w14:paraId="14094136">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7.《西山区“十四五”现代服务业发展规划》（区发展改革局、区商务投资促进局牵头）</w:t>
            </w:r>
          </w:p>
          <w:p w14:paraId="5C29C84B">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8.《西山区“十四五”新型城镇化发展规划》（区发展改革局牵头）</w:t>
            </w:r>
          </w:p>
          <w:p w14:paraId="56B772EF">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9.《西山区“十四五”工业高质量发展规划》（区科技工信局牵头）</w:t>
            </w:r>
          </w:p>
          <w:p w14:paraId="35530743">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10.《西山区“十四五”科技创新发展规划》（区科技工信局牵头）</w:t>
            </w:r>
          </w:p>
          <w:p w14:paraId="2F069F3C">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11.《西山区“十四五”信息化发展规划》（区科技工信局牵头）</w:t>
            </w:r>
          </w:p>
          <w:p w14:paraId="7E839BB0">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12.《西山区“十四五”数字经济发展规划》（区科技工信局牵头）</w:t>
            </w:r>
          </w:p>
          <w:p w14:paraId="2747B22F">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13.《西山区“十四五”民政事业发展规划》（区民政局牵头）</w:t>
            </w:r>
          </w:p>
          <w:p w14:paraId="6E5780BD">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14.《西山区“十四五”养老事业及银发经济发展规划》（区民政局牵头）</w:t>
            </w:r>
          </w:p>
          <w:p w14:paraId="6AF2B84D">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15.《西山区“十四五”应急管理发展规划》（区应急局牵头）</w:t>
            </w:r>
          </w:p>
          <w:p w14:paraId="167D7F5D">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16.《西山区“十四五”消防救援事业发展规划》（区应急局牵头）</w:t>
            </w:r>
          </w:p>
          <w:p w14:paraId="2820BF0C">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17.《西山区“十四五”污染防治规划（含水污染、重金属污染防治）》（区生态环境分局牵头）</w:t>
            </w:r>
          </w:p>
          <w:p w14:paraId="35D05E74">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18.《西山区“十四五”生态环境保护规划》（区生态环境分局牵头）</w:t>
            </w:r>
          </w:p>
          <w:p w14:paraId="14AEF6CD">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19.《西山区“十四五”文化和旅游发展规划》（区文化和旅游局牵头）</w:t>
            </w:r>
          </w:p>
          <w:p w14:paraId="39761A53">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20.《西山区草海水旅游发展规划》（区文化和旅游局牵头）</w:t>
            </w:r>
          </w:p>
          <w:p w14:paraId="0E0184FA">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21.《西山区“十四五”农村交通发展规划》（区交通运输局牵头）</w:t>
            </w:r>
          </w:p>
          <w:p w14:paraId="03758228">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22.《西山区“十四五”城市交通发展规划》（区住房城乡建设局牵头）</w:t>
            </w:r>
          </w:p>
          <w:p w14:paraId="4DA849F3">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23.《西山区“十四五”高原特色都市现代农业发展规划》（区农业农村局牵头）</w:t>
            </w:r>
          </w:p>
          <w:p w14:paraId="78E86BD6">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24.《西山区“十四五”商务发展规划》（区商务投资促进局牵头）</w:t>
            </w:r>
          </w:p>
          <w:p w14:paraId="4CABF777">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25.《西山区“十四五”教育体育发展规划》（区教育体育局牵头）</w:t>
            </w:r>
          </w:p>
          <w:p w14:paraId="2D7BE52D">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26.《西山区“十四五”卫生与健康规划》（区卫生健康局牵头）</w:t>
            </w:r>
          </w:p>
          <w:p w14:paraId="11AF8D79">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27.《西山区“十四五”加强精细化城市管理规划》（区城市管理局牵头）</w:t>
            </w:r>
          </w:p>
          <w:p w14:paraId="6E2493B7">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28.《西山区“十四五”文化创意产业发展规划》（区委宣传部牵头）</w:t>
            </w:r>
          </w:p>
          <w:p w14:paraId="789D4170">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29.《西山区“十四五”大健康产业发展规划》（区大健康办牵头）</w:t>
            </w:r>
          </w:p>
          <w:p w14:paraId="3785F5D2">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30.《西山区“十四五”林业和草原发展规划》（区自然资源局牵头）</w:t>
            </w:r>
          </w:p>
          <w:p w14:paraId="7C0599CB">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31.《西山区“十四五”市场监管服务规划》（区市场监管局牵头）</w:t>
            </w:r>
          </w:p>
          <w:p w14:paraId="4B0F569F">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32.《西山区“十四五”军民融合发展规划》（区退役军人局牵头）</w:t>
            </w:r>
          </w:p>
          <w:p w14:paraId="24AE2269">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33.《西山区“十四五”水务发展规划》（区水务局牵头）</w:t>
            </w:r>
          </w:p>
          <w:p w14:paraId="75D413BE">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34.《西山区“十四五”人力资源和社会保障事业发展专项规划》（区人力资源社会保障局牵头）</w:t>
            </w:r>
          </w:p>
          <w:p w14:paraId="03D6B333">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35.《昆明长坡产业新城发展总体规划暨</w:t>
            </w:r>
            <w:r>
              <w:rPr>
                <w:rFonts w:hint="eastAsia" w:eastAsia="仿宋_GB2312"/>
                <w:color w:val="000000" w:themeColor="text1"/>
                <w:sz w:val="24"/>
                <w:lang w:eastAsia="zh-CN"/>
                <w14:textFill>
                  <w14:solidFill>
                    <w14:schemeClr w14:val="tx1"/>
                  </w14:solidFill>
                </w14:textFill>
              </w:rPr>
              <w:t>“十四五”规划</w:t>
            </w:r>
            <w:r>
              <w:rPr>
                <w:rFonts w:eastAsia="仿宋_GB2312"/>
                <w:color w:val="000000" w:themeColor="text1"/>
                <w:sz w:val="24"/>
                <w14:textFill>
                  <w14:solidFill>
                    <w14:schemeClr w14:val="tx1"/>
                  </w14:solidFill>
                </w14:textFill>
              </w:rPr>
              <w:t>研究报告》（长坡物流园区管委会牵头）</w:t>
            </w:r>
          </w:p>
          <w:p w14:paraId="41A79463">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36.《昆明海口工业园“十四五”产城融合发展规划》（海口工业园区管委会牵头）</w:t>
            </w:r>
          </w:p>
        </w:tc>
      </w:tr>
    </w:tbl>
    <w:p w14:paraId="79AE84B5">
      <w:pPr>
        <w:ind w:firstLine="640" w:firstLineChars="200"/>
        <w:rPr>
          <w:rFonts w:eastAsia="黑体"/>
          <w:sz w:val="32"/>
          <w:szCs w:val="32"/>
        </w:rPr>
      </w:pPr>
      <w:bookmarkStart w:id="540" w:name="_Toc21441"/>
      <w:bookmarkStart w:id="541" w:name="_Toc22622"/>
      <w:bookmarkStart w:id="542" w:name="_Toc6439"/>
      <w:bookmarkStart w:id="543" w:name="_Toc21046"/>
      <w:bookmarkStart w:id="544" w:name="_Toc29501"/>
      <w:bookmarkStart w:id="545" w:name="_Toc25768"/>
      <w:bookmarkStart w:id="546" w:name="_Toc11716"/>
      <w:bookmarkStart w:id="547" w:name="_Toc59205921"/>
      <w:bookmarkStart w:id="548" w:name="_Toc61644848"/>
      <w:bookmarkStart w:id="549" w:name="_Toc11057"/>
      <w:r>
        <w:rPr>
          <w:rFonts w:eastAsia="黑体"/>
          <w:sz w:val="32"/>
          <w:szCs w:val="32"/>
        </w:rPr>
        <w:t>三、强化配套要素保障</w:t>
      </w:r>
      <w:bookmarkEnd w:id="540"/>
      <w:bookmarkEnd w:id="541"/>
      <w:bookmarkEnd w:id="542"/>
      <w:bookmarkEnd w:id="543"/>
      <w:bookmarkEnd w:id="544"/>
      <w:bookmarkEnd w:id="545"/>
      <w:bookmarkEnd w:id="546"/>
      <w:bookmarkEnd w:id="547"/>
      <w:bookmarkEnd w:id="548"/>
      <w:bookmarkEnd w:id="549"/>
    </w:p>
    <w:p w14:paraId="4D076394">
      <w:pPr>
        <w:topLinePunct/>
        <w:spacing w:line="560" w:lineRule="exact"/>
        <w:ind w:firstLine="640"/>
        <w:outlineLvl w:val="2"/>
        <w:rPr>
          <w:rFonts w:eastAsia="楷体_GB2312"/>
          <w:color w:val="000000" w:themeColor="text1"/>
          <w:sz w:val="32"/>
          <w:szCs w:val="32"/>
          <w14:textFill>
            <w14:solidFill>
              <w14:schemeClr w14:val="tx1"/>
            </w14:solidFill>
          </w14:textFill>
        </w:rPr>
      </w:pPr>
      <w:bookmarkStart w:id="550" w:name="_Toc437970607"/>
      <w:bookmarkStart w:id="551" w:name="_Toc425499680"/>
      <w:bookmarkStart w:id="552" w:name="_Toc26892"/>
      <w:bookmarkStart w:id="553" w:name="_Toc17941"/>
      <w:bookmarkStart w:id="554" w:name="_Toc432063059"/>
      <w:bookmarkStart w:id="555" w:name="_Toc438377923"/>
      <w:bookmarkStart w:id="556" w:name="_Toc13927"/>
      <w:bookmarkStart w:id="557" w:name="_Toc438757996"/>
      <w:r>
        <w:rPr>
          <w:rFonts w:eastAsia="楷体_GB2312"/>
          <w:color w:val="000000" w:themeColor="text1"/>
          <w:sz w:val="32"/>
          <w:szCs w:val="32"/>
          <w14:textFill>
            <w14:solidFill>
              <w14:schemeClr w14:val="tx1"/>
            </w14:solidFill>
          </w14:textFill>
        </w:rPr>
        <w:t>（一）完善配套政策体系</w:t>
      </w:r>
      <w:bookmarkEnd w:id="550"/>
      <w:bookmarkEnd w:id="551"/>
      <w:bookmarkEnd w:id="552"/>
      <w:bookmarkEnd w:id="553"/>
      <w:bookmarkEnd w:id="554"/>
      <w:bookmarkEnd w:id="555"/>
      <w:bookmarkEnd w:id="556"/>
      <w:bookmarkEnd w:id="557"/>
    </w:p>
    <w:p w14:paraId="6C86A7A1">
      <w:pPr>
        <w:topLinePunct/>
        <w:spacing w:line="560" w:lineRule="exact"/>
        <w:ind w:firstLine="640"/>
        <w:rPr>
          <w:rFonts w:eastAsia="仿宋_GB2312"/>
          <w:bCs/>
          <w:color w:val="000000" w:themeColor="text1"/>
          <w:sz w:val="32"/>
          <w:szCs w:val="32"/>
          <w14:textFill>
            <w14:solidFill>
              <w14:schemeClr w14:val="tx1"/>
            </w14:solidFill>
          </w14:textFill>
        </w:rPr>
      </w:pPr>
      <w:r>
        <w:rPr>
          <w:rFonts w:eastAsia="仿宋_GB2312"/>
          <w:bCs/>
          <w:color w:val="000000" w:themeColor="text1"/>
          <w:sz w:val="32"/>
          <w:szCs w:val="32"/>
          <w14:textFill>
            <w14:solidFill>
              <w14:schemeClr w14:val="tx1"/>
            </w14:solidFill>
          </w14:textFill>
        </w:rPr>
        <w:t>在本规划《纲要》基础上，有效运用政府掌握的公共资源配置手段，完善和实施好配套政策，形成政策支撑框架体系。贯彻落实宏观调控政策，合理组合运用政策杠杆作用，加快制定和完善有利于都市经济加快发展、有利于现代服务业、高新技术产业等迅速崛起的综合经济政策，实现产业结构的调整、升级和优化。着力通过政策引导促进经济发展方式的转变，合理调控土地供应和城市开发强度，促进社会事业改革发展等。建立政策措施后评价机制，加强政策协调落实，并根据政策实施效果及时调整优化，形成政策合力。</w:t>
      </w:r>
    </w:p>
    <w:p w14:paraId="0A40F998">
      <w:pPr>
        <w:topLinePunct/>
        <w:spacing w:line="560" w:lineRule="exact"/>
        <w:ind w:firstLine="640"/>
        <w:outlineLvl w:val="2"/>
        <w:rPr>
          <w:rFonts w:eastAsia="楷体_GB2312"/>
          <w:color w:val="000000" w:themeColor="text1"/>
          <w:sz w:val="32"/>
          <w:szCs w:val="32"/>
          <w14:textFill>
            <w14:solidFill>
              <w14:schemeClr w14:val="tx1"/>
            </w14:solidFill>
          </w14:textFill>
        </w:rPr>
      </w:pPr>
      <w:bookmarkStart w:id="558" w:name="_Toc1861"/>
      <w:bookmarkStart w:id="559" w:name="_Toc31959"/>
      <w:bookmarkStart w:id="560" w:name="_Toc437970608"/>
      <w:bookmarkStart w:id="561" w:name="_Toc425499681"/>
      <w:bookmarkStart w:id="562" w:name="_Toc432063060"/>
      <w:bookmarkStart w:id="563" w:name="_Toc438757997"/>
      <w:bookmarkStart w:id="564" w:name="_Toc31194"/>
      <w:bookmarkStart w:id="565" w:name="_Toc438377924"/>
      <w:r>
        <w:rPr>
          <w:rFonts w:eastAsia="楷体_GB2312"/>
          <w:color w:val="000000" w:themeColor="text1"/>
          <w:sz w:val="32"/>
          <w:szCs w:val="32"/>
          <w14:textFill>
            <w14:solidFill>
              <w14:schemeClr w14:val="tx1"/>
            </w14:solidFill>
          </w14:textFill>
        </w:rPr>
        <w:t>（二）</w:t>
      </w:r>
      <w:bookmarkEnd w:id="558"/>
      <w:bookmarkEnd w:id="559"/>
      <w:bookmarkEnd w:id="560"/>
      <w:bookmarkEnd w:id="561"/>
      <w:bookmarkEnd w:id="562"/>
      <w:bookmarkEnd w:id="563"/>
      <w:bookmarkEnd w:id="564"/>
      <w:bookmarkEnd w:id="565"/>
      <w:r>
        <w:rPr>
          <w:rFonts w:eastAsia="楷体_GB2312"/>
          <w:color w:val="000000" w:themeColor="text1"/>
          <w:sz w:val="32"/>
          <w:szCs w:val="32"/>
          <w14:textFill>
            <w14:solidFill>
              <w14:schemeClr w14:val="tx1"/>
            </w14:solidFill>
          </w14:textFill>
        </w:rPr>
        <w:t>加快建立现代财政制度</w:t>
      </w:r>
    </w:p>
    <w:p w14:paraId="5D9F5C51">
      <w:pPr>
        <w:topLinePunct/>
        <w:spacing w:line="560" w:lineRule="exact"/>
        <w:ind w:firstLine="640"/>
        <w:rPr>
          <w:rFonts w:eastAsia="仿宋_GB2312"/>
          <w:bCs/>
          <w:color w:val="000000" w:themeColor="text1"/>
          <w:sz w:val="32"/>
          <w:szCs w:val="32"/>
          <w14:textFill>
            <w14:solidFill>
              <w14:schemeClr w14:val="tx1"/>
            </w14:solidFill>
          </w14:textFill>
        </w:rPr>
      </w:pPr>
      <w:r>
        <w:rPr>
          <w:rFonts w:eastAsia="仿宋_GB2312"/>
          <w:bCs/>
          <w:color w:val="000000" w:themeColor="text1"/>
          <w:sz w:val="32"/>
          <w:szCs w:val="32"/>
          <w14:textFill>
            <w14:solidFill>
              <w14:schemeClr w14:val="tx1"/>
            </w14:solidFill>
          </w14:textFill>
        </w:rPr>
        <w:t>按照“建立权责清晰、财力协调、区域均衡的中央与地方财政关系”的要求，科学合理界定我区应承担的财政事权和支出责任，按照“量力而行、尽力而为”的原则，合理确定基本公共服务保障地区标准，确保标准适度和民生政策可持续，推进基本公共服务均等化，从全局和战略的高度加快建立现代财政制度。</w:t>
      </w:r>
    </w:p>
    <w:p w14:paraId="6FB58746">
      <w:pPr>
        <w:topLinePunct/>
        <w:spacing w:line="560" w:lineRule="exact"/>
        <w:ind w:firstLine="640"/>
        <w:outlineLvl w:val="2"/>
        <w:rPr>
          <w:rFonts w:eastAsia="楷体_GB2312"/>
          <w:color w:val="000000" w:themeColor="text1"/>
          <w:sz w:val="32"/>
          <w:szCs w:val="32"/>
          <w14:textFill>
            <w14:solidFill>
              <w14:schemeClr w14:val="tx1"/>
            </w14:solidFill>
          </w14:textFill>
        </w:rPr>
      </w:pPr>
      <w:bookmarkStart w:id="566" w:name="_Toc437970610"/>
      <w:bookmarkStart w:id="567" w:name="_Toc30478"/>
      <w:bookmarkStart w:id="568" w:name="_Toc16224"/>
      <w:bookmarkStart w:id="569" w:name="_Toc438377926"/>
      <w:bookmarkStart w:id="570" w:name="_Toc425499683"/>
      <w:bookmarkStart w:id="571" w:name="_Toc432063062"/>
      <w:bookmarkStart w:id="572" w:name="_Toc438757999"/>
      <w:bookmarkStart w:id="573" w:name="_Toc31855"/>
      <w:r>
        <w:rPr>
          <w:rFonts w:eastAsia="楷体_GB2312"/>
          <w:color w:val="000000" w:themeColor="text1"/>
          <w:sz w:val="32"/>
          <w:szCs w:val="32"/>
          <w14:textFill>
            <w14:solidFill>
              <w14:schemeClr w14:val="tx1"/>
            </w14:solidFill>
          </w14:textFill>
        </w:rPr>
        <w:t>（三）建立多元融资模式</w:t>
      </w:r>
      <w:bookmarkEnd w:id="566"/>
      <w:bookmarkEnd w:id="567"/>
      <w:bookmarkEnd w:id="568"/>
      <w:bookmarkEnd w:id="569"/>
      <w:bookmarkEnd w:id="570"/>
      <w:bookmarkEnd w:id="571"/>
      <w:bookmarkEnd w:id="572"/>
      <w:bookmarkEnd w:id="573"/>
    </w:p>
    <w:p w14:paraId="2B4C00CE">
      <w:pPr>
        <w:topLinePunct/>
        <w:spacing w:line="560" w:lineRule="exact"/>
        <w:ind w:firstLine="640"/>
        <w:rPr>
          <w:rFonts w:eastAsia="仿宋_GB2312"/>
          <w:bCs/>
          <w:color w:val="000000" w:themeColor="text1"/>
          <w:sz w:val="32"/>
          <w:szCs w:val="32"/>
          <w14:textFill>
            <w14:solidFill>
              <w14:schemeClr w14:val="tx1"/>
            </w14:solidFill>
          </w14:textFill>
        </w:rPr>
      </w:pPr>
      <w:r>
        <w:rPr>
          <w:rFonts w:eastAsia="仿宋_GB2312"/>
          <w:bCs/>
          <w:color w:val="000000" w:themeColor="text1"/>
          <w:sz w:val="32"/>
          <w:szCs w:val="32"/>
          <w14:textFill>
            <w14:solidFill>
              <w14:schemeClr w14:val="tx1"/>
            </w14:solidFill>
          </w14:textFill>
        </w:rPr>
        <w:t>切实以项目建设作为规划实施的重要抓手，加快投融资改革，多方筹集资金，保障项目顺利建设。在保证财政投入、开展银行融资的基础上，积极吸引社会资本参与项目建设，形成“政府主导、市场运作、企业参与”的投入方式，采用PPP融资模式，探索解决政府项目建设中的资金难问题。进一步开放公共事业投融资、经营和作业市场，鼓励社会资本采取多种形式投资公共产品和准公共产品。尽快形成土地收储、供给、收益、再收储的城市经营滚动机制，为项目建设提供资金保障。</w:t>
      </w:r>
    </w:p>
    <w:p w14:paraId="6A64FDFB">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（四）系统推进招商引资</w:t>
      </w:r>
    </w:p>
    <w:p w14:paraId="042FC126">
      <w:pPr>
        <w:topLinePunct/>
        <w:spacing w:line="560" w:lineRule="exact"/>
        <w:ind w:firstLine="640"/>
        <w:rPr>
          <w:rFonts w:eastAsia="仿宋_GB2312"/>
          <w:bCs/>
          <w:color w:val="000000" w:themeColor="text1"/>
          <w:sz w:val="32"/>
          <w:szCs w:val="32"/>
          <w14:textFill>
            <w14:solidFill>
              <w14:schemeClr w14:val="tx1"/>
            </w14:solidFill>
          </w14:textFill>
        </w:rPr>
      </w:pPr>
      <w:r>
        <w:rPr>
          <w:rFonts w:eastAsia="仿宋_GB2312"/>
          <w:bCs/>
          <w:color w:val="000000" w:themeColor="text1"/>
          <w:sz w:val="32"/>
          <w:szCs w:val="32"/>
          <w14:textFill>
            <w14:solidFill>
              <w14:schemeClr w14:val="tx1"/>
            </w14:solidFill>
          </w14:textFill>
        </w:rPr>
        <w:t>强化招商引资，做好企业服务。聚焦全区产业转型升级关键领域，实施“大招商、招大商”行动，整合资源、强化保障、推动招商引资工作高速度高质量发展。突出招商重点，抓好产业招商。把“4×3”产业作为招商引资工作的主线抓实抓好，注重提升产业发展水平和壮大实体经济。坚持区级领导带队外出招商。大力实施“走出去”和“请进来”战略，以京津冀、长三角、珠三角经济圈以及成渝都市圈为外出重点招商区域，引入产业梯度转移项目和产业链延链补链项目，深入开展精准招商、以商招商、产业链招商，坚持把“招大”“招强”作为招商引资主攻方向。加强利用外资统筹工作力度，聚焦关键环节，狠抓项目落地。加强项目联动服务，精简审批事项，简化审批程序，优化审批流程，及时协调解决资金筹措、征地拆迁等问题，实行重点签约项目区级领导联系推进制，及时做好协调服务工作，推进项目尽早开工建设。</w:t>
      </w:r>
    </w:p>
    <w:p w14:paraId="577D453E">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（五）强化重大项目支撑</w:t>
      </w:r>
    </w:p>
    <w:p w14:paraId="17B31C40">
      <w:pPr>
        <w:topLinePunct/>
        <w:spacing w:line="560" w:lineRule="exact"/>
        <w:ind w:firstLine="640"/>
        <w:rPr>
          <w:rFonts w:eastAsia="仿宋_GB2312"/>
          <w:bCs/>
          <w:color w:val="000000" w:themeColor="text1"/>
          <w:sz w:val="32"/>
          <w:szCs w:val="32"/>
          <w14:textFill>
            <w14:solidFill>
              <w14:schemeClr w14:val="tx1"/>
            </w14:solidFill>
          </w14:textFill>
        </w:rPr>
      </w:pPr>
      <w:bookmarkStart w:id="574" w:name="_Toc18393"/>
      <w:bookmarkStart w:id="575" w:name="_Toc22453"/>
      <w:bookmarkStart w:id="576" w:name="_Toc438377927"/>
      <w:bookmarkStart w:id="577" w:name="_Toc438758000"/>
      <w:bookmarkStart w:id="578" w:name="_Toc425499684"/>
      <w:bookmarkStart w:id="579" w:name="_Toc437970611"/>
      <w:bookmarkStart w:id="580" w:name="_Toc15174"/>
      <w:bookmarkStart w:id="581" w:name="_Toc432063063"/>
      <w:bookmarkStart w:id="582" w:name="_Toc31463"/>
      <w:bookmarkStart w:id="583" w:name="_Toc989"/>
      <w:bookmarkStart w:id="584" w:name="_Toc26501"/>
      <w:bookmarkStart w:id="585" w:name="_Toc27304"/>
      <w:bookmarkStart w:id="586" w:name="_Toc20545"/>
      <w:bookmarkStart w:id="587" w:name="_Toc12659"/>
      <w:bookmarkStart w:id="588" w:name="_Toc13728"/>
      <w:bookmarkStart w:id="589" w:name="_Toc23973"/>
      <w:bookmarkStart w:id="590" w:name="_Toc10343"/>
      <w:bookmarkStart w:id="591" w:name="_Toc9597"/>
      <w:r>
        <w:rPr>
          <w:rFonts w:eastAsia="仿宋_GB2312"/>
          <w:bCs/>
          <w:color w:val="000000" w:themeColor="text1"/>
          <w:sz w:val="32"/>
          <w:szCs w:val="32"/>
          <w14:textFill>
            <w14:solidFill>
              <w14:schemeClr w14:val="tx1"/>
            </w14:solidFill>
          </w14:textFill>
        </w:rPr>
        <w:t>按照高质量发展要求，充分发挥重大项目对优化供给侧结构和实现有效投资的关键作用，聚焦基础设施、生态环保、产业发展、城市更新、乡村振兴、社会民生等领域，通过集中研究、储备、推动一批事关全区发展的关键性、标志性重大项目，增强经济社会发展动力，为规划期内各项指标和重点任务的顺利完成提供支撑和保障。</w:t>
      </w:r>
    </w:p>
    <w:p w14:paraId="7A10526A">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（六）强化人才培养</w:t>
      </w:r>
      <w:bookmarkEnd w:id="574"/>
      <w:bookmarkEnd w:id="575"/>
      <w:bookmarkEnd w:id="576"/>
      <w:bookmarkEnd w:id="577"/>
      <w:bookmarkEnd w:id="578"/>
      <w:bookmarkEnd w:id="579"/>
      <w:bookmarkEnd w:id="580"/>
      <w:bookmarkEnd w:id="581"/>
      <w:r>
        <w:rPr>
          <w:rFonts w:eastAsia="楷体_GB2312"/>
          <w:color w:val="000000" w:themeColor="text1"/>
          <w:sz w:val="32"/>
          <w:szCs w:val="32"/>
          <w14:textFill>
            <w14:solidFill>
              <w14:schemeClr w14:val="tx1"/>
            </w14:solidFill>
          </w14:textFill>
        </w:rPr>
        <w:t>保障</w:t>
      </w:r>
    </w:p>
    <w:p w14:paraId="0A072B0D">
      <w:pPr>
        <w:topLinePunct/>
        <w:spacing w:line="560" w:lineRule="exact"/>
        <w:ind w:firstLine="640"/>
        <w:rPr>
          <w:rFonts w:eastAsia="仿宋_GB2312"/>
          <w:bCs/>
          <w:color w:val="000000" w:themeColor="text1"/>
          <w:sz w:val="32"/>
          <w:szCs w:val="32"/>
          <w14:textFill>
            <w14:solidFill>
              <w14:schemeClr w14:val="tx1"/>
            </w14:solidFill>
          </w14:textFill>
        </w:rPr>
      </w:pPr>
      <w:r>
        <w:rPr>
          <w:rFonts w:eastAsia="仿宋_GB2312"/>
          <w:bCs/>
          <w:color w:val="000000" w:themeColor="text1"/>
          <w:sz w:val="32"/>
          <w:szCs w:val="32"/>
          <w14:textFill>
            <w14:solidFill>
              <w14:schemeClr w14:val="tx1"/>
            </w14:solidFill>
          </w14:textFill>
        </w:rPr>
        <w:t>加大高层次人才、紧缺人才的培养和引进力度，重点引进和培养造就一批有创新能力、在各自研究领域处于领先水平的高级人才，使我区成为昆明市的人才集聚高地。加大对党政、企业经营管理、专业技术、社会工作等各类创新人才的培养力度。创新人才激励机制，建立有利于优秀人才脱颖而出的用人机制，建立健全以品德、能力和业绩为重点的人才评价机制，探索形式多样、</w:t>
      </w:r>
      <w:r>
        <w:rPr>
          <w:rFonts w:eastAsia="仿宋_GB2312"/>
          <w:bCs/>
          <w:color w:val="000000" w:themeColor="text1"/>
          <w:spacing w:val="6"/>
          <w:sz w:val="32"/>
          <w:szCs w:val="32"/>
          <w14:textFill>
            <w14:solidFill>
              <w14:schemeClr w14:val="tx1"/>
            </w14:solidFill>
          </w14:textFill>
        </w:rPr>
        <w:t>自主灵活的分配激励机制，加强人才动态管理和干部人事制度改革。</w:t>
      </w:r>
      <w:bookmarkStart w:id="592" w:name="_Toc59205922"/>
      <w:bookmarkStart w:id="593" w:name="_Toc61644849"/>
    </w:p>
    <w:p w14:paraId="5AE396C6">
      <w:pPr>
        <w:topLinePunct/>
        <w:spacing w:line="560" w:lineRule="exact"/>
        <w:ind w:firstLine="640"/>
        <w:rPr>
          <w:rFonts w:eastAsia="黑体"/>
          <w:b/>
          <w:bCs/>
          <w:color w:val="000000" w:themeColor="text1"/>
          <w:sz w:val="32"/>
          <w:szCs w:val="32"/>
          <w14:textFill>
            <w14:solidFill>
              <w14:schemeClr w14:val="tx1"/>
            </w14:solidFill>
          </w14:textFill>
        </w:rPr>
      </w:pPr>
      <w:r>
        <w:rPr>
          <w:rFonts w:eastAsia="黑体"/>
          <w:bCs/>
          <w:color w:val="000000" w:themeColor="text1"/>
          <w:sz w:val="32"/>
          <w:szCs w:val="32"/>
          <w14:textFill>
            <w14:solidFill>
              <w14:schemeClr w14:val="tx1"/>
            </w14:solidFill>
          </w14:textFill>
        </w:rPr>
        <w:t>四、完善规划监督评估考核</w:t>
      </w:r>
      <w:bookmarkEnd w:id="582"/>
      <w:bookmarkEnd w:id="583"/>
      <w:bookmarkEnd w:id="584"/>
      <w:bookmarkEnd w:id="585"/>
      <w:bookmarkEnd w:id="586"/>
      <w:bookmarkEnd w:id="587"/>
      <w:bookmarkEnd w:id="588"/>
      <w:bookmarkEnd w:id="589"/>
      <w:bookmarkEnd w:id="590"/>
      <w:bookmarkEnd w:id="591"/>
      <w:bookmarkEnd w:id="592"/>
      <w:bookmarkEnd w:id="593"/>
    </w:p>
    <w:p w14:paraId="6AA0D462">
      <w:pPr>
        <w:topLinePunct/>
        <w:spacing w:line="560" w:lineRule="exact"/>
        <w:ind w:firstLine="640"/>
        <w:rPr>
          <w:rFonts w:eastAsia="仿宋_GB2312"/>
          <w:bCs/>
          <w:color w:val="000000" w:themeColor="text1"/>
          <w:sz w:val="32"/>
          <w:szCs w:val="32"/>
          <w14:textFill>
            <w14:solidFill>
              <w14:schemeClr w14:val="tx1"/>
            </w14:solidFill>
          </w14:textFill>
        </w:rPr>
      </w:pPr>
      <w:r>
        <w:rPr>
          <w:rFonts w:eastAsia="仿宋_GB2312"/>
          <w:bCs/>
          <w:color w:val="000000" w:themeColor="text1"/>
          <w:sz w:val="32"/>
          <w:szCs w:val="32"/>
          <w14:textFill>
            <w14:solidFill>
              <w14:schemeClr w14:val="tx1"/>
            </w14:solidFill>
          </w14:textFill>
        </w:rPr>
        <w:t>加强对本规划《纲要》实施情况的监督、评估和跟踪分析，及时提出预测、预警意见和阶段性实施建议，确保整个经济社会的正常运转。强化规划的社会监督，建立有利于规划实施的保障机制，维护规划的严肃性、权威性和有效性。</w:t>
      </w:r>
    </w:p>
    <w:p w14:paraId="6E2E0A0B">
      <w:pPr>
        <w:topLinePunct/>
        <w:spacing w:line="560" w:lineRule="exact"/>
        <w:ind w:firstLine="640"/>
        <w:outlineLvl w:val="2"/>
        <w:rPr>
          <w:rFonts w:eastAsia="楷体_GB2312"/>
          <w:color w:val="000000" w:themeColor="text1"/>
          <w:sz w:val="32"/>
          <w:szCs w:val="32"/>
          <w14:textFill>
            <w14:solidFill>
              <w14:schemeClr w14:val="tx1"/>
            </w14:solidFill>
          </w14:textFill>
        </w:rPr>
      </w:pPr>
      <w:bookmarkStart w:id="594" w:name="_Toc18316"/>
      <w:bookmarkStart w:id="595" w:name="_Toc437970615"/>
      <w:bookmarkStart w:id="596" w:name="_Toc438758004"/>
      <w:bookmarkStart w:id="597" w:name="_Toc432063067"/>
      <w:bookmarkStart w:id="598" w:name="_Toc425499688"/>
      <w:bookmarkStart w:id="599" w:name="_Toc438377931"/>
      <w:bookmarkStart w:id="600" w:name="_Toc15379"/>
      <w:bookmarkStart w:id="601" w:name="_Toc6703"/>
      <w:bookmarkStart w:id="602" w:name="_Toc3313"/>
      <w:bookmarkStart w:id="603" w:name="_Toc425499687"/>
      <w:bookmarkStart w:id="604" w:name="_Toc28274"/>
      <w:bookmarkStart w:id="605" w:name="_Toc438758003"/>
      <w:bookmarkStart w:id="606" w:name="_Toc367"/>
      <w:bookmarkStart w:id="607" w:name="_Toc432063066"/>
      <w:bookmarkStart w:id="608" w:name="_Toc438377930"/>
      <w:bookmarkStart w:id="609" w:name="_Toc437970614"/>
      <w:bookmarkStart w:id="610" w:name="_Toc21340"/>
      <w:bookmarkStart w:id="611" w:name="_Toc437970613"/>
      <w:bookmarkStart w:id="612" w:name="_Toc6752"/>
      <w:bookmarkStart w:id="613" w:name="_Toc425499686"/>
      <w:bookmarkStart w:id="614" w:name="_Toc12078"/>
      <w:bookmarkStart w:id="615" w:name="_Toc438377929"/>
      <w:bookmarkStart w:id="616" w:name="_Toc432063065"/>
      <w:bookmarkStart w:id="617" w:name="_Toc438758002"/>
      <w:r>
        <w:rPr>
          <w:rFonts w:eastAsia="楷体_GB2312"/>
          <w:color w:val="000000" w:themeColor="text1"/>
          <w:sz w:val="32"/>
          <w:szCs w:val="32"/>
          <w14:textFill>
            <w14:solidFill>
              <w14:schemeClr w14:val="tx1"/>
            </w14:solidFill>
          </w14:textFill>
        </w:rPr>
        <w:t>（一）强化任务分解与督查考核</w:t>
      </w:r>
      <w:bookmarkEnd w:id="594"/>
      <w:bookmarkEnd w:id="595"/>
      <w:bookmarkEnd w:id="596"/>
      <w:bookmarkEnd w:id="597"/>
      <w:bookmarkEnd w:id="598"/>
      <w:bookmarkEnd w:id="599"/>
      <w:bookmarkEnd w:id="600"/>
      <w:bookmarkEnd w:id="601"/>
    </w:p>
    <w:p w14:paraId="48B6593E">
      <w:pPr>
        <w:topLinePunct/>
        <w:spacing w:line="560" w:lineRule="exact"/>
        <w:ind w:firstLine="643"/>
        <w:rPr>
          <w:rFonts w:eastAsia="仿宋_GB2312"/>
          <w:bCs/>
          <w:color w:val="000000" w:themeColor="text1"/>
          <w:sz w:val="32"/>
          <w:szCs w:val="32"/>
          <w14:textFill>
            <w14:solidFill>
              <w14:schemeClr w14:val="tx1"/>
            </w14:solidFill>
          </w14:textFill>
        </w:rPr>
      </w:pPr>
      <w:r>
        <w:rPr>
          <w:rFonts w:eastAsia="仿宋_GB2312"/>
          <w:b/>
          <w:bCs/>
          <w:color w:val="000000" w:themeColor="text1"/>
          <w:sz w:val="32"/>
          <w:szCs w:val="32"/>
          <w14:textFill>
            <w14:solidFill>
              <w14:schemeClr w14:val="tx1"/>
            </w14:solidFill>
          </w14:textFill>
        </w:rPr>
        <w:t>做好规划的任务分解，明确责任部门。</w:t>
      </w:r>
      <w:r>
        <w:rPr>
          <w:rFonts w:eastAsia="仿宋_GB2312"/>
          <w:bCs/>
          <w:color w:val="000000" w:themeColor="text1"/>
          <w:sz w:val="32"/>
          <w:szCs w:val="32"/>
          <w14:textFill>
            <w14:solidFill>
              <w14:schemeClr w14:val="tx1"/>
            </w14:solidFill>
          </w14:textFill>
        </w:rPr>
        <w:t>制定科学的目标督查体系，创新目标督查方式，提高目标督查效能。本规划《纲要》确定的主要目标任务，要按照部门职责分工，纳入各部门、各街道的绩效考核，特别是规划《纲要》中涉及的约束性指标具有强制性，必须按照各部门、各街道的职责分工，明确责任人和进度要求，认真加以分解落实，进行重点考核。同时，建立“发现问题、解决问题”联动机制，充分发挥各目标责任部门的主体作用、区目标管理督查办公室的统筹协调作用、区级各督查组的督导作用，及时解决我区经济社会发展中存在的突出问题，强化问责机制和奖惩措施落实，实现问题发现与问题解决的无缝对接，抓好各项重点目标落实及配套项目建设，顺利完成“十四五”规划赋予的各项任务。</w:t>
      </w:r>
      <w:r>
        <w:rPr>
          <w:rFonts w:eastAsia="仿宋_GB2312"/>
          <w:b/>
          <w:bCs/>
          <w:color w:val="000000" w:themeColor="text1"/>
          <w:sz w:val="32"/>
          <w:szCs w:val="32"/>
          <w14:textFill>
            <w14:solidFill>
              <w14:schemeClr w14:val="tx1"/>
            </w14:solidFill>
          </w14:textFill>
        </w:rPr>
        <w:t>建立规划《纲要》长期监测体系，建立规范的中期评估制度。</w:t>
      </w:r>
      <w:r>
        <w:rPr>
          <w:rFonts w:eastAsia="仿宋_GB2312"/>
          <w:bCs/>
          <w:color w:val="000000" w:themeColor="text1"/>
          <w:sz w:val="32"/>
          <w:szCs w:val="32"/>
          <w14:textFill>
            <w14:solidFill>
              <w14:schemeClr w14:val="tx1"/>
            </w14:solidFill>
          </w14:textFill>
        </w:rPr>
        <w:t>积极借助社会中介组织力量，多角度分析评价规划实施效果和政策措施落实情况，及时总结规划进展情况，解决实施过程中出现的问题并及时修订规划内容，保障规划目标顺利实现。加强重大战略问题的跟进研究，不断探求解决问题的新思路、新机制、新办法，为本规划《纲要》的有效实施和滚动发展规划的研究制定创造条件，促进全区发展总体战略目标的有机衔接、逐次推进。</w:t>
      </w:r>
    </w:p>
    <w:p w14:paraId="3C0F0480">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（二）建立公众参与监督机制</w:t>
      </w:r>
      <w:bookmarkEnd w:id="602"/>
      <w:bookmarkEnd w:id="603"/>
      <w:bookmarkEnd w:id="604"/>
      <w:bookmarkEnd w:id="605"/>
      <w:bookmarkEnd w:id="606"/>
      <w:bookmarkEnd w:id="607"/>
      <w:bookmarkEnd w:id="608"/>
      <w:bookmarkEnd w:id="609"/>
    </w:p>
    <w:p w14:paraId="1E3FCC32">
      <w:pPr>
        <w:topLinePunct/>
        <w:spacing w:line="560" w:lineRule="exact"/>
        <w:ind w:firstLine="640"/>
        <w:rPr>
          <w:rFonts w:eastAsia="仿宋_GB2312"/>
          <w:bCs/>
          <w:color w:val="000000" w:themeColor="text1"/>
          <w:sz w:val="32"/>
          <w:szCs w:val="32"/>
          <w14:textFill>
            <w14:solidFill>
              <w14:schemeClr w14:val="tx1"/>
            </w14:solidFill>
          </w14:textFill>
        </w:rPr>
      </w:pPr>
      <w:r>
        <w:rPr>
          <w:rFonts w:eastAsia="仿宋_GB2312"/>
          <w:bCs/>
          <w:color w:val="000000" w:themeColor="text1"/>
          <w:sz w:val="32"/>
          <w:szCs w:val="32"/>
          <w14:textFill>
            <w14:solidFill>
              <w14:schemeClr w14:val="tx1"/>
            </w14:solidFill>
          </w14:textFill>
        </w:rPr>
        <w:t>加快建立全社会民众共同参与的规划《纲要》实施监督机制。规划《纲要》一经批准，及时向社会公布，并利用各种媒体，采取多种形式，广泛宣传。加强规划实施的民主监督，建立健全重大事项报告制度，定期向区人大常委会报告规划目标和主要任务的进展情况，向区政协通报，向社会发布。发挥新闻媒体、群众社团的桥梁和监督作用，健全政府与企业、民众的信息沟通与反馈机制，形成全社会关心规划、参与实施和共同监督的良好氛围。</w:t>
      </w:r>
      <w:bookmarkEnd w:id="610"/>
      <w:bookmarkEnd w:id="611"/>
      <w:bookmarkEnd w:id="612"/>
      <w:bookmarkEnd w:id="613"/>
      <w:bookmarkEnd w:id="614"/>
      <w:bookmarkEnd w:id="615"/>
      <w:bookmarkEnd w:id="616"/>
      <w:bookmarkEnd w:id="617"/>
    </w:p>
    <w:p w14:paraId="13E15242">
      <w:pPr>
        <w:topLinePunct/>
        <w:spacing w:line="560" w:lineRule="exact"/>
        <w:ind w:firstLine="640"/>
        <w:outlineLvl w:val="2"/>
        <w:rPr>
          <w:rFonts w:eastAsia="楷体_GB2312"/>
          <w:color w:val="000000" w:themeColor="text1"/>
          <w:sz w:val="32"/>
          <w:szCs w:val="32"/>
          <w14:textFill>
            <w14:solidFill>
              <w14:schemeClr w14:val="tx1"/>
            </w14:solidFill>
          </w14:textFill>
        </w:rPr>
      </w:pPr>
      <w:r>
        <w:rPr>
          <w:rFonts w:eastAsia="楷体_GB2312"/>
          <w:color w:val="000000" w:themeColor="text1"/>
          <w:sz w:val="32"/>
          <w:szCs w:val="32"/>
          <w14:textFill>
            <w14:solidFill>
              <w14:schemeClr w14:val="tx1"/>
            </w14:solidFill>
          </w14:textFill>
        </w:rPr>
        <w:t>（三）确保“十四五”规划目标任务落实</w:t>
      </w:r>
    </w:p>
    <w:p w14:paraId="027F10A5">
      <w:pPr>
        <w:topLinePunct/>
        <w:spacing w:line="560" w:lineRule="exact"/>
        <w:ind w:firstLine="640"/>
        <w:rPr>
          <w:bCs/>
          <w:color w:val="000000" w:themeColor="text1"/>
          <w:sz w:val="32"/>
          <w:szCs w:val="32"/>
          <w14:textFill>
            <w14:solidFill>
              <w14:schemeClr w14:val="tx1"/>
            </w14:solidFill>
          </w14:textFill>
        </w:rPr>
      </w:pPr>
      <w:r>
        <w:rPr>
          <w:rFonts w:eastAsia="仿宋_GB2312"/>
          <w:bCs/>
          <w:color w:val="000000" w:themeColor="text1"/>
          <w:sz w:val="32"/>
          <w:szCs w:val="32"/>
          <w14:textFill>
            <w14:solidFill>
              <w14:schemeClr w14:val="tx1"/>
            </w14:solidFill>
          </w14:textFill>
        </w:rPr>
        <w:t>充分发挥发展规划战略导向作用，科学制定我区“十四五”规划《纲要》及各类专项规划，形成定位准确、边界清晰、功能互补、统一衔接的规划体系。健全政策协调和工作协同机制，完善党委研究经济社会发展战略、定期分析经济形势、研究重大方针政策的工作机制，健全决策咨询机制，提高决策科学化水平。加强与区域性国际中心城市中枢门户区建设目标任务的有机衔接，完善规划实施评估机制、调整修订机制、监督考核机制，确保我区“十四五”发展各项目标任务落到实处。</w:t>
      </w:r>
    </w:p>
    <w:tbl>
      <w:tblPr>
        <w:tblStyle w:val="43"/>
        <w:tblW w:w="90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54"/>
      </w:tblGrid>
      <w:tr w14:paraId="249D7E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85" w:hRule="atLeast"/>
        </w:trPr>
        <w:tc>
          <w:tcPr>
            <w:tcW w:w="9054" w:type="dxa"/>
          </w:tcPr>
          <w:p w14:paraId="5EC21982">
            <w:pPr>
              <w:topLinePunct/>
              <w:jc w:val="center"/>
              <w:rPr>
                <w:rFonts w:eastAsia="仿宋_GB2312"/>
                <w:bCs/>
                <w:color w:val="000000" w:themeColor="text1"/>
                <w:szCs w:val="32"/>
                <w14:textFill>
                  <w14:solidFill>
                    <w14:schemeClr w14:val="tx1"/>
                  </w14:solidFill>
                </w14:textFill>
              </w:rPr>
            </w:pPr>
            <w:r>
              <w:rPr>
                <w:rFonts w:eastAsia="黑体"/>
                <w:color w:val="000000" w:themeColor="text1"/>
                <w:sz w:val="28"/>
                <w:szCs w:val="28"/>
                <w14:textFill>
                  <w14:solidFill>
                    <w14:schemeClr w14:val="tx1"/>
                  </w14:solidFill>
                </w14:textFill>
              </w:rPr>
              <w:t>专栏35主要指标责任分工</w:t>
            </w:r>
          </w:p>
        </w:tc>
      </w:tr>
      <w:tr w14:paraId="6D5EC5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54" w:type="dxa"/>
          </w:tcPr>
          <w:p w14:paraId="49ABD64D">
            <w:pPr>
              <w:topLinePunct/>
              <w:snapToGrid w:val="0"/>
              <w:ind w:firstLine="482"/>
              <w:rPr>
                <w:rFonts w:eastAsia="仿宋_GB2312"/>
                <w:b/>
                <w:bCs/>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约束性指标（5项）：</w:t>
            </w:r>
          </w:p>
          <w:p w14:paraId="4F0A27D4">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1.单位GDP能源消耗降幅（区发展改革局负责）</w:t>
            </w:r>
          </w:p>
          <w:p w14:paraId="25109BC7">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2.单位GDP二氧化碳排放降幅（区发展改革局负责）</w:t>
            </w:r>
          </w:p>
          <w:p w14:paraId="07E843E7">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3.地表水达到或好于</w:t>
            </w:r>
            <w:r>
              <w:rPr>
                <w:rFonts w:hint="eastAsia" w:ascii="宋体" w:hAnsi="宋体" w:cs="宋体"/>
                <w:color w:val="000000" w:themeColor="text1"/>
                <w:sz w:val="24"/>
                <w14:textFill>
                  <w14:solidFill>
                    <w14:schemeClr w14:val="tx1"/>
                  </w14:solidFill>
                </w14:textFill>
              </w:rPr>
              <w:t>Ⅲ</w:t>
            </w:r>
            <w:r>
              <w:rPr>
                <w:rFonts w:eastAsia="仿宋_GB2312"/>
                <w:color w:val="000000" w:themeColor="text1"/>
                <w:sz w:val="24"/>
                <w14:textFill>
                  <w14:solidFill>
                    <w14:schemeClr w14:val="tx1"/>
                  </w14:solidFill>
                </w14:textFill>
              </w:rPr>
              <w:t>类水体比例（区水务局负责）</w:t>
            </w:r>
          </w:p>
          <w:p w14:paraId="4D04D7FF">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4.城市空气质量优良天数比例（区生态环境分局负责）</w:t>
            </w:r>
          </w:p>
          <w:p w14:paraId="7F9D71A9">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5.森林覆盖率（区自然资源局负责）</w:t>
            </w:r>
          </w:p>
          <w:p w14:paraId="5E8EF01E">
            <w:pPr>
              <w:topLinePunct/>
              <w:snapToGrid w:val="0"/>
              <w:ind w:firstLine="482"/>
              <w:rPr>
                <w:rFonts w:eastAsia="仿宋_GB2312"/>
                <w:b/>
                <w:bCs/>
                <w:color w:val="000000" w:themeColor="text1"/>
                <w:sz w:val="24"/>
                <w14:textFill>
                  <w14:solidFill>
                    <w14:schemeClr w14:val="tx1"/>
                  </w14:solidFill>
                </w14:textFill>
              </w:rPr>
            </w:pPr>
            <w:r>
              <w:rPr>
                <w:rFonts w:eastAsia="仿宋_GB2312"/>
                <w:b/>
                <w:bCs/>
                <w:color w:val="000000" w:themeColor="text1"/>
                <w:sz w:val="24"/>
                <w14:textFill>
                  <w14:solidFill>
                    <w14:schemeClr w14:val="tx1"/>
                  </w14:solidFill>
                </w14:textFill>
              </w:rPr>
              <w:t>预期性指标（18项）：</w:t>
            </w:r>
          </w:p>
          <w:p w14:paraId="60C3C1B2">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1.地区生产总值（区发展改革局负责）</w:t>
            </w:r>
          </w:p>
          <w:p w14:paraId="265460ED">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2.人均地区生产总值（区统计局负责）</w:t>
            </w:r>
          </w:p>
          <w:p w14:paraId="54524565">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3.制造业增加值占GDP比重（区科技工信局负责）</w:t>
            </w:r>
          </w:p>
          <w:p w14:paraId="46CBC488">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4.健康产业增加值占GDP比重（区大健康办负责）</w:t>
            </w:r>
          </w:p>
          <w:p w14:paraId="6744916E">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5.研究与试验发展（R&amp;D）经费投入（区科技工信局负责）</w:t>
            </w:r>
          </w:p>
          <w:p w14:paraId="706AC08A">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6.每万人发明专利拥有量（区市场监管局负责）</w:t>
            </w:r>
          </w:p>
          <w:p w14:paraId="2E5D787C">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7.数字经济增加值（区科技工信局负责）</w:t>
            </w:r>
          </w:p>
          <w:p w14:paraId="086AFA78">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8.金融业增加值占GDP比重（区金融办负责）</w:t>
            </w:r>
          </w:p>
          <w:p w14:paraId="5ED92F43">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9.累计引进市外资金（区商务投资促进局负责）</w:t>
            </w:r>
          </w:p>
          <w:p w14:paraId="4609860B">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10.累计实际利用外资（区商务投资促进局负责）</w:t>
            </w:r>
          </w:p>
          <w:p w14:paraId="28914FC0">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11.城镇居民人均可支配收入（区发展改革局负责）</w:t>
            </w:r>
          </w:p>
          <w:p w14:paraId="26A7E2E2">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12.农村居民人均可支配收入（区农业农村局负责）</w:t>
            </w:r>
          </w:p>
          <w:p w14:paraId="360568A3">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13.城镇登记失业率（区人力资源社会保障局负责）</w:t>
            </w:r>
          </w:p>
          <w:p w14:paraId="35CCBC48">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14.人均预期寿命（区卫生健康局负责）</w:t>
            </w:r>
          </w:p>
          <w:p w14:paraId="422DC8AC">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15.每千人执业（助理）医师数（区卫生健康局负责）</w:t>
            </w:r>
          </w:p>
          <w:p w14:paraId="752512F6">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16.劳动年龄人口平均受教育年限（区教育体育局负责）</w:t>
            </w:r>
          </w:p>
          <w:p w14:paraId="5914F4BB">
            <w:pPr>
              <w:topLinePunct/>
              <w:snapToGrid w:val="0"/>
              <w:rPr>
                <w:rFonts w:eastAsia="仿宋_GB2312"/>
                <w:color w:val="000000" w:themeColor="text1"/>
                <w:sz w:val="24"/>
                <w14:textFill>
                  <w14:solidFill>
                    <w14:schemeClr w14:val="tx1"/>
                  </w14:solidFill>
                </w14:textFill>
              </w:rPr>
            </w:pPr>
            <w:r>
              <w:rPr>
                <w:rFonts w:eastAsia="仿宋_GB2312"/>
                <w:color w:val="000000" w:themeColor="text1"/>
                <w:sz w:val="24"/>
                <w14:textFill>
                  <w14:solidFill>
                    <w14:schemeClr w14:val="tx1"/>
                  </w14:solidFill>
                </w14:textFill>
              </w:rPr>
              <w:t>17.粮食总产量（区农业农村局负责）</w:t>
            </w:r>
          </w:p>
          <w:p w14:paraId="225F35F2">
            <w:pPr>
              <w:topLinePunct/>
              <w:rPr>
                <w:rFonts w:eastAsia="仿宋_GB2312"/>
                <w:bCs/>
                <w:color w:val="000000" w:themeColor="text1"/>
                <w:szCs w:val="32"/>
                <w14:textFill>
                  <w14:solidFill>
                    <w14:schemeClr w14:val="tx1"/>
                  </w14:solidFill>
                </w14:textFill>
              </w:rPr>
            </w:pPr>
            <w:r>
              <w:rPr>
                <w:rFonts w:eastAsia="仿宋_GB2312"/>
                <w:color w:val="000000" w:themeColor="text1"/>
                <w:sz w:val="24"/>
                <w14:textFill>
                  <w14:solidFill>
                    <w14:schemeClr w14:val="tx1"/>
                  </w14:solidFill>
                </w14:textFill>
              </w:rPr>
              <w:t>18.</w:t>
            </w:r>
            <w:r>
              <w:rPr>
                <w:rFonts w:eastAsia="仿宋_GB2312"/>
                <w:color w:val="000000" w:themeColor="text1"/>
                <w:kern w:val="0"/>
                <w:sz w:val="24"/>
                <w14:textFill>
                  <w14:solidFill>
                    <w14:schemeClr w14:val="tx1"/>
                  </w14:solidFill>
                </w14:textFill>
              </w:rPr>
              <w:t>粮食总储备量</w:t>
            </w:r>
            <w:r>
              <w:rPr>
                <w:rFonts w:eastAsia="仿宋_GB2312"/>
                <w:color w:val="000000" w:themeColor="text1"/>
                <w:sz w:val="24"/>
                <w14:textFill>
                  <w14:solidFill>
                    <w14:schemeClr w14:val="tx1"/>
                  </w14:solidFill>
                </w14:textFill>
              </w:rPr>
              <w:t>（区发展改革局负责）</w:t>
            </w:r>
          </w:p>
        </w:tc>
      </w:tr>
    </w:tbl>
    <w:p w14:paraId="7A0F23CD">
      <w:pPr>
        <w:topLinePunct/>
        <w:spacing w:line="560" w:lineRule="exact"/>
        <w:ind w:firstLine="640"/>
        <w:rPr>
          <w:rFonts w:eastAsia="仿宋_GB2312"/>
          <w:bCs/>
          <w:color w:val="000000" w:themeColor="text1"/>
          <w:sz w:val="32"/>
          <w:szCs w:val="32"/>
          <w14:textFill>
            <w14:solidFill>
              <w14:schemeClr w14:val="tx1"/>
            </w14:solidFill>
          </w14:textFill>
        </w:rPr>
      </w:pPr>
      <w:r>
        <w:rPr>
          <w:rFonts w:eastAsia="仿宋_GB2312"/>
          <w:bCs/>
          <w:color w:val="000000" w:themeColor="text1"/>
          <w:sz w:val="32"/>
          <w:szCs w:val="32"/>
          <w14:textFill>
            <w14:solidFill>
              <w14:schemeClr w14:val="tx1"/>
            </w14:solidFill>
          </w14:textFill>
        </w:rPr>
        <w:t>实现“十四五”时期发展目标，使命光荣，责任重大，任务艰巨，全区广大党员干部和各族人民要更加紧密地团结在以习近平同志为核心的党中央周围，在区委、区政府的坚强领导下，勇于担当、开拓创新、务实苦干，全面完成“十四五”规划各项目标任务，</w:t>
      </w:r>
      <w:r>
        <w:rPr>
          <w:rFonts w:eastAsia="仿宋_GB2312"/>
          <w:color w:val="000000" w:themeColor="text1"/>
          <w:sz w:val="32"/>
          <w:szCs w:val="32"/>
          <w14:textFill>
            <w14:solidFill>
              <w14:schemeClr w14:val="tx1"/>
            </w14:solidFill>
          </w14:textFill>
        </w:rPr>
        <w:t>奋力推动“更具活力的区域性国际中心城市中枢门户区”战略进程，</w:t>
      </w:r>
      <w:r>
        <w:rPr>
          <w:rFonts w:eastAsia="仿宋_GB2312"/>
          <w:bCs/>
          <w:color w:val="000000" w:themeColor="text1"/>
          <w:sz w:val="32"/>
          <w:szCs w:val="32"/>
          <w14:textFill>
            <w14:solidFill>
              <w14:schemeClr w14:val="tx1"/>
            </w14:solidFill>
          </w14:textFill>
        </w:rPr>
        <w:t>为打造</w:t>
      </w:r>
      <w:r>
        <w:rPr>
          <w:rFonts w:eastAsia="仿宋_GB2312"/>
          <w:color w:val="000000" w:themeColor="text1"/>
          <w:sz w:val="32"/>
          <w:szCs w:val="32"/>
          <w14:textFill>
            <w14:solidFill>
              <w14:schemeClr w14:val="tx1"/>
            </w14:solidFill>
          </w14:textFill>
        </w:rPr>
        <w:t>“云南政治中心服务承载区、山水都市品质区、现代服务业活力区”</w:t>
      </w:r>
      <w:r>
        <w:rPr>
          <w:rFonts w:eastAsia="仿宋_GB2312"/>
          <w:bCs/>
          <w:color w:val="000000" w:themeColor="text1"/>
          <w:sz w:val="32"/>
          <w:szCs w:val="32"/>
          <w14:textFill>
            <w14:solidFill>
              <w14:schemeClr w14:val="tx1"/>
            </w14:solidFill>
          </w14:textFill>
        </w:rPr>
        <w:t>而努力奋斗。</w:t>
      </w:r>
    </w:p>
    <w:p w14:paraId="149D2F73">
      <w:pPr>
        <w:widowControl/>
        <w:jc w:val="left"/>
        <w:rPr>
          <w:bCs/>
          <w:color w:val="000000" w:themeColor="text1"/>
          <w:szCs w:val="32"/>
          <w14:textFill>
            <w14:solidFill>
              <w14:schemeClr w14:val="tx1"/>
            </w14:solidFill>
          </w14:textFill>
        </w:rPr>
        <w:sectPr>
          <w:pgSz w:w="11900" w:h="16840"/>
          <w:pgMar w:top="1928" w:right="1531" w:bottom="1871" w:left="1531" w:header="1418" w:footer="1418" w:gutter="0"/>
          <w:cols w:space="720" w:num="1"/>
          <w:docGrid w:linePitch="312" w:charSpace="0"/>
        </w:sectPr>
      </w:pPr>
      <w:r>
        <w:rPr>
          <w:bCs/>
          <w:color w:val="000000" w:themeColor="text1"/>
          <w:sz w:val="32"/>
          <w:szCs w:val="32"/>
          <w14:textFill>
            <w14:solidFill>
              <w14:schemeClr w14:val="tx1"/>
            </w14:solidFill>
          </w14:textFill>
        </w:rPr>
        <w:br w:type="page"/>
      </w:r>
    </w:p>
    <w:p w14:paraId="3098AC2C">
      <w:pPr>
        <w:rPr>
          <w:rFonts w:eastAsia="黑体"/>
          <w:sz w:val="32"/>
          <w:szCs w:val="32"/>
        </w:rPr>
      </w:pPr>
      <w:bookmarkStart w:id="618" w:name="_Toc61644850"/>
      <w:r>
        <w:rPr>
          <w:rFonts w:eastAsia="黑体"/>
          <w:sz w:val="32"/>
          <w:szCs w:val="32"/>
        </w:rPr>
        <w:t>附件1</w:t>
      </w:r>
      <w:bookmarkEnd w:id="618"/>
    </w:p>
    <w:p w14:paraId="368D6D55">
      <w:pPr>
        <w:topLinePunct/>
        <w:spacing w:line="600" w:lineRule="exact"/>
        <w:ind w:firstLine="272" w:firstLineChars="62"/>
        <w:jc w:val="center"/>
        <w:rPr>
          <w:rFonts w:eastAsia="方正小标宋简体"/>
          <w:bCs/>
          <w:color w:val="000000" w:themeColor="text1"/>
          <w:sz w:val="44"/>
          <w:szCs w:val="44"/>
          <w14:textFill>
            <w14:solidFill>
              <w14:schemeClr w14:val="tx1"/>
            </w14:solidFill>
          </w14:textFill>
        </w:rPr>
      </w:pPr>
      <w:r>
        <w:rPr>
          <w:rFonts w:eastAsia="方正小标宋简体"/>
          <w:bCs/>
          <w:color w:val="000000" w:themeColor="text1"/>
          <w:sz w:val="44"/>
          <w:szCs w:val="44"/>
          <w14:textFill>
            <w14:solidFill>
              <w14:schemeClr w14:val="tx1"/>
            </w14:solidFill>
          </w14:textFill>
        </w:rPr>
        <w:t>西山区“十三五”经济社会发展主要指标完成情况</w:t>
      </w:r>
    </w:p>
    <w:tbl>
      <w:tblPr>
        <w:tblStyle w:val="42"/>
        <w:tblW w:w="15032" w:type="dxa"/>
        <w:jc w:val="center"/>
        <w:tblLayout w:type="fixed"/>
        <w:tblCellMar>
          <w:top w:w="15" w:type="dxa"/>
          <w:left w:w="15" w:type="dxa"/>
          <w:bottom w:w="15" w:type="dxa"/>
          <w:right w:w="15" w:type="dxa"/>
        </w:tblCellMar>
      </w:tblPr>
      <w:tblGrid>
        <w:gridCol w:w="604"/>
        <w:gridCol w:w="632"/>
        <w:gridCol w:w="548"/>
        <w:gridCol w:w="1136"/>
        <w:gridCol w:w="1047"/>
        <w:gridCol w:w="1043"/>
        <w:gridCol w:w="801"/>
        <w:gridCol w:w="1005"/>
        <w:gridCol w:w="930"/>
        <w:gridCol w:w="907"/>
        <w:gridCol w:w="1163"/>
        <w:gridCol w:w="1298"/>
        <w:gridCol w:w="1094"/>
        <w:gridCol w:w="1271"/>
        <w:gridCol w:w="1553"/>
      </w:tblGrid>
      <w:tr w14:paraId="586F3ECF">
        <w:tblPrEx>
          <w:tblCellMar>
            <w:top w:w="15" w:type="dxa"/>
            <w:left w:w="15" w:type="dxa"/>
            <w:bottom w:w="15" w:type="dxa"/>
            <w:right w:w="15" w:type="dxa"/>
          </w:tblCellMar>
        </w:tblPrEx>
        <w:trPr>
          <w:trHeight w:val="340" w:hRule="atLeast"/>
          <w:tblHeader/>
          <w:jc w:val="center"/>
        </w:trPr>
        <w:tc>
          <w:tcPr>
            <w:tcW w:w="604" w:type="dxa"/>
            <w:vMerge w:val="restart"/>
            <w:tcBorders>
              <w:top w:val="single" w:color="000000" w:sz="4" w:space="0"/>
              <w:left w:val="single" w:color="000000" w:sz="4" w:space="0"/>
              <w:bottom w:val="single" w:color="000000" w:sz="4" w:space="0"/>
              <w:right w:val="single" w:color="000000" w:sz="4" w:space="0"/>
            </w:tcBorders>
            <w:vAlign w:val="center"/>
          </w:tcPr>
          <w:p w14:paraId="35E52F34">
            <w:pPr>
              <w:widowControl/>
              <w:jc w:val="center"/>
              <w:rPr>
                <w:rFonts w:eastAsia="黑体"/>
                <w:bCs/>
                <w:color w:val="000000"/>
                <w:kern w:val="0"/>
                <w:sz w:val="24"/>
              </w:rPr>
            </w:pPr>
            <w:r>
              <w:rPr>
                <w:rFonts w:eastAsia="黑体"/>
                <w:bCs/>
                <w:color w:val="000000"/>
                <w:kern w:val="0"/>
                <w:sz w:val="24"/>
              </w:rPr>
              <w:t>序   号</w:t>
            </w:r>
          </w:p>
        </w:tc>
        <w:tc>
          <w:tcPr>
            <w:tcW w:w="632" w:type="dxa"/>
            <w:vMerge w:val="restart"/>
            <w:tcBorders>
              <w:top w:val="single" w:color="000000" w:sz="4" w:space="0"/>
              <w:left w:val="single" w:color="000000" w:sz="4" w:space="0"/>
              <w:bottom w:val="single" w:color="000000" w:sz="4" w:space="0"/>
              <w:right w:val="single" w:color="000000" w:sz="4" w:space="0"/>
            </w:tcBorders>
            <w:vAlign w:val="center"/>
          </w:tcPr>
          <w:p w14:paraId="7044E737">
            <w:pPr>
              <w:widowControl/>
              <w:jc w:val="center"/>
              <w:rPr>
                <w:rFonts w:eastAsia="黑体"/>
                <w:bCs/>
                <w:color w:val="000000"/>
                <w:kern w:val="0"/>
                <w:sz w:val="24"/>
              </w:rPr>
            </w:pPr>
            <w:r>
              <w:rPr>
                <w:rFonts w:eastAsia="黑体"/>
                <w:bCs/>
                <w:color w:val="000000"/>
                <w:kern w:val="0"/>
                <w:sz w:val="24"/>
              </w:rPr>
              <w:t>类型</w:t>
            </w:r>
          </w:p>
        </w:tc>
        <w:tc>
          <w:tcPr>
            <w:tcW w:w="1684" w:type="dxa"/>
            <w:gridSpan w:val="2"/>
            <w:vMerge w:val="restart"/>
            <w:tcBorders>
              <w:top w:val="single" w:color="000000" w:sz="4" w:space="0"/>
              <w:left w:val="single" w:color="000000" w:sz="4" w:space="0"/>
              <w:bottom w:val="single" w:color="000000" w:sz="4" w:space="0"/>
              <w:right w:val="single" w:color="000000" w:sz="4" w:space="0"/>
            </w:tcBorders>
            <w:vAlign w:val="center"/>
          </w:tcPr>
          <w:p w14:paraId="69C32875">
            <w:pPr>
              <w:widowControl/>
              <w:jc w:val="center"/>
              <w:rPr>
                <w:rFonts w:eastAsia="黑体"/>
                <w:bCs/>
                <w:color w:val="000000"/>
                <w:kern w:val="0"/>
                <w:sz w:val="24"/>
              </w:rPr>
            </w:pPr>
            <w:r>
              <w:rPr>
                <w:rFonts w:eastAsia="黑体"/>
                <w:bCs/>
                <w:color w:val="000000"/>
                <w:kern w:val="0"/>
                <w:sz w:val="24"/>
              </w:rPr>
              <w:t>指  标</w:t>
            </w:r>
          </w:p>
        </w:tc>
        <w:tc>
          <w:tcPr>
            <w:tcW w:w="1047" w:type="dxa"/>
            <w:vMerge w:val="restart"/>
            <w:tcBorders>
              <w:top w:val="single" w:color="000000" w:sz="4" w:space="0"/>
              <w:left w:val="single" w:color="000000" w:sz="4" w:space="0"/>
              <w:bottom w:val="single" w:color="000000" w:sz="4" w:space="0"/>
              <w:right w:val="single" w:color="000000" w:sz="4" w:space="0"/>
            </w:tcBorders>
            <w:vAlign w:val="center"/>
          </w:tcPr>
          <w:p w14:paraId="082A9E97">
            <w:pPr>
              <w:widowControl/>
              <w:jc w:val="center"/>
              <w:rPr>
                <w:rFonts w:hint="eastAsia" w:eastAsia="黑体"/>
                <w:bCs/>
                <w:color w:val="000000"/>
                <w:kern w:val="0"/>
                <w:sz w:val="24"/>
                <w:lang w:eastAsia="zh-CN"/>
              </w:rPr>
            </w:pPr>
            <w:r>
              <w:rPr>
                <w:rFonts w:eastAsia="黑体"/>
                <w:bCs/>
                <w:color w:val="000000"/>
                <w:kern w:val="0"/>
                <w:sz w:val="24"/>
              </w:rPr>
              <w:t>2015年</w:t>
            </w:r>
          </w:p>
          <w:p w14:paraId="673F4807">
            <w:pPr>
              <w:widowControl/>
              <w:jc w:val="center"/>
              <w:rPr>
                <w:rFonts w:eastAsia="黑体"/>
                <w:bCs/>
                <w:color w:val="000000"/>
                <w:kern w:val="0"/>
                <w:sz w:val="24"/>
              </w:rPr>
            </w:pPr>
            <w:r>
              <w:rPr>
                <w:rFonts w:eastAsia="黑体"/>
                <w:bCs/>
                <w:color w:val="000000"/>
                <w:kern w:val="0"/>
                <w:sz w:val="24"/>
              </w:rPr>
              <w:t>（“十二五”末）</w:t>
            </w:r>
          </w:p>
        </w:tc>
        <w:tc>
          <w:tcPr>
            <w:tcW w:w="1043" w:type="dxa"/>
            <w:vMerge w:val="restart"/>
            <w:tcBorders>
              <w:top w:val="single" w:color="000000" w:sz="4" w:space="0"/>
              <w:left w:val="single" w:color="000000" w:sz="4" w:space="0"/>
              <w:bottom w:val="single" w:color="000000" w:sz="4" w:space="0"/>
              <w:right w:val="single" w:color="000000" w:sz="4" w:space="0"/>
            </w:tcBorders>
            <w:vAlign w:val="center"/>
          </w:tcPr>
          <w:p w14:paraId="3C56FDC8">
            <w:pPr>
              <w:widowControl/>
              <w:jc w:val="center"/>
              <w:rPr>
                <w:rFonts w:eastAsia="黑体"/>
                <w:bCs/>
                <w:color w:val="000000"/>
                <w:kern w:val="0"/>
                <w:sz w:val="24"/>
              </w:rPr>
            </w:pPr>
            <w:r>
              <w:rPr>
                <w:rFonts w:eastAsia="黑体"/>
                <w:bCs/>
                <w:color w:val="000000"/>
                <w:kern w:val="0"/>
                <w:sz w:val="24"/>
              </w:rPr>
              <w:t>“十二五”年均增长%</w:t>
            </w:r>
          </w:p>
        </w:tc>
        <w:tc>
          <w:tcPr>
            <w:tcW w:w="801" w:type="dxa"/>
            <w:vMerge w:val="restart"/>
            <w:tcBorders>
              <w:top w:val="single" w:color="000000" w:sz="4" w:space="0"/>
              <w:left w:val="single" w:color="000000" w:sz="4" w:space="0"/>
              <w:bottom w:val="single" w:color="000000" w:sz="4" w:space="0"/>
              <w:right w:val="single" w:color="000000" w:sz="4" w:space="0"/>
            </w:tcBorders>
            <w:vAlign w:val="center"/>
          </w:tcPr>
          <w:p w14:paraId="6BCC7004">
            <w:pPr>
              <w:widowControl/>
              <w:jc w:val="center"/>
              <w:rPr>
                <w:rFonts w:eastAsia="黑体"/>
                <w:bCs/>
                <w:color w:val="000000"/>
                <w:kern w:val="0"/>
                <w:sz w:val="24"/>
              </w:rPr>
            </w:pPr>
            <w:r>
              <w:rPr>
                <w:rFonts w:eastAsia="黑体"/>
                <w:bCs/>
                <w:color w:val="000000"/>
                <w:kern w:val="0"/>
                <w:sz w:val="24"/>
              </w:rPr>
              <w:t>2016年</w:t>
            </w:r>
          </w:p>
        </w:tc>
        <w:tc>
          <w:tcPr>
            <w:tcW w:w="1005" w:type="dxa"/>
            <w:vMerge w:val="restart"/>
            <w:tcBorders>
              <w:top w:val="single" w:color="000000" w:sz="4" w:space="0"/>
              <w:left w:val="single" w:color="000000" w:sz="4" w:space="0"/>
              <w:bottom w:val="single" w:color="000000" w:sz="4" w:space="0"/>
              <w:right w:val="single" w:color="000000" w:sz="4" w:space="0"/>
            </w:tcBorders>
            <w:vAlign w:val="center"/>
          </w:tcPr>
          <w:p w14:paraId="51F27857">
            <w:pPr>
              <w:widowControl/>
              <w:jc w:val="center"/>
              <w:rPr>
                <w:rFonts w:eastAsia="黑体"/>
                <w:bCs/>
                <w:color w:val="000000"/>
                <w:kern w:val="0"/>
                <w:sz w:val="24"/>
              </w:rPr>
            </w:pPr>
            <w:r>
              <w:rPr>
                <w:rFonts w:eastAsia="黑体"/>
                <w:bCs/>
                <w:color w:val="000000"/>
                <w:kern w:val="0"/>
                <w:sz w:val="24"/>
              </w:rPr>
              <w:t>2017年</w:t>
            </w:r>
          </w:p>
        </w:tc>
        <w:tc>
          <w:tcPr>
            <w:tcW w:w="930" w:type="dxa"/>
            <w:vMerge w:val="restart"/>
            <w:tcBorders>
              <w:top w:val="single" w:color="000000" w:sz="4" w:space="0"/>
              <w:left w:val="single" w:color="000000" w:sz="4" w:space="0"/>
              <w:bottom w:val="single" w:color="000000" w:sz="4" w:space="0"/>
              <w:right w:val="single" w:color="000000" w:sz="4" w:space="0"/>
            </w:tcBorders>
            <w:vAlign w:val="center"/>
          </w:tcPr>
          <w:p w14:paraId="590E0B94">
            <w:pPr>
              <w:widowControl/>
              <w:jc w:val="center"/>
              <w:rPr>
                <w:rFonts w:eastAsia="黑体"/>
                <w:bCs/>
                <w:color w:val="000000"/>
                <w:kern w:val="0"/>
                <w:sz w:val="24"/>
              </w:rPr>
            </w:pPr>
            <w:r>
              <w:rPr>
                <w:rFonts w:eastAsia="黑体"/>
                <w:bCs/>
                <w:color w:val="000000"/>
                <w:kern w:val="0"/>
                <w:sz w:val="24"/>
              </w:rPr>
              <w:t>2018年</w:t>
            </w:r>
          </w:p>
        </w:tc>
        <w:tc>
          <w:tcPr>
            <w:tcW w:w="907" w:type="dxa"/>
            <w:vMerge w:val="restart"/>
            <w:tcBorders>
              <w:top w:val="single" w:color="000000" w:sz="4" w:space="0"/>
              <w:left w:val="single" w:color="000000" w:sz="4" w:space="0"/>
              <w:bottom w:val="single" w:color="000000" w:sz="4" w:space="0"/>
              <w:right w:val="single" w:color="000000" w:sz="4" w:space="0"/>
            </w:tcBorders>
            <w:vAlign w:val="center"/>
          </w:tcPr>
          <w:p w14:paraId="2F3FF295">
            <w:pPr>
              <w:widowControl/>
              <w:jc w:val="center"/>
              <w:rPr>
                <w:rFonts w:eastAsia="黑体"/>
                <w:bCs/>
                <w:color w:val="000000"/>
                <w:kern w:val="0"/>
                <w:sz w:val="24"/>
              </w:rPr>
            </w:pPr>
            <w:r>
              <w:rPr>
                <w:rFonts w:eastAsia="黑体"/>
                <w:bCs/>
                <w:color w:val="000000"/>
                <w:kern w:val="0"/>
                <w:sz w:val="24"/>
              </w:rPr>
              <w:t>2019年</w:t>
            </w:r>
          </w:p>
        </w:tc>
        <w:tc>
          <w:tcPr>
            <w:tcW w:w="1163" w:type="dxa"/>
            <w:vMerge w:val="restart"/>
            <w:tcBorders>
              <w:top w:val="single" w:color="000000" w:sz="4" w:space="0"/>
              <w:left w:val="single" w:color="000000" w:sz="4" w:space="0"/>
              <w:bottom w:val="single" w:color="000000" w:sz="4" w:space="0"/>
              <w:right w:val="single" w:color="000000" w:sz="4" w:space="0"/>
            </w:tcBorders>
            <w:vAlign w:val="center"/>
          </w:tcPr>
          <w:p w14:paraId="38C85F56">
            <w:pPr>
              <w:widowControl/>
              <w:jc w:val="center"/>
              <w:rPr>
                <w:rFonts w:eastAsia="黑体"/>
                <w:color w:val="000000"/>
                <w:kern w:val="0"/>
                <w:sz w:val="24"/>
              </w:rPr>
            </w:pPr>
            <w:r>
              <w:rPr>
                <w:rFonts w:eastAsia="黑体"/>
                <w:color w:val="000000"/>
                <w:kern w:val="0"/>
                <w:sz w:val="24"/>
              </w:rPr>
              <w:t>2020年</w:t>
            </w:r>
          </w:p>
        </w:tc>
        <w:tc>
          <w:tcPr>
            <w:tcW w:w="3663" w:type="dxa"/>
            <w:gridSpan w:val="3"/>
            <w:vMerge w:val="restart"/>
            <w:tcBorders>
              <w:top w:val="single" w:color="000000" w:sz="4" w:space="0"/>
              <w:left w:val="single" w:color="000000" w:sz="4" w:space="0"/>
              <w:bottom w:val="single" w:color="000000" w:sz="4" w:space="0"/>
              <w:right w:val="single" w:color="000000" w:sz="4" w:space="0"/>
            </w:tcBorders>
            <w:vAlign w:val="center"/>
          </w:tcPr>
          <w:p w14:paraId="2C115970">
            <w:pPr>
              <w:widowControl/>
              <w:jc w:val="center"/>
              <w:rPr>
                <w:rFonts w:eastAsia="黑体"/>
                <w:bCs/>
                <w:color w:val="000000"/>
                <w:kern w:val="0"/>
                <w:sz w:val="24"/>
              </w:rPr>
            </w:pPr>
            <w:r>
              <w:rPr>
                <w:rFonts w:eastAsia="黑体"/>
                <w:bCs/>
                <w:color w:val="000000"/>
                <w:kern w:val="0"/>
                <w:sz w:val="24"/>
              </w:rPr>
              <w:t>“十三五”规划目标</w:t>
            </w:r>
          </w:p>
        </w:tc>
        <w:tc>
          <w:tcPr>
            <w:tcW w:w="1553" w:type="dxa"/>
            <w:vMerge w:val="restart"/>
            <w:tcBorders>
              <w:top w:val="single" w:color="000000" w:sz="4" w:space="0"/>
              <w:left w:val="single" w:color="000000" w:sz="4" w:space="0"/>
              <w:bottom w:val="single" w:color="000000" w:sz="4" w:space="0"/>
              <w:right w:val="single" w:color="000000" w:sz="4" w:space="0"/>
            </w:tcBorders>
            <w:vAlign w:val="center"/>
          </w:tcPr>
          <w:p w14:paraId="171A8BEE">
            <w:pPr>
              <w:widowControl/>
              <w:jc w:val="center"/>
              <w:rPr>
                <w:rFonts w:eastAsia="黑体"/>
                <w:bCs/>
                <w:color w:val="000000"/>
                <w:kern w:val="0"/>
                <w:sz w:val="24"/>
              </w:rPr>
            </w:pPr>
            <w:r>
              <w:rPr>
                <w:rFonts w:eastAsia="黑体"/>
                <w:bCs/>
                <w:color w:val="000000"/>
                <w:kern w:val="0"/>
                <w:sz w:val="24"/>
              </w:rPr>
              <w:t>“十三五”终期完成情况</w:t>
            </w:r>
          </w:p>
        </w:tc>
      </w:tr>
      <w:tr w14:paraId="47DA85C3">
        <w:tblPrEx>
          <w:tblCellMar>
            <w:top w:w="15" w:type="dxa"/>
            <w:left w:w="15" w:type="dxa"/>
            <w:bottom w:w="15" w:type="dxa"/>
            <w:right w:w="15" w:type="dxa"/>
          </w:tblCellMar>
        </w:tblPrEx>
        <w:trPr>
          <w:trHeight w:val="340" w:hRule="atLeast"/>
          <w:tblHeader/>
          <w:jc w:val="center"/>
        </w:trPr>
        <w:tc>
          <w:tcPr>
            <w:tcW w:w="604" w:type="dxa"/>
            <w:vMerge w:val="continue"/>
            <w:tcBorders>
              <w:top w:val="single" w:color="000000" w:sz="4" w:space="0"/>
              <w:left w:val="single" w:color="000000" w:sz="4" w:space="0"/>
              <w:bottom w:val="single" w:color="000000" w:sz="4" w:space="0"/>
              <w:right w:val="single" w:color="000000" w:sz="4" w:space="0"/>
            </w:tcBorders>
            <w:vAlign w:val="center"/>
          </w:tcPr>
          <w:p w14:paraId="3FF64E83">
            <w:pPr>
              <w:widowControl/>
              <w:jc w:val="left"/>
              <w:rPr>
                <w:rFonts w:eastAsia="黑体"/>
                <w:bCs/>
                <w:color w:val="000000"/>
                <w:kern w:val="0"/>
                <w:sz w:val="24"/>
              </w:rPr>
            </w:pPr>
          </w:p>
        </w:tc>
        <w:tc>
          <w:tcPr>
            <w:tcW w:w="632" w:type="dxa"/>
            <w:vMerge w:val="continue"/>
            <w:tcBorders>
              <w:top w:val="single" w:color="000000" w:sz="4" w:space="0"/>
              <w:left w:val="single" w:color="000000" w:sz="4" w:space="0"/>
              <w:bottom w:val="single" w:color="000000" w:sz="4" w:space="0"/>
              <w:right w:val="single" w:color="000000" w:sz="4" w:space="0"/>
            </w:tcBorders>
            <w:vAlign w:val="center"/>
          </w:tcPr>
          <w:p w14:paraId="57BDAA62">
            <w:pPr>
              <w:widowControl/>
              <w:jc w:val="left"/>
              <w:rPr>
                <w:rFonts w:eastAsia="黑体"/>
                <w:bCs/>
                <w:color w:val="000000"/>
                <w:kern w:val="0"/>
                <w:sz w:val="24"/>
              </w:rPr>
            </w:pPr>
          </w:p>
        </w:tc>
        <w:tc>
          <w:tcPr>
            <w:tcW w:w="1684" w:type="dxa"/>
            <w:gridSpan w:val="2"/>
            <w:vMerge w:val="continue"/>
            <w:tcBorders>
              <w:top w:val="single" w:color="000000" w:sz="4" w:space="0"/>
              <w:left w:val="single" w:color="000000" w:sz="4" w:space="0"/>
              <w:bottom w:val="single" w:color="000000" w:sz="4" w:space="0"/>
              <w:right w:val="single" w:color="000000" w:sz="4" w:space="0"/>
            </w:tcBorders>
            <w:vAlign w:val="center"/>
          </w:tcPr>
          <w:p w14:paraId="2D413F7B">
            <w:pPr>
              <w:widowControl/>
              <w:jc w:val="left"/>
              <w:rPr>
                <w:rFonts w:eastAsia="黑体"/>
                <w:bCs/>
                <w:color w:val="000000"/>
                <w:kern w:val="0"/>
                <w:sz w:val="24"/>
              </w:rPr>
            </w:pPr>
          </w:p>
        </w:tc>
        <w:tc>
          <w:tcPr>
            <w:tcW w:w="1047" w:type="dxa"/>
            <w:vMerge w:val="continue"/>
            <w:tcBorders>
              <w:top w:val="single" w:color="000000" w:sz="4" w:space="0"/>
              <w:left w:val="single" w:color="000000" w:sz="4" w:space="0"/>
              <w:bottom w:val="single" w:color="000000" w:sz="4" w:space="0"/>
              <w:right w:val="single" w:color="000000" w:sz="4" w:space="0"/>
            </w:tcBorders>
            <w:vAlign w:val="center"/>
          </w:tcPr>
          <w:p w14:paraId="4C7A0333">
            <w:pPr>
              <w:widowControl/>
              <w:jc w:val="left"/>
              <w:rPr>
                <w:rFonts w:eastAsia="黑体"/>
                <w:bCs/>
                <w:color w:val="000000"/>
                <w:kern w:val="0"/>
                <w:sz w:val="24"/>
              </w:rPr>
            </w:pPr>
          </w:p>
        </w:tc>
        <w:tc>
          <w:tcPr>
            <w:tcW w:w="1043" w:type="dxa"/>
            <w:vMerge w:val="continue"/>
            <w:tcBorders>
              <w:top w:val="single" w:color="000000" w:sz="4" w:space="0"/>
              <w:left w:val="single" w:color="000000" w:sz="4" w:space="0"/>
              <w:bottom w:val="single" w:color="000000" w:sz="4" w:space="0"/>
              <w:right w:val="single" w:color="000000" w:sz="4" w:space="0"/>
            </w:tcBorders>
            <w:vAlign w:val="center"/>
          </w:tcPr>
          <w:p w14:paraId="44733ACA">
            <w:pPr>
              <w:widowControl/>
              <w:jc w:val="left"/>
              <w:rPr>
                <w:rFonts w:eastAsia="黑体"/>
                <w:bCs/>
                <w:color w:val="000000"/>
                <w:kern w:val="0"/>
                <w:sz w:val="24"/>
              </w:rPr>
            </w:pPr>
          </w:p>
        </w:tc>
        <w:tc>
          <w:tcPr>
            <w:tcW w:w="801" w:type="dxa"/>
            <w:vMerge w:val="continue"/>
            <w:tcBorders>
              <w:top w:val="single" w:color="000000" w:sz="4" w:space="0"/>
              <w:left w:val="single" w:color="000000" w:sz="4" w:space="0"/>
              <w:bottom w:val="single" w:color="000000" w:sz="4" w:space="0"/>
              <w:right w:val="single" w:color="000000" w:sz="4" w:space="0"/>
            </w:tcBorders>
            <w:vAlign w:val="center"/>
          </w:tcPr>
          <w:p w14:paraId="61A9AC23">
            <w:pPr>
              <w:widowControl/>
              <w:jc w:val="left"/>
              <w:rPr>
                <w:rFonts w:eastAsia="黑体"/>
                <w:bCs/>
                <w:color w:val="000000"/>
                <w:kern w:val="0"/>
                <w:sz w:val="24"/>
              </w:rPr>
            </w:pPr>
          </w:p>
        </w:tc>
        <w:tc>
          <w:tcPr>
            <w:tcW w:w="1005" w:type="dxa"/>
            <w:vMerge w:val="continue"/>
            <w:tcBorders>
              <w:top w:val="single" w:color="000000" w:sz="4" w:space="0"/>
              <w:left w:val="single" w:color="000000" w:sz="4" w:space="0"/>
              <w:bottom w:val="single" w:color="000000" w:sz="4" w:space="0"/>
              <w:right w:val="single" w:color="000000" w:sz="4" w:space="0"/>
            </w:tcBorders>
            <w:vAlign w:val="center"/>
          </w:tcPr>
          <w:p w14:paraId="152FD1A2">
            <w:pPr>
              <w:widowControl/>
              <w:jc w:val="left"/>
              <w:rPr>
                <w:rFonts w:eastAsia="黑体"/>
                <w:bCs/>
                <w:color w:val="000000"/>
                <w:kern w:val="0"/>
                <w:sz w:val="24"/>
              </w:rPr>
            </w:pPr>
          </w:p>
        </w:tc>
        <w:tc>
          <w:tcPr>
            <w:tcW w:w="930" w:type="dxa"/>
            <w:vMerge w:val="continue"/>
            <w:tcBorders>
              <w:top w:val="single" w:color="000000" w:sz="4" w:space="0"/>
              <w:left w:val="single" w:color="000000" w:sz="4" w:space="0"/>
              <w:bottom w:val="single" w:color="000000" w:sz="4" w:space="0"/>
              <w:right w:val="single" w:color="000000" w:sz="4" w:space="0"/>
            </w:tcBorders>
            <w:vAlign w:val="center"/>
          </w:tcPr>
          <w:p w14:paraId="2E5E8A39">
            <w:pPr>
              <w:widowControl/>
              <w:jc w:val="left"/>
              <w:rPr>
                <w:rFonts w:eastAsia="黑体"/>
                <w:bCs/>
                <w:color w:val="000000"/>
                <w:kern w:val="0"/>
                <w:sz w:val="24"/>
              </w:rPr>
            </w:pPr>
          </w:p>
        </w:tc>
        <w:tc>
          <w:tcPr>
            <w:tcW w:w="907" w:type="dxa"/>
            <w:vMerge w:val="continue"/>
            <w:tcBorders>
              <w:top w:val="single" w:color="000000" w:sz="4" w:space="0"/>
              <w:left w:val="single" w:color="000000" w:sz="4" w:space="0"/>
              <w:bottom w:val="single" w:color="000000" w:sz="4" w:space="0"/>
              <w:right w:val="single" w:color="000000" w:sz="4" w:space="0"/>
            </w:tcBorders>
            <w:vAlign w:val="center"/>
          </w:tcPr>
          <w:p w14:paraId="272F1135">
            <w:pPr>
              <w:widowControl/>
              <w:jc w:val="left"/>
              <w:rPr>
                <w:rFonts w:eastAsia="黑体"/>
                <w:bCs/>
                <w:color w:val="000000"/>
                <w:kern w:val="0"/>
                <w:sz w:val="24"/>
              </w:rPr>
            </w:pPr>
          </w:p>
        </w:tc>
        <w:tc>
          <w:tcPr>
            <w:tcW w:w="1163" w:type="dxa"/>
            <w:vMerge w:val="continue"/>
            <w:tcBorders>
              <w:top w:val="single" w:color="000000" w:sz="4" w:space="0"/>
              <w:left w:val="single" w:color="000000" w:sz="4" w:space="0"/>
              <w:bottom w:val="single" w:color="000000" w:sz="4" w:space="0"/>
              <w:right w:val="single" w:color="000000" w:sz="4" w:space="0"/>
            </w:tcBorders>
            <w:vAlign w:val="center"/>
          </w:tcPr>
          <w:p w14:paraId="1A19FB45">
            <w:pPr>
              <w:widowControl/>
              <w:jc w:val="center"/>
              <w:rPr>
                <w:rFonts w:eastAsia="黑体"/>
                <w:color w:val="000000"/>
                <w:kern w:val="0"/>
                <w:sz w:val="24"/>
              </w:rPr>
            </w:pPr>
          </w:p>
        </w:tc>
        <w:tc>
          <w:tcPr>
            <w:tcW w:w="3663" w:type="dxa"/>
            <w:gridSpan w:val="3"/>
            <w:vMerge w:val="continue"/>
            <w:tcBorders>
              <w:top w:val="single" w:color="000000" w:sz="4" w:space="0"/>
              <w:left w:val="single" w:color="000000" w:sz="4" w:space="0"/>
              <w:bottom w:val="single" w:color="000000" w:sz="4" w:space="0"/>
              <w:right w:val="single" w:color="000000" w:sz="4" w:space="0"/>
            </w:tcBorders>
            <w:vAlign w:val="center"/>
          </w:tcPr>
          <w:p w14:paraId="17ED5C2B">
            <w:pPr>
              <w:widowControl/>
              <w:jc w:val="left"/>
              <w:rPr>
                <w:rFonts w:eastAsia="黑体"/>
                <w:bCs/>
                <w:color w:val="000000"/>
                <w:kern w:val="0"/>
                <w:sz w:val="24"/>
              </w:rPr>
            </w:pPr>
          </w:p>
        </w:tc>
        <w:tc>
          <w:tcPr>
            <w:tcW w:w="1553" w:type="dxa"/>
            <w:vMerge w:val="continue"/>
            <w:tcBorders>
              <w:top w:val="single" w:color="000000" w:sz="4" w:space="0"/>
              <w:left w:val="single" w:color="000000" w:sz="4" w:space="0"/>
              <w:bottom w:val="single" w:color="000000" w:sz="4" w:space="0"/>
              <w:right w:val="single" w:color="000000" w:sz="4" w:space="0"/>
            </w:tcBorders>
            <w:vAlign w:val="center"/>
          </w:tcPr>
          <w:p w14:paraId="7C1F2EC9">
            <w:pPr>
              <w:widowControl/>
              <w:jc w:val="left"/>
              <w:rPr>
                <w:rFonts w:eastAsia="黑体"/>
                <w:bCs/>
                <w:color w:val="000000"/>
                <w:kern w:val="0"/>
                <w:sz w:val="24"/>
              </w:rPr>
            </w:pPr>
          </w:p>
        </w:tc>
      </w:tr>
      <w:tr w14:paraId="2D28C92C">
        <w:tblPrEx>
          <w:tblCellMar>
            <w:top w:w="15" w:type="dxa"/>
            <w:left w:w="15" w:type="dxa"/>
            <w:bottom w:w="15" w:type="dxa"/>
            <w:right w:w="15" w:type="dxa"/>
          </w:tblCellMar>
        </w:tblPrEx>
        <w:trPr>
          <w:trHeight w:val="340" w:hRule="atLeast"/>
          <w:tblHeader/>
          <w:jc w:val="center"/>
        </w:trPr>
        <w:tc>
          <w:tcPr>
            <w:tcW w:w="604" w:type="dxa"/>
            <w:vMerge w:val="continue"/>
            <w:tcBorders>
              <w:top w:val="single" w:color="000000" w:sz="4" w:space="0"/>
              <w:left w:val="single" w:color="000000" w:sz="4" w:space="0"/>
              <w:bottom w:val="single" w:color="000000" w:sz="4" w:space="0"/>
              <w:right w:val="single" w:color="000000" w:sz="4" w:space="0"/>
            </w:tcBorders>
            <w:vAlign w:val="center"/>
          </w:tcPr>
          <w:p w14:paraId="14236442">
            <w:pPr>
              <w:widowControl/>
              <w:jc w:val="left"/>
              <w:rPr>
                <w:rFonts w:eastAsia="黑体"/>
                <w:bCs/>
                <w:color w:val="000000"/>
                <w:kern w:val="0"/>
                <w:sz w:val="24"/>
              </w:rPr>
            </w:pPr>
          </w:p>
        </w:tc>
        <w:tc>
          <w:tcPr>
            <w:tcW w:w="632" w:type="dxa"/>
            <w:vMerge w:val="continue"/>
            <w:tcBorders>
              <w:top w:val="single" w:color="000000" w:sz="4" w:space="0"/>
              <w:left w:val="single" w:color="000000" w:sz="4" w:space="0"/>
              <w:bottom w:val="single" w:color="000000" w:sz="4" w:space="0"/>
              <w:right w:val="single" w:color="000000" w:sz="4" w:space="0"/>
            </w:tcBorders>
            <w:vAlign w:val="center"/>
          </w:tcPr>
          <w:p w14:paraId="7B138A03">
            <w:pPr>
              <w:widowControl/>
              <w:jc w:val="left"/>
              <w:rPr>
                <w:rFonts w:eastAsia="黑体"/>
                <w:bCs/>
                <w:color w:val="000000"/>
                <w:kern w:val="0"/>
                <w:sz w:val="24"/>
              </w:rPr>
            </w:pPr>
          </w:p>
        </w:tc>
        <w:tc>
          <w:tcPr>
            <w:tcW w:w="1684" w:type="dxa"/>
            <w:gridSpan w:val="2"/>
            <w:vMerge w:val="continue"/>
            <w:tcBorders>
              <w:top w:val="single" w:color="000000" w:sz="4" w:space="0"/>
              <w:left w:val="single" w:color="000000" w:sz="4" w:space="0"/>
              <w:bottom w:val="single" w:color="000000" w:sz="4" w:space="0"/>
              <w:right w:val="single" w:color="000000" w:sz="4" w:space="0"/>
            </w:tcBorders>
            <w:vAlign w:val="center"/>
          </w:tcPr>
          <w:p w14:paraId="50D27C86">
            <w:pPr>
              <w:widowControl/>
              <w:jc w:val="left"/>
              <w:rPr>
                <w:rFonts w:eastAsia="黑体"/>
                <w:bCs/>
                <w:color w:val="000000"/>
                <w:kern w:val="0"/>
                <w:sz w:val="24"/>
              </w:rPr>
            </w:pPr>
          </w:p>
        </w:tc>
        <w:tc>
          <w:tcPr>
            <w:tcW w:w="1047" w:type="dxa"/>
            <w:vMerge w:val="continue"/>
            <w:tcBorders>
              <w:top w:val="single" w:color="000000" w:sz="4" w:space="0"/>
              <w:left w:val="single" w:color="000000" w:sz="4" w:space="0"/>
              <w:bottom w:val="single" w:color="000000" w:sz="4" w:space="0"/>
              <w:right w:val="single" w:color="000000" w:sz="4" w:space="0"/>
            </w:tcBorders>
            <w:vAlign w:val="center"/>
          </w:tcPr>
          <w:p w14:paraId="54EF8719">
            <w:pPr>
              <w:widowControl/>
              <w:jc w:val="left"/>
              <w:rPr>
                <w:rFonts w:eastAsia="黑体"/>
                <w:bCs/>
                <w:color w:val="000000"/>
                <w:kern w:val="0"/>
                <w:sz w:val="24"/>
              </w:rPr>
            </w:pPr>
          </w:p>
        </w:tc>
        <w:tc>
          <w:tcPr>
            <w:tcW w:w="1043" w:type="dxa"/>
            <w:vMerge w:val="continue"/>
            <w:tcBorders>
              <w:top w:val="single" w:color="000000" w:sz="4" w:space="0"/>
              <w:left w:val="single" w:color="000000" w:sz="4" w:space="0"/>
              <w:bottom w:val="single" w:color="000000" w:sz="4" w:space="0"/>
              <w:right w:val="single" w:color="000000" w:sz="4" w:space="0"/>
            </w:tcBorders>
            <w:vAlign w:val="center"/>
          </w:tcPr>
          <w:p w14:paraId="1A7E7DBE">
            <w:pPr>
              <w:widowControl/>
              <w:jc w:val="left"/>
              <w:rPr>
                <w:rFonts w:eastAsia="黑体"/>
                <w:bCs/>
                <w:color w:val="000000"/>
                <w:kern w:val="0"/>
                <w:sz w:val="24"/>
              </w:rPr>
            </w:pPr>
          </w:p>
        </w:tc>
        <w:tc>
          <w:tcPr>
            <w:tcW w:w="801" w:type="dxa"/>
            <w:vMerge w:val="continue"/>
            <w:tcBorders>
              <w:top w:val="single" w:color="000000" w:sz="4" w:space="0"/>
              <w:left w:val="single" w:color="000000" w:sz="4" w:space="0"/>
              <w:bottom w:val="single" w:color="000000" w:sz="4" w:space="0"/>
              <w:right w:val="single" w:color="000000" w:sz="4" w:space="0"/>
            </w:tcBorders>
            <w:vAlign w:val="center"/>
          </w:tcPr>
          <w:p w14:paraId="5F5363BB">
            <w:pPr>
              <w:widowControl/>
              <w:jc w:val="left"/>
              <w:rPr>
                <w:rFonts w:eastAsia="黑体"/>
                <w:bCs/>
                <w:color w:val="000000"/>
                <w:kern w:val="0"/>
                <w:sz w:val="24"/>
              </w:rPr>
            </w:pPr>
          </w:p>
        </w:tc>
        <w:tc>
          <w:tcPr>
            <w:tcW w:w="1005" w:type="dxa"/>
            <w:vMerge w:val="continue"/>
            <w:tcBorders>
              <w:top w:val="single" w:color="000000" w:sz="4" w:space="0"/>
              <w:left w:val="single" w:color="000000" w:sz="4" w:space="0"/>
              <w:bottom w:val="single" w:color="000000" w:sz="4" w:space="0"/>
              <w:right w:val="single" w:color="000000" w:sz="4" w:space="0"/>
            </w:tcBorders>
            <w:vAlign w:val="center"/>
          </w:tcPr>
          <w:p w14:paraId="06FFC4CD">
            <w:pPr>
              <w:widowControl/>
              <w:jc w:val="left"/>
              <w:rPr>
                <w:rFonts w:eastAsia="黑体"/>
                <w:bCs/>
                <w:color w:val="000000"/>
                <w:kern w:val="0"/>
                <w:sz w:val="24"/>
              </w:rPr>
            </w:pPr>
          </w:p>
        </w:tc>
        <w:tc>
          <w:tcPr>
            <w:tcW w:w="930" w:type="dxa"/>
            <w:vMerge w:val="continue"/>
            <w:tcBorders>
              <w:top w:val="single" w:color="000000" w:sz="4" w:space="0"/>
              <w:left w:val="single" w:color="000000" w:sz="4" w:space="0"/>
              <w:bottom w:val="single" w:color="000000" w:sz="4" w:space="0"/>
              <w:right w:val="single" w:color="000000" w:sz="4" w:space="0"/>
            </w:tcBorders>
            <w:vAlign w:val="center"/>
          </w:tcPr>
          <w:p w14:paraId="67D74D02">
            <w:pPr>
              <w:widowControl/>
              <w:jc w:val="left"/>
              <w:rPr>
                <w:rFonts w:eastAsia="黑体"/>
                <w:bCs/>
                <w:color w:val="000000"/>
                <w:kern w:val="0"/>
                <w:sz w:val="24"/>
              </w:rPr>
            </w:pPr>
          </w:p>
        </w:tc>
        <w:tc>
          <w:tcPr>
            <w:tcW w:w="907" w:type="dxa"/>
            <w:vMerge w:val="continue"/>
            <w:tcBorders>
              <w:top w:val="single" w:color="000000" w:sz="4" w:space="0"/>
              <w:left w:val="single" w:color="000000" w:sz="4" w:space="0"/>
              <w:bottom w:val="single" w:color="000000" w:sz="4" w:space="0"/>
              <w:right w:val="single" w:color="000000" w:sz="4" w:space="0"/>
            </w:tcBorders>
            <w:vAlign w:val="center"/>
          </w:tcPr>
          <w:p w14:paraId="436B3654">
            <w:pPr>
              <w:widowControl/>
              <w:jc w:val="left"/>
              <w:rPr>
                <w:rFonts w:eastAsia="黑体"/>
                <w:bCs/>
                <w:color w:val="000000"/>
                <w:kern w:val="0"/>
                <w:sz w:val="24"/>
              </w:rPr>
            </w:pPr>
          </w:p>
        </w:tc>
        <w:tc>
          <w:tcPr>
            <w:tcW w:w="1163" w:type="dxa"/>
            <w:vMerge w:val="continue"/>
            <w:tcBorders>
              <w:top w:val="single" w:color="000000" w:sz="4" w:space="0"/>
              <w:left w:val="single" w:color="000000" w:sz="4" w:space="0"/>
              <w:bottom w:val="single" w:color="000000" w:sz="4" w:space="0"/>
              <w:right w:val="single" w:color="000000" w:sz="4" w:space="0"/>
            </w:tcBorders>
            <w:vAlign w:val="center"/>
          </w:tcPr>
          <w:p w14:paraId="0D02AFBF">
            <w:pPr>
              <w:widowControl/>
              <w:jc w:val="center"/>
              <w:rPr>
                <w:rFonts w:eastAsia="黑体"/>
                <w:color w:val="000000"/>
                <w:kern w:val="0"/>
                <w:sz w:val="24"/>
              </w:rPr>
            </w:pPr>
          </w:p>
        </w:tc>
        <w:tc>
          <w:tcPr>
            <w:tcW w:w="1298" w:type="dxa"/>
            <w:vMerge w:val="restart"/>
            <w:tcBorders>
              <w:top w:val="single" w:color="000000" w:sz="4" w:space="0"/>
              <w:left w:val="single" w:color="000000" w:sz="4" w:space="0"/>
              <w:bottom w:val="single" w:color="000000" w:sz="4" w:space="0"/>
              <w:right w:val="single" w:color="000000" w:sz="4" w:space="0"/>
            </w:tcBorders>
            <w:vAlign w:val="center"/>
          </w:tcPr>
          <w:p w14:paraId="3EFDD1E0">
            <w:pPr>
              <w:widowControl/>
              <w:jc w:val="center"/>
              <w:rPr>
                <w:rFonts w:hint="eastAsia" w:eastAsia="黑体"/>
                <w:bCs/>
                <w:color w:val="000000"/>
                <w:kern w:val="0"/>
                <w:sz w:val="24"/>
                <w:lang w:eastAsia="zh-CN"/>
              </w:rPr>
            </w:pPr>
            <w:r>
              <w:rPr>
                <w:rFonts w:eastAsia="黑体"/>
                <w:bCs/>
                <w:color w:val="000000"/>
                <w:kern w:val="0"/>
                <w:sz w:val="24"/>
              </w:rPr>
              <w:t>2020年</w:t>
            </w:r>
          </w:p>
          <w:p w14:paraId="091C3313">
            <w:pPr>
              <w:widowControl/>
              <w:jc w:val="center"/>
              <w:rPr>
                <w:rFonts w:eastAsia="黑体"/>
                <w:bCs/>
                <w:color w:val="000000"/>
                <w:kern w:val="0"/>
                <w:sz w:val="24"/>
              </w:rPr>
            </w:pPr>
            <w:r>
              <w:rPr>
                <w:rFonts w:eastAsia="黑体"/>
                <w:bCs/>
                <w:color w:val="000000"/>
                <w:kern w:val="0"/>
                <w:sz w:val="24"/>
              </w:rPr>
              <w:t>（目标值）</w:t>
            </w:r>
          </w:p>
        </w:tc>
        <w:tc>
          <w:tcPr>
            <w:tcW w:w="1094" w:type="dxa"/>
            <w:vMerge w:val="restart"/>
            <w:tcBorders>
              <w:top w:val="single" w:color="000000" w:sz="4" w:space="0"/>
              <w:left w:val="single" w:color="000000" w:sz="4" w:space="0"/>
              <w:bottom w:val="single" w:color="000000" w:sz="4" w:space="0"/>
              <w:right w:val="single" w:color="000000" w:sz="4" w:space="0"/>
            </w:tcBorders>
            <w:vAlign w:val="center"/>
          </w:tcPr>
          <w:p w14:paraId="71197BBA">
            <w:pPr>
              <w:widowControl/>
              <w:jc w:val="center"/>
              <w:rPr>
                <w:rFonts w:eastAsia="黑体"/>
                <w:bCs/>
                <w:color w:val="000000"/>
                <w:kern w:val="0"/>
                <w:sz w:val="24"/>
              </w:rPr>
            </w:pPr>
            <w:r>
              <w:rPr>
                <w:rFonts w:eastAsia="黑体"/>
                <w:bCs/>
                <w:color w:val="000000"/>
                <w:kern w:val="0"/>
                <w:sz w:val="24"/>
              </w:rPr>
              <w:t>年均增长%</w:t>
            </w:r>
          </w:p>
        </w:tc>
        <w:tc>
          <w:tcPr>
            <w:tcW w:w="1271" w:type="dxa"/>
            <w:vMerge w:val="restart"/>
            <w:tcBorders>
              <w:top w:val="single" w:color="000000" w:sz="4" w:space="0"/>
              <w:left w:val="single" w:color="000000" w:sz="4" w:space="0"/>
              <w:bottom w:val="single" w:color="000000" w:sz="4" w:space="0"/>
              <w:right w:val="single" w:color="000000" w:sz="4" w:space="0"/>
            </w:tcBorders>
            <w:vAlign w:val="center"/>
          </w:tcPr>
          <w:p w14:paraId="409E5BA6">
            <w:pPr>
              <w:widowControl/>
              <w:jc w:val="center"/>
              <w:rPr>
                <w:rFonts w:eastAsia="黑体"/>
                <w:bCs/>
                <w:color w:val="000000"/>
                <w:kern w:val="0"/>
                <w:sz w:val="24"/>
              </w:rPr>
            </w:pPr>
            <w:r>
              <w:rPr>
                <w:rFonts w:eastAsia="黑体"/>
                <w:bCs/>
                <w:color w:val="000000"/>
                <w:kern w:val="0"/>
                <w:sz w:val="24"/>
              </w:rPr>
              <w:t>指标属性</w:t>
            </w:r>
          </w:p>
        </w:tc>
        <w:tc>
          <w:tcPr>
            <w:tcW w:w="1553" w:type="dxa"/>
            <w:vMerge w:val="restart"/>
            <w:tcBorders>
              <w:top w:val="single" w:color="000000" w:sz="4" w:space="0"/>
              <w:left w:val="single" w:color="000000" w:sz="4" w:space="0"/>
              <w:bottom w:val="single" w:color="000000" w:sz="4" w:space="0"/>
              <w:right w:val="single" w:color="000000" w:sz="4" w:space="0"/>
            </w:tcBorders>
            <w:vAlign w:val="center"/>
          </w:tcPr>
          <w:p w14:paraId="2DD4F8CF">
            <w:pPr>
              <w:widowControl/>
              <w:jc w:val="center"/>
              <w:rPr>
                <w:rFonts w:eastAsia="黑体"/>
                <w:bCs/>
                <w:color w:val="000000"/>
                <w:kern w:val="0"/>
                <w:sz w:val="24"/>
              </w:rPr>
            </w:pPr>
            <w:r>
              <w:rPr>
                <w:rFonts w:eastAsia="黑体"/>
                <w:bCs/>
                <w:color w:val="000000"/>
                <w:kern w:val="0"/>
                <w:sz w:val="24"/>
              </w:rPr>
              <w:t>评估结论</w:t>
            </w:r>
          </w:p>
        </w:tc>
      </w:tr>
      <w:tr w14:paraId="1F154EFE">
        <w:tblPrEx>
          <w:tblCellMar>
            <w:top w:w="15" w:type="dxa"/>
            <w:left w:w="15" w:type="dxa"/>
            <w:bottom w:w="15" w:type="dxa"/>
            <w:right w:w="15" w:type="dxa"/>
          </w:tblCellMar>
        </w:tblPrEx>
        <w:trPr>
          <w:trHeight w:val="340" w:hRule="atLeast"/>
          <w:tblHeader/>
          <w:jc w:val="center"/>
        </w:trPr>
        <w:tc>
          <w:tcPr>
            <w:tcW w:w="604" w:type="dxa"/>
            <w:vMerge w:val="continue"/>
            <w:tcBorders>
              <w:top w:val="single" w:color="000000" w:sz="4" w:space="0"/>
              <w:left w:val="single" w:color="000000" w:sz="4" w:space="0"/>
              <w:bottom w:val="single" w:color="000000" w:sz="4" w:space="0"/>
              <w:right w:val="single" w:color="000000" w:sz="4" w:space="0"/>
            </w:tcBorders>
            <w:vAlign w:val="center"/>
          </w:tcPr>
          <w:p w14:paraId="518B2560">
            <w:pPr>
              <w:widowControl/>
              <w:jc w:val="left"/>
              <w:rPr>
                <w:rFonts w:eastAsia="黑体"/>
                <w:bCs/>
                <w:color w:val="000000"/>
                <w:kern w:val="0"/>
                <w:sz w:val="24"/>
              </w:rPr>
            </w:pPr>
          </w:p>
        </w:tc>
        <w:tc>
          <w:tcPr>
            <w:tcW w:w="632" w:type="dxa"/>
            <w:vMerge w:val="continue"/>
            <w:tcBorders>
              <w:top w:val="single" w:color="000000" w:sz="4" w:space="0"/>
              <w:left w:val="single" w:color="000000" w:sz="4" w:space="0"/>
              <w:bottom w:val="single" w:color="000000" w:sz="4" w:space="0"/>
              <w:right w:val="single" w:color="000000" w:sz="4" w:space="0"/>
            </w:tcBorders>
            <w:vAlign w:val="center"/>
          </w:tcPr>
          <w:p w14:paraId="6E2768C9">
            <w:pPr>
              <w:widowControl/>
              <w:jc w:val="left"/>
              <w:rPr>
                <w:rFonts w:eastAsia="黑体"/>
                <w:bCs/>
                <w:color w:val="000000"/>
                <w:kern w:val="0"/>
                <w:sz w:val="24"/>
              </w:rPr>
            </w:pPr>
          </w:p>
        </w:tc>
        <w:tc>
          <w:tcPr>
            <w:tcW w:w="1684" w:type="dxa"/>
            <w:gridSpan w:val="2"/>
            <w:vMerge w:val="continue"/>
            <w:tcBorders>
              <w:top w:val="single" w:color="000000" w:sz="4" w:space="0"/>
              <w:left w:val="single" w:color="000000" w:sz="4" w:space="0"/>
              <w:bottom w:val="single" w:color="000000" w:sz="4" w:space="0"/>
              <w:right w:val="single" w:color="000000" w:sz="4" w:space="0"/>
            </w:tcBorders>
            <w:vAlign w:val="center"/>
          </w:tcPr>
          <w:p w14:paraId="5C16282F">
            <w:pPr>
              <w:widowControl/>
              <w:jc w:val="left"/>
              <w:rPr>
                <w:rFonts w:eastAsia="黑体"/>
                <w:bCs/>
                <w:color w:val="000000"/>
                <w:kern w:val="0"/>
                <w:sz w:val="24"/>
              </w:rPr>
            </w:pPr>
          </w:p>
        </w:tc>
        <w:tc>
          <w:tcPr>
            <w:tcW w:w="1047" w:type="dxa"/>
            <w:vMerge w:val="continue"/>
            <w:tcBorders>
              <w:top w:val="single" w:color="000000" w:sz="4" w:space="0"/>
              <w:left w:val="single" w:color="000000" w:sz="4" w:space="0"/>
              <w:bottom w:val="single" w:color="000000" w:sz="4" w:space="0"/>
              <w:right w:val="single" w:color="000000" w:sz="4" w:space="0"/>
            </w:tcBorders>
            <w:vAlign w:val="center"/>
          </w:tcPr>
          <w:p w14:paraId="34A19EAA">
            <w:pPr>
              <w:widowControl/>
              <w:jc w:val="left"/>
              <w:rPr>
                <w:rFonts w:eastAsia="黑体"/>
                <w:bCs/>
                <w:color w:val="000000"/>
                <w:kern w:val="0"/>
                <w:sz w:val="24"/>
              </w:rPr>
            </w:pPr>
          </w:p>
        </w:tc>
        <w:tc>
          <w:tcPr>
            <w:tcW w:w="1043" w:type="dxa"/>
            <w:vMerge w:val="continue"/>
            <w:tcBorders>
              <w:top w:val="single" w:color="000000" w:sz="4" w:space="0"/>
              <w:left w:val="single" w:color="000000" w:sz="4" w:space="0"/>
              <w:bottom w:val="single" w:color="000000" w:sz="4" w:space="0"/>
              <w:right w:val="single" w:color="000000" w:sz="4" w:space="0"/>
            </w:tcBorders>
            <w:vAlign w:val="center"/>
          </w:tcPr>
          <w:p w14:paraId="05D8AA0F">
            <w:pPr>
              <w:widowControl/>
              <w:jc w:val="left"/>
              <w:rPr>
                <w:rFonts w:eastAsia="黑体"/>
                <w:bCs/>
                <w:color w:val="000000"/>
                <w:kern w:val="0"/>
                <w:sz w:val="24"/>
              </w:rPr>
            </w:pPr>
          </w:p>
        </w:tc>
        <w:tc>
          <w:tcPr>
            <w:tcW w:w="801" w:type="dxa"/>
            <w:vMerge w:val="continue"/>
            <w:tcBorders>
              <w:top w:val="single" w:color="000000" w:sz="4" w:space="0"/>
              <w:left w:val="single" w:color="000000" w:sz="4" w:space="0"/>
              <w:bottom w:val="single" w:color="000000" w:sz="4" w:space="0"/>
              <w:right w:val="single" w:color="000000" w:sz="4" w:space="0"/>
            </w:tcBorders>
            <w:vAlign w:val="center"/>
          </w:tcPr>
          <w:p w14:paraId="534EF0FC">
            <w:pPr>
              <w:widowControl/>
              <w:jc w:val="left"/>
              <w:rPr>
                <w:rFonts w:eastAsia="黑体"/>
                <w:bCs/>
                <w:color w:val="000000"/>
                <w:kern w:val="0"/>
                <w:sz w:val="24"/>
              </w:rPr>
            </w:pPr>
          </w:p>
        </w:tc>
        <w:tc>
          <w:tcPr>
            <w:tcW w:w="1005" w:type="dxa"/>
            <w:vMerge w:val="continue"/>
            <w:tcBorders>
              <w:top w:val="single" w:color="000000" w:sz="4" w:space="0"/>
              <w:left w:val="single" w:color="000000" w:sz="4" w:space="0"/>
              <w:bottom w:val="single" w:color="000000" w:sz="4" w:space="0"/>
              <w:right w:val="single" w:color="000000" w:sz="4" w:space="0"/>
            </w:tcBorders>
            <w:vAlign w:val="center"/>
          </w:tcPr>
          <w:p w14:paraId="65912F51">
            <w:pPr>
              <w:widowControl/>
              <w:jc w:val="left"/>
              <w:rPr>
                <w:rFonts w:eastAsia="黑体"/>
                <w:bCs/>
                <w:color w:val="000000"/>
                <w:kern w:val="0"/>
                <w:sz w:val="24"/>
              </w:rPr>
            </w:pPr>
          </w:p>
        </w:tc>
        <w:tc>
          <w:tcPr>
            <w:tcW w:w="930" w:type="dxa"/>
            <w:vMerge w:val="continue"/>
            <w:tcBorders>
              <w:top w:val="single" w:color="000000" w:sz="4" w:space="0"/>
              <w:left w:val="single" w:color="000000" w:sz="4" w:space="0"/>
              <w:bottom w:val="single" w:color="000000" w:sz="4" w:space="0"/>
              <w:right w:val="single" w:color="000000" w:sz="4" w:space="0"/>
            </w:tcBorders>
            <w:vAlign w:val="center"/>
          </w:tcPr>
          <w:p w14:paraId="41C8B670">
            <w:pPr>
              <w:widowControl/>
              <w:jc w:val="left"/>
              <w:rPr>
                <w:rFonts w:eastAsia="黑体"/>
                <w:bCs/>
                <w:color w:val="000000"/>
                <w:kern w:val="0"/>
                <w:sz w:val="24"/>
              </w:rPr>
            </w:pPr>
          </w:p>
        </w:tc>
        <w:tc>
          <w:tcPr>
            <w:tcW w:w="907" w:type="dxa"/>
            <w:vMerge w:val="continue"/>
            <w:tcBorders>
              <w:top w:val="single" w:color="000000" w:sz="4" w:space="0"/>
              <w:left w:val="single" w:color="000000" w:sz="4" w:space="0"/>
              <w:bottom w:val="single" w:color="000000" w:sz="4" w:space="0"/>
              <w:right w:val="single" w:color="000000" w:sz="4" w:space="0"/>
            </w:tcBorders>
            <w:vAlign w:val="center"/>
          </w:tcPr>
          <w:p w14:paraId="6962038B">
            <w:pPr>
              <w:widowControl/>
              <w:jc w:val="left"/>
              <w:rPr>
                <w:rFonts w:eastAsia="黑体"/>
                <w:bCs/>
                <w:color w:val="000000"/>
                <w:kern w:val="0"/>
                <w:sz w:val="24"/>
              </w:rPr>
            </w:pPr>
          </w:p>
        </w:tc>
        <w:tc>
          <w:tcPr>
            <w:tcW w:w="1163" w:type="dxa"/>
            <w:vMerge w:val="continue"/>
            <w:tcBorders>
              <w:top w:val="single" w:color="000000" w:sz="4" w:space="0"/>
              <w:left w:val="single" w:color="000000" w:sz="4" w:space="0"/>
              <w:bottom w:val="single" w:color="000000" w:sz="4" w:space="0"/>
              <w:right w:val="single" w:color="000000" w:sz="4" w:space="0"/>
            </w:tcBorders>
            <w:vAlign w:val="center"/>
          </w:tcPr>
          <w:p w14:paraId="1878DA7A">
            <w:pPr>
              <w:widowControl/>
              <w:jc w:val="center"/>
              <w:rPr>
                <w:rFonts w:eastAsia="黑体"/>
                <w:color w:val="000000"/>
                <w:kern w:val="0"/>
                <w:sz w:val="24"/>
              </w:rPr>
            </w:pPr>
          </w:p>
        </w:tc>
        <w:tc>
          <w:tcPr>
            <w:tcW w:w="1298" w:type="dxa"/>
            <w:vMerge w:val="continue"/>
            <w:tcBorders>
              <w:top w:val="single" w:color="000000" w:sz="4" w:space="0"/>
              <w:left w:val="single" w:color="000000" w:sz="4" w:space="0"/>
              <w:bottom w:val="single" w:color="000000" w:sz="4" w:space="0"/>
              <w:right w:val="single" w:color="000000" w:sz="4" w:space="0"/>
            </w:tcBorders>
            <w:vAlign w:val="center"/>
          </w:tcPr>
          <w:p w14:paraId="391AE5A2">
            <w:pPr>
              <w:widowControl/>
              <w:jc w:val="left"/>
              <w:rPr>
                <w:rFonts w:eastAsia="黑体"/>
                <w:bCs/>
                <w:color w:val="000000"/>
                <w:kern w:val="0"/>
                <w:sz w:val="24"/>
              </w:rPr>
            </w:pPr>
          </w:p>
        </w:tc>
        <w:tc>
          <w:tcPr>
            <w:tcW w:w="1094" w:type="dxa"/>
            <w:vMerge w:val="continue"/>
            <w:tcBorders>
              <w:top w:val="single" w:color="000000" w:sz="4" w:space="0"/>
              <w:left w:val="single" w:color="000000" w:sz="4" w:space="0"/>
              <w:bottom w:val="single" w:color="000000" w:sz="4" w:space="0"/>
              <w:right w:val="single" w:color="000000" w:sz="4" w:space="0"/>
            </w:tcBorders>
            <w:vAlign w:val="center"/>
          </w:tcPr>
          <w:p w14:paraId="77A72053">
            <w:pPr>
              <w:widowControl/>
              <w:jc w:val="left"/>
              <w:rPr>
                <w:rFonts w:eastAsia="黑体"/>
                <w:bCs/>
                <w:color w:val="000000"/>
                <w:kern w:val="0"/>
                <w:sz w:val="24"/>
              </w:rPr>
            </w:pPr>
          </w:p>
        </w:tc>
        <w:tc>
          <w:tcPr>
            <w:tcW w:w="1271" w:type="dxa"/>
            <w:vMerge w:val="continue"/>
            <w:tcBorders>
              <w:top w:val="single" w:color="000000" w:sz="4" w:space="0"/>
              <w:left w:val="single" w:color="000000" w:sz="4" w:space="0"/>
              <w:bottom w:val="single" w:color="000000" w:sz="4" w:space="0"/>
              <w:right w:val="single" w:color="000000" w:sz="4" w:space="0"/>
            </w:tcBorders>
            <w:vAlign w:val="center"/>
          </w:tcPr>
          <w:p w14:paraId="110C7F81">
            <w:pPr>
              <w:widowControl/>
              <w:jc w:val="left"/>
              <w:rPr>
                <w:rFonts w:eastAsia="黑体"/>
                <w:bCs/>
                <w:color w:val="000000"/>
                <w:kern w:val="0"/>
                <w:sz w:val="24"/>
              </w:rPr>
            </w:pPr>
          </w:p>
        </w:tc>
        <w:tc>
          <w:tcPr>
            <w:tcW w:w="1553" w:type="dxa"/>
            <w:vMerge w:val="continue"/>
            <w:tcBorders>
              <w:top w:val="single" w:color="000000" w:sz="4" w:space="0"/>
              <w:left w:val="single" w:color="000000" w:sz="4" w:space="0"/>
              <w:bottom w:val="single" w:color="000000" w:sz="4" w:space="0"/>
              <w:right w:val="single" w:color="000000" w:sz="4" w:space="0"/>
            </w:tcBorders>
            <w:vAlign w:val="center"/>
          </w:tcPr>
          <w:p w14:paraId="4D5EF3EA">
            <w:pPr>
              <w:widowControl/>
              <w:jc w:val="left"/>
              <w:rPr>
                <w:rFonts w:eastAsia="黑体"/>
                <w:bCs/>
                <w:color w:val="000000"/>
                <w:kern w:val="0"/>
                <w:sz w:val="24"/>
              </w:rPr>
            </w:pPr>
          </w:p>
        </w:tc>
      </w:tr>
      <w:tr w14:paraId="1C0E66EB">
        <w:tblPrEx>
          <w:tblCellMar>
            <w:top w:w="15" w:type="dxa"/>
            <w:left w:w="15" w:type="dxa"/>
            <w:bottom w:w="15" w:type="dxa"/>
            <w:right w:w="15" w:type="dxa"/>
          </w:tblCellMar>
        </w:tblPrEx>
        <w:trPr>
          <w:trHeight w:val="340" w:hRule="atLeast"/>
          <w:tblHeader/>
          <w:jc w:val="center"/>
        </w:trPr>
        <w:tc>
          <w:tcPr>
            <w:tcW w:w="604" w:type="dxa"/>
            <w:vMerge w:val="continue"/>
            <w:tcBorders>
              <w:top w:val="single" w:color="000000" w:sz="4" w:space="0"/>
              <w:left w:val="single" w:color="000000" w:sz="4" w:space="0"/>
              <w:bottom w:val="single" w:color="000000" w:sz="4" w:space="0"/>
              <w:right w:val="single" w:color="000000" w:sz="4" w:space="0"/>
            </w:tcBorders>
            <w:vAlign w:val="center"/>
          </w:tcPr>
          <w:p w14:paraId="7CFBC6A8">
            <w:pPr>
              <w:widowControl/>
              <w:jc w:val="left"/>
              <w:rPr>
                <w:rFonts w:eastAsia="黑体"/>
                <w:bCs/>
                <w:color w:val="000000"/>
                <w:kern w:val="0"/>
                <w:sz w:val="24"/>
              </w:rPr>
            </w:pPr>
          </w:p>
        </w:tc>
        <w:tc>
          <w:tcPr>
            <w:tcW w:w="632" w:type="dxa"/>
            <w:vMerge w:val="continue"/>
            <w:tcBorders>
              <w:top w:val="single" w:color="000000" w:sz="4" w:space="0"/>
              <w:left w:val="single" w:color="000000" w:sz="4" w:space="0"/>
              <w:bottom w:val="single" w:color="000000" w:sz="4" w:space="0"/>
              <w:right w:val="single" w:color="000000" w:sz="4" w:space="0"/>
            </w:tcBorders>
            <w:vAlign w:val="center"/>
          </w:tcPr>
          <w:p w14:paraId="1C9EAE03">
            <w:pPr>
              <w:widowControl/>
              <w:jc w:val="left"/>
              <w:rPr>
                <w:rFonts w:eastAsia="黑体"/>
                <w:bCs/>
                <w:color w:val="000000"/>
                <w:kern w:val="0"/>
                <w:sz w:val="24"/>
              </w:rPr>
            </w:pPr>
          </w:p>
        </w:tc>
        <w:tc>
          <w:tcPr>
            <w:tcW w:w="1684" w:type="dxa"/>
            <w:gridSpan w:val="2"/>
            <w:vMerge w:val="continue"/>
            <w:tcBorders>
              <w:top w:val="single" w:color="000000" w:sz="4" w:space="0"/>
              <w:left w:val="single" w:color="000000" w:sz="4" w:space="0"/>
              <w:bottom w:val="single" w:color="000000" w:sz="4" w:space="0"/>
              <w:right w:val="single" w:color="000000" w:sz="4" w:space="0"/>
            </w:tcBorders>
            <w:vAlign w:val="center"/>
          </w:tcPr>
          <w:p w14:paraId="3326F509">
            <w:pPr>
              <w:widowControl/>
              <w:jc w:val="left"/>
              <w:rPr>
                <w:rFonts w:eastAsia="黑体"/>
                <w:bCs/>
                <w:color w:val="000000"/>
                <w:kern w:val="0"/>
                <w:sz w:val="24"/>
              </w:rPr>
            </w:pPr>
          </w:p>
        </w:tc>
        <w:tc>
          <w:tcPr>
            <w:tcW w:w="1047" w:type="dxa"/>
            <w:vMerge w:val="continue"/>
            <w:tcBorders>
              <w:top w:val="single" w:color="000000" w:sz="4" w:space="0"/>
              <w:left w:val="single" w:color="000000" w:sz="4" w:space="0"/>
              <w:bottom w:val="single" w:color="000000" w:sz="4" w:space="0"/>
              <w:right w:val="single" w:color="000000" w:sz="4" w:space="0"/>
            </w:tcBorders>
            <w:vAlign w:val="center"/>
          </w:tcPr>
          <w:p w14:paraId="2C28C971">
            <w:pPr>
              <w:widowControl/>
              <w:jc w:val="left"/>
              <w:rPr>
                <w:rFonts w:eastAsia="黑体"/>
                <w:bCs/>
                <w:color w:val="000000"/>
                <w:kern w:val="0"/>
                <w:sz w:val="24"/>
              </w:rPr>
            </w:pPr>
          </w:p>
        </w:tc>
        <w:tc>
          <w:tcPr>
            <w:tcW w:w="1043" w:type="dxa"/>
            <w:vMerge w:val="continue"/>
            <w:tcBorders>
              <w:top w:val="single" w:color="000000" w:sz="4" w:space="0"/>
              <w:left w:val="single" w:color="000000" w:sz="4" w:space="0"/>
              <w:bottom w:val="single" w:color="000000" w:sz="4" w:space="0"/>
              <w:right w:val="single" w:color="000000" w:sz="4" w:space="0"/>
            </w:tcBorders>
            <w:vAlign w:val="center"/>
          </w:tcPr>
          <w:p w14:paraId="1F2696E6">
            <w:pPr>
              <w:widowControl/>
              <w:jc w:val="left"/>
              <w:rPr>
                <w:rFonts w:eastAsia="黑体"/>
                <w:bCs/>
                <w:color w:val="000000"/>
                <w:kern w:val="0"/>
                <w:sz w:val="24"/>
              </w:rPr>
            </w:pPr>
          </w:p>
        </w:tc>
        <w:tc>
          <w:tcPr>
            <w:tcW w:w="801" w:type="dxa"/>
            <w:vMerge w:val="continue"/>
            <w:tcBorders>
              <w:top w:val="single" w:color="000000" w:sz="4" w:space="0"/>
              <w:left w:val="single" w:color="000000" w:sz="4" w:space="0"/>
              <w:bottom w:val="single" w:color="000000" w:sz="4" w:space="0"/>
              <w:right w:val="single" w:color="000000" w:sz="4" w:space="0"/>
            </w:tcBorders>
            <w:vAlign w:val="center"/>
          </w:tcPr>
          <w:p w14:paraId="4734D8F9">
            <w:pPr>
              <w:widowControl/>
              <w:jc w:val="left"/>
              <w:rPr>
                <w:rFonts w:eastAsia="黑体"/>
                <w:bCs/>
                <w:color w:val="000000"/>
                <w:kern w:val="0"/>
                <w:sz w:val="24"/>
              </w:rPr>
            </w:pPr>
          </w:p>
        </w:tc>
        <w:tc>
          <w:tcPr>
            <w:tcW w:w="1005" w:type="dxa"/>
            <w:vMerge w:val="continue"/>
            <w:tcBorders>
              <w:top w:val="single" w:color="000000" w:sz="4" w:space="0"/>
              <w:left w:val="single" w:color="000000" w:sz="4" w:space="0"/>
              <w:bottom w:val="single" w:color="000000" w:sz="4" w:space="0"/>
              <w:right w:val="single" w:color="000000" w:sz="4" w:space="0"/>
            </w:tcBorders>
            <w:vAlign w:val="center"/>
          </w:tcPr>
          <w:p w14:paraId="2E3DF33F">
            <w:pPr>
              <w:widowControl/>
              <w:jc w:val="left"/>
              <w:rPr>
                <w:rFonts w:eastAsia="黑体"/>
                <w:bCs/>
                <w:color w:val="000000"/>
                <w:kern w:val="0"/>
                <w:sz w:val="24"/>
              </w:rPr>
            </w:pPr>
          </w:p>
        </w:tc>
        <w:tc>
          <w:tcPr>
            <w:tcW w:w="930" w:type="dxa"/>
            <w:vMerge w:val="continue"/>
            <w:tcBorders>
              <w:top w:val="single" w:color="000000" w:sz="4" w:space="0"/>
              <w:left w:val="single" w:color="000000" w:sz="4" w:space="0"/>
              <w:bottom w:val="single" w:color="000000" w:sz="4" w:space="0"/>
              <w:right w:val="single" w:color="000000" w:sz="4" w:space="0"/>
            </w:tcBorders>
            <w:vAlign w:val="center"/>
          </w:tcPr>
          <w:p w14:paraId="52BBFF05">
            <w:pPr>
              <w:widowControl/>
              <w:jc w:val="left"/>
              <w:rPr>
                <w:rFonts w:eastAsia="黑体"/>
                <w:bCs/>
                <w:color w:val="000000"/>
                <w:kern w:val="0"/>
                <w:sz w:val="24"/>
              </w:rPr>
            </w:pPr>
          </w:p>
        </w:tc>
        <w:tc>
          <w:tcPr>
            <w:tcW w:w="907" w:type="dxa"/>
            <w:vMerge w:val="continue"/>
            <w:tcBorders>
              <w:top w:val="single" w:color="000000" w:sz="4" w:space="0"/>
              <w:left w:val="single" w:color="000000" w:sz="4" w:space="0"/>
              <w:bottom w:val="single" w:color="000000" w:sz="4" w:space="0"/>
              <w:right w:val="single" w:color="000000" w:sz="4" w:space="0"/>
            </w:tcBorders>
            <w:vAlign w:val="center"/>
          </w:tcPr>
          <w:p w14:paraId="69CE7AEC">
            <w:pPr>
              <w:widowControl/>
              <w:jc w:val="left"/>
              <w:rPr>
                <w:rFonts w:eastAsia="黑体"/>
                <w:bCs/>
                <w:color w:val="000000"/>
                <w:kern w:val="0"/>
                <w:sz w:val="24"/>
              </w:rPr>
            </w:pPr>
          </w:p>
        </w:tc>
        <w:tc>
          <w:tcPr>
            <w:tcW w:w="1163" w:type="dxa"/>
            <w:vMerge w:val="continue"/>
            <w:tcBorders>
              <w:top w:val="single" w:color="000000" w:sz="4" w:space="0"/>
              <w:left w:val="single" w:color="000000" w:sz="4" w:space="0"/>
              <w:bottom w:val="single" w:color="000000" w:sz="4" w:space="0"/>
              <w:right w:val="single" w:color="000000" w:sz="4" w:space="0"/>
            </w:tcBorders>
            <w:vAlign w:val="center"/>
          </w:tcPr>
          <w:p w14:paraId="23B34143">
            <w:pPr>
              <w:widowControl/>
              <w:jc w:val="center"/>
              <w:rPr>
                <w:rFonts w:eastAsia="黑体"/>
                <w:color w:val="000000"/>
                <w:kern w:val="0"/>
                <w:sz w:val="24"/>
              </w:rPr>
            </w:pPr>
          </w:p>
        </w:tc>
        <w:tc>
          <w:tcPr>
            <w:tcW w:w="1298" w:type="dxa"/>
            <w:vMerge w:val="continue"/>
            <w:tcBorders>
              <w:top w:val="single" w:color="000000" w:sz="4" w:space="0"/>
              <w:left w:val="single" w:color="000000" w:sz="4" w:space="0"/>
              <w:bottom w:val="single" w:color="000000" w:sz="4" w:space="0"/>
              <w:right w:val="single" w:color="000000" w:sz="4" w:space="0"/>
            </w:tcBorders>
            <w:vAlign w:val="center"/>
          </w:tcPr>
          <w:p w14:paraId="03D818B0">
            <w:pPr>
              <w:widowControl/>
              <w:jc w:val="left"/>
              <w:rPr>
                <w:rFonts w:eastAsia="黑体"/>
                <w:bCs/>
                <w:color w:val="000000"/>
                <w:kern w:val="0"/>
                <w:sz w:val="24"/>
              </w:rPr>
            </w:pPr>
          </w:p>
        </w:tc>
        <w:tc>
          <w:tcPr>
            <w:tcW w:w="1094" w:type="dxa"/>
            <w:vMerge w:val="continue"/>
            <w:tcBorders>
              <w:top w:val="single" w:color="000000" w:sz="4" w:space="0"/>
              <w:left w:val="single" w:color="000000" w:sz="4" w:space="0"/>
              <w:bottom w:val="single" w:color="000000" w:sz="4" w:space="0"/>
              <w:right w:val="single" w:color="000000" w:sz="4" w:space="0"/>
            </w:tcBorders>
            <w:vAlign w:val="center"/>
          </w:tcPr>
          <w:p w14:paraId="0C7D42EC">
            <w:pPr>
              <w:widowControl/>
              <w:jc w:val="left"/>
              <w:rPr>
                <w:rFonts w:eastAsia="黑体"/>
                <w:bCs/>
                <w:color w:val="000000"/>
                <w:kern w:val="0"/>
                <w:sz w:val="24"/>
              </w:rPr>
            </w:pPr>
          </w:p>
        </w:tc>
        <w:tc>
          <w:tcPr>
            <w:tcW w:w="1271" w:type="dxa"/>
            <w:vMerge w:val="continue"/>
            <w:tcBorders>
              <w:top w:val="single" w:color="000000" w:sz="4" w:space="0"/>
              <w:left w:val="single" w:color="000000" w:sz="4" w:space="0"/>
              <w:bottom w:val="single" w:color="000000" w:sz="4" w:space="0"/>
              <w:right w:val="single" w:color="000000" w:sz="4" w:space="0"/>
            </w:tcBorders>
            <w:vAlign w:val="center"/>
          </w:tcPr>
          <w:p w14:paraId="4B9BB4B8">
            <w:pPr>
              <w:widowControl/>
              <w:jc w:val="left"/>
              <w:rPr>
                <w:rFonts w:eastAsia="黑体"/>
                <w:bCs/>
                <w:color w:val="000000"/>
                <w:kern w:val="0"/>
                <w:sz w:val="24"/>
              </w:rPr>
            </w:pPr>
          </w:p>
        </w:tc>
        <w:tc>
          <w:tcPr>
            <w:tcW w:w="1553" w:type="dxa"/>
            <w:tcBorders>
              <w:top w:val="single" w:color="000000" w:sz="4" w:space="0"/>
              <w:left w:val="single" w:color="000000" w:sz="4" w:space="0"/>
              <w:bottom w:val="single" w:color="000000" w:sz="4" w:space="0"/>
              <w:right w:val="single" w:color="000000" w:sz="4" w:space="0"/>
            </w:tcBorders>
            <w:vAlign w:val="center"/>
          </w:tcPr>
          <w:p w14:paraId="617F2939">
            <w:pPr>
              <w:widowControl/>
              <w:rPr>
                <w:rFonts w:eastAsia="黑体"/>
                <w:bCs/>
                <w:color w:val="000000"/>
                <w:kern w:val="0"/>
                <w:sz w:val="24"/>
              </w:rPr>
            </w:pPr>
            <w:r>
              <w:rPr>
                <w:rFonts w:eastAsia="黑体"/>
                <w:bCs/>
                <w:color w:val="000000"/>
                <w:kern w:val="0"/>
                <w:sz w:val="24"/>
              </w:rPr>
              <w:t>（是否完成）</w:t>
            </w:r>
          </w:p>
        </w:tc>
      </w:tr>
      <w:tr w14:paraId="1396FA72">
        <w:tblPrEx>
          <w:tblCellMar>
            <w:top w:w="15" w:type="dxa"/>
            <w:left w:w="15" w:type="dxa"/>
            <w:bottom w:w="15" w:type="dxa"/>
            <w:right w:w="15" w:type="dxa"/>
          </w:tblCellMar>
        </w:tblPrEx>
        <w:trPr>
          <w:trHeight w:val="819" w:hRule="atLeast"/>
          <w:jc w:val="center"/>
        </w:trPr>
        <w:tc>
          <w:tcPr>
            <w:tcW w:w="604" w:type="dxa"/>
            <w:tcBorders>
              <w:top w:val="single" w:color="000000" w:sz="4" w:space="0"/>
              <w:left w:val="single" w:color="000000" w:sz="4" w:space="0"/>
              <w:bottom w:val="single" w:color="000000" w:sz="4" w:space="0"/>
              <w:right w:val="single" w:color="000000" w:sz="4" w:space="0"/>
            </w:tcBorders>
            <w:vAlign w:val="center"/>
          </w:tcPr>
          <w:p w14:paraId="15E3BFB3">
            <w:pPr>
              <w:widowControl/>
              <w:jc w:val="center"/>
              <w:rPr>
                <w:rFonts w:eastAsia="仿宋_GB2312"/>
                <w:color w:val="000000"/>
                <w:kern w:val="0"/>
                <w:sz w:val="24"/>
              </w:rPr>
            </w:pPr>
            <w:r>
              <w:rPr>
                <w:rFonts w:eastAsia="仿宋_GB2312"/>
                <w:color w:val="000000"/>
                <w:kern w:val="0"/>
                <w:sz w:val="24"/>
              </w:rPr>
              <w:t>1</w:t>
            </w:r>
          </w:p>
        </w:tc>
        <w:tc>
          <w:tcPr>
            <w:tcW w:w="632" w:type="dxa"/>
            <w:vMerge w:val="restart"/>
            <w:tcBorders>
              <w:top w:val="single" w:color="000000" w:sz="4" w:space="0"/>
              <w:left w:val="single" w:color="000000" w:sz="4" w:space="0"/>
              <w:right w:val="single" w:color="000000" w:sz="4" w:space="0"/>
            </w:tcBorders>
            <w:vAlign w:val="center"/>
          </w:tcPr>
          <w:p w14:paraId="161ECC07">
            <w:pPr>
              <w:widowControl/>
              <w:jc w:val="center"/>
              <w:rPr>
                <w:rFonts w:eastAsia="仿宋_GB2312"/>
                <w:color w:val="000000"/>
                <w:kern w:val="0"/>
                <w:sz w:val="24"/>
              </w:rPr>
            </w:pPr>
            <w:r>
              <w:rPr>
                <w:rFonts w:eastAsia="仿宋_GB2312"/>
                <w:color w:val="000000"/>
                <w:kern w:val="0"/>
                <w:sz w:val="24"/>
              </w:rPr>
              <w:t>强区</w:t>
            </w:r>
          </w:p>
          <w:p w14:paraId="153CE57E">
            <w:pPr>
              <w:widowControl/>
              <w:jc w:val="center"/>
              <w:rPr>
                <w:rFonts w:eastAsia="仿宋_GB2312"/>
                <w:color w:val="000000"/>
                <w:kern w:val="0"/>
                <w:sz w:val="24"/>
              </w:rPr>
            </w:pPr>
            <w:r>
              <w:rPr>
                <w:rFonts w:eastAsia="仿宋_GB2312"/>
                <w:color w:val="000000"/>
                <w:kern w:val="0"/>
                <w:sz w:val="24"/>
              </w:rPr>
              <w:t>富民</w:t>
            </w:r>
          </w:p>
          <w:p w14:paraId="3208EFF2">
            <w:pPr>
              <w:widowControl/>
              <w:jc w:val="center"/>
              <w:rPr>
                <w:rFonts w:eastAsia="仿宋_GB2312"/>
                <w:color w:val="000000"/>
                <w:kern w:val="0"/>
                <w:sz w:val="24"/>
              </w:rPr>
            </w:pPr>
            <w:r>
              <w:rPr>
                <w:rFonts w:eastAsia="仿宋_GB2312"/>
                <w:color w:val="000000"/>
                <w:kern w:val="0"/>
                <w:sz w:val="24"/>
              </w:rPr>
              <w:t>指标</w:t>
            </w:r>
          </w:p>
        </w:tc>
        <w:tc>
          <w:tcPr>
            <w:tcW w:w="1684" w:type="dxa"/>
            <w:gridSpan w:val="2"/>
            <w:tcBorders>
              <w:top w:val="single" w:color="000000" w:sz="4" w:space="0"/>
              <w:left w:val="single" w:color="000000" w:sz="4" w:space="0"/>
              <w:bottom w:val="single" w:color="000000" w:sz="4" w:space="0"/>
              <w:right w:val="single" w:color="000000" w:sz="4" w:space="0"/>
            </w:tcBorders>
            <w:vAlign w:val="center"/>
          </w:tcPr>
          <w:p w14:paraId="4DC3ACBD">
            <w:pPr>
              <w:widowControl/>
              <w:jc w:val="center"/>
              <w:rPr>
                <w:rFonts w:eastAsia="仿宋_GB2312"/>
                <w:color w:val="000000"/>
                <w:kern w:val="0"/>
                <w:sz w:val="24"/>
              </w:rPr>
            </w:pPr>
            <w:r>
              <w:rPr>
                <w:rFonts w:eastAsia="仿宋_GB2312"/>
                <w:color w:val="000000"/>
                <w:kern w:val="0"/>
                <w:sz w:val="24"/>
              </w:rPr>
              <w:t>地区生产总值（%）</w:t>
            </w:r>
          </w:p>
        </w:tc>
        <w:tc>
          <w:tcPr>
            <w:tcW w:w="1047" w:type="dxa"/>
            <w:tcBorders>
              <w:top w:val="single" w:color="000000" w:sz="4" w:space="0"/>
              <w:left w:val="single" w:color="000000" w:sz="4" w:space="0"/>
              <w:bottom w:val="single" w:color="000000" w:sz="4" w:space="0"/>
              <w:right w:val="single" w:color="000000" w:sz="4" w:space="0"/>
            </w:tcBorders>
            <w:vAlign w:val="center"/>
          </w:tcPr>
          <w:p w14:paraId="33C4414B">
            <w:pPr>
              <w:widowControl/>
              <w:jc w:val="center"/>
              <w:rPr>
                <w:rFonts w:eastAsia="仿宋_GB2312"/>
                <w:color w:val="000000"/>
                <w:kern w:val="0"/>
                <w:sz w:val="24"/>
              </w:rPr>
            </w:pPr>
            <w:r>
              <w:rPr>
                <w:rFonts w:eastAsia="仿宋_GB2312"/>
                <w:color w:val="000000"/>
                <w:kern w:val="0"/>
                <w:sz w:val="24"/>
              </w:rPr>
              <w:t>9</w:t>
            </w:r>
          </w:p>
        </w:tc>
        <w:tc>
          <w:tcPr>
            <w:tcW w:w="1043" w:type="dxa"/>
            <w:tcBorders>
              <w:top w:val="single" w:color="000000" w:sz="4" w:space="0"/>
              <w:left w:val="single" w:color="000000" w:sz="4" w:space="0"/>
              <w:bottom w:val="single" w:color="000000" w:sz="4" w:space="0"/>
              <w:right w:val="single" w:color="000000" w:sz="4" w:space="0"/>
            </w:tcBorders>
            <w:vAlign w:val="center"/>
          </w:tcPr>
          <w:p w14:paraId="2EA6854C">
            <w:pPr>
              <w:widowControl/>
              <w:jc w:val="center"/>
              <w:rPr>
                <w:rFonts w:eastAsia="仿宋_GB2312"/>
                <w:color w:val="000000"/>
                <w:kern w:val="0"/>
                <w:sz w:val="24"/>
              </w:rPr>
            </w:pPr>
            <w:r>
              <w:rPr>
                <w:rFonts w:eastAsia="仿宋_GB2312"/>
                <w:color w:val="000000"/>
                <w:kern w:val="0"/>
                <w:sz w:val="24"/>
              </w:rPr>
              <w:t>11.7</w:t>
            </w:r>
          </w:p>
        </w:tc>
        <w:tc>
          <w:tcPr>
            <w:tcW w:w="801" w:type="dxa"/>
            <w:tcBorders>
              <w:top w:val="single" w:color="000000" w:sz="4" w:space="0"/>
              <w:left w:val="single" w:color="000000" w:sz="4" w:space="0"/>
              <w:bottom w:val="single" w:color="000000" w:sz="4" w:space="0"/>
              <w:right w:val="single" w:color="000000" w:sz="4" w:space="0"/>
            </w:tcBorders>
            <w:vAlign w:val="center"/>
          </w:tcPr>
          <w:p w14:paraId="4906E044">
            <w:pPr>
              <w:widowControl/>
              <w:jc w:val="center"/>
              <w:rPr>
                <w:rFonts w:eastAsia="仿宋_GB2312"/>
                <w:color w:val="000000"/>
                <w:kern w:val="0"/>
                <w:sz w:val="24"/>
              </w:rPr>
            </w:pPr>
            <w:r>
              <w:rPr>
                <w:rFonts w:eastAsia="仿宋_GB2312"/>
                <w:color w:val="000000"/>
                <w:kern w:val="0"/>
                <w:sz w:val="24"/>
              </w:rPr>
              <w:t>8.5</w:t>
            </w:r>
          </w:p>
        </w:tc>
        <w:tc>
          <w:tcPr>
            <w:tcW w:w="1005" w:type="dxa"/>
            <w:tcBorders>
              <w:top w:val="single" w:color="000000" w:sz="4" w:space="0"/>
              <w:left w:val="single" w:color="000000" w:sz="4" w:space="0"/>
              <w:bottom w:val="single" w:color="000000" w:sz="4" w:space="0"/>
              <w:right w:val="single" w:color="000000" w:sz="4" w:space="0"/>
            </w:tcBorders>
            <w:vAlign w:val="center"/>
          </w:tcPr>
          <w:p w14:paraId="413F7725">
            <w:pPr>
              <w:widowControl/>
              <w:jc w:val="center"/>
              <w:rPr>
                <w:rFonts w:eastAsia="仿宋_GB2312"/>
                <w:color w:val="000000"/>
                <w:kern w:val="0"/>
                <w:sz w:val="24"/>
              </w:rPr>
            </w:pPr>
            <w:r>
              <w:rPr>
                <w:rFonts w:eastAsia="仿宋_GB2312"/>
                <w:color w:val="000000"/>
                <w:kern w:val="0"/>
                <w:sz w:val="24"/>
              </w:rPr>
              <w:t>10.5</w:t>
            </w:r>
          </w:p>
        </w:tc>
        <w:tc>
          <w:tcPr>
            <w:tcW w:w="930" w:type="dxa"/>
            <w:tcBorders>
              <w:top w:val="single" w:color="000000" w:sz="4" w:space="0"/>
              <w:left w:val="single" w:color="000000" w:sz="4" w:space="0"/>
              <w:bottom w:val="single" w:color="000000" w:sz="4" w:space="0"/>
              <w:right w:val="single" w:color="000000" w:sz="4" w:space="0"/>
            </w:tcBorders>
            <w:vAlign w:val="center"/>
          </w:tcPr>
          <w:p w14:paraId="0D315EBB">
            <w:pPr>
              <w:widowControl/>
              <w:jc w:val="center"/>
              <w:rPr>
                <w:rFonts w:eastAsia="仿宋_GB2312"/>
                <w:color w:val="000000"/>
                <w:kern w:val="0"/>
                <w:sz w:val="24"/>
              </w:rPr>
            </w:pPr>
            <w:r>
              <w:rPr>
                <w:rFonts w:eastAsia="仿宋_GB2312"/>
                <w:color w:val="000000"/>
                <w:kern w:val="0"/>
                <w:sz w:val="24"/>
              </w:rPr>
              <w:t>5.9</w:t>
            </w:r>
          </w:p>
        </w:tc>
        <w:tc>
          <w:tcPr>
            <w:tcW w:w="907" w:type="dxa"/>
            <w:tcBorders>
              <w:top w:val="single" w:color="000000" w:sz="4" w:space="0"/>
              <w:left w:val="single" w:color="000000" w:sz="4" w:space="0"/>
              <w:bottom w:val="single" w:color="000000" w:sz="4" w:space="0"/>
              <w:right w:val="single" w:color="000000" w:sz="4" w:space="0"/>
            </w:tcBorders>
            <w:vAlign w:val="center"/>
          </w:tcPr>
          <w:p w14:paraId="184477BF">
            <w:pPr>
              <w:widowControl/>
              <w:jc w:val="center"/>
              <w:rPr>
                <w:rFonts w:eastAsia="仿宋_GB2312"/>
                <w:color w:val="000000"/>
                <w:kern w:val="0"/>
                <w:sz w:val="24"/>
              </w:rPr>
            </w:pPr>
            <w:r>
              <w:rPr>
                <w:rFonts w:eastAsia="仿宋_GB2312"/>
                <w:color w:val="000000"/>
                <w:kern w:val="0"/>
                <w:sz w:val="24"/>
              </w:rPr>
              <w:t>7.65</w:t>
            </w:r>
          </w:p>
        </w:tc>
        <w:tc>
          <w:tcPr>
            <w:tcW w:w="1163"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240B185">
            <w:pPr>
              <w:widowControl/>
              <w:jc w:val="center"/>
              <w:rPr>
                <w:rFonts w:eastAsia="仿宋_GB2312"/>
                <w:color w:val="000000"/>
                <w:kern w:val="0"/>
                <w:sz w:val="24"/>
              </w:rPr>
            </w:pPr>
            <w:r>
              <w:rPr>
                <w:rFonts w:eastAsia="仿宋_GB2312"/>
                <w:color w:val="000000"/>
                <w:kern w:val="0"/>
                <w:sz w:val="24"/>
              </w:rPr>
              <w:t>3.6</w:t>
            </w:r>
          </w:p>
        </w:tc>
        <w:tc>
          <w:tcPr>
            <w:tcW w:w="1298" w:type="dxa"/>
            <w:tcBorders>
              <w:top w:val="single" w:color="000000" w:sz="4" w:space="0"/>
              <w:left w:val="single" w:color="000000" w:sz="4" w:space="0"/>
              <w:bottom w:val="single" w:color="000000" w:sz="4" w:space="0"/>
              <w:right w:val="single" w:color="000000" w:sz="4" w:space="0"/>
            </w:tcBorders>
            <w:vAlign w:val="center"/>
          </w:tcPr>
          <w:p w14:paraId="369BF55B">
            <w:pPr>
              <w:widowControl/>
              <w:jc w:val="center"/>
              <w:rPr>
                <w:rFonts w:eastAsia="仿宋_GB2312"/>
                <w:color w:val="000000"/>
                <w:kern w:val="0"/>
                <w:sz w:val="24"/>
              </w:rPr>
            </w:pPr>
            <w:r>
              <w:rPr>
                <w:rFonts w:eastAsia="仿宋_GB2312"/>
                <w:color w:val="000000"/>
                <w:kern w:val="0"/>
                <w:sz w:val="24"/>
              </w:rPr>
              <w:t>—</w:t>
            </w:r>
          </w:p>
        </w:tc>
        <w:tc>
          <w:tcPr>
            <w:tcW w:w="1094" w:type="dxa"/>
            <w:tcBorders>
              <w:top w:val="single" w:color="000000" w:sz="4" w:space="0"/>
              <w:left w:val="single" w:color="000000" w:sz="4" w:space="0"/>
              <w:bottom w:val="single" w:color="000000" w:sz="4" w:space="0"/>
              <w:right w:val="single" w:color="000000" w:sz="4" w:space="0"/>
            </w:tcBorders>
            <w:vAlign w:val="center"/>
          </w:tcPr>
          <w:p w14:paraId="53EA16FD">
            <w:pPr>
              <w:widowControl/>
              <w:jc w:val="center"/>
              <w:rPr>
                <w:rFonts w:eastAsia="仿宋_GB2312"/>
                <w:color w:val="000000"/>
                <w:kern w:val="0"/>
                <w:sz w:val="24"/>
              </w:rPr>
            </w:pPr>
            <w:r>
              <w:rPr>
                <w:rFonts w:eastAsia="仿宋_GB2312"/>
                <w:color w:val="000000"/>
                <w:kern w:val="0"/>
                <w:sz w:val="24"/>
              </w:rPr>
              <w:t>≥8.5</w:t>
            </w:r>
          </w:p>
        </w:tc>
        <w:tc>
          <w:tcPr>
            <w:tcW w:w="1271" w:type="dxa"/>
            <w:tcBorders>
              <w:top w:val="single" w:color="000000" w:sz="4" w:space="0"/>
              <w:left w:val="single" w:color="000000" w:sz="4" w:space="0"/>
              <w:bottom w:val="single" w:color="000000" w:sz="4" w:space="0"/>
              <w:right w:val="single" w:color="000000" w:sz="4" w:space="0"/>
            </w:tcBorders>
            <w:vAlign w:val="center"/>
          </w:tcPr>
          <w:p w14:paraId="5CF3A7C9">
            <w:pPr>
              <w:widowControl/>
              <w:jc w:val="center"/>
              <w:rPr>
                <w:rFonts w:eastAsia="仿宋_GB2312"/>
                <w:color w:val="000000"/>
                <w:kern w:val="0"/>
                <w:sz w:val="24"/>
              </w:rPr>
            </w:pPr>
            <w:r>
              <w:rPr>
                <w:rFonts w:eastAsia="仿宋_GB2312"/>
                <w:color w:val="000000"/>
                <w:kern w:val="0"/>
                <w:sz w:val="24"/>
              </w:rPr>
              <w:t>预期性</w:t>
            </w:r>
          </w:p>
        </w:tc>
        <w:tc>
          <w:tcPr>
            <w:tcW w:w="1553" w:type="dxa"/>
            <w:tcBorders>
              <w:top w:val="single" w:color="000000" w:sz="4" w:space="0"/>
              <w:left w:val="single" w:color="000000" w:sz="4" w:space="0"/>
              <w:bottom w:val="single" w:color="000000" w:sz="4" w:space="0"/>
              <w:right w:val="single" w:color="000000" w:sz="4" w:space="0"/>
            </w:tcBorders>
            <w:vAlign w:val="center"/>
          </w:tcPr>
          <w:p w14:paraId="0CCEBB32">
            <w:pPr>
              <w:widowControl/>
              <w:jc w:val="center"/>
              <w:rPr>
                <w:rFonts w:eastAsia="仿宋_GB2312"/>
                <w:color w:val="000000"/>
                <w:kern w:val="0"/>
                <w:sz w:val="24"/>
              </w:rPr>
            </w:pPr>
            <w:r>
              <w:rPr>
                <w:rFonts w:eastAsia="仿宋_GB2312"/>
                <w:color w:val="000000"/>
                <w:kern w:val="0"/>
                <w:sz w:val="24"/>
              </w:rPr>
              <w:t>基本完成</w:t>
            </w:r>
          </w:p>
        </w:tc>
      </w:tr>
      <w:tr w14:paraId="76F94D40">
        <w:tblPrEx>
          <w:tblCellMar>
            <w:top w:w="15" w:type="dxa"/>
            <w:left w:w="15" w:type="dxa"/>
            <w:bottom w:w="15" w:type="dxa"/>
            <w:right w:w="15" w:type="dxa"/>
          </w:tblCellMar>
        </w:tblPrEx>
        <w:trPr>
          <w:trHeight w:val="764" w:hRule="atLeast"/>
          <w:jc w:val="center"/>
        </w:trPr>
        <w:tc>
          <w:tcPr>
            <w:tcW w:w="604" w:type="dxa"/>
            <w:tcBorders>
              <w:top w:val="single" w:color="000000" w:sz="4" w:space="0"/>
              <w:left w:val="single" w:color="000000" w:sz="4" w:space="0"/>
              <w:bottom w:val="single" w:color="000000" w:sz="4" w:space="0"/>
              <w:right w:val="single" w:color="000000" w:sz="4" w:space="0"/>
            </w:tcBorders>
            <w:vAlign w:val="center"/>
          </w:tcPr>
          <w:p w14:paraId="1181B8B7">
            <w:pPr>
              <w:widowControl/>
              <w:jc w:val="center"/>
              <w:rPr>
                <w:rFonts w:eastAsia="仿宋_GB2312"/>
                <w:color w:val="000000"/>
                <w:kern w:val="0"/>
                <w:sz w:val="24"/>
              </w:rPr>
            </w:pPr>
            <w:r>
              <w:rPr>
                <w:rFonts w:eastAsia="仿宋_GB2312"/>
                <w:color w:val="000000"/>
                <w:kern w:val="0"/>
                <w:sz w:val="24"/>
              </w:rPr>
              <w:t>2</w:t>
            </w:r>
          </w:p>
        </w:tc>
        <w:tc>
          <w:tcPr>
            <w:tcW w:w="632" w:type="dxa"/>
            <w:vMerge w:val="continue"/>
            <w:tcBorders>
              <w:left w:val="single" w:color="000000" w:sz="4" w:space="0"/>
              <w:right w:val="single" w:color="000000" w:sz="4" w:space="0"/>
            </w:tcBorders>
            <w:vAlign w:val="center"/>
          </w:tcPr>
          <w:p w14:paraId="69919A8B">
            <w:pPr>
              <w:widowControl/>
              <w:jc w:val="left"/>
              <w:rPr>
                <w:rFonts w:eastAsia="仿宋_GB2312"/>
                <w:color w:val="000000"/>
                <w:kern w:val="0"/>
                <w:sz w:val="24"/>
              </w:rPr>
            </w:pPr>
          </w:p>
        </w:tc>
        <w:tc>
          <w:tcPr>
            <w:tcW w:w="1684" w:type="dxa"/>
            <w:gridSpan w:val="2"/>
            <w:tcBorders>
              <w:top w:val="single" w:color="000000" w:sz="4" w:space="0"/>
              <w:left w:val="single" w:color="000000" w:sz="4" w:space="0"/>
              <w:bottom w:val="single" w:color="000000" w:sz="4" w:space="0"/>
              <w:right w:val="single" w:color="000000" w:sz="4" w:space="0"/>
            </w:tcBorders>
            <w:vAlign w:val="center"/>
          </w:tcPr>
          <w:p w14:paraId="334EF8A8">
            <w:pPr>
              <w:widowControl/>
              <w:jc w:val="center"/>
              <w:rPr>
                <w:rFonts w:eastAsia="仿宋_GB2312"/>
                <w:color w:val="000000"/>
                <w:kern w:val="0"/>
                <w:sz w:val="24"/>
              </w:rPr>
            </w:pPr>
            <w:r>
              <w:rPr>
                <w:rFonts w:eastAsia="仿宋_GB2312"/>
                <w:color w:val="000000"/>
                <w:kern w:val="0"/>
                <w:sz w:val="24"/>
              </w:rPr>
              <w:t>人均生产总值（%）</w:t>
            </w:r>
          </w:p>
        </w:tc>
        <w:tc>
          <w:tcPr>
            <w:tcW w:w="1047" w:type="dxa"/>
            <w:tcBorders>
              <w:top w:val="single" w:color="000000" w:sz="4" w:space="0"/>
              <w:left w:val="single" w:color="000000" w:sz="4" w:space="0"/>
              <w:bottom w:val="single" w:color="000000" w:sz="4" w:space="0"/>
              <w:right w:val="single" w:color="000000" w:sz="4" w:space="0"/>
            </w:tcBorders>
            <w:vAlign w:val="center"/>
          </w:tcPr>
          <w:p w14:paraId="662CE82C">
            <w:pPr>
              <w:widowControl/>
              <w:jc w:val="center"/>
              <w:rPr>
                <w:rFonts w:eastAsia="仿宋_GB2312"/>
                <w:color w:val="000000"/>
                <w:kern w:val="0"/>
                <w:sz w:val="24"/>
              </w:rPr>
            </w:pPr>
            <w:r>
              <w:rPr>
                <w:rFonts w:eastAsia="仿宋_GB2312"/>
                <w:color w:val="000000"/>
                <w:kern w:val="0"/>
                <w:sz w:val="24"/>
              </w:rPr>
              <w:t>8.5</w:t>
            </w:r>
          </w:p>
        </w:tc>
        <w:tc>
          <w:tcPr>
            <w:tcW w:w="1043" w:type="dxa"/>
            <w:tcBorders>
              <w:top w:val="single" w:color="000000" w:sz="4" w:space="0"/>
              <w:left w:val="single" w:color="000000" w:sz="4" w:space="0"/>
              <w:bottom w:val="single" w:color="000000" w:sz="4" w:space="0"/>
              <w:right w:val="single" w:color="000000" w:sz="4" w:space="0"/>
            </w:tcBorders>
            <w:vAlign w:val="center"/>
          </w:tcPr>
          <w:p w14:paraId="2CC63D7D">
            <w:pPr>
              <w:widowControl/>
              <w:jc w:val="center"/>
              <w:rPr>
                <w:rFonts w:eastAsia="仿宋_GB2312"/>
                <w:color w:val="000000"/>
                <w:kern w:val="0"/>
                <w:sz w:val="24"/>
              </w:rPr>
            </w:pPr>
            <w:r>
              <w:rPr>
                <w:rFonts w:eastAsia="仿宋_GB2312"/>
                <w:color w:val="000000"/>
                <w:kern w:val="0"/>
                <w:sz w:val="24"/>
              </w:rPr>
              <w:t>11.8</w:t>
            </w:r>
          </w:p>
        </w:tc>
        <w:tc>
          <w:tcPr>
            <w:tcW w:w="801" w:type="dxa"/>
            <w:tcBorders>
              <w:top w:val="single" w:color="000000" w:sz="4" w:space="0"/>
              <w:left w:val="single" w:color="000000" w:sz="4" w:space="0"/>
              <w:bottom w:val="single" w:color="000000" w:sz="4" w:space="0"/>
              <w:right w:val="single" w:color="000000" w:sz="4" w:space="0"/>
            </w:tcBorders>
            <w:vAlign w:val="center"/>
          </w:tcPr>
          <w:p w14:paraId="161DB174">
            <w:pPr>
              <w:widowControl/>
              <w:jc w:val="center"/>
              <w:rPr>
                <w:rFonts w:eastAsia="仿宋_GB2312"/>
                <w:color w:val="000000"/>
                <w:kern w:val="0"/>
                <w:sz w:val="24"/>
              </w:rPr>
            </w:pPr>
            <w:r>
              <w:rPr>
                <w:rFonts w:eastAsia="仿宋_GB2312"/>
                <w:color w:val="000000"/>
                <w:kern w:val="0"/>
                <w:sz w:val="24"/>
              </w:rPr>
              <w:t>28.4</w:t>
            </w:r>
          </w:p>
        </w:tc>
        <w:tc>
          <w:tcPr>
            <w:tcW w:w="1005" w:type="dxa"/>
            <w:tcBorders>
              <w:top w:val="single" w:color="000000" w:sz="4" w:space="0"/>
              <w:left w:val="single" w:color="000000" w:sz="4" w:space="0"/>
              <w:bottom w:val="single" w:color="000000" w:sz="4" w:space="0"/>
              <w:right w:val="single" w:color="000000" w:sz="4" w:space="0"/>
            </w:tcBorders>
            <w:vAlign w:val="center"/>
          </w:tcPr>
          <w:p w14:paraId="43D455F9">
            <w:pPr>
              <w:widowControl/>
              <w:jc w:val="center"/>
              <w:rPr>
                <w:rFonts w:eastAsia="仿宋_GB2312"/>
                <w:color w:val="000000"/>
                <w:kern w:val="0"/>
                <w:sz w:val="24"/>
              </w:rPr>
            </w:pPr>
            <w:r>
              <w:rPr>
                <w:rFonts w:eastAsia="仿宋_GB2312"/>
                <w:color w:val="000000"/>
                <w:kern w:val="0"/>
                <w:sz w:val="24"/>
              </w:rPr>
              <w:t>9.8</w:t>
            </w:r>
          </w:p>
        </w:tc>
        <w:tc>
          <w:tcPr>
            <w:tcW w:w="930" w:type="dxa"/>
            <w:tcBorders>
              <w:top w:val="single" w:color="000000" w:sz="4" w:space="0"/>
              <w:left w:val="single" w:color="000000" w:sz="4" w:space="0"/>
              <w:bottom w:val="single" w:color="000000" w:sz="4" w:space="0"/>
              <w:right w:val="single" w:color="000000" w:sz="4" w:space="0"/>
            </w:tcBorders>
            <w:vAlign w:val="center"/>
          </w:tcPr>
          <w:p w14:paraId="721EE12C">
            <w:pPr>
              <w:widowControl/>
              <w:jc w:val="center"/>
              <w:rPr>
                <w:rFonts w:eastAsia="仿宋_GB2312"/>
                <w:color w:val="000000"/>
                <w:kern w:val="0"/>
                <w:sz w:val="24"/>
              </w:rPr>
            </w:pPr>
            <w:r>
              <w:rPr>
                <w:rFonts w:eastAsia="仿宋_GB2312"/>
                <w:color w:val="000000"/>
                <w:kern w:val="0"/>
                <w:sz w:val="24"/>
              </w:rPr>
              <w:t>4.9</w:t>
            </w:r>
          </w:p>
        </w:tc>
        <w:tc>
          <w:tcPr>
            <w:tcW w:w="907" w:type="dxa"/>
            <w:tcBorders>
              <w:top w:val="single" w:color="000000" w:sz="4" w:space="0"/>
              <w:left w:val="single" w:color="000000" w:sz="4" w:space="0"/>
              <w:bottom w:val="single" w:color="000000" w:sz="4" w:space="0"/>
              <w:right w:val="single" w:color="000000" w:sz="4" w:space="0"/>
            </w:tcBorders>
            <w:vAlign w:val="center"/>
          </w:tcPr>
          <w:p w14:paraId="666916DA">
            <w:pPr>
              <w:widowControl/>
              <w:jc w:val="center"/>
              <w:rPr>
                <w:rFonts w:eastAsia="仿宋_GB2312"/>
                <w:color w:val="000000"/>
                <w:kern w:val="0"/>
                <w:sz w:val="24"/>
              </w:rPr>
            </w:pPr>
            <w:r>
              <w:rPr>
                <w:rFonts w:eastAsia="仿宋_GB2312"/>
                <w:color w:val="000000"/>
                <w:kern w:val="0"/>
                <w:sz w:val="24"/>
              </w:rPr>
              <w:t>7</w:t>
            </w:r>
          </w:p>
        </w:tc>
        <w:tc>
          <w:tcPr>
            <w:tcW w:w="1163" w:type="dxa"/>
            <w:tcBorders>
              <w:top w:val="single" w:color="000000" w:sz="4" w:space="0"/>
              <w:left w:val="single" w:color="000000" w:sz="4" w:space="0"/>
              <w:bottom w:val="single" w:color="000000" w:sz="4" w:space="0"/>
              <w:right w:val="single" w:color="000000" w:sz="4" w:space="0"/>
            </w:tcBorders>
            <w:vAlign w:val="center"/>
          </w:tcPr>
          <w:p w14:paraId="7407C3C2">
            <w:pPr>
              <w:widowControl/>
              <w:jc w:val="center"/>
              <w:rPr>
                <w:rFonts w:eastAsia="仿宋_GB2312"/>
                <w:color w:val="000000"/>
                <w:kern w:val="0"/>
                <w:sz w:val="24"/>
              </w:rPr>
            </w:pPr>
            <w:r>
              <w:rPr>
                <w:rFonts w:eastAsia="仿宋_GB2312"/>
                <w:color w:val="000000"/>
                <w:kern w:val="0"/>
                <w:sz w:val="24"/>
              </w:rPr>
              <w:t>—</w:t>
            </w:r>
          </w:p>
        </w:tc>
        <w:tc>
          <w:tcPr>
            <w:tcW w:w="1298" w:type="dxa"/>
            <w:tcBorders>
              <w:top w:val="single" w:color="000000" w:sz="4" w:space="0"/>
              <w:left w:val="single" w:color="000000" w:sz="4" w:space="0"/>
              <w:bottom w:val="single" w:color="000000" w:sz="4" w:space="0"/>
              <w:right w:val="single" w:color="000000" w:sz="4" w:space="0"/>
            </w:tcBorders>
            <w:vAlign w:val="center"/>
          </w:tcPr>
          <w:p w14:paraId="6E026FEE">
            <w:pPr>
              <w:widowControl/>
              <w:jc w:val="center"/>
              <w:rPr>
                <w:rFonts w:eastAsia="仿宋_GB2312"/>
                <w:color w:val="000000"/>
                <w:kern w:val="0"/>
                <w:sz w:val="24"/>
              </w:rPr>
            </w:pPr>
            <w:r>
              <w:rPr>
                <w:rFonts w:eastAsia="仿宋_GB2312"/>
                <w:color w:val="000000"/>
                <w:kern w:val="0"/>
                <w:sz w:val="24"/>
              </w:rPr>
              <w:t>—</w:t>
            </w:r>
          </w:p>
        </w:tc>
        <w:tc>
          <w:tcPr>
            <w:tcW w:w="1094" w:type="dxa"/>
            <w:tcBorders>
              <w:top w:val="single" w:color="000000" w:sz="4" w:space="0"/>
              <w:left w:val="single" w:color="000000" w:sz="4" w:space="0"/>
              <w:bottom w:val="single" w:color="000000" w:sz="4" w:space="0"/>
              <w:right w:val="single" w:color="000000" w:sz="4" w:space="0"/>
            </w:tcBorders>
            <w:vAlign w:val="center"/>
          </w:tcPr>
          <w:p w14:paraId="2955F292">
            <w:pPr>
              <w:widowControl/>
              <w:jc w:val="center"/>
              <w:rPr>
                <w:rFonts w:eastAsia="仿宋_GB2312"/>
                <w:color w:val="000000"/>
                <w:kern w:val="0"/>
                <w:sz w:val="24"/>
              </w:rPr>
            </w:pPr>
            <w:r>
              <w:rPr>
                <w:rFonts w:eastAsia="仿宋_GB2312"/>
                <w:color w:val="000000"/>
                <w:kern w:val="0"/>
                <w:sz w:val="24"/>
              </w:rPr>
              <w:t>≥8.5</w:t>
            </w:r>
          </w:p>
        </w:tc>
        <w:tc>
          <w:tcPr>
            <w:tcW w:w="1271" w:type="dxa"/>
            <w:tcBorders>
              <w:top w:val="single" w:color="000000" w:sz="4" w:space="0"/>
              <w:left w:val="single" w:color="000000" w:sz="4" w:space="0"/>
              <w:bottom w:val="single" w:color="000000" w:sz="4" w:space="0"/>
              <w:right w:val="single" w:color="000000" w:sz="4" w:space="0"/>
            </w:tcBorders>
            <w:vAlign w:val="center"/>
          </w:tcPr>
          <w:p w14:paraId="47D62461">
            <w:pPr>
              <w:widowControl/>
              <w:jc w:val="center"/>
              <w:rPr>
                <w:rFonts w:eastAsia="仿宋_GB2312"/>
                <w:color w:val="000000"/>
                <w:kern w:val="0"/>
                <w:sz w:val="24"/>
              </w:rPr>
            </w:pPr>
            <w:r>
              <w:rPr>
                <w:rFonts w:eastAsia="仿宋_GB2312"/>
                <w:color w:val="000000"/>
                <w:kern w:val="0"/>
                <w:sz w:val="24"/>
              </w:rPr>
              <w:t>预期性</w:t>
            </w:r>
          </w:p>
        </w:tc>
        <w:tc>
          <w:tcPr>
            <w:tcW w:w="1553" w:type="dxa"/>
            <w:tcBorders>
              <w:top w:val="single" w:color="000000" w:sz="4" w:space="0"/>
              <w:left w:val="single" w:color="000000" w:sz="4" w:space="0"/>
              <w:bottom w:val="single" w:color="000000" w:sz="4" w:space="0"/>
              <w:right w:val="single" w:color="000000" w:sz="4" w:space="0"/>
            </w:tcBorders>
            <w:vAlign w:val="center"/>
          </w:tcPr>
          <w:p w14:paraId="3417A5B0">
            <w:pPr>
              <w:widowControl/>
              <w:jc w:val="center"/>
              <w:rPr>
                <w:rFonts w:eastAsia="仿宋_GB2312"/>
                <w:color w:val="000000"/>
                <w:kern w:val="0"/>
                <w:sz w:val="24"/>
              </w:rPr>
            </w:pPr>
            <w:r>
              <w:rPr>
                <w:rFonts w:eastAsia="仿宋_GB2312"/>
                <w:color w:val="000000"/>
                <w:kern w:val="0"/>
                <w:sz w:val="24"/>
              </w:rPr>
              <w:t>基本完成</w:t>
            </w:r>
          </w:p>
        </w:tc>
      </w:tr>
      <w:tr w14:paraId="774E0444">
        <w:tblPrEx>
          <w:tblCellMar>
            <w:top w:w="15" w:type="dxa"/>
            <w:left w:w="15" w:type="dxa"/>
            <w:bottom w:w="15" w:type="dxa"/>
            <w:right w:w="15" w:type="dxa"/>
          </w:tblCellMar>
        </w:tblPrEx>
        <w:trPr>
          <w:trHeight w:val="708" w:hRule="atLeast"/>
          <w:jc w:val="center"/>
        </w:trPr>
        <w:tc>
          <w:tcPr>
            <w:tcW w:w="604" w:type="dxa"/>
            <w:tcBorders>
              <w:top w:val="single" w:color="000000" w:sz="4" w:space="0"/>
              <w:left w:val="single" w:color="000000" w:sz="4" w:space="0"/>
              <w:bottom w:val="single" w:color="000000" w:sz="4" w:space="0"/>
              <w:right w:val="single" w:color="000000" w:sz="4" w:space="0"/>
            </w:tcBorders>
            <w:vAlign w:val="center"/>
          </w:tcPr>
          <w:p w14:paraId="1234E430">
            <w:pPr>
              <w:widowControl/>
              <w:jc w:val="center"/>
              <w:rPr>
                <w:rFonts w:eastAsia="仿宋_GB2312"/>
                <w:color w:val="000000"/>
                <w:kern w:val="0"/>
                <w:sz w:val="24"/>
              </w:rPr>
            </w:pPr>
            <w:r>
              <w:rPr>
                <w:rFonts w:eastAsia="仿宋_GB2312"/>
                <w:color w:val="000000"/>
                <w:kern w:val="0"/>
                <w:sz w:val="24"/>
              </w:rPr>
              <w:t>3</w:t>
            </w:r>
          </w:p>
        </w:tc>
        <w:tc>
          <w:tcPr>
            <w:tcW w:w="632" w:type="dxa"/>
            <w:vMerge w:val="continue"/>
            <w:tcBorders>
              <w:left w:val="single" w:color="000000" w:sz="4" w:space="0"/>
              <w:right w:val="single" w:color="000000" w:sz="4" w:space="0"/>
            </w:tcBorders>
            <w:vAlign w:val="center"/>
          </w:tcPr>
          <w:p w14:paraId="11BFC105">
            <w:pPr>
              <w:widowControl/>
              <w:jc w:val="left"/>
              <w:rPr>
                <w:rFonts w:eastAsia="仿宋_GB2312"/>
                <w:color w:val="000000"/>
                <w:kern w:val="0"/>
                <w:sz w:val="24"/>
              </w:rPr>
            </w:pPr>
          </w:p>
        </w:tc>
        <w:tc>
          <w:tcPr>
            <w:tcW w:w="1684" w:type="dxa"/>
            <w:gridSpan w:val="2"/>
            <w:tcBorders>
              <w:top w:val="single" w:color="000000" w:sz="4" w:space="0"/>
              <w:left w:val="single" w:color="000000" w:sz="4" w:space="0"/>
              <w:bottom w:val="single" w:color="000000" w:sz="4" w:space="0"/>
              <w:right w:val="single" w:color="000000" w:sz="4" w:space="0"/>
            </w:tcBorders>
            <w:vAlign w:val="center"/>
          </w:tcPr>
          <w:p w14:paraId="2C9FA0FC">
            <w:pPr>
              <w:widowControl/>
              <w:jc w:val="center"/>
              <w:rPr>
                <w:rFonts w:eastAsia="仿宋_GB2312"/>
                <w:color w:val="000000"/>
                <w:kern w:val="0"/>
                <w:sz w:val="24"/>
              </w:rPr>
            </w:pPr>
            <w:r>
              <w:rPr>
                <w:rFonts w:eastAsia="仿宋_GB2312"/>
                <w:color w:val="000000"/>
                <w:kern w:val="0"/>
                <w:sz w:val="24"/>
              </w:rPr>
              <w:t>第三产业增加值（%）</w:t>
            </w:r>
          </w:p>
        </w:tc>
        <w:tc>
          <w:tcPr>
            <w:tcW w:w="1047" w:type="dxa"/>
            <w:tcBorders>
              <w:top w:val="single" w:color="000000" w:sz="4" w:space="0"/>
              <w:left w:val="single" w:color="000000" w:sz="4" w:space="0"/>
              <w:bottom w:val="single" w:color="000000" w:sz="4" w:space="0"/>
              <w:right w:val="single" w:color="000000" w:sz="4" w:space="0"/>
            </w:tcBorders>
            <w:vAlign w:val="center"/>
          </w:tcPr>
          <w:p w14:paraId="4169EAD7">
            <w:pPr>
              <w:widowControl/>
              <w:jc w:val="center"/>
              <w:rPr>
                <w:rFonts w:eastAsia="仿宋_GB2312"/>
                <w:color w:val="000000"/>
                <w:kern w:val="0"/>
                <w:sz w:val="24"/>
              </w:rPr>
            </w:pPr>
            <w:r>
              <w:rPr>
                <w:rFonts w:eastAsia="仿宋_GB2312"/>
                <w:color w:val="000000"/>
                <w:kern w:val="0"/>
                <w:sz w:val="24"/>
              </w:rPr>
              <w:t>9</w:t>
            </w:r>
          </w:p>
        </w:tc>
        <w:tc>
          <w:tcPr>
            <w:tcW w:w="1043" w:type="dxa"/>
            <w:tcBorders>
              <w:top w:val="single" w:color="000000" w:sz="4" w:space="0"/>
              <w:left w:val="single" w:color="000000" w:sz="4" w:space="0"/>
              <w:bottom w:val="single" w:color="000000" w:sz="4" w:space="0"/>
              <w:right w:val="single" w:color="000000" w:sz="4" w:space="0"/>
            </w:tcBorders>
            <w:vAlign w:val="center"/>
          </w:tcPr>
          <w:p w14:paraId="6A015036">
            <w:pPr>
              <w:widowControl/>
              <w:jc w:val="center"/>
              <w:rPr>
                <w:rFonts w:eastAsia="仿宋_GB2312"/>
                <w:color w:val="000000"/>
                <w:kern w:val="0"/>
                <w:sz w:val="24"/>
              </w:rPr>
            </w:pPr>
            <w:r>
              <w:rPr>
                <w:rFonts w:eastAsia="仿宋_GB2312"/>
                <w:color w:val="000000"/>
                <w:kern w:val="0"/>
                <w:sz w:val="24"/>
              </w:rPr>
              <w:t>11</w:t>
            </w:r>
          </w:p>
        </w:tc>
        <w:tc>
          <w:tcPr>
            <w:tcW w:w="801" w:type="dxa"/>
            <w:tcBorders>
              <w:top w:val="single" w:color="000000" w:sz="4" w:space="0"/>
              <w:left w:val="single" w:color="000000" w:sz="4" w:space="0"/>
              <w:bottom w:val="single" w:color="000000" w:sz="4" w:space="0"/>
              <w:right w:val="single" w:color="000000" w:sz="4" w:space="0"/>
            </w:tcBorders>
            <w:vAlign w:val="center"/>
          </w:tcPr>
          <w:p w14:paraId="12193D24">
            <w:pPr>
              <w:widowControl/>
              <w:jc w:val="center"/>
              <w:rPr>
                <w:rFonts w:eastAsia="仿宋_GB2312"/>
                <w:color w:val="000000"/>
                <w:kern w:val="0"/>
                <w:sz w:val="24"/>
              </w:rPr>
            </w:pPr>
            <w:r>
              <w:rPr>
                <w:rFonts w:eastAsia="仿宋_GB2312"/>
                <w:color w:val="000000"/>
                <w:kern w:val="0"/>
                <w:sz w:val="24"/>
              </w:rPr>
              <w:t>9</w:t>
            </w:r>
          </w:p>
        </w:tc>
        <w:tc>
          <w:tcPr>
            <w:tcW w:w="1005" w:type="dxa"/>
            <w:tcBorders>
              <w:top w:val="single" w:color="000000" w:sz="4" w:space="0"/>
              <w:left w:val="single" w:color="000000" w:sz="4" w:space="0"/>
              <w:bottom w:val="single" w:color="000000" w:sz="4" w:space="0"/>
              <w:right w:val="single" w:color="000000" w:sz="4" w:space="0"/>
            </w:tcBorders>
            <w:vAlign w:val="center"/>
          </w:tcPr>
          <w:p w14:paraId="3D2BB146">
            <w:pPr>
              <w:widowControl/>
              <w:jc w:val="center"/>
              <w:rPr>
                <w:rFonts w:eastAsia="仿宋_GB2312"/>
                <w:color w:val="000000"/>
                <w:kern w:val="0"/>
                <w:sz w:val="24"/>
              </w:rPr>
            </w:pPr>
            <w:r>
              <w:rPr>
                <w:rFonts w:eastAsia="仿宋_GB2312"/>
                <w:color w:val="000000"/>
                <w:kern w:val="0"/>
                <w:sz w:val="24"/>
              </w:rPr>
              <w:t>11.9</w:t>
            </w:r>
          </w:p>
        </w:tc>
        <w:tc>
          <w:tcPr>
            <w:tcW w:w="930" w:type="dxa"/>
            <w:tcBorders>
              <w:top w:val="single" w:color="000000" w:sz="4" w:space="0"/>
              <w:left w:val="single" w:color="000000" w:sz="4" w:space="0"/>
              <w:bottom w:val="single" w:color="000000" w:sz="4" w:space="0"/>
              <w:right w:val="single" w:color="000000" w:sz="4" w:space="0"/>
            </w:tcBorders>
            <w:vAlign w:val="center"/>
          </w:tcPr>
          <w:p w14:paraId="491C5017">
            <w:pPr>
              <w:widowControl/>
              <w:jc w:val="center"/>
              <w:rPr>
                <w:rFonts w:eastAsia="仿宋_GB2312"/>
                <w:color w:val="000000"/>
                <w:kern w:val="0"/>
                <w:sz w:val="24"/>
              </w:rPr>
            </w:pPr>
            <w:r>
              <w:rPr>
                <w:rFonts w:eastAsia="仿宋_GB2312"/>
                <w:color w:val="000000"/>
                <w:kern w:val="0"/>
                <w:sz w:val="24"/>
              </w:rPr>
              <w:t>6</w:t>
            </w:r>
          </w:p>
        </w:tc>
        <w:tc>
          <w:tcPr>
            <w:tcW w:w="907" w:type="dxa"/>
            <w:tcBorders>
              <w:top w:val="single" w:color="000000" w:sz="4" w:space="0"/>
              <w:left w:val="single" w:color="000000" w:sz="4" w:space="0"/>
              <w:bottom w:val="single" w:color="000000" w:sz="4" w:space="0"/>
              <w:right w:val="single" w:color="000000" w:sz="4" w:space="0"/>
            </w:tcBorders>
            <w:vAlign w:val="center"/>
          </w:tcPr>
          <w:p w14:paraId="5FEA6B7B">
            <w:pPr>
              <w:widowControl/>
              <w:jc w:val="center"/>
              <w:rPr>
                <w:rFonts w:eastAsia="仿宋_GB2312"/>
                <w:color w:val="000000"/>
                <w:kern w:val="0"/>
                <w:sz w:val="24"/>
              </w:rPr>
            </w:pPr>
            <w:r>
              <w:rPr>
                <w:rFonts w:eastAsia="仿宋_GB2312"/>
                <w:color w:val="000000"/>
                <w:kern w:val="0"/>
                <w:sz w:val="24"/>
              </w:rPr>
              <w:t>8.8</w:t>
            </w:r>
          </w:p>
        </w:tc>
        <w:tc>
          <w:tcPr>
            <w:tcW w:w="1163" w:type="dxa"/>
            <w:tcBorders>
              <w:top w:val="single" w:color="000000" w:sz="4" w:space="0"/>
              <w:left w:val="single" w:color="000000" w:sz="4" w:space="0"/>
              <w:bottom w:val="single" w:color="000000" w:sz="4" w:space="0"/>
              <w:right w:val="single" w:color="000000" w:sz="4" w:space="0"/>
            </w:tcBorders>
            <w:vAlign w:val="center"/>
          </w:tcPr>
          <w:p w14:paraId="00B9F18A">
            <w:pPr>
              <w:widowControl/>
              <w:jc w:val="center"/>
              <w:rPr>
                <w:rFonts w:eastAsia="仿宋_GB2312"/>
                <w:color w:val="000000"/>
                <w:kern w:val="0"/>
                <w:sz w:val="24"/>
              </w:rPr>
            </w:pPr>
            <w:r>
              <w:rPr>
                <w:rFonts w:eastAsia="仿宋_GB2312"/>
                <w:color w:val="000000"/>
                <w:kern w:val="0"/>
                <w:sz w:val="24"/>
              </w:rPr>
              <w:t>2.6</w:t>
            </w:r>
          </w:p>
        </w:tc>
        <w:tc>
          <w:tcPr>
            <w:tcW w:w="1298" w:type="dxa"/>
            <w:tcBorders>
              <w:top w:val="single" w:color="000000" w:sz="4" w:space="0"/>
              <w:left w:val="single" w:color="000000" w:sz="4" w:space="0"/>
              <w:bottom w:val="single" w:color="000000" w:sz="4" w:space="0"/>
              <w:right w:val="single" w:color="000000" w:sz="4" w:space="0"/>
            </w:tcBorders>
            <w:vAlign w:val="center"/>
          </w:tcPr>
          <w:p w14:paraId="66D7724F">
            <w:pPr>
              <w:widowControl/>
              <w:jc w:val="center"/>
              <w:rPr>
                <w:rFonts w:eastAsia="仿宋_GB2312"/>
                <w:color w:val="000000"/>
                <w:kern w:val="0"/>
                <w:sz w:val="24"/>
              </w:rPr>
            </w:pPr>
            <w:r>
              <w:rPr>
                <w:rFonts w:eastAsia="仿宋_GB2312"/>
                <w:color w:val="000000"/>
                <w:kern w:val="0"/>
                <w:sz w:val="24"/>
              </w:rPr>
              <w:t>—</w:t>
            </w:r>
          </w:p>
        </w:tc>
        <w:tc>
          <w:tcPr>
            <w:tcW w:w="1094" w:type="dxa"/>
            <w:tcBorders>
              <w:top w:val="single" w:color="000000" w:sz="4" w:space="0"/>
              <w:left w:val="single" w:color="000000" w:sz="4" w:space="0"/>
              <w:bottom w:val="single" w:color="000000" w:sz="4" w:space="0"/>
              <w:right w:val="single" w:color="000000" w:sz="4" w:space="0"/>
            </w:tcBorders>
            <w:vAlign w:val="center"/>
          </w:tcPr>
          <w:p w14:paraId="4C7CF2ED">
            <w:pPr>
              <w:widowControl/>
              <w:jc w:val="center"/>
              <w:rPr>
                <w:rFonts w:eastAsia="仿宋_GB2312"/>
                <w:color w:val="000000"/>
                <w:kern w:val="0"/>
                <w:sz w:val="24"/>
              </w:rPr>
            </w:pPr>
            <w:r>
              <w:rPr>
                <w:rFonts w:eastAsia="仿宋_GB2312"/>
                <w:color w:val="000000"/>
                <w:kern w:val="0"/>
                <w:sz w:val="24"/>
              </w:rPr>
              <w:t>9</w:t>
            </w:r>
          </w:p>
        </w:tc>
        <w:tc>
          <w:tcPr>
            <w:tcW w:w="1271" w:type="dxa"/>
            <w:tcBorders>
              <w:top w:val="single" w:color="000000" w:sz="4" w:space="0"/>
              <w:left w:val="single" w:color="000000" w:sz="4" w:space="0"/>
              <w:bottom w:val="single" w:color="000000" w:sz="4" w:space="0"/>
              <w:right w:val="single" w:color="000000" w:sz="4" w:space="0"/>
            </w:tcBorders>
            <w:vAlign w:val="center"/>
          </w:tcPr>
          <w:p w14:paraId="4A27D16F">
            <w:pPr>
              <w:widowControl/>
              <w:jc w:val="center"/>
              <w:rPr>
                <w:rFonts w:eastAsia="仿宋_GB2312"/>
                <w:color w:val="000000"/>
                <w:kern w:val="0"/>
                <w:sz w:val="24"/>
              </w:rPr>
            </w:pPr>
            <w:r>
              <w:rPr>
                <w:rFonts w:eastAsia="仿宋_GB2312"/>
                <w:color w:val="000000"/>
                <w:kern w:val="0"/>
                <w:sz w:val="24"/>
              </w:rPr>
              <w:t>预期性</w:t>
            </w:r>
          </w:p>
        </w:tc>
        <w:tc>
          <w:tcPr>
            <w:tcW w:w="1553" w:type="dxa"/>
            <w:tcBorders>
              <w:top w:val="single" w:color="000000" w:sz="4" w:space="0"/>
              <w:left w:val="single" w:color="000000" w:sz="4" w:space="0"/>
              <w:bottom w:val="single" w:color="000000" w:sz="4" w:space="0"/>
              <w:right w:val="single" w:color="000000" w:sz="4" w:space="0"/>
            </w:tcBorders>
            <w:vAlign w:val="center"/>
          </w:tcPr>
          <w:p w14:paraId="6C82D401">
            <w:pPr>
              <w:widowControl/>
              <w:jc w:val="center"/>
              <w:rPr>
                <w:rFonts w:eastAsia="仿宋_GB2312"/>
                <w:color w:val="000000"/>
                <w:kern w:val="0"/>
                <w:sz w:val="24"/>
              </w:rPr>
            </w:pPr>
            <w:r>
              <w:rPr>
                <w:rFonts w:eastAsia="仿宋_GB2312"/>
                <w:color w:val="000000"/>
                <w:kern w:val="0"/>
                <w:sz w:val="24"/>
              </w:rPr>
              <w:t>提前完成</w:t>
            </w:r>
          </w:p>
        </w:tc>
      </w:tr>
      <w:tr w14:paraId="306EB29B">
        <w:tblPrEx>
          <w:tblCellMar>
            <w:top w:w="15" w:type="dxa"/>
            <w:left w:w="15" w:type="dxa"/>
            <w:bottom w:w="15" w:type="dxa"/>
            <w:right w:w="15" w:type="dxa"/>
          </w:tblCellMar>
        </w:tblPrEx>
        <w:trPr>
          <w:trHeight w:val="694" w:hRule="atLeast"/>
          <w:jc w:val="center"/>
        </w:trPr>
        <w:tc>
          <w:tcPr>
            <w:tcW w:w="604" w:type="dxa"/>
            <w:tcBorders>
              <w:top w:val="single" w:color="000000" w:sz="4" w:space="0"/>
              <w:left w:val="single" w:color="000000" w:sz="4" w:space="0"/>
              <w:bottom w:val="single" w:color="000000" w:sz="4" w:space="0"/>
              <w:right w:val="single" w:color="000000" w:sz="4" w:space="0"/>
            </w:tcBorders>
            <w:vAlign w:val="center"/>
          </w:tcPr>
          <w:p w14:paraId="3744AE47">
            <w:pPr>
              <w:widowControl/>
              <w:jc w:val="center"/>
              <w:rPr>
                <w:rFonts w:eastAsia="仿宋_GB2312"/>
                <w:color w:val="000000"/>
                <w:kern w:val="0"/>
                <w:sz w:val="24"/>
              </w:rPr>
            </w:pPr>
            <w:r>
              <w:rPr>
                <w:rFonts w:eastAsia="仿宋_GB2312"/>
                <w:color w:val="000000"/>
                <w:kern w:val="0"/>
                <w:sz w:val="24"/>
              </w:rPr>
              <w:t>4</w:t>
            </w:r>
          </w:p>
        </w:tc>
        <w:tc>
          <w:tcPr>
            <w:tcW w:w="632" w:type="dxa"/>
            <w:vMerge w:val="continue"/>
            <w:tcBorders>
              <w:left w:val="single" w:color="000000" w:sz="4" w:space="0"/>
              <w:right w:val="single" w:color="000000" w:sz="4" w:space="0"/>
            </w:tcBorders>
            <w:vAlign w:val="center"/>
          </w:tcPr>
          <w:p w14:paraId="110C3DE4">
            <w:pPr>
              <w:widowControl/>
              <w:jc w:val="left"/>
              <w:rPr>
                <w:rFonts w:eastAsia="仿宋_GB2312"/>
                <w:color w:val="000000"/>
                <w:kern w:val="0"/>
                <w:sz w:val="24"/>
              </w:rPr>
            </w:pPr>
          </w:p>
        </w:tc>
        <w:tc>
          <w:tcPr>
            <w:tcW w:w="1684" w:type="dxa"/>
            <w:gridSpan w:val="2"/>
            <w:tcBorders>
              <w:top w:val="single" w:color="000000" w:sz="4" w:space="0"/>
              <w:left w:val="single" w:color="000000" w:sz="4" w:space="0"/>
              <w:bottom w:val="single" w:color="000000" w:sz="4" w:space="0"/>
              <w:right w:val="single" w:color="000000" w:sz="4" w:space="0"/>
            </w:tcBorders>
            <w:vAlign w:val="center"/>
          </w:tcPr>
          <w:p w14:paraId="04857328">
            <w:pPr>
              <w:widowControl/>
              <w:jc w:val="center"/>
              <w:rPr>
                <w:rFonts w:eastAsia="仿宋_GB2312"/>
                <w:color w:val="000000"/>
                <w:kern w:val="0"/>
                <w:sz w:val="24"/>
              </w:rPr>
            </w:pPr>
            <w:r>
              <w:rPr>
                <w:rFonts w:eastAsia="仿宋_GB2312"/>
                <w:color w:val="000000"/>
                <w:kern w:val="0"/>
                <w:sz w:val="24"/>
              </w:rPr>
              <w:t>规模以上工业增加值（%）</w:t>
            </w:r>
          </w:p>
        </w:tc>
        <w:tc>
          <w:tcPr>
            <w:tcW w:w="1047" w:type="dxa"/>
            <w:tcBorders>
              <w:top w:val="single" w:color="000000" w:sz="4" w:space="0"/>
              <w:left w:val="single" w:color="000000" w:sz="4" w:space="0"/>
              <w:bottom w:val="single" w:color="000000" w:sz="4" w:space="0"/>
              <w:right w:val="single" w:color="000000" w:sz="4" w:space="0"/>
            </w:tcBorders>
            <w:vAlign w:val="center"/>
          </w:tcPr>
          <w:p w14:paraId="0EDDD45D">
            <w:pPr>
              <w:widowControl/>
              <w:jc w:val="center"/>
              <w:rPr>
                <w:rFonts w:eastAsia="仿宋_GB2312"/>
                <w:color w:val="000000"/>
                <w:kern w:val="0"/>
                <w:sz w:val="24"/>
              </w:rPr>
            </w:pPr>
            <w:r>
              <w:rPr>
                <w:rFonts w:eastAsia="仿宋_GB2312"/>
                <w:color w:val="000000"/>
                <w:kern w:val="0"/>
                <w:sz w:val="24"/>
              </w:rPr>
              <w:t>15.2</w:t>
            </w:r>
          </w:p>
        </w:tc>
        <w:tc>
          <w:tcPr>
            <w:tcW w:w="1043" w:type="dxa"/>
            <w:tcBorders>
              <w:top w:val="single" w:color="000000" w:sz="4" w:space="0"/>
              <w:left w:val="single" w:color="000000" w:sz="4" w:space="0"/>
              <w:bottom w:val="single" w:color="000000" w:sz="4" w:space="0"/>
              <w:right w:val="single" w:color="000000" w:sz="4" w:space="0"/>
            </w:tcBorders>
            <w:vAlign w:val="center"/>
          </w:tcPr>
          <w:p w14:paraId="5D3DEA74">
            <w:pPr>
              <w:widowControl/>
              <w:jc w:val="center"/>
              <w:rPr>
                <w:rFonts w:eastAsia="仿宋_GB2312"/>
                <w:color w:val="000000"/>
                <w:kern w:val="0"/>
                <w:sz w:val="24"/>
              </w:rPr>
            </w:pPr>
            <w:r>
              <w:rPr>
                <w:rFonts w:eastAsia="仿宋_GB2312"/>
                <w:color w:val="000000"/>
                <w:kern w:val="0"/>
                <w:sz w:val="24"/>
              </w:rPr>
              <w:t>10.9</w:t>
            </w:r>
          </w:p>
        </w:tc>
        <w:tc>
          <w:tcPr>
            <w:tcW w:w="801" w:type="dxa"/>
            <w:tcBorders>
              <w:top w:val="single" w:color="000000" w:sz="4" w:space="0"/>
              <w:left w:val="single" w:color="000000" w:sz="4" w:space="0"/>
              <w:bottom w:val="single" w:color="000000" w:sz="4" w:space="0"/>
              <w:right w:val="single" w:color="000000" w:sz="4" w:space="0"/>
            </w:tcBorders>
            <w:vAlign w:val="center"/>
          </w:tcPr>
          <w:p w14:paraId="0E068784">
            <w:pPr>
              <w:widowControl/>
              <w:jc w:val="center"/>
              <w:rPr>
                <w:rFonts w:eastAsia="仿宋_GB2312"/>
                <w:color w:val="000000"/>
                <w:kern w:val="0"/>
                <w:sz w:val="24"/>
              </w:rPr>
            </w:pPr>
            <w:r>
              <w:rPr>
                <w:rFonts w:eastAsia="仿宋_GB2312"/>
                <w:color w:val="000000"/>
                <w:kern w:val="0"/>
                <w:sz w:val="24"/>
              </w:rPr>
              <w:t>5.5</w:t>
            </w:r>
          </w:p>
        </w:tc>
        <w:tc>
          <w:tcPr>
            <w:tcW w:w="1005" w:type="dxa"/>
            <w:tcBorders>
              <w:top w:val="single" w:color="000000" w:sz="4" w:space="0"/>
              <w:left w:val="single" w:color="000000" w:sz="4" w:space="0"/>
              <w:bottom w:val="single" w:color="000000" w:sz="4" w:space="0"/>
              <w:right w:val="single" w:color="000000" w:sz="4" w:space="0"/>
            </w:tcBorders>
            <w:vAlign w:val="center"/>
          </w:tcPr>
          <w:p w14:paraId="3A14EC72">
            <w:pPr>
              <w:widowControl/>
              <w:jc w:val="center"/>
              <w:rPr>
                <w:rFonts w:eastAsia="仿宋_GB2312"/>
                <w:color w:val="000000"/>
                <w:kern w:val="0"/>
                <w:sz w:val="24"/>
              </w:rPr>
            </w:pPr>
            <w:r>
              <w:rPr>
                <w:rFonts w:eastAsia="仿宋_GB2312"/>
                <w:color w:val="000000"/>
                <w:kern w:val="0"/>
                <w:sz w:val="24"/>
              </w:rPr>
              <w:t>8.6</w:t>
            </w:r>
          </w:p>
        </w:tc>
        <w:tc>
          <w:tcPr>
            <w:tcW w:w="930" w:type="dxa"/>
            <w:tcBorders>
              <w:top w:val="single" w:color="000000" w:sz="4" w:space="0"/>
              <w:left w:val="single" w:color="000000" w:sz="4" w:space="0"/>
              <w:bottom w:val="single" w:color="000000" w:sz="4" w:space="0"/>
              <w:right w:val="single" w:color="000000" w:sz="4" w:space="0"/>
            </w:tcBorders>
            <w:vAlign w:val="center"/>
          </w:tcPr>
          <w:p w14:paraId="6A9DBB65">
            <w:pPr>
              <w:widowControl/>
              <w:jc w:val="center"/>
              <w:rPr>
                <w:rFonts w:eastAsia="仿宋_GB2312"/>
                <w:color w:val="000000"/>
                <w:kern w:val="0"/>
                <w:sz w:val="24"/>
              </w:rPr>
            </w:pPr>
            <w:r>
              <w:rPr>
                <w:rFonts w:eastAsia="仿宋_GB2312"/>
                <w:color w:val="000000"/>
                <w:kern w:val="0"/>
                <w:sz w:val="24"/>
              </w:rPr>
              <w:t>-0.4</w:t>
            </w:r>
          </w:p>
        </w:tc>
        <w:tc>
          <w:tcPr>
            <w:tcW w:w="907" w:type="dxa"/>
            <w:tcBorders>
              <w:top w:val="single" w:color="000000" w:sz="4" w:space="0"/>
              <w:left w:val="single" w:color="000000" w:sz="4" w:space="0"/>
              <w:bottom w:val="single" w:color="000000" w:sz="4" w:space="0"/>
              <w:right w:val="single" w:color="000000" w:sz="4" w:space="0"/>
            </w:tcBorders>
            <w:vAlign w:val="center"/>
          </w:tcPr>
          <w:p w14:paraId="7DA0653B">
            <w:pPr>
              <w:widowControl/>
              <w:jc w:val="center"/>
              <w:rPr>
                <w:rFonts w:eastAsia="仿宋_GB2312"/>
                <w:color w:val="000000"/>
                <w:kern w:val="0"/>
                <w:sz w:val="24"/>
              </w:rPr>
            </w:pPr>
            <w:r>
              <w:rPr>
                <w:rFonts w:eastAsia="仿宋_GB2312"/>
                <w:color w:val="000000"/>
                <w:kern w:val="0"/>
                <w:sz w:val="24"/>
              </w:rPr>
              <w:t>2.5</w:t>
            </w:r>
          </w:p>
        </w:tc>
        <w:tc>
          <w:tcPr>
            <w:tcW w:w="1163"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04CF101">
            <w:pPr>
              <w:widowControl/>
              <w:jc w:val="center"/>
              <w:rPr>
                <w:rFonts w:eastAsia="仿宋_GB2312"/>
                <w:color w:val="000000"/>
                <w:kern w:val="0"/>
                <w:sz w:val="24"/>
              </w:rPr>
            </w:pPr>
            <w:r>
              <w:rPr>
                <w:rFonts w:eastAsia="仿宋_GB2312"/>
                <w:color w:val="000000"/>
                <w:kern w:val="0"/>
                <w:sz w:val="24"/>
              </w:rPr>
              <w:t>-1.0</w:t>
            </w:r>
          </w:p>
        </w:tc>
        <w:tc>
          <w:tcPr>
            <w:tcW w:w="1298" w:type="dxa"/>
            <w:tcBorders>
              <w:top w:val="single" w:color="000000" w:sz="4" w:space="0"/>
              <w:left w:val="single" w:color="000000" w:sz="4" w:space="0"/>
              <w:bottom w:val="single" w:color="000000" w:sz="4" w:space="0"/>
              <w:right w:val="single" w:color="000000" w:sz="4" w:space="0"/>
            </w:tcBorders>
            <w:vAlign w:val="center"/>
          </w:tcPr>
          <w:p w14:paraId="5037988F">
            <w:pPr>
              <w:widowControl/>
              <w:jc w:val="center"/>
              <w:rPr>
                <w:rFonts w:eastAsia="仿宋_GB2312"/>
                <w:color w:val="000000"/>
                <w:kern w:val="0"/>
                <w:sz w:val="24"/>
              </w:rPr>
            </w:pPr>
            <w:r>
              <w:rPr>
                <w:rFonts w:eastAsia="仿宋_GB2312"/>
                <w:color w:val="000000"/>
                <w:kern w:val="0"/>
                <w:sz w:val="24"/>
              </w:rPr>
              <w:t>—</w:t>
            </w:r>
          </w:p>
        </w:tc>
        <w:tc>
          <w:tcPr>
            <w:tcW w:w="1094" w:type="dxa"/>
            <w:tcBorders>
              <w:top w:val="single" w:color="000000" w:sz="4" w:space="0"/>
              <w:left w:val="single" w:color="000000" w:sz="4" w:space="0"/>
              <w:bottom w:val="single" w:color="000000" w:sz="4" w:space="0"/>
              <w:right w:val="single" w:color="000000" w:sz="4" w:space="0"/>
            </w:tcBorders>
            <w:vAlign w:val="center"/>
          </w:tcPr>
          <w:p w14:paraId="14C09062">
            <w:pPr>
              <w:widowControl/>
              <w:jc w:val="center"/>
              <w:rPr>
                <w:rFonts w:eastAsia="仿宋_GB2312"/>
                <w:color w:val="000000"/>
                <w:kern w:val="0"/>
                <w:sz w:val="24"/>
              </w:rPr>
            </w:pPr>
            <w:r>
              <w:rPr>
                <w:rFonts w:eastAsia="仿宋_GB2312"/>
                <w:color w:val="000000"/>
                <w:kern w:val="0"/>
                <w:sz w:val="24"/>
              </w:rPr>
              <w:t>10</w:t>
            </w:r>
          </w:p>
        </w:tc>
        <w:tc>
          <w:tcPr>
            <w:tcW w:w="1271" w:type="dxa"/>
            <w:tcBorders>
              <w:top w:val="single" w:color="000000" w:sz="4" w:space="0"/>
              <w:left w:val="single" w:color="000000" w:sz="4" w:space="0"/>
              <w:bottom w:val="single" w:color="000000" w:sz="4" w:space="0"/>
              <w:right w:val="single" w:color="000000" w:sz="4" w:space="0"/>
            </w:tcBorders>
            <w:vAlign w:val="center"/>
          </w:tcPr>
          <w:p w14:paraId="1E2E003F">
            <w:pPr>
              <w:widowControl/>
              <w:jc w:val="center"/>
              <w:rPr>
                <w:rFonts w:eastAsia="仿宋_GB2312"/>
                <w:color w:val="000000"/>
                <w:kern w:val="0"/>
                <w:sz w:val="24"/>
              </w:rPr>
            </w:pPr>
            <w:r>
              <w:rPr>
                <w:rFonts w:eastAsia="仿宋_GB2312"/>
                <w:color w:val="000000"/>
                <w:kern w:val="0"/>
                <w:sz w:val="24"/>
              </w:rPr>
              <w:t>预期性</w:t>
            </w:r>
          </w:p>
        </w:tc>
        <w:tc>
          <w:tcPr>
            <w:tcW w:w="1553" w:type="dxa"/>
            <w:tcBorders>
              <w:top w:val="single" w:color="000000" w:sz="4" w:space="0"/>
              <w:left w:val="single" w:color="000000" w:sz="4" w:space="0"/>
              <w:bottom w:val="single" w:color="000000" w:sz="4" w:space="0"/>
              <w:right w:val="single" w:color="000000" w:sz="4" w:space="0"/>
            </w:tcBorders>
            <w:vAlign w:val="center"/>
          </w:tcPr>
          <w:p w14:paraId="06F19601">
            <w:pPr>
              <w:widowControl/>
              <w:jc w:val="center"/>
              <w:rPr>
                <w:rFonts w:eastAsia="仿宋_GB2312"/>
                <w:color w:val="000000"/>
                <w:kern w:val="0"/>
                <w:sz w:val="24"/>
              </w:rPr>
            </w:pPr>
            <w:r>
              <w:rPr>
                <w:rFonts w:eastAsia="仿宋_GB2312"/>
                <w:color w:val="000000"/>
                <w:kern w:val="0"/>
                <w:sz w:val="24"/>
              </w:rPr>
              <w:t>接近预期</w:t>
            </w:r>
          </w:p>
        </w:tc>
      </w:tr>
      <w:tr w14:paraId="4C1321D5">
        <w:tblPrEx>
          <w:tblCellMar>
            <w:top w:w="15" w:type="dxa"/>
            <w:left w:w="15" w:type="dxa"/>
            <w:bottom w:w="15" w:type="dxa"/>
            <w:right w:w="15" w:type="dxa"/>
          </w:tblCellMar>
        </w:tblPrEx>
        <w:trPr>
          <w:trHeight w:val="340" w:hRule="atLeast"/>
          <w:jc w:val="center"/>
        </w:trPr>
        <w:tc>
          <w:tcPr>
            <w:tcW w:w="604" w:type="dxa"/>
            <w:tcBorders>
              <w:top w:val="single" w:color="000000" w:sz="4" w:space="0"/>
              <w:left w:val="single" w:color="000000" w:sz="4" w:space="0"/>
              <w:bottom w:val="single" w:color="000000" w:sz="4" w:space="0"/>
              <w:right w:val="single" w:color="000000" w:sz="4" w:space="0"/>
            </w:tcBorders>
            <w:vAlign w:val="center"/>
          </w:tcPr>
          <w:p w14:paraId="1B1F3105">
            <w:pPr>
              <w:widowControl/>
              <w:jc w:val="center"/>
              <w:rPr>
                <w:rFonts w:eastAsia="仿宋_GB2312"/>
                <w:color w:val="000000"/>
                <w:kern w:val="0"/>
                <w:sz w:val="24"/>
              </w:rPr>
            </w:pPr>
            <w:r>
              <w:rPr>
                <w:rFonts w:eastAsia="仿宋_GB2312"/>
                <w:color w:val="000000"/>
                <w:kern w:val="0"/>
                <w:sz w:val="24"/>
              </w:rPr>
              <w:t>5</w:t>
            </w:r>
          </w:p>
        </w:tc>
        <w:tc>
          <w:tcPr>
            <w:tcW w:w="632" w:type="dxa"/>
            <w:vMerge w:val="continue"/>
            <w:tcBorders>
              <w:left w:val="single" w:color="000000" w:sz="4" w:space="0"/>
              <w:right w:val="single" w:color="000000" w:sz="4" w:space="0"/>
            </w:tcBorders>
            <w:vAlign w:val="center"/>
          </w:tcPr>
          <w:p w14:paraId="5A93B15D">
            <w:pPr>
              <w:widowControl/>
              <w:jc w:val="left"/>
              <w:rPr>
                <w:rFonts w:eastAsia="仿宋_GB2312"/>
                <w:color w:val="000000"/>
                <w:kern w:val="0"/>
                <w:sz w:val="24"/>
              </w:rPr>
            </w:pPr>
          </w:p>
        </w:tc>
        <w:tc>
          <w:tcPr>
            <w:tcW w:w="1684" w:type="dxa"/>
            <w:gridSpan w:val="2"/>
            <w:tcBorders>
              <w:top w:val="single" w:color="000000" w:sz="4" w:space="0"/>
              <w:left w:val="single" w:color="000000" w:sz="4" w:space="0"/>
              <w:bottom w:val="single" w:color="000000" w:sz="4" w:space="0"/>
              <w:right w:val="single" w:color="000000" w:sz="4" w:space="0"/>
            </w:tcBorders>
            <w:vAlign w:val="center"/>
          </w:tcPr>
          <w:p w14:paraId="38172081">
            <w:pPr>
              <w:widowControl/>
              <w:jc w:val="center"/>
              <w:rPr>
                <w:rFonts w:eastAsia="仿宋_GB2312"/>
                <w:color w:val="000000"/>
                <w:kern w:val="0"/>
                <w:sz w:val="24"/>
              </w:rPr>
            </w:pPr>
            <w:r>
              <w:rPr>
                <w:rFonts w:eastAsia="仿宋_GB2312"/>
                <w:color w:val="000000"/>
                <w:kern w:val="0"/>
                <w:sz w:val="24"/>
              </w:rPr>
              <w:t>社会消费品零售总额（%）</w:t>
            </w:r>
          </w:p>
        </w:tc>
        <w:tc>
          <w:tcPr>
            <w:tcW w:w="1047" w:type="dxa"/>
            <w:tcBorders>
              <w:top w:val="single" w:color="000000" w:sz="4" w:space="0"/>
              <w:left w:val="single" w:color="000000" w:sz="4" w:space="0"/>
              <w:bottom w:val="single" w:color="000000" w:sz="4" w:space="0"/>
              <w:right w:val="single" w:color="000000" w:sz="4" w:space="0"/>
            </w:tcBorders>
            <w:vAlign w:val="center"/>
          </w:tcPr>
          <w:p w14:paraId="1FF5C56B">
            <w:pPr>
              <w:widowControl/>
              <w:jc w:val="center"/>
              <w:rPr>
                <w:rFonts w:eastAsia="仿宋_GB2312"/>
                <w:color w:val="000000"/>
                <w:kern w:val="0"/>
                <w:sz w:val="24"/>
              </w:rPr>
            </w:pPr>
            <w:r>
              <w:rPr>
                <w:rFonts w:eastAsia="仿宋_GB2312"/>
                <w:color w:val="000000"/>
                <w:kern w:val="0"/>
                <w:sz w:val="24"/>
              </w:rPr>
              <w:t>4.8</w:t>
            </w:r>
          </w:p>
        </w:tc>
        <w:tc>
          <w:tcPr>
            <w:tcW w:w="1043" w:type="dxa"/>
            <w:tcBorders>
              <w:top w:val="single" w:color="000000" w:sz="4" w:space="0"/>
              <w:left w:val="single" w:color="000000" w:sz="4" w:space="0"/>
              <w:bottom w:val="single" w:color="000000" w:sz="4" w:space="0"/>
              <w:right w:val="single" w:color="000000" w:sz="4" w:space="0"/>
            </w:tcBorders>
            <w:vAlign w:val="center"/>
          </w:tcPr>
          <w:p w14:paraId="5F076BB9">
            <w:pPr>
              <w:widowControl/>
              <w:jc w:val="center"/>
              <w:rPr>
                <w:rFonts w:eastAsia="仿宋_GB2312"/>
                <w:color w:val="000000"/>
                <w:kern w:val="0"/>
                <w:sz w:val="24"/>
              </w:rPr>
            </w:pPr>
            <w:r>
              <w:rPr>
                <w:rFonts w:eastAsia="仿宋_GB2312"/>
                <w:color w:val="000000"/>
                <w:kern w:val="0"/>
                <w:sz w:val="24"/>
              </w:rPr>
              <w:t>12</w:t>
            </w:r>
          </w:p>
        </w:tc>
        <w:tc>
          <w:tcPr>
            <w:tcW w:w="801" w:type="dxa"/>
            <w:tcBorders>
              <w:top w:val="single" w:color="000000" w:sz="4" w:space="0"/>
              <w:left w:val="single" w:color="000000" w:sz="4" w:space="0"/>
              <w:bottom w:val="single" w:color="000000" w:sz="4" w:space="0"/>
              <w:right w:val="single" w:color="000000" w:sz="4" w:space="0"/>
            </w:tcBorders>
            <w:vAlign w:val="center"/>
          </w:tcPr>
          <w:p w14:paraId="4B0162F5">
            <w:pPr>
              <w:widowControl/>
              <w:jc w:val="center"/>
              <w:rPr>
                <w:rFonts w:eastAsia="仿宋_GB2312"/>
                <w:color w:val="000000"/>
                <w:kern w:val="0"/>
                <w:sz w:val="24"/>
              </w:rPr>
            </w:pPr>
            <w:r>
              <w:rPr>
                <w:rFonts w:eastAsia="仿宋_GB2312"/>
                <w:color w:val="000000"/>
                <w:kern w:val="0"/>
                <w:sz w:val="24"/>
              </w:rPr>
              <w:t>11.1</w:t>
            </w:r>
          </w:p>
        </w:tc>
        <w:tc>
          <w:tcPr>
            <w:tcW w:w="1005" w:type="dxa"/>
            <w:tcBorders>
              <w:top w:val="single" w:color="000000" w:sz="4" w:space="0"/>
              <w:left w:val="single" w:color="000000" w:sz="4" w:space="0"/>
              <w:bottom w:val="single" w:color="000000" w:sz="4" w:space="0"/>
              <w:right w:val="single" w:color="000000" w:sz="4" w:space="0"/>
            </w:tcBorders>
            <w:vAlign w:val="center"/>
          </w:tcPr>
          <w:p w14:paraId="456835C7">
            <w:pPr>
              <w:widowControl/>
              <w:jc w:val="center"/>
              <w:rPr>
                <w:rFonts w:eastAsia="仿宋_GB2312"/>
                <w:color w:val="000000"/>
                <w:kern w:val="0"/>
                <w:sz w:val="24"/>
              </w:rPr>
            </w:pPr>
            <w:r>
              <w:rPr>
                <w:rFonts w:eastAsia="仿宋_GB2312"/>
                <w:color w:val="000000"/>
                <w:kern w:val="0"/>
                <w:sz w:val="24"/>
              </w:rPr>
              <w:t>12.8</w:t>
            </w:r>
          </w:p>
        </w:tc>
        <w:tc>
          <w:tcPr>
            <w:tcW w:w="930" w:type="dxa"/>
            <w:tcBorders>
              <w:top w:val="single" w:color="000000" w:sz="4" w:space="0"/>
              <w:left w:val="single" w:color="000000" w:sz="4" w:space="0"/>
              <w:bottom w:val="single" w:color="000000" w:sz="4" w:space="0"/>
              <w:right w:val="single" w:color="000000" w:sz="4" w:space="0"/>
            </w:tcBorders>
            <w:vAlign w:val="center"/>
          </w:tcPr>
          <w:p w14:paraId="1C48D8E0">
            <w:pPr>
              <w:widowControl/>
              <w:jc w:val="center"/>
              <w:rPr>
                <w:rFonts w:eastAsia="仿宋_GB2312"/>
                <w:color w:val="000000"/>
                <w:kern w:val="0"/>
                <w:sz w:val="24"/>
              </w:rPr>
            </w:pPr>
            <w:r>
              <w:rPr>
                <w:rFonts w:eastAsia="仿宋_GB2312"/>
                <w:color w:val="000000"/>
                <w:kern w:val="0"/>
                <w:sz w:val="24"/>
              </w:rPr>
              <w:t>9.6</w:t>
            </w:r>
          </w:p>
        </w:tc>
        <w:tc>
          <w:tcPr>
            <w:tcW w:w="907" w:type="dxa"/>
            <w:tcBorders>
              <w:top w:val="single" w:color="000000" w:sz="4" w:space="0"/>
              <w:left w:val="single" w:color="000000" w:sz="4" w:space="0"/>
              <w:bottom w:val="single" w:color="000000" w:sz="4" w:space="0"/>
              <w:right w:val="single" w:color="000000" w:sz="4" w:space="0"/>
            </w:tcBorders>
            <w:vAlign w:val="center"/>
          </w:tcPr>
          <w:p w14:paraId="58B7DC73">
            <w:pPr>
              <w:widowControl/>
              <w:jc w:val="center"/>
              <w:rPr>
                <w:rFonts w:eastAsia="仿宋_GB2312"/>
                <w:color w:val="000000"/>
                <w:kern w:val="0"/>
                <w:sz w:val="24"/>
              </w:rPr>
            </w:pPr>
            <w:r>
              <w:rPr>
                <w:rFonts w:eastAsia="仿宋_GB2312"/>
                <w:color w:val="000000"/>
                <w:kern w:val="0"/>
                <w:sz w:val="24"/>
              </w:rPr>
              <w:t>10.3</w:t>
            </w:r>
          </w:p>
        </w:tc>
        <w:tc>
          <w:tcPr>
            <w:tcW w:w="1163"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D9137B5">
            <w:pPr>
              <w:widowControl/>
              <w:jc w:val="center"/>
              <w:rPr>
                <w:rFonts w:eastAsia="仿宋_GB2312"/>
                <w:color w:val="000000"/>
                <w:kern w:val="0"/>
                <w:sz w:val="24"/>
              </w:rPr>
            </w:pPr>
            <w:r>
              <w:rPr>
                <w:rFonts w:eastAsia="仿宋_GB2312"/>
                <w:color w:val="000000"/>
                <w:kern w:val="0"/>
                <w:sz w:val="24"/>
              </w:rPr>
              <w:t>-4.2</w:t>
            </w:r>
          </w:p>
        </w:tc>
        <w:tc>
          <w:tcPr>
            <w:tcW w:w="1298" w:type="dxa"/>
            <w:tcBorders>
              <w:top w:val="single" w:color="000000" w:sz="4" w:space="0"/>
              <w:left w:val="single" w:color="000000" w:sz="4" w:space="0"/>
              <w:bottom w:val="single" w:color="000000" w:sz="4" w:space="0"/>
              <w:right w:val="single" w:color="000000" w:sz="4" w:space="0"/>
            </w:tcBorders>
            <w:vAlign w:val="center"/>
          </w:tcPr>
          <w:p w14:paraId="0B2D5EC1">
            <w:pPr>
              <w:widowControl/>
              <w:jc w:val="center"/>
              <w:rPr>
                <w:rFonts w:eastAsia="仿宋_GB2312"/>
                <w:color w:val="000000"/>
                <w:kern w:val="0"/>
                <w:sz w:val="24"/>
              </w:rPr>
            </w:pPr>
            <w:r>
              <w:rPr>
                <w:rFonts w:eastAsia="仿宋_GB2312"/>
                <w:color w:val="000000"/>
                <w:kern w:val="0"/>
                <w:sz w:val="24"/>
              </w:rPr>
              <w:t>10.5</w:t>
            </w:r>
          </w:p>
        </w:tc>
        <w:tc>
          <w:tcPr>
            <w:tcW w:w="1094" w:type="dxa"/>
            <w:tcBorders>
              <w:top w:val="single" w:color="000000" w:sz="4" w:space="0"/>
              <w:left w:val="single" w:color="000000" w:sz="4" w:space="0"/>
              <w:bottom w:val="single" w:color="000000" w:sz="4" w:space="0"/>
              <w:right w:val="single" w:color="000000" w:sz="4" w:space="0"/>
            </w:tcBorders>
            <w:vAlign w:val="center"/>
          </w:tcPr>
          <w:p w14:paraId="41F7D9A7">
            <w:pPr>
              <w:widowControl/>
              <w:jc w:val="center"/>
              <w:rPr>
                <w:rFonts w:eastAsia="仿宋_GB2312"/>
                <w:color w:val="000000"/>
                <w:kern w:val="0"/>
                <w:sz w:val="24"/>
              </w:rPr>
            </w:pPr>
            <w:r>
              <w:rPr>
                <w:rFonts w:eastAsia="仿宋_GB2312"/>
                <w:color w:val="000000"/>
                <w:kern w:val="0"/>
                <w:sz w:val="24"/>
              </w:rPr>
              <w:t>9</w:t>
            </w:r>
          </w:p>
        </w:tc>
        <w:tc>
          <w:tcPr>
            <w:tcW w:w="1271" w:type="dxa"/>
            <w:tcBorders>
              <w:top w:val="single" w:color="000000" w:sz="4" w:space="0"/>
              <w:left w:val="single" w:color="000000" w:sz="4" w:space="0"/>
              <w:bottom w:val="single" w:color="000000" w:sz="4" w:space="0"/>
              <w:right w:val="single" w:color="000000" w:sz="4" w:space="0"/>
            </w:tcBorders>
            <w:vAlign w:val="center"/>
          </w:tcPr>
          <w:p w14:paraId="0E38AC56">
            <w:pPr>
              <w:widowControl/>
              <w:jc w:val="center"/>
              <w:rPr>
                <w:rFonts w:eastAsia="仿宋_GB2312"/>
                <w:color w:val="000000"/>
                <w:kern w:val="0"/>
                <w:sz w:val="24"/>
              </w:rPr>
            </w:pPr>
            <w:r>
              <w:rPr>
                <w:rFonts w:eastAsia="仿宋_GB2312"/>
                <w:color w:val="000000"/>
                <w:kern w:val="0"/>
                <w:sz w:val="24"/>
              </w:rPr>
              <w:t>预期性</w:t>
            </w:r>
          </w:p>
        </w:tc>
        <w:tc>
          <w:tcPr>
            <w:tcW w:w="1553" w:type="dxa"/>
            <w:tcBorders>
              <w:top w:val="single" w:color="000000" w:sz="4" w:space="0"/>
              <w:left w:val="single" w:color="000000" w:sz="4" w:space="0"/>
              <w:bottom w:val="single" w:color="000000" w:sz="4" w:space="0"/>
              <w:right w:val="single" w:color="000000" w:sz="4" w:space="0"/>
            </w:tcBorders>
            <w:vAlign w:val="center"/>
          </w:tcPr>
          <w:p w14:paraId="1509243F">
            <w:pPr>
              <w:widowControl/>
              <w:jc w:val="center"/>
              <w:rPr>
                <w:rFonts w:eastAsia="仿宋_GB2312"/>
                <w:color w:val="000000"/>
                <w:kern w:val="0"/>
                <w:sz w:val="24"/>
              </w:rPr>
            </w:pPr>
            <w:r>
              <w:rPr>
                <w:rFonts w:eastAsia="仿宋_GB2312"/>
                <w:color w:val="000000"/>
                <w:kern w:val="0"/>
                <w:sz w:val="24"/>
              </w:rPr>
              <w:t>基本完成</w:t>
            </w:r>
          </w:p>
        </w:tc>
      </w:tr>
      <w:tr w14:paraId="146E5B2A">
        <w:tblPrEx>
          <w:tblCellMar>
            <w:top w:w="15" w:type="dxa"/>
            <w:left w:w="15" w:type="dxa"/>
            <w:bottom w:w="15" w:type="dxa"/>
            <w:right w:w="15" w:type="dxa"/>
          </w:tblCellMar>
        </w:tblPrEx>
        <w:trPr>
          <w:trHeight w:val="340" w:hRule="atLeast"/>
          <w:jc w:val="center"/>
        </w:trPr>
        <w:tc>
          <w:tcPr>
            <w:tcW w:w="604" w:type="dxa"/>
            <w:tcBorders>
              <w:top w:val="single" w:color="000000" w:sz="4" w:space="0"/>
              <w:left w:val="single" w:color="000000" w:sz="4" w:space="0"/>
              <w:bottom w:val="single" w:color="000000" w:sz="4" w:space="0"/>
              <w:right w:val="single" w:color="000000" w:sz="4" w:space="0"/>
            </w:tcBorders>
            <w:vAlign w:val="center"/>
          </w:tcPr>
          <w:p w14:paraId="6C414640">
            <w:pPr>
              <w:widowControl/>
              <w:jc w:val="center"/>
              <w:rPr>
                <w:rFonts w:eastAsia="仿宋_GB2312"/>
                <w:color w:val="000000"/>
                <w:kern w:val="0"/>
                <w:sz w:val="24"/>
              </w:rPr>
            </w:pPr>
            <w:r>
              <w:rPr>
                <w:rFonts w:eastAsia="仿宋_GB2312"/>
                <w:color w:val="000000"/>
                <w:kern w:val="0"/>
                <w:sz w:val="24"/>
              </w:rPr>
              <w:t>6</w:t>
            </w:r>
          </w:p>
        </w:tc>
        <w:tc>
          <w:tcPr>
            <w:tcW w:w="632" w:type="dxa"/>
            <w:vMerge w:val="continue"/>
            <w:tcBorders>
              <w:left w:val="single" w:color="000000" w:sz="4" w:space="0"/>
              <w:right w:val="single" w:color="000000" w:sz="4" w:space="0"/>
            </w:tcBorders>
            <w:vAlign w:val="center"/>
          </w:tcPr>
          <w:p w14:paraId="36850BFE">
            <w:pPr>
              <w:widowControl/>
              <w:jc w:val="left"/>
              <w:rPr>
                <w:rFonts w:eastAsia="仿宋_GB2312"/>
                <w:color w:val="000000"/>
                <w:kern w:val="0"/>
                <w:sz w:val="24"/>
              </w:rPr>
            </w:pPr>
          </w:p>
        </w:tc>
        <w:tc>
          <w:tcPr>
            <w:tcW w:w="1684" w:type="dxa"/>
            <w:gridSpan w:val="2"/>
            <w:tcBorders>
              <w:top w:val="single" w:color="000000" w:sz="4" w:space="0"/>
              <w:left w:val="single" w:color="000000" w:sz="4" w:space="0"/>
              <w:bottom w:val="single" w:color="000000" w:sz="4" w:space="0"/>
              <w:right w:val="single" w:color="000000" w:sz="4" w:space="0"/>
            </w:tcBorders>
            <w:vAlign w:val="center"/>
          </w:tcPr>
          <w:p w14:paraId="792427B9">
            <w:pPr>
              <w:widowControl/>
              <w:jc w:val="center"/>
              <w:rPr>
                <w:rFonts w:eastAsia="仿宋_GB2312"/>
                <w:color w:val="000000"/>
                <w:kern w:val="0"/>
                <w:sz w:val="24"/>
              </w:rPr>
            </w:pPr>
            <w:r>
              <w:rPr>
                <w:rFonts w:eastAsia="仿宋_GB2312"/>
                <w:color w:val="000000"/>
                <w:kern w:val="0"/>
                <w:sz w:val="24"/>
              </w:rPr>
              <w:t>规模以上固定资产投资（%）</w:t>
            </w:r>
          </w:p>
        </w:tc>
        <w:tc>
          <w:tcPr>
            <w:tcW w:w="1047" w:type="dxa"/>
            <w:tcBorders>
              <w:top w:val="single" w:color="000000" w:sz="4" w:space="0"/>
              <w:left w:val="single" w:color="000000" w:sz="4" w:space="0"/>
              <w:bottom w:val="single" w:color="000000" w:sz="4" w:space="0"/>
              <w:right w:val="single" w:color="000000" w:sz="4" w:space="0"/>
            </w:tcBorders>
            <w:vAlign w:val="center"/>
          </w:tcPr>
          <w:p w14:paraId="4017F4BF">
            <w:pPr>
              <w:widowControl/>
              <w:jc w:val="center"/>
              <w:rPr>
                <w:rFonts w:eastAsia="仿宋_GB2312"/>
                <w:color w:val="000000"/>
                <w:kern w:val="0"/>
                <w:sz w:val="24"/>
              </w:rPr>
            </w:pPr>
            <w:r>
              <w:rPr>
                <w:rFonts w:eastAsia="仿宋_GB2312"/>
                <w:color w:val="000000"/>
                <w:kern w:val="0"/>
                <w:sz w:val="24"/>
              </w:rPr>
              <w:t>5.6</w:t>
            </w:r>
          </w:p>
        </w:tc>
        <w:tc>
          <w:tcPr>
            <w:tcW w:w="1043" w:type="dxa"/>
            <w:tcBorders>
              <w:top w:val="single" w:color="000000" w:sz="4" w:space="0"/>
              <w:left w:val="single" w:color="000000" w:sz="4" w:space="0"/>
              <w:bottom w:val="single" w:color="000000" w:sz="4" w:space="0"/>
              <w:right w:val="single" w:color="000000" w:sz="4" w:space="0"/>
            </w:tcBorders>
            <w:vAlign w:val="center"/>
          </w:tcPr>
          <w:p w14:paraId="25098CA7">
            <w:pPr>
              <w:widowControl/>
              <w:jc w:val="center"/>
              <w:rPr>
                <w:rFonts w:eastAsia="仿宋_GB2312"/>
                <w:color w:val="000000"/>
                <w:kern w:val="0"/>
                <w:sz w:val="24"/>
              </w:rPr>
            </w:pPr>
            <w:r>
              <w:rPr>
                <w:rFonts w:eastAsia="仿宋_GB2312"/>
                <w:color w:val="000000"/>
                <w:kern w:val="0"/>
                <w:sz w:val="24"/>
              </w:rPr>
              <w:t>14.3</w:t>
            </w:r>
          </w:p>
        </w:tc>
        <w:tc>
          <w:tcPr>
            <w:tcW w:w="801" w:type="dxa"/>
            <w:tcBorders>
              <w:top w:val="single" w:color="000000" w:sz="4" w:space="0"/>
              <w:left w:val="single" w:color="000000" w:sz="4" w:space="0"/>
              <w:bottom w:val="single" w:color="000000" w:sz="4" w:space="0"/>
              <w:right w:val="single" w:color="000000" w:sz="4" w:space="0"/>
            </w:tcBorders>
            <w:vAlign w:val="center"/>
          </w:tcPr>
          <w:p w14:paraId="3731422D">
            <w:pPr>
              <w:widowControl/>
              <w:jc w:val="center"/>
              <w:rPr>
                <w:rFonts w:eastAsia="仿宋_GB2312"/>
                <w:color w:val="000000"/>
                <w:kern w:val="0"/>
                <w:sz w:val="24"/>
              </w:rPr>
            </w:pPr>
            <w:r>
              <w:rPr>
                <w:rFonts w:eastAsia="仿宋_GB2312"/>
                <w:color w:val="000000"/>
                <w:kern w:val="0"/>
                <w:sz w:val="24"/>
              </w:rPr>
              <w:t>9</w:t>
            </w:r>
          </w:p>
        </w:tc>
        <w:tc>
          <w:tcPr>
            <w:tcW w:w="1005" w:type="dxa"/>
            <w:tcBorders>
              <w:top w:val="single" w:color="000000" w:sz="4" w:space="0"/>
              <w:left w:val="single" w:color="000000" w:sz="4" w:space="0"/>
              <w:bottom w:val="single" w:color="000000" w:sz="4" w:space="0"/>
              <w:right w:val="single" w:color="000000" w:sz="4" w:space="0"/>
            </w:tcBorders>
            <w:vAlign w:val="center"/>
          </w:tcPr>
          <w:p w14:paraId="3428636C">
            <w:pPr>
              <w:widowControl/>
              <w:jc w:val="center"/>
              <w:rPr>
                <w:rFonts w:eastAsia="仿宋_GB2312"/>
                <w:color w:val="000000"/>
                <w:kern w:val="0"/>
                <w:sz w:val="24"/>
              </w:rPr>
            </w:pPr>
            <w:r>
              <w:rPr>
                <w:rFonts w:eastAsia="仿宋_GB2312"/>
                <w:color w:val="000000"/>
                <w:kern w:val="0"/>
                <w:sz w:val="24"/>
              </w:rPr>
              <w:t>7.2</w:t>
            </w:r>
          </w:p>
        </w:tc>
        <w:tc>
          <w:tcPr>
            <w:tcW w:w="930" w:type="dxa"/>
            <w:tcBorders>
              <w:top w:val="single" w:color="000000" w:sz="4" w:space="0"/>
              <w:left w:val="single" w:color="000000" w:sz="4" w:space="0"/>
              <w:bottom w:val="single" w:color="000000" w:sz="4" w:space="0"/>
              <w:right w:val="single" w:color="000000" w:sz="4" w:space="0"/>
            </w:tcBorders>
            <w:vAlign w:val="center"/>
          </w:tcPr>
          <w:p w14:paraId="24F7CFF6">
            <w:pPr>
              <w:widowControl/>
              <w:jc w:val="center"/>
              <w:rPr>
                <w:rFonts w:eastAsia="仿宋_GB2312"/>
                <w:color w:val="000000"/>
                <w:kern w:val="0"/>
                <w:sz w:val="24"/>
              </w:rPr>
            </w:pPr>
            <w:r>
              <w:rPr>
                <w:rFonts w:eastAsia="仿宋_GB2312"/>
                <w:color w:val="000000"/>
                <w:kern w:val="0"/>
                <w:sz w:val="24"/>
              </w:rPr>
              <w:t>2.9</w:t>
            </w:r>
          </w:p>
        </w:tc>
        <w:tc>
          <w:tcPr>
            <w:tcW w:w="907" w:type="dxa"/>
            <w:tcBorders>
              <w:top w:val="single" w:color="000000" w:sz="4" w:space="0"/>
              <w:left w:val="single" w:color="000000" w:sz="4" w:space="0"/>
              <w:bottom w:val="single" w:color="000000" w:sz="4" w:space="0"/>
              <w:right w:val="single" w:color="000000" w:sz="4" w:space="0"/>
            </w:tcBorders>
            <w:vAlign w:val="center"/>
          </w:tcPr>
          <w:p w14:paraId="6F631A54">
            <w:pPr>
              <w:widowControl/>
              <w:jc w:val="center"/>
              <w:rPr>
                <w:rFonts w:eastAsia="仿宋_GB2312"/>
                <w:color w:val="000000"/>
                <w:kern w:val="0"/>
                <w:sz w:val="24"/>
              </w:rPr>
            </w:pPr>
            <w:r>
              <w:rPr>
                <w:rFonts w:eastAsia="仿宋_GB2312"/>
                <w:color w:val="000000"/>
                <w:kern w:val="0"/>
                <w:sz w:val="24"/>
              </w:rPr>
              <w:t>4.3</w:t>
            </w:r>
          </w:p>
        </w:tc>
        <w:tc>
          <w:tcPr>
            <w:tcW w:w="1163"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4CF87D8">
            <w:pPr>
              <w:widowControl/>
              <w:jc w:val="center"/>
              <w:rPr>
                <w:rFonts w:eastAsia="仿宋_GB2312"/>
                <w:color w:val="000000"/>
                <w:kern w:val="0"/>
                <w:sz w:val="24"/>
              </w:rPr>
            </w:pPr>
            <w:r>
              <w:rPr>
                <w:rFonts w:eastAsia="仿宋_GB2312"/>
                <w:color w:val="000000"/>
                <w:kern w:val="0"/>
                <w:sz w:val="24"/>
              </w:rPr>
              <w:t>8.5</w:t>
            </w:r>
          </w:p>
        </w:tc>
        <w:tc>
          <w:tcPr>
            <w:tcW w:w="1298" w:type="dxa"/>
            <w:tcBorders>
              <w:top w:val="single" w:color="000000" w:sz="4" w:space="0"/>
              <w:left w:val="single" w:color="000000" w:sz="4" w:space="0"/>
              <w:bottom w:val="single" w:color="000000" w:sz="4" w:space="0"/>
              <w:right w:val="single" w:color="000000" w:sz="4" w:space="0"/>
            </w:tcBorders>
            <w:vAlign w:val="center"/>
          </w:tcPr>
          <w:p w14:paraId="030FE237">
            <w:pPr>
              <w:widowControl/>
              <w:jc w:val="center"/>
              <w:rPr>
                <w:rFonts w:eastAsia="仿宋_GB2312"/>
                <w:color w:val="000000"/>
                <w:kern w:val="0"/>
                <w:sz w:val="24"/>
              </w:rPr>
            </w:pPr>
            <w:r>
              <w:rPr>
                <w:rFonts w:eastAsia="仿宋_GB2312"/>
                <w:color w:val="000000"/>
                <w:kern w:val="0"/>
                <w:sz w:val="24"/>
              </w:rPr>
              <w:t>—</w:t>
            </w:r>
          </w:p>
        </w:tc>
        <w:tc>
          <w:tcPr>
            <w:tcW w:w="1094" w:type="dxa"/>
            <w:tcBorders>
              <w:top w:val="single" w:color="000000" w:sz="4" w:space="0"/>
              <w:left w:val="single" w:color="000000" w:sz="4" w:space="0"/>
              <w:bottom w:val="single" w:color="000000" w:sz="4" w:space="0"/>
              <w:right w:val="single" w:color="000000" w:sz="4" w:space="0"/>
            </w:tcBorders>
            <w:vAlign w:val="center"/>
          </w:tcPr>
          <w:p w14:paraId="42C3808F">
            <w:pPr>
              <w:widowControl/>
              <w:jc w:val="center"/>
              <w:rPr>
                <w:rFonts w:eastAsia="仿宋_GB2312"/>
                <w:color w:val="000000"/>
                <w:kern w:val="0"/>
                <w:sz w:val="24"/>
              </w:rPr>
            </w:pPr>
            <w:r>
              <w:rPr>
                <w:rFonts w:eastAsia="仿宋_GB2312"/>
                <w:color w:val="000000"/>
                <w:kern w:val="0"/>
                <w:sz w:val="24"/>
              </w:rPr>
              <w:t>6</w:t>
            </w:r>
          </w:p>
        </w:tc>
        <w:tc>
          <w:tcPr>
            <w:tcW w:w="1271" w:type="dxa"/>
            <w:tcBorders>
              <w:top w:val="single" w:color="000000" w:sz="4" w:space="0"/>
              <w:left w:val="single" w:color="000000" w:sz="4" w:space="0"/>
              <w:bottom w:val="single" w:color="000000" w:sz="4" w:space="0"/>
              <w:right w:val="single" w:color="000000" w:sz="4" w:space="0"/>
            </w:tcBorders>
            <w:vAlign w:val="center"/>
          </w:tcPr>
          <w:p w14:paraId="3A486A5B">
            <w:pPr>
              <w:widowControl/>
              <w:jc w:val="center"/>
              <w:rPr>
                <w:rFonts w:eastAsia="仿宋_GB2312"/>
                <w:color w:val="000000"/>
                <w:kern w:val="0"/>
                <w:sz w:val="24"/>
              </w:rPr>
            </w:pPr>
            <w:r>
              <w:rPr>
                <w:rFonts w:eastAsia="仿宋_GB2312"/>
                <w:color w:val="000000"/>
                <w:kern w:val="0"/>
                <w:sz w:val="24"/>
              </w:rPr>
              <w:t>预期性</w:t>
            </w:r>
          </w:p>
        </w:tc>
        <w:tc>
          <w:tcPr>
            <w:tcW w:w="1553" w:type="dxa"/>
            <w:tcBorders>
              <w:top w:val="single" w:color="000000" w:sz="4" w:space="0"/>
              <w:left w:val="single" w:color="000000" w:sz="4" w:space="0"/>
              <w:bottom w:val="single" w:color="000000" w:sz="4" w:space="0"/>
              <w:right w:val="single" w:color="000000" w:sz="4" w:space="0"/>
            </w:tcBorders>
            <w:vAlign w:val="center"/>
          </w:tcPr>
          <w:p w14:paraId="0A18A45B">
            <w:pPr>
              <w:widowControl/>
              <w:jc w:val="center"/>
              <w:rPr>
                <w:rFonts w:eastAsia="仿宋_GB2312"/>
                <w:color w:val="000000"/>
                <w:kern w:val="0"/>
                <w:sz w:val="24"/>
              </w:rPr>
            </w:pPr>
            <w:r>
              <w:rPr>
                <w:rFonts w:eastAsia="仿宋_GB2312"/>
                <w:color w:val="000000"/>
                <w:kern w:val="0"/>
                <w:sz w:val="24"/>
              </w:rPr>
              <w:t>基本完成</w:t>
            </w:r>
          </w:p>
        </w:tc>
      </w:tr>
      <w:tr w14:paraId="1DF8330F">
        <w:tblPrEx>
          <w:tblCellMar>
            <w:top w:w="15" w:type="dxa"/>
            <w:left w:w="15" w:type="dxa"/>
            <w:bottom w:w="15" w:type="dxa"/>
            <w:right w:w="15" w:type="dxa"/>
          </w:tblCellMar>
        </w:tblPrEx>
        <w:trPr>
          <w:trHeight w:val="720" w:hRule="atLeast"/>
          <w:jc w:val="center"/>
        </w:trPr>
        <w:tc>
          <w:tcPr>
            <w:tcW w:w="604" w:type="dxa"/>
            <w:tcBorders>
              <w:top w:val="single" w:color="000000" w:sz="4" w:space="0"/>
              <w:left w:val="single" w:color="000000" w:sz="4" w:space="0"/>
              <w:bottom w:val="single" w:color="000000" w:sz="4" w:space="0"/>
              <w:right w:val="single" w:color="000000" w:sz="4" w:space="0"/>
            </w:tcBorders>
            <w:vAlign w:val="center"/>
          </w:tcPr>
          <w:p w14:paraId="2436CF14">
            <w:pPr>
              <w:widowControl/>
              <w:jc w:val="center"/>
              <w:rPr>
                <w:rFonts w:eastAsia="仿宋_GB2312"/>
                <w:color w:val="000000"/>
                <w:kern w:val="0"/>
                <w:sz w:val="24"/>
              </w:rPr>
            </w:pPr>
            <w:r>
              <w:rPr>
                <w:rFonts w:eastAsia="仿宋_GB2312"/>
                <w:color w:val="000000"/>
                <w:kern w:val="0"/>
                <w:sz w:val="24"/>
              </w:rPr>
              <w:t>7</w:t>
            </w:r>
          </w:p>
        </w:tc>
        <w:tc>
          <w:tcPr>
            <w:tcW w:w="632" w:type="dxa"/>
            <w:vMerge w:val="continue"/>
            <w:tcBorders>
              <w:left w:val="single" w:color="000000" w:sz="4" w:space="0"/>
              <w:bottom w:val="single" w:color="000000" w:sz="4" w:space="0"/>
              <w:right w:val="single" w:color="000000" w:sz="4" w:space="0"/>
            </w:tcBorders>
            <w:vAlign w:val="center"/>
          </w:tcPr>
          <w:p w14:paraId="36BA4B66">
            <w:pPr>
              <w:widowControl/>
              <w:jc w:val="left"/>
              <w:rPr>
                <w:rFonts w:eastAsia="仿宋_GB2312"/>
                <w:color w:val="000000"/>
                <w:kern w:val="0"/>
                <w:sz w:val="24"/>
              </w:rPr>
            </w:pPr>
          </w:p>
        </w:tc>
        <w:tc>
          <w:tcPr>
            <w:tcW w:w="1684" w:type="dxa"/>
            <w:gridSpan w:val="2"/>
            <w:tcBorders>
              <w:top w:val="single" w:color="000000" w:sz="4" w:space="0"/>
              <w:left w:val="single" w:color="000000" w:sz="4" w:space="0"/>
              <w:bottom w:val="single" w:color="000000" w:sz="4" w:space="0"/>
              <w:right w:val="single" w:color="000000" w:sz="4" w:space="0"/>
            </w:tcBorders>
            <w:vAlign w:val="center"/>
          </w:tcPr>
          <w:p w14:paraId="609A4702">
            <w:pPr>
              <w:widowControl/>
              <w:jc w:val="center"/>
              <w:rPr>
                <w:rFonts w:eastAsia="仿宋_GB2312"/>
                <w:color w:val="000000"/>
                <w:kern w:val="0"/>
                <w:sz w:val="24"/>
              </w:rPr>
            </w:pPr>
            <w:r>
              <w:rPr>
                <w:rFonts w:eastAsia="仿宋_GB2312"/>
                <w:color w:val="000000"/>
                <w:kern w:val="0"/>
                <w:sz w:val="24"/>
              </w:rPr>
              <w:t>一般公共预算收入（%）</w:t>
            </w:r>
          </w:p>
        </w:tc>
        <w:tc>
          <w:tcPr>
            <w:tcW w:w="1047" w:type="dxa"/>
            <w:tcBorders>
              <w:top w:val="single" w:color="000000" w:sz="4" w:space="0"/>
              <w:left w:val="single" w:color="000000" w:sz="4" w:space="0"/>
              <w:bottom w:val="single" w:color="000000" w:sz="4" w:space="0"/>
              <w:right w:val="single" w:color="000000" w:sz="4" w:space="0"/>
            </w:tcBorders>
            <w:vAlign w:val="center"/>
          </w:tcPr>
          <w:p w14:paraId="304AB340">
            <w:pPr>
              <w:widowControl/>
              <w:jc w:val="center"/>
              <w:rPr>
                <w:rFonts w:eastAsia="仿宋_GB2312"/>
                <w:color w:val="000000"/>
                <w:kern w:val="0"/>
                <w:sz w:val="24"/>
              </w:rPr>
            </w:pPr>
            <w:r>
              <w:rPr>
                <w:rFonts w:eastAsia="仿宋_GB2312"/>
                <w:color w:val="000000"/>
                <w:kern w:val="0"/>
                <w:sz w:val="24"/>
              </w:rPr>
              <w:t>3</w:t>
            </w:r>
          </w:p>
        </w:tc>
        <w:tc>
          <w:tcPr>
            <w:tcW w:w="1043" w:type="dxa"/>
            <w:tcBorders>
              <w:top w:val="single" w:color="000000" w:sz="4" w:space="0"/>
              <w:left w:val="single" w:color="000000" w:sz="4" w:space="0"/>
              <w:bottom w:val="single" w:color="000000" w:sz="4" w:space="0"/>
              <w:right w:val="single" w:color="000000" w:sz="4" w:space="0"/>
            </w:tcBorders>
            <w:vAlign w:val="center"/>
          </w:tcPr>
          <w:p w14:paraId="43C3D490">
            <w:pPr>
              <w:widowControl/>
              <w:jc w:val="center"/>
              <w:rPr>
                <w:rFonts w:eastAsia="仿宋_GB2312"/>
                <w:color w:val="000000"/>
                <w:kern w:val="0"/>
                <w:sz w:val="24"/>
              </w:rPr>
            </w:pPr>
            <w:r>
              <w:rPr>
                <w:rFonts w:eastAsia="仿宋_GB2312"/>
                <w:color w:val="000000"/>
                <w:kern w:val="0"/>
                <w:sz w:val="24"/>
              </w:rPr>
              <w:t>16</w:t>
            </w:r>
          </w:p>
        </w:tc>
        <w:tc>
          <w:tcPr>
            <w:tcW w:w="801" w:type="dxa"/>
            <w:tcBorders>
              <w:top w:val="single" w:color="000000" w:sz="4" w:space="0"/>
              <w:left w:val="single" w:color="000000" w:sz="4" w:space="0"/>
              <w:bottom w:val="single" w:color="000000" w:sz="4" w:space="0"/>
              <w:right w:val="single" w:color="000000" w:sz="4" w:space="0"/>
            </w:tcBorders>
            <w:vAlign w:val="center"/>
          </w:tcPr>
          <w:p w14:paraId="1BAD73DA">
            <w:pPr>
              <w:widowControl/>
              <w:jc w:val="center"/>
              <w:rPr>
                <w:rFonts w:eastAsia="仿宋_GB2312"/>
                <w:color w:val="000000"/>
                <w:kern w:val="0"/>
                <w:sz w:val="24"/>
              </w:rPr>
            </w:pPr>
            <w:r>
              <w:rPr>
                <w:rFonts w:eastAsia="仿宋_GB2312"/>
                <w:color w:val="000000"/>
                <w:kern w:val="0"/>
                <w:sz w:val="24"/>
              </w:rPr>
              <w:t>7.9</w:t>
            </w:r>
          </w:p>
        </w:tc>
        <w:tc>
          <w:tcPr>
            <w:tcW w:w="1005" w:type="dxa"/>
            <w:tcBorders>
              <w:top w:val="single" w:color="000000" w:sz="4" w:space="0"/>
              <w:left w:val="single" w:color="000000" w:sz="4" w:space="0"/>
              <w:bottom w:val="single" w:color="000000" w:sz="4" w:space="0"/>
              <w:right w:val="single" w:color="000000" w:sz="4" w:space="0"/>
            </w:tcBorders>
            <w:vAlign w:val="center"/>
          </w:tcPr>
          <w:p w14:paraId="556BAEC1">
            <w:pPr>
              <w:widowControl/>
              <w:jc w:val="center"/>
              <w:rPr>
                <w:rFonts w:eastAsia="仿宋_GB2312"/>
                <w:color w:val="000000"/>
                <w:kern w:val="0"/>
                <w:sz w:val="24"/>
              </w:rPr>
            </w:pPr>
            <w:r>
              <w:rPr>
                <w:rFonts w:eastAsia="仿宋_GB2312"/>
                <w:color w:val="000000"/>
                <w:kern w:val="0"/>
                <w:sz w:val="24"/>
              </w:rPr>
              <w:t>5.6</w:t>
            </w:r>
          </w:p>
        </w:tc>
        <w:tc>
          <w:tcPr>
            <w:tcW w:w="930" w:type="dxa"/>
            <w:tcBorders>
              <w:top w:val="single" w:color="000000" w:sz="4" w:space="0"/>
              <w:left w:val="single" w:color="000000" w:sz="4" w:space="0"/>
              <w:bottom w:val="single" w:color="000000" w:sz="4" w:space="0"/>
              <w:right w:val="single" w:color="000000" w:sz="4" w:space="0"/>
            </w:tcBorders>
            <w:vAlign w:val="center"/>
          </w:tcPr>
          <w:p w14:paraId="700F9834">
            <w:pPr>
              <w:widowControl/>
              <w:jc w:val="center"/>
              <w:rPr>
                <w:rFonts w:eastAsia="仿宋_GB2312"/>
                <w:color w:val="000000"/>
                <w:kern w:val="0"/>
                <w:sz w:val="24"/>
              </w:rPr>
            </w:pPr>
            <w:r>
              <w:rPr>
                <w:rFonts w:eastAsia="仿宋_GB2312"/>
                <w:color w:val="000000"/>
                <w:kern w:val="0"/>
                <w:sz w:val="24"/>
              </w:rPr>
              <w:t>7.7</w:t>
            </w:r>
          </w:p>
        </w:tc>
        <w:tc>
          <w:tcPr>
            <w:tcW w:w="907" w:type="dxa"/>
            <w:tcBorders>
              <w:top w:val="single" w:color="000000" w:sz="4" w:space="0"/>
              <w:left w:val="single" w:color="000000" w:sz="4" w:space="0"/>
              <w:bottom w:val="single" w:color="000000" w:sz="4" w:space="0"/>
              <w:right w:val="single" w:color="000000" w:sz="4" w:space="0"/>
            </w:tcBorders>
            <w:vAlign w:val="center"/>
          </w:tcPr>
          <w:p w14:paraId="302AC078">
            <w:pPr>
              <w:widowControl/>
              <w:jc w:val="center"/>
              <w:rPr>
                <w:rFonts w:eastAsia="仿宋_GB2312"/>
                <w:color w:val="000000"/>
                <w:kern w:val="0"/>
                <w:sz w:val="24"/>
              </w:rPr>
            </w:pPr>
            <w:r>
              <w:rPr>
                <w:rFonts w:eastAsia="仿宋_GB2312"/>
                <w:color w:val="000000"/>
                <w:kern w:val="0"/>
                <w:sz w:val="24"/>
              </w:rPr>
              <w:t>6.2</w:t>
            </w:r>
          </w:p>
        </w:tc>
        <w:tc>
          <w:tcPr>
            <w:tcW w:w="1163"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8DF3CD2">
            <w:pPr>
              <w:widowControl/>
              <w:jc w:val="center"/>
              <w:rPr>
                <w:rFonts w:eastAsia="仿宋_GB2312"/>
                <w:color w:val="000000"/>
                <w:kern w:val="0"/>
                <w:sz w:val="24"/>
              </w:rPr>
            </w:pPr>
            <w:r>
              <w:rPr>
                <w:rFonts w:eastAsia="仿宋_GB2312"/>
                <w:color w:val="000000"/>
                <w:kern w:val="0"/>
                <w:sz w:val="24"/>
              </w:rPr>
              <w:t>2.7</w:t>
            </w:r>
          </w:p>
        </w:tc>
        <w:tc>
          <w:tcPr>
            <w:tcW w:w="1298" w:type="dxa"/>
            <w:tcBorders>
              <w:top w:val="single" w:color="000000" w:sz="4" w:space="0"/>
              <w:left w:val="single" w:color="000000" w:sz="4" w:space="0"/>
              <w:bottom w:val="single" w:color="000000" w:sz="4" w:space="0"/>
              <w:right w:val="single" w:color="000000" w:sz="4" w:space="0"/>
            </w:tcBorders>
            <w:vAlign w:val="center"/>
          </w:tcPr>
          <w:p w14:paraId="571AECF5">
            <w:pPr>
              <w:widowControl/>
              <w:jc w:val="center"/>
              <w:rPr>
                <w:rFonts w:eastAsia="仿宋_GB2312"/>
                <w:color w:val="000000"/>
                <w:kern w:val="0"/>
                <w:sz w:val="24"/>
              </w:rPr>
            </w:pPr>
            <w:r>
              <w:rPr>
                <w:rFonts w:eastAsia="仿宋_GB2312"/>
                <w:color w:val="000000"/>
                <w:kern w:val="0"/>
                <w:sz w:val="24"/>
              </w:rPr>
              <w:t>—</w:t>
            </w:r>
          </w:p>
        </w:tc>
        <w:tc>
          <w:tcPr>
            <w:tcW w:w="1094" w:type="dxa"/>
            <w:tcBorders>
              <w:top w:val="single" w:color="000000" w:sz="4" w:space="0"/>
              <w:left w:val="single" w:color="000000" w:sz="4" w:space="0"/>
              <w:bottom w:val="single" w:color="000000" w:sz="4" w:space="0"/>
              <w:right w:val="single" w:color="000000" w:sz="4" w:space="0"/>
            </w:tcBorders>
            <w:vAlign w:val="center"/>
          </w:tcPr>
          <w:p w14:paraId="5E86D482">
            <w:pPr>
              <w:widowControl/>
              <w:jc w:val="center"/>
              <w:rPr>
                <w:rFonts w:eastAsia="仿宋_GB2312"/>
                <w:color w:val="000000"/>
                <w:kern w:val="0"/>
                <w:sz w:val="24"/>
              </w:rPr>
            </w:pPr>
            <w:r>
              <w:rPr>
                <w:rFonts w:eastAsia="仿宋_GB2312"/>
                <w:color w:val="000000"/>
                <w:kern w:val="0"/>
                <w:sz w:val="24"/>
              </w:rPr>
              <w:t>≥6</w:t>
            </w:r>
          </w:p>
        </w:tc>
        <w:tc>
          <w:tcPr>
            <w:tcW w:w="1271" w:type="dxa"/>
            <w:tcBorders>
              <w:top w:val="single" w:color="000000" w:sz="4" w:space="0"/>
              <w:left w:val="single" w:color="000000" w:sz="4" w:space="0"/>
              <w:bottom w:val="single" w:color="000000" w:sz="4" w:space="0"/>
              <w:right w:val="single" w:color="000000" w:sz="4" w:space="0"/>
            </w:tcBorders>
            <w:vAlign w:val="center"/>
          </w:tcPr>
          <w:p w14:paraId="46A2672E">
            <w:pPr>
              <w:widowControl/>
              <w:jc w:val="center"/>
              <w:rPr>
                <w:rFonts w:eastAsia="仿宋_GB2312"/>
                <w:color w:val="000000"/>
                <w:kern w:val="0"/>
                <w:sz w:val="24"/>
              </w:rPr>
            </w:pPr>
            <w:r>
              <w:rPr>
                <w:rFonts w:eastAsia="仿宋_GB2312"/>
                <w:color w:val="000000"/>
                <w:kern w:val="0"/>
                <w:sz w:val="24"/>
              </w:rPr>
              <w:t>预期性</w:t>
            </w:r>
          </w:p>
        </w:tc>
        <w:tc>
          <w:tcPr>
            <w:tcW w:w="1553" w:type="dxa"/>
            <w:tcBorders>
              <w:top w:val="single" w:color="000000" w:sz="4" w:space="0"/>
              <w:left w:val="single" w:color="000000" w:sz="4" w:space="0"/>
              <w:bottom w:val="single" w:color="000000" w:sz="4" w:space="0"/>
              <w:right w:val="single" w:color="000000" w:sz="4" w:space="0"/>
            </w:tcBorders>
            <w:vAlign w:val="center"/>
          </w:tcPr>
          <w:p w14:paraId="7022F988">
            <w:pPr>
              <w:widowControl/>
              <w:jc w:val="center"/>
              <w:rPr>
                <w:rFonts w:eastAsia="仿宋_GB2312"/>
                <w:color w:val="000000"/>
                <w:kern w:val="0"/>
                <w:sz w:val="24"/>
              </w:rPr>
            </w:pPr>
            <w:r>
              <w:rPr>
                <w:rFonts w:eastAsia="仿宋_GB2312"/>
                <w:color w:val="000000"/>
                <w:kern w:val="0"/>
                <w:sz w:val="24"/>
              </w:rPr>
              <w:t>基本完成</w:t>
            </w:r>
          </w:p>
        </w:tc>
      </w:tr>
      <w:tr w14:paraId="1ADF24E5">
        <w:tblPrEx>
          <w:tblCellMar>
            <w:top w:w="15" w:type="dxa"/>
            <w:left w:w="15" w:type="dxa"/>
            <w:bottom w:w="15" w:type="dxa"/>
            <w:right w:w="15" w:type="dxa"/>
          </w:tblCellMar>
        </w:tblPrEx>
        <w:trPr>
          <w:trHeight w:val="1043" w:hRule="atLeast"/>
          <w:jc w:val="center"/>
        </w:trPr>
        <w:tc>
          <w:tcPr>
            <w:tcW w:w="604" w:type="dxa"/>
            <w:tcBorders>
              <w:top w:val="single" w:color="000000" w:sz="4" w:space="0"/>
              <w:left w:val="single" w:color="000000" w:sz="4" w:space="0"/>
              <w:bottom w:val="single" w:color="000000" w:sz="4" w:space="0"/>
              <w:right w:val="single" w:color="000000" w:sz="4" w:space="0"/>
            </w:tcBorders>
            <w:vAlign w:val="center"/>
          </w:tcPr>
          <w:p w14:paraId="75FDDF61">
            <w:pPr>
              <w:widowControl/>
              <w:jc w:val="center"/>
              <w:rPr>
                <w:rFonts w:eastAsia="仿宋_GB2312"/>
                <w:color w:val="000000"/>
                <w:kern w:val="0"/>
                <w:sz w:val="24"/>
              </w:rPr>
            </w:pPr>
            <w:r>
              <w:rPr>
                <w:rFonts w:eastAsia="仿宋_GB2312"/>
                <w:color w:val="000000"/>
                <w:kern w:val="0"/>
                <w:sz w:val="24"/>
              </w:rPr>
              <w:t>8</w:t>
            </w:r>
          </w:p>
        </w:tc>
        <w:tc>
          <w:tcPr>
            <w:tcW w:w="632" w:type="dxa"/>
            <w:vMerge w:val="restart"/>
            <w:tcBorders>
              <w:top w:val="single" w:color="000000" w:sz="4" w:space="0"/>
              <w:left w:val="single" w:color="000000" w:sz="4" w:space="0"/>
              <w:right w:val="single" w:color="000000" w:sz="4" w:space="0"/>
            </w:tcBorders>
            <w:vAlign w:val="center"/>
          </w:tcPr>
          <w:p w14:paraId="1AE8E9E7">
            <w:pPr>
              <w:widowControl/>
              <w:jc w:val="center"/>
              <w:rPr>
                <w:rFonts w:eastAsia="仿宋_GB2312"/>
                <w:color w:val="000000"/>
                <w:kern w:val="0"/>
                <w:sz w:val="24"/>
              </w:rPr>
            </w:pPr>
            <w:r>
              <w:rPr>
                <w:rFonts w:eastAsia="仿宋_GB2312"/>
                <w:color w:val="000000"/>
                <w:kern w:val="0"/>
                <w:sz w:val="24"/>
              </w:rPr>
              <w:t>强区</w:t>
            </w:r>
          </w:p>
          <w:p w14:paraId="02094355">
            <w:pPr>
              <w:widowControl/>
              <w:jc w:val="center"/>
              <w:rPr>
                <w:rFonts w:eastAsia="仿宋_GB2312"/>
                <w:color w:val="000000"/>
                <w:kern w:val="0"/>
                <w:sz w:val="24"/>
              </w:rPr>
            </w:pPr>
            <w:r>
              <w:rPr>
                <w:rFonts w:eastAsia="仿宋_GB2312"/>
                <w:color w:val="000000"/>
                <w:kern w:val="0"/>
                <w:sz w:val="24"/>
              </w:rPr>
              <w:t>富民</w:t>
            </w:r>
          </w:p>
          <w:p w14:paraId="50BA5CD3">
            <w:pPr>
              <w:widowControl/>
              <w:jc w:val="center"/>
              <w:rPr>
                <w:rFonts w:eastAsia="仿宋_GB2312"/>
                <w:color w:val="000000"/>
                <w:kern w:val="0"/>
                <w:sz w:val="24"/>
              </w:rPr>
            </w:pPr>
            <w:r>
              <w:rPr>
                <w:rFonts w:eastAsia="仿宋_GB2312"/>
                <w:color w:val="000000"/>
                <w:kern w:val="0"/>
                <w:sz w:val="24"/>
              </w:rPr>
              <w:t>指标</w:t>
            </w:r>
          </w:p>
        </w:tc>
        <w:tc>
          <w:tcPr>
            <w:tcW w:w="1684" w:type="dxa"/>
            <w:gridSpan w:val="2"/>
            <w:tcBorders>
              <w:top w:val="single" w:color="000000" w:sz="4" w:space="0"/>
              <w:left w:val="single" w:color="000000" w:sz="4" w:space="0"/>
              <w:bottom w:val="single" w:color="000000" w:sz="4" w:space="0"/>
              <w:right w:val="single" w:color="000000" w:sz="4" w:space="0"/>
            </w:tcBorders>
            <w:vAlign w:val="center"/>
          </w:tcPr>
          <w:p w14:paraId="67B15493">
            <w:pPr>
              <w:widowControl/>
              <w:jc w:val="center"/>
              <w:rPr>
                <w:rFonts w:eastAsia="仿宋_GB2312"/>
                <w:color w:val="000000"/>
                <w:kern w:val="0"/>
                <w:sz w:val="24"/>
              </w:rPr>
            </w:pPr>
            <w:r>
              <w:rPr>
                <w:rFonts w:eastAsia="仿宋_GB2312"/>
                <w:color w:val="000000"/>
                <w:kern w:val="0"/>
                <w:sz w:val="24"/>
              </w:rPr>
              <w:t>城镇常住居民人均可支配</w:t>
            </w:r>
          </w:p>
          <w:p w14:paraId="5AE3C52A">
            <w:pPr>
              <w:widowControl/>
              <w:jc w:val="center"/>
              <w:rPr>
                <w:rFonts w:eastAsia="仿宋_GB2312"/>
                <w:color w:val="000000"/>
                <w:kern w:val="0"/>
                <w:sz w:val="24"/>
              </w:rPr>
            </w:pPr>
            <w:r>
              <w:rPr>
                <w:rFonts w:eastAsia="仿宋_GB2312"/>
                <w:color w:val="000000"/>
                <w:kern w:val="0"/>
                <w:sz w:val="24"/>
              </w:rPr>
              <w:t>收入（%）</w:t>
            </w:r>
          </w:p>
        </w:tc>
        <w:tc>
          <w:tcPr>
            <w:tcW w:w="1047" w:type="dxa"/>
            <w:tcBorders>
              <w:top w:val="single" w:color="000000" w:sz="4" w:space="0"/>
              <w:left w:val="single" w:color="000000" w:sz="4" w:space="0"/>
              <w:bottom w:val="single" w:color="000000" w:sz="4" w:space="0"/>
              <w:right w:val="single" w:color="000000" w:sz="4" w:space="0"/>
            </w:tcBorders>
            <w:vAlign w:val="center"/>
          </w:tcPr>
          <w:p w14:paraId="088866A1">
            <w:pPr>
              <w:widowControl/>
              <w:jc w:val="center"/>
              <w:rPr>
                <w:rFonts w:eastAsia="仿宋_GB2312"/>
                <w:color w:val="000000"/>
                <w:kern w:val="0"/>
                <w:sz w:val="24"/>
              </w:rPr>
            </w:pPr>
            <w:r>
              <w:rPr>
                <w:rFonts w:eastAsia="仿宋_GB2312"/>
                <w:color w:val="000000"/>
                <w:kern w:val="0"/>
                <w:sz w:val="24"/>
              </w:rPr>
              <w:t>8.4</w:t>
            </w:r>
          </w:p>
        </w:tc>
        <w:tc>
          <w:tcPr>
            <w:tcW w:w="1043" w:type="dxa"/>
            <w:tcBorders>
              <w:top w:val="single" w:color="000000" w:sz="4" w:space="0"/>
              <w:left w:val="single" w:color="000000" w:sz="4" w:space="0"/>
              <w:bottom w:val="single" w:color="000000" w:sz="4" w:space="0"/>
              <w:right w:val="single" w:color="000000" w:sz="4" w:space="0"/>
            </w:tcBorders>
            <w:vAlign w:val="center"/>
          </w:tcPr>
          <w:p w14:paraId="1781E929">
            <w:pPr>
              <w:widowControl/>
              <w:jc w:val="center"/>
              <w:rPr>
                <w:rFonts w:eastAsia="仿宋_GB2312"/>
                <w:color w:val="000000"/>
                <w:kern w:val="0"/>
                <w:sz w:val="24"/>
              </w:rPr>
            </w:pPr>
            <w:r>
              <w:rPr>
                <w:rFonts w:eastAsia="仿宋_GB2312"/>
                <w:color w:val="000000"/>
                <w:kern w:val="0"/>
                <w:sz w:val="24"/>
              </w:rPr>
              <w:t>10.8</w:t>
            </w:r>
          </w:p>
        </w:tc>
        <w:tc>
          <w:tcPr>
            <w:tcW w:w="801" w:type="dxa"/>
            <w:tcBorders>
              <w:top w:val="single" w:color="000000" w:sz="4" w:space="0"/>
              <w:left w:val="single" w:color="000000" w:sz="4" w:space="0"/>
              <w:bottom w:val="single" w:color="000000" w:sz="4" w:space="0"/>
              <w:right w:val="single" w:color="000000" w:sz="4" w:space="0"/>
            </w:tcBorders>
            <w:vAlign w:val="center"/>
          </w:tcPr>
          <w:p w14:paraId="2E5F52DB">
            <w:pPr>
              <w:widowControl/>
              <w:jc w:val="center"/>
              <w:rPr>
                <w:rFonts w:eastAsia="仿宋_GB2312"/>
                <w:color w:val="000000"/>
                <w:kern w:val="0"/>
                <w:sz w:val="24"/>
              </w:rPr>
            </w:pPr>
            <w:r>
              <w:rPr>
                <w:rFonts w:eastAsia="仿宋_GB2312"/>
                <w:color w:val="000000"/>
                <w:kern w:val="0"/>
                <w:sz w:val="24"/>
              </w:rPr>
              <w:t>8</w:t>
            </w:r>
          </w:p>
        </w:tc>
        <w:tc>
          <w:tcPr>
            <w:tcW w:w="1005" w:type="dxa"/>
            <w:tcBorders>
              <w:top w:val="single" w:color="000000" w:sz="4" w:space="0"/>
              <w:left w:val="single" w:color="000000" w:sz="4" w:space="0"/>
              <w:bottom w:val="single" w:color="000000" w:sz="4" w:space="0"/>
              <w:right w:val="single" w:color="000000" w:sz="4" w:space="0"/>
            </w:tcBorders>
            <w:vAlign w:val="center"/>
          </w:tcPr>
          <w:p w14:paraId="67C08C2F">
            <w:pPr>
              <w:widowControl/>
              <w:jc w:val="center"/>
              <w:rPr>
                <w:rFonts w:eastAsia="仿宋_GB2312"/>
                <w:color w:val="000000"/>
                <w:kern w:val="0"/>
                <w:sz w:val="24"/>
              </w:rPr>
            </w:pPr>
            <w:r>
              <w:rPr>
                <w:rFonts w:eastAsia="仿宋_GB2312"/>
                <w:color w:val="000000"/>
                <w:kern w:val="0"/>
                <w:sz w:val="24"/>
              </w:rPr>
              <w:t>8.3</w:t>
            </w:r>
          </w:p>
        </w:tc>
        <w:tc>
          <w:tcPr>
            <w:tcW w:w="930" w:type="dxa"/>
            <w:tcBorders>
              <w:top w:val="single" w:color="000000" w:sz="4" w:space="0"/>
              <w:left w:val="single" w:color="000000" w:sz="4" w:space="0"/>
              <w:bottom w:val="single" w:color="000000" w:sz="4" w:space="0"/>
              <w:right w:val="single" w:color="000000" w:sz="4" w:space="0"/>
            </w:tcBorders>
            <w:vAlign w:val="center"/>
          </w:tcPr>
          <w:p w14:paraId="1596F2BF">
            <w:pPr>
              <w:widowControl/>
              <w:jc w:val="center"/>
              <w:rPr>
                <w:rFonts w:eastAsia="仿宋_GB2312"/>
                <w:color w:val="000000"/>
                <w:kern w:val="0"/>
                <w:sz w:val="24"/>
              </w:rPr>
            </w:pPr>
            <w:r>
              <w:rPr>
                <w:rFonts w:eastAsia="仿宋_GB2312"/>
                <w:color w:val="000000"/>
                <w:kern w:val="0"/>
                <w:sz w:val="24"/>
              </w:rPr>
              <w:t>8</w:t>
            </w:r>
          </w:p>
        </w:tc>
        <w:tc>
          <w:tcPr>
            <w:tcW w:w="907" w:type="dxa"/>
            <w:tcBorders>
              <w:top w:val="single" w:color="000000" w:sz="4" w:space="0"/>
              <w:left w:val="single" w:color="000000" w:sz="4" w:space="0"/>
              <w:bottom w:val="single" w:color="000000" w:sz="4" w:space="0"/>
              <w:right w:val="single" w:color="000000" w:sz="4" w:space="0"/>
            </w:tcBorders>
            <w:vAlign w:val="center"/>
          </w:tcPr>
          <w:p w14:paraId="77BF99A5">
            <w:pPr>
              <w:widowControl/>
              <w:jc w:val="center"/>
              <w:rPr>
                <w:rFonts w:eastAsia="仿宋_GB2312"/>
                <w:color w:val="000000"/>
                <w:kern w:val="0"/>
                <w:sz w:val="24"/>
              </w:rPr>
            </w:pPr>
            <w:r>
              <w:rPr>
                <w:rFonts w:eastAsia="仿宋_GB2312"/>
                <w:color w:val="000000"/>
                <w:kern w:val="0"/>
                <w:sz w:val="24"/>
              </w:rPr>
              <w:t>7.7</w:t>
            </w:r>
          </w:p>
        </w:tc>
        <w:tc>
          <w:tcPr>
            <w:tcW w:w="1163"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15D93C4">
            <w:pPr>
              <w:widowControl/>
              <w:jc w:val="center"/>
              <w:rPr>
                <w:rFonts w:eastAsia="仿宋_GB2312"/>
                <w:color w:val="000000"/>
                <w:kern w:val="0"/>
                <w:sz w:val="24"/>
              </w:rPr>
            </w:pPr>
            <w:r>
              <w:rPr>
                <w:rFonts w:eastAsia="仿宋_GB2312"/>
                <w:color w:val="000000"/>
                <w:kern w:val="0"/>
                <w:sz w:val="24"/>
              </w:rPr>
              <w:t>3.8</w:t>
            </w:r>
          </w:p>
        </w:tc>
        <w:tc>
          <w:tcPr>
            <w:tcW w:w="1298" w:type="dxa"/>
            <w:tcBorders>
              <w:top w:val="single" w:color="000000" w:sz="4" w:space="0"/>
              <w:left w:val="single" w:color="000000" w:sz="4" w:space="0"/>
              <w:bottom w:val="single" w:color="000000" w:sz="4" w:space="0"/>
              <w:right w:val="single" w:color="000000" w:sz="4" w:space="0"/>
            </w:tcBorders>
            <w:vAlign w:val="center"/>
          </w:tcPr>
          <w:p w14:paraId="18A36EC2">
            <w:pPr>
              <w:widowControl/>
              <w:jc w:val="center"/>
              <w:rPr>
                <w:rFonts w:eastAsia="仿宋_GB2312"/>
                <w:color w:val="000000"/>
                <w:kern w:val="0"/>
                <w:sz w:val="24"/>
              </w:rPr>
            </w:pPr>
            <w:r>
              <w:rPr>
                <w:rFonts w:eastAsia="仿宋_GB2312"/>
                <w:color w:val="000000"/>
                <w:kern w:val="0"/>
                <w:sz w:val="24"/>
              </w:rPr>
              <w:t>—</w:t>
            </w:r>
          </w:p>
        </w:tc>
        <w:tc>
          <w:tcPr>
            <w:tcW w:w="1094" w:type="dxa"/>
            <w:tcBorders>
              <w:top w:val="single" w:color="000000" w:sz="4" w:space="0"/>
              <w:left w:val="single" w:color="000000" w:sz="4" w:space="0"/>
              <w:bottom w:val="single" w:color="000000" w:sz="4" w:space="0"/>
              <w:right w:val="single" w:color="000000" w:sz="4" w:space="0"/>
            </w:tcBorders>
            <w:vAlign w:val="center"/>
          </w:tcPr>
          <w:p w14:paraId="16332C45">
            <w:pPr>
              <w:widowControl/>
              <w:jc w:val="center"/>
              <w:rPr>
                <w:rFonts w:eastAsia="仿宋_GB2312"/>
                <w:color w:val="000000"/>
                <w:kern w:val="0"/>
                <w:sz w:val="24"/>
              </w:rPr>
            </w:pPr>
            <w:r>
              <w:rPr>
                <w:rFonts w:eastAsia="仿宋_GB2312"/>
                <w:color w:val="000000"/>
                <w:kern w:val="0"/>
                <w:sz w:val="24"/>
              </w:rPr>
              <w:t>8.5</w:t>
            </w:r>
          </w:p>
        </w:tc>
        <w:tc>
          <w:tcPr>
            <w:tcW w:w="1271" w:type="dxa"/>
            <w:tcBorders>
              <w:top w:val="single" w:color="000000" w:sz="4" w:space="0"/>
              <w:left w:val="single" w:color="000000" w:sz="4" w:space="0"/>
              <w:bottom w:val="single" w:color="000000" w:sz="4" w:space="0"/>
              <w:right w:val="single" w:color="000000" w:sz="4" w:space="0"/>
            </w:tcBorders>
            <w:vAlign w:val="center"/>
          </w:tcPr>
          <w:p w14:paraId="1380FCB8">
            <w:pPr>
              <w:widowControl/>
              <w:jc w:val="center"/>
              <w:rPr>
                <w:rFonts w:eastAsia="仿宋_GB2312"/>
                <w:color w:val="000000"/>
                <w:kern w:val="0"/>
                <w:sz w:val="24"/>
              </w:rPr>
            </w:pPr>
            <w:r>
              <w:rPr>
                <w:rFonts w:eastAsia="仿宋_GB2312"/>
                <w:color w:val="000000"/>
                <w:kern w:val="0"/>
                <w:sz w:val="24"/>
              </w:rPr>
              <w:t>预期性</w:t>
            </w:r>
          </w:p>
        </w:tc>
        <w:tc>
          <w:tcPr>
            <w:tcW w:w="1553" w:type="dxa"/>
            <w:tcBorders>
              <w:top w:val="single" w:color="000000" w:sz="4" w:space="0"/>
              <w:left w:val="single" w:color="000000" w:sz="4" w:space="0"/>
              <w:bottom w:val="single" w:color="000000" w:sz="4" w:space="0"/>
              <w:right w:val="single" w:color="000000" w:sz="4" w:space="0"/>
            </w:tcBorders>
            <w:vAlign w:val="center"/>
          </w:tcPr>
          <w:p w14:paraId="3B11074B">
            <w:pPr>
              <w:widowControl/>
              <w:jc w:val="center"/>
              <w:rPr>
                <w:rFonts w:eastAsia="仿宋_GB2312"/>
                <w:color w:val="000000"/>
                <w:kern w:val="0"/>
                <w:sz w:val="24"/>
              </w:rPr>
            </w:pPr>
            <w:r>
              <w:rPr>
                <w:rFonts w:eastAsia="仿宋_GB2312"/>
                <w:color w:val="000000"/>
                <w:kern w:val="0"/>
                <w:sz w:val="24"/>
              </w:rPr>
              <w:t>基本完成</w:t>
            </w:r>
          </w:p>
        </w:tc>
      </w:tr>
      <w:tr w14:paraId="33E76272">
        <w:tblPrEx>
          <w:tblCellMar>
            <w:top w:w="15" w:type="dxa"/>
            <w:left w:w="15" w:type="dxa"/>
            <w:bottom w:w="15" w:type="dxa"/>
            <w:right w:w="15" w:type="dxa"/>
          </w:tblCellMar>
        </w:tblPrEx>
        <w:trPr>
          <w:trHeight w:val="818" w:hRule="atLeast"/>
          <w:jc w:val="center"/>
        </w:trPr>
        <w:tc>
          <w:tcPr>
            <w:tcW w:w="604" w:type="dxa"/>
            <w:tcBorders>
              <w:top w:val="single" w:color="000000" w:sz="4" w:space="0"/>
              <w:left w:val="single" w:color="000000" w:sz="4" w:space="0"/>
              <w:bottom w:val="single" w:color="000000" w:sz="4" w:space="0"/>
              <w:right w:val="single" w:color="000000" w:sz="4" w:space="0"/>
            </w:tcBorders>
            <w:vAlign w:val="center"/>
          </w:tcPr>
          <w:p w14:paraId="4D91A63F">
            <w:pPr>
              <w:widowControl/>
              <w:jc w:val="center"/>
              <w:rPr>
                <w:rFonts w:eastAsia="仿宋_GB2312"/>
                <w:color w:val="000000"/>
                <w:kern w:val="0"/>
                <w:sz w:val="24"/>
              </w:rPr>
            </w:pPr>
            <w:r>
              <w:rPr>
                <w:rFonts w:eastAsia="仿宋_GB2312"/>
                <w:color w:val="000000"/>
                <w:kern w:val="0"/>
                <w:sz w:val="24"/>
              </w:rPr>
              <w:t>9</w:t>
            </w:r>
          </w:p>
        </w:tc>
        <w:tc>
          <w:tcPr>
            <w:tcW w:w="632" w:type="dxa"/>
            <w:vMerge w:val="continue"/>
            <w:tcBorders>
              <w:left w:val="single" w:color="000000" w:sz="4" w:space="0"/>
              <w:bottom w:val="single" w:color="000000" w:sz="4" w:space="0"/>
              <w:right w:val="single" w:color="000000" w:sz="4" w:space="0"/>
            </w:tcBorders>
            <w:vAlign w:val="center"/>
          </w:tcPr>
          <w:p w14:paraId="570362E9">
            <w:pPr>
              <w:widowControl/>
              <w:jc w:val="left"/>
              <w:rPr>
                <w:rFonts w:eastAsia="仿宋_GB2312"/>
                <w:color w:val="000000"/>
                <w:kern w:val="0"/>
                <w:sz w:val="24"/>
              </w:rPr>
            </w:pPr>
          </w:p>
        </w:tc>
        <w:tc>
          <w:tcPr>
            <w:tcW w:w="1684" w:type="dxa"/>
            <w:gridSpan w:val="2"/>
            <w:tcBorders>
              <w:top w:val="single" w:color="000000" w:sz="4" w:space="0"/>
              <w:left w:val="single" w:color="000000" w:sz="4" w:space="0"/>
              <w:bottom w:val="single" w:color="000000" w:sz="4" w:space="0"/>
              <w:right w:val="single" w:color="000000" w:sz="4" w:space="0"/>
            </w:tcBorders>
            <w:vAlign w:val="center"/>
          </w:tcPr>
          <w:p w14:paraId="264C0164">
            <w:pPr>
              <w:widowControl/>
              <w:jc w:val="center"/>
              <w:rPr>
                <w:rFonts w:eastAsia="仿宋_GB2312"/>
                <w:color w:val="000000"/>
                <w:kern w:val="0"/>
                <w:sz w:val="24"/>
              </w:rPr>
            </w:pPr>
            <w:r>
              <w:rPr>
                <w:rFonts w:eastAsia="仿宋_GB2312"/>
                <w:color w:val="000000"/>
                <w:kern w:val="0"/>
                <w:sz w:val="24"/>
              </w:rPr>
              <w:t>农村常住居民人均可支配收入（%）</w:t>
            </w:r>
          </w:p>
        </w:tc>
        <w:tc>
          <w:tcPr>
            <w:tcW w:w="1047" w:type="dxa"/>
            <w:tcBorders>
              <w:top w:val="single" w:color="000000" w:sz="4" w:space="0"/>
              <w:left w:val="single" w:color="000000" w:sz="4" w:space="0"/>
              <w:bottom w:val="single" w:color="000000" w:sz="4" w:space="0"/>
              <w:right w:val="single" w:color="000000" w:sz="4" w:space="0"/>
            </w:tcBorders>
            <w:vAlign w:val="center"/>
          </w:tcPr>
          <w:p w14:paraId="24125CF6">
            <w:pPr>
              <w:widowControl/>
              <w:jc w:val="center"/>
              <w:rPr>
                <w:rFonts w:eastAsia="仿宋_GB2312"/>
                <w:color w:val="000000"/>
                <w:kern w:val="0"/>
                <w:sz w:val="24"/>
              </w:rPr>
            </w:pPr>
            <w:r>
              <w:rPr>
                <w:rFonts w:eastAsia="仿宋_GB2312"/>
                <w:color w:val="000000"/>
                <w:kern w:val="0"/>
                <w:sz w:val="24"/>
              </w:rPr>
              <w:t>10.4</w:t>
            </w:r>
          </w:p>
        </w:tc>
        <w:tc>
          <w:tcPr>
            <w:tcW w:w="1043" w:type="dxa"/>
            <w:tcBorders>
              <w:top w:val="single" w:color="000000" w:sz="4" w:space="0"/>
              <w:left w:val="single" w:color="000000" w:sz="4" w:space="0"/>
              <w:bottom w:val="single" w:color="000000" w:sz="4" w:space="0"/>
              <w:right w:val="single" w:color="000000" w:sz="4" w:space="0"/>
            </w:tcBorders>
            <w:vAlign w:val="center"/>
          </w:tcPr>
          <w:p w14:paraId="40DEE4CD">
            <w:pPr>
              <w:widowControl/>
              <w:jc w:val="center"/>
              <w:rPr>
                <w:rFonts w:eastAsia="仿宋_GB2312"/>
                <w:color w:val="000000"/>
                <w:kern w:val="0"/>
                <w:sz w:val="24"/>
              </w:rPr>
            </w:pPr>
            <w:r>
              <w:rPr>
                <w:rFonts w:eastAsia="仿宋_GB2312"/>
                <w:color w:val="000000"/>
                <w:kern w:val="0"/>
                <w:sz w:val="24"/>
              </w:rPr>
              <w:t>12</w:t>
            </w:r>
          </w:p>
        </w:tc>
        <w:tc>
          <w:tcPr>
            <w:tcW w:w="801" w:type="dxa"/>
            <w:tcBorders>
              <w:top w:val="single" w:color="000000" w:sz="4" w:space="0"/>
              <w:left w:val="single" w:color="000000" w:sz="4" w:space="0"/>
              <w:bottom w:val="single" w:color="000000" w:sz="4" w:space="0"/>
              <w:right w:val="single" w:color="000000" w:sz="4" w:space="0"/>
            </w:tcBorders>
            <w:vAlign w:val="center"/>
          </w:tcPr>
          <w:p w14:paraId="335371F3">
            <w:pPr>
              <w:widowControl/>
              <w:jc w:val="center"/>
              <w:rPr>
                <w:rFonts w:eastAsia="仿宋_GB2312"/>
                <w:color w:val="000000"/>
                <w:kern w:val="0"/>
                <w:sz w:val="24"/>
              </w:rPr>
            </w:pPr>
            <w:r>
              <w:rPr>
                <w:rFonts w:eastAsia="仿宋_GB2312"/>
                <w:color w:val="000000"/>
                <w:kern w:val="0"/>
                <w:sz w:val="24"/>
              </w:rPr>
              <w:t>9.3</w:t>
            </w:r>
          </w:p>
        </w:tc>
        <w:tc>
          <w:tcPr>
            <w:tcW w:w="1005" w:type="dxa"/>
            <w:tcBorders>
              <w:top w:val="single" w:color="000000" w:sz="4" w:space="0"/>
              <w:left w:val="single" w:color="000000" w:sz="4" w:space="0"/>
              <w:bottom w:val="single" w:color="000000" w:sz="4" w:space="0"/>
              <w:right w:val="single" w:color="000000" w:sz="4" w:space="0"/>
            </w:tcBorders>
            <w:vAlign w:val="center"/>
          </w:tcPr>
          <w:p w14:paraId="11D360B1">
            <w:pPr>
              <w:widowControl/>
              <w:jc w:val="center"/>
              <w:rPr>
                <w:rFonts w:eastAsia="仿宋_GB2312"/>
                <w:color w:val="000000"/>
                <w:kern w:val="0"/>
                <w:sz w:val="24"/>
              </w:rPr>
            </w:pPr>
            <w:r>
              <w:rPr>
                <w:rFonts w:eastAsia="仿宋_GB2312"/>
                <w:color w:val="000000"/>
                <w:kern w:val="0"/>
                <w:sz w:val="24"/>
              </w:rPr>
              <w:t>9.1</w:t>
            </w:r>
          </w:p>
        </w:tc>
        <w:tc>
          <w:tcPr>
            <w:tcW w:w="930" w:type="dxa"/>
            <w:tcBorders>
              <w:top w:val="single" w:color="000000" w:sz="4" w:space="0"/>
              <w:left w:val="single" w:color="000000" w:sz="4" w:space="0"/>
              <w:bottom w:val="single" w:color="000000" w:sz="4" w:space="0"/>
              <w:right w:val="single" w:color="000000" w:sz="4" w:space="0"/>
            </w:tcBorders>
            <w:vAlign w:val="center"/>
          </w:tcPr>
          <w:p w14:paraId="683FA462">
            <w:pPr>
              <w:widowControl/>
              <w:jc w:val="center"/>
              <w:rPr>
                <w:rFonts w:eastAsia="仿宋_GB2312"/>
                <w:color w:val="000000"/>
                <w:kern w:val="0"/>
                <w:sz w:val="24"/>
              </w:rPr>
            </w:pPr>
            <w:r>
              <w:rPr>
                <w:rFonts w:eastAsia="仿宋_GB2312"/>
                <w:color w:val="000000"/>
                <w:kern w:val="0"/>
                <w:sz w:val="24"/>
              </w:rPr>
              <w:t>8.5</w:t>
            </w:r>
          </w:p>
        </w:tc>
        <w:tc>
          <w:tcPr>
            <w:tcW w:w="907" w:type="dxa"/>
            <w:tcBorders>
              <w:top w:val="single" w:color="000000" w:sz="4" w:space="0"/>
              <w:left w:val="single" w:color="000000" w:sz="4" w:space="0"/>
              <w:bottom w:val="single" w:color="000000" w:sz="4" w:space="0"/>
              <w:right w:val="single" w:color="000000" w:sz="4" w:space="0"/>
            </w:tcBorders>
            <w:vAlign w:val="center"/>
          </w:tcPr>
          <w:p w14:paraId="722A191E">
            <w:pPr>
              <w:widowControl/>
              <w:jc w:val="center"/>
              <w:rPr>
                <w:rFonts w:eastAsia="仿宋_GB2312"/>
                <w:color w:val="000000"/>
                <w:kern w:val="0"/>
                <w:sz w:val="24"/>
              </w:rPr>
            </w:pPr>
            <w:r>
              <w:rPr>
                <w:rFonts w:eastAsia="仿宋_GB2312"/>
                <w:color w:val="000000"/>
                <w:kern w:val="0"/>
                <w:sz w:val="24"/>
              </w:rPr>
              <w:t>9.6</w:t>
            </w:r>
          </w:p>
        </w:tc>
        <w:tc>
          <w:tcPr>
            <w:tcW w:w="1163"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3105363">
            <w:pPr>
              <w:widowControl/>
              <w:jc w:val="center"/>
              <w:rPr>
                <w:rFonts w:eastAsia="仿宋_GB2312"/>
                <w:color w:val="000000"/>
                <w:kern w:val="0"/>
                <w:sz w:val="24"/>
              </w:rPr>
            </w:pPr>
            <w:r>
              <w:rPr>
                <w:rFonts w:eastAsia="仿宋_GB2312"/>
                <w:color w:val="000000"/>
                <w:kern w:val="0"/>
                <w:sz w:val="24"/>
              </w:rPr>
              <w:t>8.2</w:t>
            </w:r>
          </w:p>
        </w:tc>
        <w:tc>
          <w:tcPr>
            <w:tcW w:w="1298" w:type="dxa"/>
            <w:tcBorders>
              <w:top w:val="single" w:color="000000" w:sz="4" w:space="0"/>
              <w:left w:val="single" w:color="000000" w:sz="4" w:space="0"/>
              <w:bottom w:val="single" w:color="000000" w:sz="4" w:space="0"/>
              <w:right w:val="single" w:color="000000" w:sz="4" w:space="0"/>
            </w:tcBorders>
            <w:vAlign w:val="center"/>
          </w:tcPr>
          <w:p w14:paraId="3D22D6D9">
            <w:pPr>
              <w:widowControl/>
              <w:jc w:val="center"/>
              <w:rPr>
                <w:rFonts w:eastAsia="仿宋_GB2312"/>
                <w:color w:val="000000"/>
                <w:kern w:val="0"/>
                <w:sz w:val="24"/>
              </w:rPr>
            </w:pPr>
            <w:r>
              <w:rPr>
                <w:rFonts w:eastAsia="仿宋_GB2312"/>
                <w:color w:val="000000"/>
                <w:kern w:val="0"/>
                <w:sz w:val="24"/>
              </w:rPr>
              <w:t>8.2</w:t>
            </w:r>
          </w:p>
        </w:tc>
        <w:tc>
          <w:tcPr>
            <w:tcW w:w="1094" w:type="dxa"/>
            <w:tcBorders>
              <w:top w:val="single" w:color="000000" w:sz="4" w:space="0"/>
              <w:left w:val="single" w:color="000000" w:sz="4" w:space="0"/>
              <w:bottom w:val="single" w:color="000000" w:sz="4" w:space="0"/>
              <w:right w:val="single" w:color="000000" w:sz="4" w:space="0"/>
            </w:tcBorders>
            <w:vAlign w:val="center"/>
          </w:tcPr>
          <w:p w14:paraId="67264BC2">
            <w:pPr>
              <w:widowControl/>
              <w:jc w:val="center"/>
              <w:rPr>
                <w:rFonts w:eastAsia="仿宋_GB2312"/>
                <w:color w:val="000000"/>
                <w:kern w:val="0"/>
                <w:sz w:val="24"/>
              </w:rPr>
            </w:pPr>
            <w:r>
              <w:rPr>
                <w:rFonts w:eastAsia="仿宋_GB2312"/>
                <w:color w:val="000000"/>
                <w:kern w:val="0"/>
                <w:sz w:val="24"/>
              </w:rPr>
              <w:t>10</w:t>
            </w:r>
          </w:p>
        </w:tc>
        <w:tc>
          <w:tcPr>
            <w:tcW w:w="1271" w:type="dxa"/>
            <w:tcBorders>
              <w:top w:val="single" w:color="000000" w:sz="4" w:space="0"/>
              <w:left w:val="single" w:color="000000" w:sz="4" w:space="0"/>
              <w:bottom w:val="single" w:color="000000" w:sz="4" w:space="0"/>
              <w:right w:val="single" w:color="000000" w:sz="4" w:space="0"/>
            </w:tcBorders>
            <w:vAlign w:val="center"/>
          </w:tcPr>
          <w:p w14:paraId="54E06516">
            <w:pPr>
              <w:widowControl/>
              <w:jc w:val="center"/>
              <w:rPr>
                <w:rFonts w:eastAsia="仿宋_GB2312"/>
                <w:color w:val="000000"/>
                <w:kern w:val="0"/>
                <w:sz w:val="24"/>
              </w:rPr>
            </w:pPr>
            <w:r>
              <w:rPr>
                <w:rFonts w:eastAsia="仿宋_GB2312"/>
                <w:color w:val="000000"/>
                <w:kern w:val="0"/>
                <w:sz w:val="24"/>
              </w:rPr>
              <w:t>预期性</w:t>
            </w:r>
          </w:p>
        </w:tc>
        <w:tc>
          <w:tcPr>
            <w:tcW w:w="1553" w:type="dxa"/>
            <w:tcBorders>
              <w:top w:val="single" w:color="000000" w:sz="4" w:space="0"/>
              <w:left w:val="single" w:color="000000" w:sz="4" w:space="0"/>
              <w:bottom w:val="single" w:color="000000" w:sz="4" w:space="0"/>
              <w:right w:val="single" w:color="000000" w:sz="4" w:space="0"/>
            </w:tcBorders>
            <w:vAlign w:val="center"/>
          </w:tcPr>
          <w:p w14:paraId="6B4E33E7">
            <w:pPr>
              <w:widowControl/>
              <w:jc w:val="center"/>
              <w:rPr>
                <w:rFonts w:eastAsia="仿宋_GB2312"/>
                <w:color w:val="000000"/>
                <w:kern w:val="0"/>
                <w:sz w:val="24"/>
              </w:rPr>
            </w:pPr>
            <w:r>
              <w:rPr>
                <w:rFonts w:eastAsia="仿宋_GB2312"/>
                <w:color w:val="000000"/>
                <w:kern w:val="0"/>
                <w:sz w:val="24"/>
              </w:rPr>
              <w:t>基本完成</w:t>
            </w:r>
          </w:p>
        </w:tc>
      </w:tr>
      <w:tr w14:paraId="5C797660">
        <w:tblPrEx>
          <w:tblCellMar>
            <w:top w:w="15" w:type="dxa"/>
            <w:left w:w="15" w:type="dxa"/>
            <w:bottom w:w="15" w:type="dxa"/>
            <w:right w:w="15" w:type="dxa"/>
          </w:tblCellMar>
        </w:tblPrEx>
        <w:trPr>
          <w:trHeight w:val="340" w:hRule="atLeast"/>
          <w:jc w:val="center"/>
        </w:trPr>
        <w:tc>
          <w:tcPr>
            <w:tcW w:w="604" w:type="dxa"/>
            <w:tcBorders>
              <w:top w:val="single" w:color="000000" w:sz="4" w:space="0"/>
              <w:left w:val="single" w:color="000000" w:sz="4" w:space="0"/>
              <w:bottom w:val="single" w:color="000000" w:sz="4" w:space="0"/>
              <w:right w:val="single" w:color="000000" w:sz="4" w:space="0"/>
            </w:tcBorders>
            <w:vAlign w:val="center"/>
          </w:tcPr>
          <w:p w14:paraId="0C4A6089">
            <w:pPr>
              <w:widowControl/>
              <w:jc w:val="center"/>
              <w:rPr>
                <w:rFonts w:eastAsia="仿宋_GB2312"/>
                <w:color w:val="000000"/>
                <w:kern w:val="0"/>
                <w:sz w:val="24"/>
              </w:rPr>
            </w:pPr>
            <w:r>
              <w:rPr>
                <w:rFonts w:eastAsia="仿宋_GB2312"/>
                <w:color w:val="000000"/>
                <w:kern w:val="0"/>
                <w:sz w:val="24"/>
              </w:rPr>
              <w:t>10</w:t>
            </w:r>
          </w:p>
        </w:tc>
        <w:tc>
          <w:tcPr>
            <w:tcW w:w="632" w:type="dxa"/>
            <w:vMerge w:val="restart"/>
            <w:tcBorders>
              <w:top w:val="single" w:color="000000" w:sz="4" w:space="0"/>
              <w:left w:val="single" w:color="000000" w:sz="4" w:space="0"/>
              <w:right w:val="single" w:color="000000" w:sz="4" w:space="0"/>
            </w:tcBorders>
            <w:vAlign w:val="center"/>
          </w:tcPr>
          <w:p w14:paraId="4934E40E">
            <w:pPr>
              <w:widowControl/>
              <w:jc w:val="center"/>
              <w:rPr>
                <w:rFonts w:eastAsia="仿宋_GB2312"/>
                <w:color w:val="000000"/>
                <w:kern w:val="0"/>
                <w:sz w:val="24"/>
              </w:rPr>
            </w:pPr>
            <w:r>
              <w:rPr>
                <w:rFonts w:eastAsia="仿宋_GB2312"/>
                <w:color w:val="000000"/>
                <w:kern w:val="0"/>
                <w:sz w:val="24"/>
              </w:rPr>
              <w:t>创新</w:t>
            </w:r>
          </w:p>
          <w:p w14:paraId="1B830EC4">
            <w:pPr>
              <w:widowControl/>
              <w:jc w:val="center"/>
              <w:rPr>
                <w:rFonts w:eastAsia="仿宋_GB2312"/>
                <w:color w:val="000000"/>
                <w:kern w:val="0"/>
                <w:sz w:val="24"/>
              </w:rPr>
            </w:pPr>
            <w:r>
              <w:rPr>
                <w:rFonts w:eastAsia="仿宋_GB2312"/>
                <w:color w:val="000000"/>
                <w:kern w:val="0"/>
                <w:sz w:val="24"/>
              </w:rPr>
              <w:t>开放</w:t>
            </w:r>
          </w:p>
          <w:p w14:paraId="5FB1E523">
            <w:pPr>
              <w:widowControl/>
              <w:jc w:val="center"/>
              <w:rPr>
                <w:rFonts w:eastAsia="仿宋_GB2312"/>
                <w:color w:val="000000"/>
                <w:kern w:val="0"/>
                <w:sz w:val="24"/>
              </w:rPr>
            </w:pPr>
            <w:r>
              <w:rPr>
                <w:rFonts w:eastAsia="仿宋_GB2312"/>
                <w:color w:val="000000"/>
                <w:kern w:val="0"/>
                <w:sz w:val="24"/>
              </w:rPr>
              <w:t>指标</w:t>
            </w:r>
          </w:p>
        </w:tc>
        <w:tc>
          <w:tcPr>
            <w:tcW w:w="1684" w:type="dxa"/>
            <w:gridSpan w:val="2"/>
            <w:tcBorders>
              <w:top w:val="single" w:color="000000" w:sz="4" w:space="0"/>
              <w:left w:val="single" w:color="000000" w:sz="4" w:space="0"/>
              <w:bottom w:val="single" w:color="000000" w:sz="4" w:space="0"/>
              <w:right w:val="single" w:color="000000" w:sz="4" w:space="0"/>
            </w:tcBorders>
            <w:vAlign w:val="center"/>
          </w:tcPr>
          <w:p w14:paraId="1889891A">
            <w:pPr>
              <w:widowControl/>
              <w:jc w:val="center"/>
              <w:rPr>
                <w:rFonts w:eastAsia="仿宋_GB2312"/>
                <w:color w:val="000000"/>
                <w:kern w:val="0"/>
                <w:sz w:val="24"/>
              </w:rPr>
            </w:pPr>
            <w:r>
              <w:rPr>
                <w:rFonts w:eastAsia="仿宋_GB2312"/>
                <w:color w:val="000000"/>
                <w:kern w:val="0"/>
                <w:sz w:val="24"/>
              </w:rPr>
              <w:t>全社会R&amp;D经费支出占GDP比重（%）</w:t>
            </w:r>
          </w:p>
        </w:tc>
        <w:tc>
          <w:tcPr>
            <w:tcW w:w="1047" w:type="dxa"/>
            <w:tcBorders>
              <w:top w:val="single" w:color="000000" w:sz="4" w:space="0"/>
              <w:left w:val="single" w:color="000000" w:sz="4" w:space="0"/>
              <w:bottom w:val="single" w:color="000000" w:sz="4" w:space="0"/>
              <w:right w:val="single" w:color="000000" w:sz="4" w:space="0"/>
            </w:tcBorders>
            <w:vAlign w:val="center"/>
          </w:tcPr>
          <w:p w14:paraId="33CA5F9C">
            <w:pPr>
              <w:widowControl/>
              <w:jc w:val="center"/>
              <w:rPr>
                <w:rFonts w:eastAsia="仿宋_GB2312"/>
                <w:color w:val="000000"/>
                <w:kern w:val="0"/>
                <w:sz w:val="24"/>
              </w:rPr>
            </w:pPr>
            <w:r>
              <w:rPr>
                <w:rFonts w:eastAsia="仿宋_GB2312"/>
                <w:color w:val="000000"/>
                <w:kern w:val="0"/>
                <w:sz w:val="24"/>
              </w:rPr>
              <w:t>2.4</w:t>
            </w:r>
          </w:p>
        </w:tc>
        <w:tc>
          <w:tcPr>
            <w:tcW w:w="1043" w:type="dxa"/>
            <w:tcBorders>
              <w:top w:val="single" w:color="000000" w:sz="4" w:space="0"/>
              <w:left w:val="single" w:color="000000" w:sz="4" w:space="0"/>
              <w:bottom w:val="single" w:color="000000" w:sz="4" w:space="0"/>
              <w:right w:val="single" w:color="000000" w:sz="4" w:space="0"/>
            </w:tcBorders>
            <w:vAlign w:val="center"/>
          </w:tcPr>
          <w:p w14:paraId="37865FEE">
            <w:pPr>
              <w:widowControl/>
              <w:jc w:val="center"/>
              <w:rPr>
                <w:rFonts w:eastAsia="仿宋_GB2312"/>
                <w:color w:val="000000"/>
                <w:kern w:val="0"/>
                <w:sz w:val="24"/>
              </w:rPr>
            </w:pPr>
          </w:p>
        </w:tc>
        <w:tc>
          <w:tcPr>
            <w:tcW w:w="801" w:type="dxa"/>
            <w:tcBorders>
              <w:top w:val="single" w:color="000000" w:sz="4" w:space="0"/>
              <w:left w:val="single" w:color="000000" w:sz="4" w:space="0"/>
              <w:bottom w:val="single" w:color="000000" w:sz="4" w:space="0"/>
              <w:right w:val="single" w:color="000000" w:sz="4" w:space="0"/>
            </w:tcBorders>
            <w:vAlign w:val="center"/>
          </w:tcPr>
          <w:p w14:paraId="6B709B2D">
            <w:pPr>
              <w:widowControl/>
              <w:jc w:val="center"/>
              <w:rPr>
                <w:rFonts w:eastAsia="仿宋_GB2312"/>
                <w:color w:val="000000"/>
                <w:kern w:val="0"/>
                <w:sz w:val="24"/>
              </w:rPr>
            </w:pPr>
            <w:r>
              <w:rPr>
                <w:rFonts w:eastAsia="仿宋_GB2312"/>
                <w:color w:val="000000"/>
                <w:kern w:val="0"/>
                <w:sz w:val="24"/>
              </w:rPr>
              <w:t>1.01</w:t>
            </w:r>
          </w:p>
        </w:tc>
        <w:tc>
          <w:tcPr>
            <w:tcW w:w="1005" w:type="dxa"/>
            <w:tcBorders>
              <w:top w:val="single" w:color="000000" w:sz="4" w:space="0"/>
              <w:left w:val="single" w:color="000000" w:sz="4" w:space="0"/>
              <w:bottom w:val="single" w:color="000000" w:sz="4" w:space="0"/>
              <w:right w:val="single" w:color="000000" w:sz="4" w:space="0"/>
            </w:tcBorders>
            <w:vAlign w:val="center"/>
          </w:tcPr>
          <w:p w14:paraId="5B00A851">
            <w:pPr>
              <w:widowControl/>
              <w:jc w:val="center"/>
              <w:rPr>
                <w:rFonts w:eastAsia="仿宋_GB2312"/>
                <w:color w:val="000000"/>
                <w:kern w:val="0"/>
                <w:sz w:val="24"/>
              </w:rPr>
            </w:pPr>
            <w:r>
              <w:rPr>
                <w:rFonts w:eastAsia="仿宋_GB2312"/>
                <w:color w:val="000000"/>
                <w:kern w:val="0"/>
                <w:sz w:val="24"/>
              </w:rPr>
              <w:t>1.42</w:t>
            </w:r>
          </w:p>
        </w:tc>
        <w:tc>
          <w:tcPr>
            <w:tcW w:w="930" w:type="dxa"/>
            <w:tcBorders>
              <w:top w:val="single" w:color="000000" w:sz="4" w:space="0"/>
              <w:left w:val="single" w:color="000000" w:sz="4" w:space="0"/>
              <w:bottom w:val="single" w:color="000000" w:sz="4" w:space="0"/>
              <w:right w:val="single" w:color="000000" w:sz="4" w:space="0"/>
            </w:tcBorders>
            <w:vAlign w:val="center"/>
          </w:tcPr>
          <w:p w14:paraId="7C873B4A">
            <w:pPr>
              <w:widowControl/>
              <w:jc w:val="center"/>
              <w:rPr>
                <w:rFonts w:eastAsia="仿宋_GB2312"/>
                <w:color w:val="000000"/>
                <w:kern w:val="0"/>
                <w:sz w:val="24"/>
              </w:rPr>
            </w:pPr>
            <w:r>
              <w:rPr>
                <w:rFonts w:eastAsia="仿宋_GB2312"/>
                <w:color w:val="000000"/>
                <w:kern w:val="0"/>
                <w:sz w:val="24"/>
              </w:rPr>
              <w:t>1.37</w:t>
            </w:r>
          </w:p>
        </w:tc>
        <w:tc>
          <w:tcPr>
            <w:tcW w:w="907" w:type="dxa"/>
            <w:tcBorders>
              <w:top w:val="single" w:color="000000" w:sz="4" w:space="0"/>
              <w:left w:val="single" w:color="000000" w:sz="4" w:space="0"/>
              <w:bottom w:val="single" w:color="000000" w:sz="4" w:space="0"/>
              <w:right w:val="single" w:color="000000" w:sz="4" w:space="0"/>
            </w:tcBorders>
            <w:vAlign w:val="center"/>
          </w:tcPr>
          <w:p w14:paraId="27312E94">
            <w:pPr>
              <w:widowControl/>
              <w:jc w:val="center"/>
              <w:rPr>
                <w:rFonts w:eastAsia="仿宋_GB2312"/>
                <w:color w:val="000000"/>
                <w:kern w:val="0"/>
                <w:sz w:val="24"/>
              </w:rPr>
            </w:pPr>
            <w:r>
              <w:rPr>
                <w:rFonts w:eastAsia="仿宋_GB2312"/>
                <w:color w:val="000000"/>
                <w:kern w:val="0"/>
                <w:sz w:val="24"/>
              </w:rPr>
              <w:t>1.57</w:t>
            </w:r>
          </w:p>
        </w:tc>
        <w:tc>
          <w:tcPr>
            <w:tcW w:w="1163"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E11F381">
            <w:pPr>
              <w:widowControl/>
              <w:jc w:val="center"/>
              <w:rPr>
                <w:rFonts w:eastAsia="仿宋_GB2312"/>
                <w:color w:val="000000"/>
                <w:kern w:val="0"/>
                <w:sz w:val="24"/>
              </w:rPr>
            </w:pPr>
            <w:r>
              <w:rPr>
                <w:rFonts w:eastAsia="仿宋_GB2312"/>
                <w:color w:val="000000"/>
                <w:kern w:val="0"/>
                <w:sz w:val="24"/>
              </w:rPr>
              <w:t>1.59</w:t>
            </w:r>
          </w:p>
        </w:tc>
        <w:tc>
          <w:tcPr>
            <w:tcW w:w="1298" w:type="dxa"/>
            <w:tcBorders>
              <w:top w:val="single" w:color="000000" w:sz="4" w:space="0"/>
              <w:left w:val="single" w:color="000000" w:sz="4" w:space="0"/>
              <w:bottom w:val="single" w:color="000000" w:sz="4" w:space="0"/>
              <w:right w:val="single" w:color="000000" w:sz="4" w:space="0"/>
            </w:tcBorders>
            <w:vAlign w:val="center"/>
          </w:tcPr>
          <w:p w14:paraId="7AE73A01">
            <w:pPr>
              <w:widowControl/>
              <w:jc w:val="center"/>
              <w:rPr>
                <w:rFonts w:eastAsia="仿宋_GB2312"/>
                <w:color w:val="000000"/>
                <w:kern w:val="0"/>
                <w:sz w:val="24"/>
              </w:rPr>
            </w:pPr>
            <w:r>
              <w:rPr>
                <w:rFonts w:eastAsia="仿宋_GB2312"/>
                <w:color w:val="000000"/>
                <w:kern w:val="0"/>
                <w:sz w:val="24"/>
              </w:rPr>
              <w:t>2.5</w:t>
            </w:r>
          </w:p>
        </w:tc>
        <w:tc>
          <w:tcPr>
            <w:tcW w:w="1094" w:type="dxa"/>
            <w:tcBorders>
              <w:top w:val="single" w:color="000000" w:sz="4" w:space="0"/>
              <w:left w:val="single" w:color="000000" w:sz="4" w:space="0"/>
              <w:bottom w:val="single" w:color="000000" w:sz="4" w:space="0"/>
              <w:right w:val="single" w:color="000000" w:sz="4" w:space="0"/>
            </w:tcBorders>
            <w:vAlign w:val="center"/>
          </w:tcPr>
          <w:p w14:paraId="01834E03">
            <w:pPr>
              <w:widowControl/>
              <w:jc w:val="center"/>
              <w:rPr>
                <w:rFonts w:eastAsia="仿宋_GB2312"/>
                <w:color w:val="000000"/>
                <w:kern w:val="0"/>
                <w:sz w:val="24"/>
              </w:rPr>
            </w:pPr>
            <w:r>
              <w:rPr>
                <w:rFonts w:eastAsia="仿宋_GB2312"/>
                <w:color w:val="000000"/>
                <w:kern w:val="0"/>
                <w:sz w:val="24"/>
              </w:rPr>
              <w:t>—</w:t>
            </w:r>
          </w:p>
        </w:tc>
        <w:tc>
          <w:tcPr>
            <w:tcW w:w="1271" w:type="dxa"/>
            <w:tcBorders>
              <w:top w:val="single" w:color="000000" w:sz="4" w:space="0"/>
              <w:left w:val="single" w:color="000000" w:sz="4" w:space="0"/>
              <w:bottom w:val="single" w:color="000000" w:sz="4" w:space="0"/>
              <w:right w:val="single" w:color="000000" w:sz="4" w:space="0"/>
            </w:tcBorders>
            <w:vAlign w:val="center"/>
          </w:tcPr>
          <w:p w14:paraId="5F0EF770">
            <w:pPr>
              <w:widowControl/>
              <w:jc w:val="center"/>
              <w:rPr>
                <w:rFonts w:eastAsia="仿宋_GB2312"/>
                <w:color w:val="000000"/>
                <w:kern w:val="0"/>
                <w:sz w:val="24"/>
              </w:rPr>
            </w:pPr>
            <w:r>
              <w:rPr>
                <w:rFonts w:eastAsia="仿宋_GB2312"/>
                <w:color w:val="000000"/>
                <w:kern w:val="0"/>
                <w:sz w:val="24"/>
              </w:rPr>
              <w:t>预期性</w:t>
            </w:r>
          </w:p>
        </w:tc>
        <w:tc>
          <w:tcPr>
            <w:tcW w:w="1553" w:type="dxa"/>
            <w:tcBorders>
              <w:top w:val="single" w:color="000000" w:sz="4" w:space="0"/>
              <w:left w:val="single" w:color="000000" w:sz="4" w:space="0"/>
              <w:bottom w:val="single" w:color="000000" w:sz="4" w:space="0"/>
              <w:right w:val="single" w:color="000000" w:sz="4" w:space="0"/>
            </w:tcBorders>
            <w:vAlign w:val="center"/>
          </w:tcPr>
          <w:p w14:paraId="01C76D3C">
            <w:pPr>
              <w:widowControl/>
              <w:jc w:val="center"/>
              <w:rPr>
                <w:rFonts w:eastAsia="仿宋_GB2312"/>
                <w:color w:val="000000"/>
                <w:kern w:val="0"/>
                <w:sz w:val="24"/>
              </w:rPr>
            </w:pPr>
            <w:r>
              <w:rPr>
                <w:rFonts w:eastAsia="仿宋_GB2312"/>
                <w:color w:val="000000"/>
                <w:kern w:val="0"/>
                <w:sz w:val="24"/>
              </w:rPr>
              <w:t>接近预期</w:t>
            </w:r>
          </w:p>
        </w:tc>
      </w:tr>
      <w:tr w14:paraId="79CD07D9">
        <w:tblPrEx>
          <w:tblCellMar>
            <w:top w:w="15" w:type="dxa"/>
            <w:left w:w="15" w:type="dxa"/>
            <w:bottom w:w="15" w:type="dxa"/>
            <w:right w:w="15" w:type="dxa"/>
          </w:tblCellMar>
        </w:tblPrEx>
        <w:trPr>
          <w:trHeight w:val="340" w:hRule="atLeast"/>
          <w:jc w:val="center"/>
        </w:trPr>
        <w:tc>
          <w:tcPr>
            <w:tcW w:w="604" w:type="dxa"/>
            <w:tcBorders>
              <w:top w:val="single" w:color="000000" w:sz="4" w:space="0"/>
              <w:left w:val="single" w:color="000000" w:sz="4" w:space="0"/>
              <w:bottom w:val="single" w:color="000000" w:sz="4" w:space="0"/>
              <w:right w:val="single" w:color="000000" w:sz="4" w:space="0"/>
            </w:tcBorders>
            <w:vAlign w:val="center"/>
          </w:tcPr>
          <w:p w14:paraId="5C8F57DD">
            <w:pPr>
              <w:widowControl/>
              <w:jc w:val="center"/>
              <w:rPr>
                <w:rFonts w:eastAsia="仿宋_GB2312"/>
                <w:color w:val="000000"/>
                <w:kern w:val="0"/>
                <w:sz w:val="24"/>
              </w:rPr>
            </w:pPr>
            <w:r>
              <w:rPr>
                <w:rFonts w:eastAsia="仿宋_GB2312"/>
                <w:color w:val="000000"/>
                <w:kern w:val="0"/>
                <w:sz w:val="24"/>
              </w:rPr>
              <w:t>11</w:t>
            </w:r>
          </w:p>
        </w:tc>
        <w:tc>
          <w:tcPr>
            <w:tcW w:w="632" w:type="dxa"/>
            <w:vMerge w:val="continue"/>
            <w:tcBorders>
              <w:left w:val="single" w:color="000000" w:sz="4" w:space="0"/>
              <w:right w:val="single" w:color="000000" w:sz="4" w:space="0"/>
            </w:tcBorders>
            <w:vAlign w:val="center"/>
          </w:tcPr>
          <w:p w14:paraId="548C834B">
            <w:pPr>
              <w:widowControl/>
              <w:jc w:val="left"/>
              <w:rPr>
                <w:rFonts w:eastAsia="仿宋_GB2312"/>
                <w:color w:val="000000"/>
                <w:kern w:val="0"/>
                <w:sz w:val="24"/>
              </w:rPr>
            </w:pPr>
          </w:p>
        </w:tc>
        <w:tc>
          <w:tcPr>
            <w:tcW w:w="1684" w:type="dxa"/>
            <w:gridSpan w:val="2"/>
            <w:tcBorders>
              <w:top w:val="single" w:color="000000" w:sz="4" w:space="0"/>
              <w:left w:val="single" w:color="000000" w:sz="4" w:space="0"/>
              <w:bottom w:val="single" w:color="000000" w:sz="4" w:space="0"/>
              <w:right w:val="single" w:color="000000" w:sz="4" w:space="0"/>
            </w:tcBorders>
            <w:vAlign w:val="center"/>
          </w:tcPr>
          <w:p w14:paraId="06733320">
            <w:pPr>
              <w:widowControl/>
              <w:jc w:val="center"/>
              <w:rPr>
                <w:rFonts w:eastAsia="仿宋_GB2312"/>
                <w:color w:val="000000"/>
                <w:kern w:val="0"/>
                <w:sz w:val="24"/>
              </w:rPr>
            </w:pPr>
            <w:r>
              <w:rPr>
                <w:rFonts w:eastAsia="仿宋_GB2312"/>
                <w:color w:val="000000"/>
                <w:kern w:val="0"/>
                <w:sz w:val="24"/>
              </w:rPr>
              <w:t>每万人口发明专利拥有量（件）</w:t>
            </w:r>
          </w:p>
        </w:tc>
        <w:tc>
          <w:tcPr>
            <w:tcW w:w="1047" w:type="dxa"/>
            <w:tcBorders>
              <w:top w:val="single" w:color="000000" w:sz="4" w:space="0"/>
              <w:left w:val="single" w:color="000000" w:sz="4" w:space="0"/>
              <w:bottom w:val="single" w:color="000000" w:sz="4" w:space="0"/>
              <w:right w:val="single" w:color="000000" w:sz="4" w:space="0"/>
            </w:tcBorders>
            <w:vAlign w:val="center"/>
          </w:tcPr>
          <w:p w14:paraId="0251E263">
            <w:pPr>
              <w:widowControl/>
              <w:jc w:val="center"/>
              <w:rPr>
                <w:rFonts w:eastAsia="仿宋_GB2312"/>
                <w:color w:val="000000"/>
                <w:kern w:val="0"/>
                <w:sz w:val="24"/>
              </w:rPr>
            </w:pPr>
            <w:r>
              <w:rPr>
                <w:rFonts w:eastAsia="仿宋_GB2312"/>
                <w:color w:val="000000"/>
                <w:kern w:val="0"/>
                <w:sz w:val="24"/>
              </w:rPr>
              <w:t>—</w:t>
            </w:r>
          </w:p>
        </w:tc>
        <w:tc>
          <w:tcPr>
            <w:tcW w:w="1043" w:type="dxa"/>
            <w:tcBorders>
              <w:top w:val="single" w:color="000000" w:sz="4" w:space="0"/>
              <w:left w:val="single" w:color="000000" w:sz="4" w:space="0"/>
              <w:bottom w:val="single" w:color="000000" w:sz="4" w:space="0"/>
              <w:right w:val="single" w:color="000000" w:sz="4" w:space="0"/>
            </w:tcBorders>
            <w:vAlign w:val="center"/>
          </w:tcPr>
          <w:p w14:paraId="5EC43DE8">
            <w:pPr>
              <w:widowControl/>
              <w:jc w:val="center"/>
              <w:rPr>
                <w:rFonts w:eastAsia="仿宋_GB2312"/>
                <w:color w:val="000000"/>
                <w:kern w:val="0"/>
                <w:sz w:val="24"/>
              </w:rPr>
            </w:pPr>
          </w:p>
        </w:tc>
        <w:tc>
          <w:tcPr>
            <w:tcW w:w="801" w:type="dxa"/>
            <w:tcBorders>
              <w:top w:val="single" w:color="000000" w:sz="4" w:space="0"/>
              <w:left w:val="single" w:color="000000" w:sz="4" w:space="0"/>
              <w:bottom w:val="single" w:color="000000" w:sz="4" w:space="0"/>
              <w:right w:val="single" w:color="000000" w:sz="4" w:space="0"/>
            </w:tcBorders>
            <w:vAlign w:val="center"/>
          </w:tcPr>
          <w:p w14:paraId="4066A878">
            <w:pPr>
              <w:widowControl/>
              <w:jc w:val="center"/>
              <w:rPr>
                <w:rFonts w:eastAsia="仿宋_GB2312"/>
                <w:color w:val="000000"/>
                <w:kern w:val="0"/>
                <w:sz w:val="24"/>
              </w:rPr>
            </w:pPr>
            <w:r>
              <w:rPr>
                <w:rFonts w:eastAsia="仿宋_GB2312"/>
                <w:color w:val="000000"/>
                <w:kern w:val="0"/>
                <w:sz w:val="24"/>
              </w:rPr>
              <w:t>6.05</w:t>
            </w:r>
          </w:p>
        </w:tc>
        <w:tc>
          <w:tcPr>
            <w:tcW w:w="1005" w:type="dxa"/>
            <w:tcBorders>
              <w:top w:val="single" w:color="000000" w:sz="4" w:space="0"/>
              <w:left w:val="single" w:color="000000" w:sz="4" w:space="0"/>
              <w:bottom w:val="single" w:color="000000" w:sz="4" w:space="0"/>
              <w:right w:val="single" w:color="000000" w:sz="4" w:space="0"/>
            </w:tcBorders>
            <w:vAlign w:val="center"/>
          </w:tcPr>
          <w:p w14:paraId="3AA97110">
            <w:pPr>
              <w:widowControl/>
              <w:jc w:val="center"/>
              <w:rPr>
                <w:rFonts w:eastAsia="仿宋_GB2312"/>
                <w:color w:val="000000"/>
                <w:kern w:val="0"/>
                <w:sz w:val="24"/>
              </w:rPr>
            </w:pPr>
            <w:r>
              <w:rPr>
                <w:rFonts w:eastAsia="仿宋_GB2312"/>
                <w:color w:val="000000"/>
                <w:kern w:val="0"/>
                <w:sz w:val="24"/>
              </w:rPr>
              <w:t>6.39</w:t>
            </w:r>
          </w:p>
        </w:tc>
        <w:tc>
          <w:tcPr>
            <w:tcW w:w="930" w:type="dxa"/>
            <w:tcBorders>
              <w:top w:val="single" w:color="000000" w:sz="4" w:space="0"/>
              <w:left w:val="single" w:color="000000" w:sz="4" w:space="0"/>
              <w:bottom w:val="single" w:color="000000" w:sz="4" w:space="0"/>
              <w:right w:val="single" w:color="000000" w:sz="4" w:space="0"/>
            </w:tcBorders>
            <w:vAlign w:val="center"/>
          </w:tcPr>
          <w:p w14:paraId="329804A1">
            <w:pPr>
              <w:widowControl/>
              <w:jc w:val="center"/>
              <w:rPr>
                <w:rFonts w:eastAsia="仿宋_GB2312"/>
                <w:color w:val="000000"/>
                <w:kern w:val="0"/>
                <w:sz w:val="24"/>
              </w:rPr>
            </w:pPr>
            <w:r>
              <w:rPr>
                <w:rFonts w:eastAsia="仿宋_GB2312"/>
                <w:color w:val="000000"/>
                <w:kern w:val="0"/>
                <w:sz w:val="24"/>
              </w:rPr>
              <w:t>6.73</w:t>
            </w:r>
          </w:p>
        </w:tc>
        <w:tc>
          <w:tcPr>
            <w:tcW w:w="907" w:type="dxa"/>
            <w:tcBorders>
              <w:top w:val="single" w:color="000000" w:sz="4" w:space="0"/>
              <w:left w:val="single" w:color="000000" w:sz="4" w:space="0"/>
              <w:bottom w:val="single" w:color="000000" w:sz="4" w:space="0"/>
              <w:right w:val="single" w:color="000000" w:sz="4" w:space="0"/>
            </w:tcBorders>
            <w:vAlign w:val="center"/>
          </w:tcPr>
          <w:p w14:paraId="1710238E">
            <w:pPr>
              <w:widowControl/>
              <w:jc w:val="center"/>
              <w:rPr>
                <w:rFonts w:eastAsia="仿宋_GB2312"/>
                <w:color w:val="000000"/>
                <w:kern w:val="0"/>
                <w:sz w:val="24"/>
              </w:rPr>
            </w:pPr>
            <w:r>
              <w:rPr>
                <w:rFonts w:eastAsia="仿宋_GB2312"/>
                <w:color w:val="000000"/>
                <w:kern w:val="0"/>
                <w:sz w:val="24"/>
              </w:rPr>
              <w:t>7.71</w:t>
            </w:r>
          </w:p>
        </w:tc>
        <w:tc>
          <w:tcPr>
            <w:tcW w:w="1163" w:type="dxa"/>
            <w:tcBorders>
              <w:top w:val="single" w:color="000000" w:sz="4" w:space="0"/>
              <w:left w:val="single" w:color="000000" w:sz="4" w:space="0"/>
              <w:bottom w:val="single" w:color="000000" w:sz="4" w:space="0"/>
              <w:right w:val="single" w:color="000000" w:sz="4" w:space="0"/>
            </w:tcBorders>
            <w:vAlign w:val="center"/>
          </w:tcPr>
          <w:p w14:paraId="70DB7199">
            <w:pPr>
              <w:widowControl/>
              <w:jc w:val="center"/>
              <w:rPr>
                <w:rFonts w:eastAsia="仿宋_GB2312"/>
                <w:color w:val="000000"/>
                <w:kern w:val="0"/>
                <w:sz w:val="24"/>
              </w:rPr>
            </w:pPr>
            <w:r>
              <w:rPr>
                <w:rFonts w:eastAsia="仿宋_GB2312"/>
                <w:color w:val="000000"/>
                <w:kern w:val="0"/>
                <w:sz w:val="24"/>
              </w:rPr>
              <w:t>—</w:t>
            </w:r>
          </w:p>
        </w:tc>
        <w:tc>
          <w:tcPr>
            <w:tcW w:w="1298" w:type="dxa"/>
            <w:tcBorders>
              <w:top w:val="single" w:color="000000" w:sz="4" w:space="0"/>
              <w:left w:val="single" w:color="000000" w:sz="4" w:space="0"/>
              <w:bottom w:val="single" w:color="000000" w:sz="4" w:space="0"/>
              <w:right w:val="single" w:color="000000" w:sz="4" w:space="0"/>
            </w:tcBorders>
            <w:vAlign w:val="center"/>
          </w:tcPr>
          <w:p w14:paraId="45287844">
            <w:pPr>
              <w:widowControl/>
              <w:jc w:val="center"/>
              <w:rPr>
                <w:rFonts w:eastAsia="仿宋_GB2312"/>
                <w:color w:val="000000"/>
                <w:kern w:val="0"/>
                <w:sz w:val="24"/>
              </w:rPr>
            </w:pPr>
            <w:r>
              <w:rPr>
                <w:rFonts w:eastAsia="仿宋_GB2312"/>
                <w:color w:val="000000"/>
                <w:kern w:val="0"/>
                <w:sz w:val="24"/>
              </w:rPr>
              <w:t>10</w:t>
            </w:r>
          </w:p>
        </w:tc>
        <w:tc>
          <w:tcPr>
            <w:tcW w:w="1094" w:type="dxa"/>
            <w:tcBorders>
              <w:top w:val="single" w:color="000000" w:sz="4" w:space="0"/>
              <w:left w:val="single" w:color="000000" w:sz="4" w:space="0"/>
              <w:bottom w:val="single" w:color="000000" w:sz="4" w:space="0"/>
              <w:right w:val="single" w:color="000000" w:sz="4" w:space="0"/>
            </w:tcBorders>
            <w:vAlign w:val="center"/>
          </w:tcPr>
          <w:p w14:paraId="3DFF7815">
            <w:pPr>
              <w:widowControl/>
              <w:jc w:val="center"/>
              <w:rPr>
                <w:rFonts w:eastAsia="仿宋_GB2312"/>
                <w:color w:val="000000"/>
                <w:kern w:val="0"/>
                <w:sz w:val="24"/>
              </w:rPr>
            </w:pPr>
            <w:r>
              <w:rPr>
                <w:rFonts w:eastAsia="仿宋_GB2312"/>
                <w:color w:val="000000"/>
                <w:kern w:val="0"/>
                <w:sz w:val="24"/>
              </w:rPr>
              <w:t>—</w:t>
            </w:r>
          </w:p>
        </w:tc>
        <w:tc>
          <w:tcPr>
            <w:tcW w:w="1271" w:type="dxa"/>
            <w:tcBorders>
              <w:top w:val="single" w:color="000000" w:sz="4" w:space="0"/>
              <w:left w:val="single" w:color="000000" w:sz="4" w:space="0"/>
              <w:bottom w:val="single" w:color="000000" w:sz="4" w:space="0"/>
              <w:right w:val="single" w:color="000000" w:sz="4" w:space="0"/>
            </w:tcBorders>
            <w:vAlign w:val="center"/>
          </w:tcPr>
          <w:p w14:paraId="7148F295">
            <w:pPr>
              <w:widowControl/>
              <w:jc w:val="center"/>
              <w:rPr>
                <w:rFonts w:eastAsia="仿宋_GB2312"/>
                <w:color w:val="000000"/>
                <w:kern w:val="0"/>
                <w:sz w:val="24"/>
              </w:rPr>
            </w:pPr>
            <w:r>
              <w:rPr>
                <w:rFonts w:eastAsia="仿宋_GB2312"/>
                <w:color w:val="000000"/>
                <w:kern w:val="0"/>
                <w:sz w:val="24"/>
              </w:rPr>
              <w:t>预期性</w:t>
            </w:r>
          </w:p>
        </w:tc>
        <w:tc>
          <w:tcPr>
            <w:tcW w:w="1553" w:type="dxa"/>
            <w:tcBorders>
              <w:top w:val="single" w:color="000000" w:sz="4" w:space="0"/>
              <w:left w:val="single" w:color="000000" w:sz="4" w:space="0"/>
              <w:bottom w:val="single" w:color="000000" w:sz="4" w:space="0"/>
              <w:right w:val="single" w:color="000000" w:sz="4" w:space="0"/>
            </w:tcBorders>
            <w:vAlign w:val="center"/>
          </w:tcPr>
          <w:p w14:paraId="00FDB51C">
            <w:pPr>
              <w:widowControl/>
              <w:jc w:val="center"/>
              <w:rPr>
                <w:rFonts w:eastAsia="仿宋_GB2312"/>
                <w:color w:val="000000"/>
                <w:kern w:val="0"/>
                <w:sz w:val="24"/>
              </w:rPr>
            </w:pPr>
            <w:r>
              <w:rPr>
                <w:rFonts w:eastAsia="仿宋_GB2312"/>
                <w:color w:val="000000"/>
                <w:kern w:val="0"/>
                <w:sz w:val="24"/>
              </w:rPr>
              <w:t>接近预期</w:t>
            </w:r>
          </w:p>
        </w:tc>
      </w:tr>
      <w:tr w14:paraId="4BBEDAB8">
        <w:tblPrEx>
          <w:tblCellMar>
            <w:top w:w="15" w:type="dxa"/>
            <w:left w:w="15" w:type="dxa"/>
            <w:bottom w:w="15" w:type="dxa"/>
            <w:right w:w="15" w:type="dxa"/>
          </w:tblCellMar>
        </w:tblPrEx>
        <w:trPr>
          <w:trHeight w:val="340" w:hRule="atLeast"/>
          <w:jc w:val="center"/>
        </w:trPr>
        <w:tc>
          <w:tcPr>
            <w:tcW w:w="604" w:type="dxa"/>
            <w:tcBorders>
              <w:top w:val="single" w:color="000000" w:sz="4" w:space="0"/>
              <w:left w:val="single" w:color="000000" w:sz="4" w:space="0"/>
              <w:bottom w:val="single" w:color="000000" w:sz="4" w:space="0"/>
              <w:right w:val="single" w:color="000000" w:sz="4" w:space="0"/>
            </w:tcBorders>
            <w:vAlign w:val="center"/>
          </w:tcPr>
          <w:p w14:paraId="24B1429A">
            <w:pPr>
              <w:widowControl/>
              <w:jc w:val="center"/>
              <w:rPr>
                <w:rFonts w:eastAsia="仿宋_GB2312"/>
                <w:color w:val="000000"/>
                <w:kern w:val="0"/>
                <w:sz w:val="24"/>
              </w:rPr>
            </w:pPr>
            <w:r>
              <w:rPr>
                <w:rFonts w:eastAsia="仿宋_GB2312"/>
                <w:color w:val="000000"/>
                <w:kern w:val="0"/>
                <w:sz w:val="24"/>
              </w:rPr>
              <w:t>12</w:t>
            </w:r>
          </w:p>
        </w:tc>
        <w:tc>
          <w:tcPr>
            <w:tcW w:w="632" w:type="dxa"/>
            <w:vMerge w:val="continue"/>
            <w:tcBorders>
              <w:left w:val="single" w:color="000000" w:sz="4" w:space="0"/>
              <w:right w:val="single" w:color="000000" w:sz="4" w:space="0"/>
            </w:tcBorders>
            <w:vAlign w:val="center"/>
          </w:tcPr>
          <w:p w14:paraId="571E033C">
            <w:pPr>
              <w:widowControl/>
              <w:jc w:val="left"/>
              <w:rPr>
                <w:rFonts w:eastAsia="仿宋_GB2312"/>
                <w:color w:val="000000"/>
                <w:kern w:val="0"/>
                <w:sz w:val="24"/>
              </w:rPr>
            </w:pPr>
          </w:p>
        </w:tc>
        <w:tc>
          <w:tcPr>
            <w:tcW w:w="1684" w:type="dxa"/>
            <w:gridSpan w:val="2"/>
            <w:tcBorders>
              <w:top w:val="single" w:color="000000" w:sz="4" w:space="0"/>
              <w:left w:val="single" w:color="000000" w:sz="4" w:space="0"/>
              <w:bottom w:val="single" w:color="000000" w:sz="4" w:space="0"/>
              <w:right w:val="single" w:color="000000" w:sz="4" w:space="0"/>
            </w:tcBorders>
            <w:vAlign w:val="center"/>
          </w:tcPr>
          <w:p w14:paraId="3B498233">
            <w:pPr>
              <w:widowControl/>
              <w:jc w:val="center"/>
              <w:rPr>
                <w:rFonts w:eastAsia="仿宋_GB2312"/>
                <w:color w:val="000000"/>
                <w:kern w:val="0"/>
                <w:sz w:val="24"/>
              </w:rPr>
            </w:pPr>
            <w:r>
              <w:rPr>
                <w:rFonts w:eastAsia="仿宋_GB2312"/>
                <w:color w:val="000000"/>
                <w:kern w:val="0"/>
                <w:sz w:val="24"/>
              </w:rPr>
              <w:t>西山区公众基本科学素养（%）</w:t>
            </w:r>
          </w:p>
        </w:tc>
        <w:tc>
          <w:tcPr>
            <w:tcW w:w="1047" w:type="dxa"/>
            <w:tcBorders>
              <w:top w:val="single" w:color="000000" w:sz="4" w:space="0"/>
              <w:left w:val="single" w:color="000000" w:sz="4" w:space="0"/>
              <w:bottom w:val="single" w:color="000000" w:sz="4" w:space="0"/>
              <w:right w:val="single" w:color="000000" w:sz="4" w:space="0"/>
            </w:tcBorders>
            <w:vAlign w:val="center"/>
          </w:tcPr>
          <w:p w14:paraId="3F014CEF">
            <w:pPr>
              <w:widowControl/>
              <w:jc w:val="center"/>
              <w:rPr>
                <w:rFonts w:eastAsia="仿宋_GB2312"/>
                <w:color w:val="000000"/>
                <w:kern w:val="0"/>
                <w:sz w:val="24"/>
              </w:rPr>
            </w:pPr>
            <w:r>
              <w:rPr>
                <w:rFonts w:eastAsia="仿宋_GB2312"/>
                <w:color w:val="000000"/>
                <w:kern w:val="0"/>
                <w:sz w:val="24"/>
              </w:rPr>
              <w:t>3.27</w:t>
            </w:r>
          </w:p>
        </w:tc>
        <w:tc>
          <w:tcPr>
            <w:tcW w:w="1043" w:type="dxa"/>
            <w:tcBorders>
              <w:top w:val="single" w:color="000000" w:sz="4" w:space="0"/>
              <w:left w:val="single" w:color="000000" w:sz="4" w:space="0"/>
              <w:bottom w:val="single" w:color="000000" w:sz="4" w:space="0"/>
              <w:right w:val="single" w:color="000000" w:sz="4" w:space="0"/>
            </w:tcBorders>
            <w:vAlign w:val="center"/>
          </w:tcPr>
          <w:p w14:paraId="7C1ED8D1">
            <w:pPr>
              <w:widowControl/>
              <w:jc w:val="center"/>
              <w:rPr>
                <w:rFonts w:eastAsia="仿宋_GB2312"/>
                <w:color w:val="000000"/>
                <w:kern w:val="0"/>
                <w:sz w:val="24"/>
              </w:rPr>
            </w:pPr>
          </w:p>
        </w:tc>
        <w:tc>
          <w:tcPr>
            <w:tcW w:w="801" w:type="dxa"/>
            <w:tcBorders>
              <w:top w:val="single" w:color="000000" w:sz="4" w:space="0"/>
              <w:left w:val="single" w:color="000000" w:sz="4" w:space="0"/>
              <w:bottom w:val="single" w:color="000000" w:sz="4" w:space="0"/>
              <w:right w:val="single" w:color="000000" w:sz="4" w:space="0"/>
            </w:tcBorders>
            <w:vAlign w:val="center"/>
          </w:tcPr>
          <w:p w14:paraId="3F0BB20E">
            <w:pPr>
              <w:widowControl/>
              <w:jc w:val="center"/>
              <w:rPr>
                <w:rFonts w:eastAsia="仿宋_GB2312"/>
                <w:color w:val="000000"/>
                <w:kern w:val="0"/>
                <w:sz w:val="24"/>
              </w:rPr>
            </w:pPr>
            <w:r>
              <w:rPr>
                <w:rFonts w:eastAsia="仿宋_GB2312"/>
                <w:color w:val="000000"/>
                <w:kern w:val="0"/>
                <w:sz w:val="24"/>
              </w:rPr>
              <w:t>5</w:t>
            </w:r>
          </w:p>
        </w:tc>
        <w:tc>
          <w:tcPr>
            <w:tcW w:w="1005" w:type="dxa"/>
            <w:tcBorders>
              <w:top w:val="single" w:color="000000" w:sz="4" w:space="0"/>
              <w:left w:val="single" w:color="000000" w:sz="4" w:space="0"/>
              <w:bottom w:val="single" w:color="000000" w:sz="4" w:space="0"/>
              <w:right w:val="single" w:color="000000" w:sz="4" w:space="0"/>
            </w:tcBorders>
            <w:vAlign w:val="center"/>
          </w:tcPr>
          <w:p w14:paraId="6351D279">
            <w:pPr>
              <w:widowControl/>
              <w:jc w:val="center"/>
              <w:rPr>
                <w:rFonts w:eastAsia="仿宋_GB2312"/>
                <w:color w:val="000000"/>
                <w:kern w:val="0"/>
                <w:sz w:val="24"/>
              </w:rPr>
            </w:pPr>
            <w:r>
              <w:rPr>
                <w:rFonts w:eastAsia="仿宋_GB2312"/>
                <w:color w:val="000000"/>
                <w:kern w:val="0"/>
                <w:sz w:val="24"/>
              </w:rPr>
              <w:t>5</w:t>
            </w:r>
          </w:p>
        </w:tc>
        <w:tc>
          <w:tcPr>
            <w:tcW w:w="930" w:type="dxa"/>
            <w:tcBorders>
              <w:top w:val="single" w:color="000000" w:sz="4" w:space="0"/>
              <w:left w:val="single" w:color="000000" w:sz="4" w:space="0"/>
              <w:bottom w:val="single" w:color="000000" w:sz="4" w:space="0"/>
              <w:right w:val="single" w:color="000000" w:sz="4" w:space="0"/>
            </w:tcBorders>
            <w:vAlign w:val="center"/>
          </w:tcPr>
          <w:p w14:paraId="2A6DD858">
            <w:pPr>
              <w:widowControl/>
              <w:jc w:val="center"/>
              <w:rPr>
                <w:rFonts w:eastAsia="仿宋_GB2312"/>
                <w:color w:val="000000"/>
                <w:kern w:val="0"/>
                <w:sz w:val="24"/>
              </w:rPr>
            </w:pPr>
            <w:r>
              <w:rPr>
                <w:rFonts w:eastAsia="仿宋_GB2312"/>
                <w:color w:val="000000"/>
                <w:kern w:val="0"/>
                <w:sz w:val="24"/>
              </w:rPr>
              <w:t>5</w:t>
            </w:r>
          </w:p>
        </w:tc>
        <w:tc>
          <w:tcPr>
            <w:tcW w:w="907" w:type="dxa"/>
            <w:tcBorders>
              <w:top w:val="single" w:color="000000" w:sz="4" w:space="0"/>
              <w:left w:val="single" w:color="000000" w:sz="4" w:space="0"/>
              <w:bottom w:val="single" w:color="000000" w:sz="4" w:space="0"/>
              <w:right w:val="single" w:color="000000" w:sz="4" w:space="0"/>
            </w:tcBorders>
            <w:vAlign w:val="center"/>
          </w:tcPr>
          <w:p w14:paraId="09F3306C">
            <w:pPr>
              <w:widowControl/>
              <w:jc w:val="center"/>
              <w:rPr>
                <w:rFonts w:eastAsia="仿宋_GB2312"/>
                <w:color w:val="000000"/>
                <w:kern w:val="0"/>
                <w:sz w:val="24"/>
              </w:rPr>
            </w:pPr>
            <w:r>
              <w:rPr>
                <w:rFonts w:eastAsia="仿宋_GB2312"/>
                <w:color w:val="000000"/>
                <w:kern w:val="0"/>
                <w:sz w:val="24"/>
              </w:rPr>
              <w:t>9.8</w:t>
            </w:r>
          </w:p>
        </w:tc>
        <w:tc>
          <w:tcPr>
            <w:tcW w:w="1163" w:type="dxa"/>
            <w:tcBorders>
              <w:top w:val="single" w:color="000000" w:sz="4" w:space="0"/>
              <w:left w:val="single" w:color="000000" w:sz="4" w:space="0"/>
              <w:bottom w:val="single" w:color="000000" w:sz="4" w:space="0"/>
              <w:right w:val="single" w:color="000000" w:sz="4" w:space="0"/>
            </w:tcBorders>
            <w:vAlign w:val="center"/>
          </w:tcPr>
          <w:p w14:paraId="7730CDB1">
            <w:pPr>
              <w:widowControl/>
              <w:jc w:val="center"/>
              <w:rPr>
                <w:rFonts w:eastAsia="仿宋_GB2312"/>
                <w:color w:val="000000"/>
                <w:kern w:val="0"/>
                <w:sz w:val="24"/>
              </w:rPr>
            </w:pPr>
            <w:r>
              <w:rPr>
                <w:rFonts w:eastAsia="仿宋_GB2312"/>
                <w:color w:val="000000"/>
                <w:kern w:val="0"/>
                <w:sz w:val="24"/>
              </w:rPr>
              <w:t>11.7</w:t>
            </w:r>
          </w:p>
        </w:tc>
        <w:tc>
          <w:tcPr>
            <w:tcW w:w="1298" w:type="dxa"/>
            <w:tcBorders>
              <w:top w:val="single" w:color="000000" w:sz="4" w:space="0"/>
              <w:left w:val="single" w:color="000000" w:sz="4" w:space="0"/>
              <w:bottom w:val="single" w:color="000000" w:sz="4" w:space="0"/>
              <w:right w:val="single" w:color="000000" w:sz="4" w:space="0"/>
            </w:tcBorders>
            <w:vAlign w:val="center"/>
          </w:tcPr>
          <w:p w14:paraId="7B2EF2B1">
            <w:pPr>
              <w:widowControl/>
              <w:jc w:val="center"/>
              <w:rPr>
                <w:rFonts w:eastAsia="仿宋_GB2312"/>
                <w:color w:val="000000"/>
                <w:kern w:val="0"/>
                <w:sz w:val="24"/>
              </w:rPr>
            </w:pPr>
            <w:r>
              <w:rPr>
                <w:rFonts w:eastAsia="仿宋_GB2312"/>
                <w:color w:val="000000"/>
                <w:kern w:val="0"/>
                <w:sz w:val="24"/>
              </w:rPr>
              <w:t>11.17</w:t>
            </w:r>
          </w:p>
        </w:tc>
        <w:tc>
          <w:tcPr>
            <w:tcW w:w="1094" w:type="dxa"/>
            <w:tcBorders>
              <w:top w:val="single" w:color="000000" w:sz="4" w:space="0"/>
              <w:left w:val="single" w:color="000000" w:sz="4" w:space="0"/>
              <w:bottom w:val="single" w:color="000000" w:sz="4" w:space="0"/>
              <w:right w:val="single" w:color="000000" w:sz="4" w:space="0"/>
            </w:tcBorders>
            <w:vAlign w:val="center"/>
          </w:tcPr>
          <w:p w14:paraId="0EEC62F0">
            <w:pPr>
              <w:widowControl/>
              <w:jc w:val="center"/>
              <w:rPr>
                <w:rFonts w:eastAsia="仿宋_GB2312"/>
                <w:color w:val="000000"/>
                <w:kern w:val="0"/>
                <w:sz w:val="24"/>
              </w:rPr>
            </w:pPr>
            <w:r>
              <w:rPr>
                <w:rFonts w:eastAsia="仿宋_GB2312"/>
                <w:color w:val="000000"/>
                <w:kern w:val="0"/>
                <w:sz w:val="24"/>
              </w:rPr>
              <w:t>—</w:t>
            </w:r>
          </w:p>
        </w:tc>
        <w:tc>
          <w:tcPr>
            <w:tcW w:w="1271" w:type="dxa"/>
            <w:tcBorders>
              <w:top w:val="single" w:color="000000" w:sz="4" w:space="0"/>
              <w:left w:val="single" w:color="000000" w:sz="4" w:space="0"/>
              <w:bottom w:val="single" w:color="000000" w:sz="4" w:space="0"/>
              <w:right w:val="single" w:color="000000" w:sz="4" w:space="0"/>
            </w:tcBorders>
            <w:vAlign w:val="center"/>
          </w:tcPr>
          <w:p w14:paraId="73454406">
            <w:pPr>
              <w:widowControl/>
              <w:jc w:val="center"/>
              <w:rPr>
                <w:rFonts w:eastAsia="仿宋_GB2312"/>
                <w:color w:val="000000"/>
                <w:kern w:val="0"/>
                <w:sz w:val="24"/>
              </w:rPr>
            </w:pPr>
            <w:r>
              <w:rPr>
                <w:rFonts w:eastAsia="仿宋_GB2312"/>
                <w:color w:val="000000"/>
                <w:kern w:val="0"/>
                <w:sz w:val="24"/>
              </w:rPr>
              <w:t>预期性</w:t>
            </w:r>
          </w:p>
        </w:tc>
        <w:tc>
          <w:tcPr>
            <w:tcW w:w="1553" w:type="dxa"/>
            <w:tcBorders>
              <w:top w:val="single" w:color="000000" w:sz="4" w:space="0"/>
              <w:left w:val="single" w:color="000000" w:sz="4" w:space="0"/>
              <w:bottom w:val="single" w:color="000000" w:sz="4" w:space="0"/>
              <w:right w:val="single" w:color="000000" w:sz="4" w:space="0"/>
            </w:tcBorders>
            <w:vAlign w:val="center"/>
          </w:tcPr>
          <w:p w14:paraId="59DCCC38">
            <w:pPr>
              <w:widowControl/>
              <w:jc w:val="center"/>
              <w:rPr>
                <w:rFonts w:eastAsia="仿宋_GB2312"/>
                <w:color w:val="000000"/>
                <w:kern w:val="0"/>
                <w:sz w:val="24"/>
              </w:rPr>
            </w:pPr>
            <w:r>
              <w:rPr>
                <w:rFonts w:eastAsia="仿宋_GB2312"/>
                <w:color w:val="000000"/>
                <w:kern w:val="0"/>
                <w:sz w:val="24"/>
              </w:rPr>
              <w:t>提前完成</w:t>
            </w:r>
          </w:p>
        </w:tc>
      </w:tr>
      <w:tr w14:paraId="4D407A33">
        <w:tblPrEx>
          <w:tblCellMar>
            <w:top w:w="15" w:type="dxa"/>
            <w:left w:w="15" w:type="dxa"/>
            <w:bottom w:w="15" w:type="dxa"/>
            <w:right w:w="15" w:type="dxa"/>
          </w:tblCellMar>
        </w:tblPrEx>
        <w:trPr>
          <w:trHeight w:val="340" w:hRule="atLeast"/>
          <w:jc w:val="center"/>
        </w:trPr>
        <w:tc>
          <w:tcPr>
            <w:tcW w:w="604" w:type="dxa"/>
            <w:tcBorders>
              <w:top w:val="single" w:color="000000" w:sz="4" w:space="0"/>
              <w:left w:val="single" w:color="000000" w:sz="4" w:space="0"/>
              <w:bottom w:val="single" w:color="000000" w:sz="4" w:space="0"/>
              <w:right w:val="single" w:color="000000" w:sz="4" w:space="0"/>
            </w:tcBorders>
            <w:vAlign w:val="center"/>
          </w:tcPr>
          <w:p w14:paraId="48B6E901">
            <w:pPr>
              <w:widowControl/>
              <w:jc w:val="center"/>
              <w:rPr>
                <w:rFonts w:eastAsia="仿宋_GB2312"/>
                <w:color w:val="000000"/>
                <w:kern w:val="0"/>
                <w:sz w:val="24"/>
              </w:rPr>
            </w:pPr>
            <w:r>
              <w:rPr>
                <w:rFonts w:eastAsia="仿宋_GB2312"/>
                <w:color w:val="000000"/>
                <w:kern w:val="0"/>
                <w:sz w:val="24"/>
              </w:rPr>
              <w:t>13</w:t>
            </w:r>
          </w:p>
        </w:tc>
        <w:tc>
          <w:tcPr>
            <w:tcW w:w="632" w:type="dxa"/>
            <w:vMerge w:val="continue"/>
            <w:tcBorders>
              <w:left w:val="single" w:color="000000" w:sz="4" w:space="0"/>
              <w:right w:val="single" w:color="000000" w:sz="4" w:space="0"/>
            </w:tcBorders>
            <w:vAlign w:val="center"/>
          </w:tcPr>
          <w:p w14:paraId="7752094B">
            <w:pPr>
              <w:widowControl/>
              <w:jc w:val="left"/>
              <w:rPr>
                <w:rFonts w:eastAsia="仿宋_GB2312"/>
                <w:color w:val="000000"/>
                <w:kern w:val="0"/>
                <w:sz w:val="24"/>
              </w:rPr>
            </w:pPr>
          </w:p>
        </w:tc>
        <w:tc>
          <w:tcPr>
            <w:tcW w:w="1684" w:type="dxa"/>
            <w:gridSpan w:val="2"/>
            <w:tcBorders>
              <w:top w:val="single" w:color="000000" w:sz="4" w:space="0"/>
              <w:left w:val="single" w:color="000000" w:sz="4" w:space="0"/>
              <w:bottom w:val="single" w:color="000000" w:sz="4" w:space="0"/>
              <w:right w:val="single" w:color="000000" w:sz="4" w:space="0"/>
            </w:tcBorders>
            <w:vAlign w:val="center"/>
          </w:tcPr>
          <w:p w14:paraId="0F8434F9">
            <w:pPr>
              <w:widowControl/>
              <w:jc w:val="center"/>
              <w:rPr>
                <w:rFonts w:eastAsia="仿宋_GB2312"/>
                <w:color w:val="000000"/>
                <w:kern w:val="0"/>
                <w:sz w:val="24"/>
              </w:rPr>
            </w:pPr>
            <w:r>
              <w:rPr>
                <w:rFonts w:eastAsia="仿宋_GB2312"/>
                <w:color w:val="000000"/>
                <w:kern w:val="0"/>
                <w:sz w:val="24"/>
              </w:rPr>
              <w:t>进出口总额</w:t>
            </w:r>
          </w:p>
          <w:p w14:paraId="584052FF">
            <w:pPr>
              <w:widowControl/>
              <w:jc w:val="center"/>
              <w:rPr>
                <w:rFonts w:eastAsia="仿宋_GB2312"/>
                <w:color w:val="000000"/>
                <w:kern w:val="0"/>
                <w:sz w:val="24"/>
              </w:rPr>
            </w:pPr>
            <w:r>
              <w:rPr>
                <w:rFonts w:eastAsia="仿宋_GB2312"/>
                <w:color w:val="000000"/>
                <w:kern w:val="0"/>
                <w:sz w:val="24"/>
              </w:rPr>
              <w:t>（万美元）</w:t>
            </w:r>
          </w:p>
        </w:tc>
        <w:tc>
          <w:tcPr>
            <w:tcW w:w="1047" w:type="dxa"/>
            <w:tcBorders>
              <w:top w:val="single" w:color="000000" w:sz="4" w:space="0"/>
              <w:left w:val="single" w:color="000000" w:sz="4" w:space="0"/>
              <w:bottom w:val="single" w:color="000000" w:sz="4" w:space="0"/>
              <w:right w:val="single" w:color="000000" w:sz="4" w:space="0"/>
            </w:tcBorders>
            <w:vAlign w:val="center"/>
          </w:tcPr>
          <w:p w14:paraId="35E1E1B8">
            <w:pPr>
              <w:widowControl/>
              <w:jc w:val="center"/>
              <w:rPr>
                <w:rFonts w:eastAsia="仿宋_GB2312"/>
                <w:color w:val="000000"/>
                <w:kern w:val="0"/>
                <w:sz w:val="24"/>
              </w:rPr>
            </w:pPr>
            <w:r>
              <w:rPr>
                <w:rFonts w:eastAsia="仿宋_GB2312"/>
                <w:color w:val="000000"/>
                <w:kern w:val="0"/>
                <w:sz w:val="24"/>
              </w:rPr>
              <w:t>50793</w:t>
            </w:r>
          </w:p>
        </w:tc>
        <w:tc>
          <w:tcPr>
            <w:tcW w:w="1043" w:type="dxa"/>
            <w:tcBorders>
              <w:top w:val="single" w:color="000000" w:sz="4" w:space="0"/>
              <w:left w:val="single" w:color="000000" w:sz="4" w:space="0"/>
              <w:bottom w:val="single" w:color="000000" w:sz="4" w:space="0"/>
              <w:right w:val="single" w:color="000000" w:sz="4" w:space="0"/>
            </w:tcBorders>
            <w:vAlign w:val="center"/>
          </w:tcPr>
          <w:p w14:paraId="02CE0D9D">
            <w:pPr>
              <w:widowControl/>
              <w:jc w:val="center"/>
              <w:rPr>
                <w:rFonts w:eastAsia="仿宋_GB2312"/>
                <w:color w:val="000000"/>
                <w:kern w:val="0"/>
                <w:sz w:val="24"/>
              </w:rPr>
            </w:pPr>
            <w:r>
              <w:rPr>
                <w:rFonts w:eastAsia="仿宋_GB2312"/>
                <w:color w:val="000000"/>
                <w:kern w:val="0"/>
                <w:sz w:val="24"/>
              </w:rPr>
              <w:t>115</w:t>
            </w:r>
          </w:p>
        </w:tc>
        <w:tc>
          <w:tcPr>
            <w:tcW w:w="801" w:type="dxa"/>
            <w:tcBorders>
              <w:top w:val="single" w:color="000000" w:sz="4" w:space="0"/>
              <w:left w:val="single" w:color="000000" w:sz="4" w:space="0"/>
              <w:bottom w:val="single" w:color="000000" w:sz="4" w:space="0"/>
              <w:right w:val="single" w:color="000000" w:sz="4" w:space="0"/>
            </w:tcBorders>
            <w:vAlign w:val="center"/>
          </w:tcPr>
          <w:p w14:paraId="671F6E0C">
            <w:pPr>
              <w:widowControl/>
              <w:jc w:val="center"/>
              <w:rPr>
                <w:rFonts w:eastAsia="仿宋_GB2312"/>
                <w:color w:val="000000"/>
                <w:kern w:val="0"/>
                <w:sz w:val="24"/>
              </w:rPr>
            </w:pPr>
            <w:r>
              <w:rPr>
                <w:rFonts w:eastAsia="仿宋_GB2312"/>
                <w:color w:val="000000"/>
                <w:kern w:val="0"/>
                <w:sz w:val="24"/>
              </w:rPr>
              <w:t>19325</w:t>
            </w:r>
          </w:p>
        </w:tc>
        <w:tc>
          <w:tcPr>
            <w:tcW w:w="1005" w:type="dxa"/>
            <w:tcBorders>
              <w:top w:val="single" w:color="000000" w:sz="4" w:space="0"/>
              <w:left w:val="single" w:color="000000" w:sz="4" w:space="0"/>
              <w:bottom w:val="single" w:color="000000" w:sz="4" w:space="0"/>
              <w:right w:val="single" w:color="000000" w:sz="4" w:space="0"/>
            </w:tcBorders>
            <w:vAlign w:val="center"/>
          </w:tcPr>
          <w:p w14:paraId="5915E8A8">
            <w:pPr>
              <w:widowControl/>
              <w:jc w:val="center"/>
              <w:rPr>
                <w:rFonts w:eastAsia="仿宋_GB2312"/>
                <w:color w:val="000000"/>
                <w:kern w:val="0"/>
                <w:sz w:val="24"/>
              </w:rPr>
            </w:pPr>
            <w:r>
              <w:rPr>
                <w:rFonts w:eastAsia="仿宋_GB2312"/>
                <w:color w:val="000000"/>
                <w:kern w:val="0"/>
                <w:sz w:val="24"/>
              </w:rPr>
              <w:t>24753</w:t>
            </w:r>
          </w:p>
        </w:tc>
        <w:tc>
          <w:tcPr>
            <w:tcW w:w="930" w:type="dxa"/>
            <w:tcBorders>
              <w:top w:val="single" w:color="000000" w:sz="4" w:space="0"/>
              <w:left w:val="single" w:color="000000" w:sz="4" w:space="0"/>
              <w:bottom w:val="single" w:color="000000" w:sz="4" w:space="0"/>
              <w:right w:val="single" w:color="000000" w:sz="4" w:space="0"/>
            </w:tcBorders>
            <w:vAlign w:val="center"/>
          </w:tcPr>
          <w:p w14:paraId="6577E175">
            <w:pPr>
              <w:widowControl/>
              <w:jc w:val="center"/>
              <w:rPr>
                <w:rFonts w:eastAsia="仿宋_GB2312"/>
                <w:color w:val="000000"/>
                <w:kern w:val="0"/>
                <w:sz w:val="24"/>
              </w:rPr>
            </w:pPr>
            <w:r>
              <w:rPr>
                <w:rFonts w:eastAsia="仿宋_GB2312"/>
                <w:color w:val="000000"/>
                <w:kern w:val="0"/>
                <w:sz w:val="24"/>
              </w:rPr>
              <w:t>45451</w:t>
            </w:r>
          </w:p>
        </w:tc>
        <w:tc>
          <w:tcPr>
            <w:tcW w:w="907" w:type="dxa"/>
            <w:tcBorders>
              <w:top w:val="single" w:color="000000" w:sz="4" w:space="0"/>
              <w:left w:val="single" w:color="000000" w:sz="4" w:space="0"/>
              <w:bottom w:val="single" w:color="000000" w:sz="4" w:space="0"/>
              <w:right w:val="single" w:color="000000" w:sz="4" w:space="0"/>
            </w:tcBorders>
            <w:vAlign w:val="center"/>
          </w:tcPr>
          <w:p w14:paraId="5F55F9D3">
            <w:pPr>
              <w:widowControl/>
              <w:jc w:val="center"/>
              <w:rPr>
                <w:rFonts w:eastAsia="仿宋_GB2312"/>
                <w:color w:val="000000"/>
                <w:kern w:val="0"/>
                <w:sz w:val="24"/>
              </w:rPr>
            </w:pPr>
            <w:r>
              <w:rPr>
                <w:rFonts w:eastAsia="仿宋_GB2312"/>
                <w:color w:val="000000"/>
                <w:kern w:val="0"/>
                <w:sz w:val="24"/>
              </w:rPr>
              <w:t>18745（非公布数据）</w:t>
            </w:r>
          </w:p>
        </w:tc>
        <w:tc>
          <w:tcPr>
            <w:tcW w:w="1163" w:type="dxa"/>
            <w:tcBorders>
              <w:top w:val="single" w:color="000000" w:sz="4" w:space="0"/>
              <w:left w:val="single" w:color="000000" w:sz="4" w:space="0"/>
              <w:bottom w:val="single" w:color="000000" w:sz="4" w:space="0"/>
              <w:right w:val="single" w:color="000000" w:sz="4" w:space="0"/>
            </w:tcBorders>
            <w:vAlign w:val="center"/>
          </w:tcPr>
          <w:p w14:paraId="5DCDBF18">
            <w:pPr>
              <w:widowControl/>
              <w:jc w:val="center"/>
              <w:rPr>
                <w:rFonts w:eastAsia="仿宋_GB2312"/>
                <w:color w:val="000000"/>
                <w:kern w:val="0"/>
                <w:sz w:val="24"/>
              </w:rPr>
            </w:pPr>
            <w:r>
              <w:rPr>
                <w:rFonts w:eastAsia="仿宋_GB2312"/>
                <w:color w:val="000000"/>
                <w:kern w:val="0"/>
                <w:sz w:val="24"/>
              </w:rPr>
              <w:t>14996</w:t>
            </w:r>
          </w:p>
        </w:tc>
        <w:tc>
          <w:tcPr>
            <w:tcW w:w="1298" w:type="dxa"/>
            <w:tcBorders>
              <w:top w:val="single" w:color="000000" w:sz="4" w:space="0"/>
              <w:left w:val="single" w:color="000000" w:sz="4" w:space="0"/>
              <w:bottom w:val="single" w:color="000000" w:sz="4" w:space="0"/>
              <w:right w:val="single" w:color="000000" w:sz="4" w:space="0"/>
            </w:tcBorders>
            <w:vAlign w:val="center"/>
          </w:tcPr>
          <w:p w14:paraId="324C3792">
            <w:pPr>
              <w:widowControl/>
              <w:jc w:val="center"/>
              <w:rPr>
                <w:rFonts w:eastAsia="仿宋_GB2312"/>
                <w:color w:val="000000"/>
                <w:kern w:val="0"/>
                <w:sz w:val="24"/>
              </w:rPr>
            </w:pPr>
            <w:r>
              <w:rPr>
                <w:rFonts w:eastAsia="仿宋_GB2312"/>
                <w:color w:val="000000"/>
                <w:kern w:val="0"/>
                <w:sz w:val="24"/>
              </w:rPr>
              <w:t>53400</w:t>
            </w:r>
          </w:p>
        </w:tc>
        <w:tc>
          <w:tcPr>
            <w:tcW w:w="1094" w:type="dxa"/>
            <w:tcBorders>
              <w:top w:val="single" w:color="000000" w:sz="4" w:space="0"/>
              <w:left w:val="single" w:color="000000" w:sz="4" w:space="0"/>
              <w:bottom w:val="single" w:color="000000" w:sz="4" w:space="0"/>
              <w:right w:val="single" w:color="000000" w:sz="4" w:space="0"/>
            </w:tcBorders>
            <w:vAlign w:val="center"/>
          </w:tcPr>
          <w:p w14:paraId="6BBDA620">
            <w:pPr>
              <w:widowControl/>
              <w:jc w:val="center"/>
              <w:rPr>
                <w:rFonts w:eastAsia="仿宋_GB2312"/>
                <w:color w:val="000000"/>
                <w:kern w:val="0"/>
                <w:sz w:val="24"/>
              </w:rPr>
            </w:pPr>
            <w:r>
              <w:rPr>
                <w:rFonts w:eastAsia="仿宋_GB2312"/>
                <w:color w:val="000000"/>
                <w:kern w:val="0"/>
                <w:sz w:val="24"/>
              </w:rPr>
              <w:t>10</w:t>
            </w:r>
          </w:p>
        </w:tc>
        <w:tc>
          <w:tcPr>
            <w:tcW w:w="1271" w:type="dxa"/>
            <w:tcBorders>
              <w:top w:val="single" w:color="000000" w:sz="4" w:space="0"/>
              <w:left w:val="single" w:color="000000" w:sz="4" w:space="0"/>
              <w:bottom w:val="single" w:color="000000" w:sz="4" w:space="0"/>
              <w:right w:val="single" w:color="000000" w:sz="4" w:space="0"/>
            </w:tcBorders>
            <w:vAlign w:val="center"/>
          </w:tcPr>
          <w:p w14:paraId="0B6F3821">
            <w:pPr>
              <w:widowControl/>
              <w:jc w:val="center"/>
              <w:rPr>
                <w:rFonts w:eastAsia="仿宋_GB2312"/>
                <w:color w:val="000000"/>
                <w:kern w:val="0"/>
                <w:sz w:val="24"/>
              </w:rPr>
            </w:pPr>
            <w:r>
              <w:rPr>
                <w:rFonts w:eastAsia="仿宋_GB2312"/>
                <w:color w:val="000000"/>
                <w:kern w:val="0"/>
                <w:sz w:val="24"/>
              </w:rPr>
              <w:t>预期性</w:t>
            </w:r>
          </w:p>
        </w:tc>
        <w:tc>
          <w:tcPr>
            <w:tcW w:w="1553" w:type="dxa"/>
            <w:tcBorders>
              <w:top w:val="single" w:color="000000" w:sz="4" w:space="0"/>
              <w:left w:val="single" w:color="000000" w:sz="4" w:space="0"/>
              <w:bottom w:val="single" w:color="000000" w:sz="4" w:space="0"/>
              <w:right w:val="single" w:color="000000" w:sz="4" w:space="0"/>
            </w:tcBorders>
            <w:vAlign w:val="center"/>
          </w:tcPr>
          <w:p w14:paraId="144278B2">
            <w:pPr>
              <w:widowControl/>
              <w:jc w:val="center"/>
              <w:rPr>
                <w:rFonts w:eastAsia="仿宋_GB2312"/>
                <w:color w:val="000000"/>
                <w:kern w:val="0"/>
                <w:sz w:val="24"/>
              </w:rPr>
            </w:pPr>
            <w:r>
              <w:rPr>
                <w:rFonts w:eastAsia="仿宋_GB2312"/>
                <w:color w:val="000000"/>
                <w:kern w:val="0"/>
                <w:sz w:val="24"/>
              </w:rPr>
              <w:t>接近预期</w:t>
            </w:r>
          </w:p>
        </w:tc>
      </w:tr>
      <w:tr w14:paraId="053A02BD">
        <w:tblPrEx>
          <w:tblCellMar>
            <w:top w:w="15" w:type="dxa"/>
            <w:left w:w="15" w:type="dxa"/>
            <w:bottom w:w="15" w:type="dxa"/>
            <w:right w:w="15" w:type="dxa"/>
          </w:tblCellMar>
        </w:tblPrEx>
        <w:trPr>
          <w:trHeight w:val="967" w:hRule="atLeast"/>
          <w:jc w:val="center"/>
        </w:trPr>
        <w:tc>
          <w:tcPr>
            <w:tcW w:w="604" w:type="dxa"/>
            <w:tcBorders>
              <w:top w:val="single" w:color="000000" w:sz="4" w:space="0"/>
              <w:left w:val="single" w:color="000000" w:sz="4" w:space="0"/>
              <w:bottom w:val="single" w:color="000000" w:sz="4" w:space="0"/>
              <w:right w:val="single" w:color="000000" w:sz="4" w:space="0"/>
            </w:tcBorders>
            <w:vAlign w:val="center"/>
          </w:tcPr>
          <w:p w14:paraId="6ECD88C3">
            <w:pPr>
              <w:widowControl/>
              <w:jc w:val="center"/>
              <w:rPr>
                <w:rFonts w:eastAsia="仿宋_GB2312"/>
                <w:color w:val="000000"/>
                <w:kern w:val="0"/>
                <w:sz w:val="24"/>
              </w:rPr>
            </w:pPr>
            <w:r>
              <w:rPr>
                <w:rFonts w:eastAsia="仿宋_GB2312"/>
                <w:color w:val="000000"/>
                <w:kern w:val="0"/>
                <w:sz w:val="24"/>
              </w:rPr>
              <w:t>14</w:t>
            </w:r>
          </w:p>
        </w:tc>
        <w:tc>
          <w:tcPr>
            <w:tcW w:w="632" w:type="dxa"/>
            <w:vMerge w:val="continue"/>
            <w:tcBorders>
              <w:left w:val="single" w:color="000000" w:sz="4" w:space="0"/>
              <w:bottom w:val="single" w:color="000000" w:sz="4" w:space="0"/>
              <w:right w:val="single" w:color="000000" w:sz="4" w:space="0"/>
            </w:tcBorders>
            <w:vAlign w:val="center"/>
          </w:tcPr>
          <w:p w14:paraId="192A7BEE">
            <w:pPr>
              <w:widowControl/>
              <w:jc w:val="left"/>
              <w:rPr>
                <w:rFonts w:eastAsia="仿宋_GB2312"/>
                <w:color w:val="000000"/>
                <w:kern w:val="0"/>
                <w:sz w:val="24"/>
              </w:rPr>
            </w:pPr>
          </w:p>
        </w:tc>
        <w:tc>
          <w:tcPr>
            <w:tcW w:w="1684" w:type="dxa"/>
            <w:gridSpan w:val="2"/>
            <w:tcBorders>
              <w:top w:val="single" w:color="000000" w:sz="4" w:space="0"/>
              <w:left w:val="single" w:color="000000" w:sz="4" w:space="0"/>
              <w:bottom w:val="single" w:color="000000" w:sz="4" w:space="0"/>
              <w:right w:val="single" w:color="000000" w:sz="4" w:space="0"/>
            </w:tcBorders>
            <w:vAlign w:val="center"/>
          </w:tcPr>
          <w:p w14:paraId="3C9DDB19">
            <w:pPr>
              <w:widowControl/>
              <w:jc w:val="center"/>
              <w:rPr>
                <w:rFonts w:eastAsia="仿宋_GB2312"/>
                <w:color w:val="000000"/>
                <w:kern w:val="0"/>
                <w:sz w:val="24"/>
              </w:rPr>
            </w:pPr>
            <w:r>
              <w:rPr>
                <w:rFonts w:eastAsia="仿宋_GB2312"/>
                <w:color w:val="000000"/>
                <w:kern w:val="0"/>
                <w:sz w:val="24"/>
              </w:rPr>
              <w:t>实际利用外资（万美元）</w:t>
            </w:r>
          </w:p>
        </w:tc>
        <w:tc>
          <w:tcPr>
            <w:tcW w:w="1047" w:type="dxa"/>
            <w:tcBorders>
              <w:top w:val="single" w:color="000000" w:sz="4" w:space="0"/>
              <w:left w:val="single" w:color="000000" w:sz="4" w:space="0"/>
              <w:bottom w:val="single" w:color="000000" w:sz="4" w:space="0"/>
              <w:right w:val="single" w:color="000000" w:sz="4" w:space="0"/>
            </w:tcBorders>
            <w:vAlign w:val="center"/>
          </w:tcPr>
          <w:p w14:paraId="55F2497B">
            <w:pPr>
              <w:widowControl/>
              <w:jc w:val="center"/>
              <w:rPr>
                <w:rFonts w:eastAsia="仿宋_GB2312"/>
                <w:color w:val="000000"/>
                <w:kern w:val="0"/>
                <w:sz w:val="24"/>
              </w:rPr>
            </w:pPr>
            <w:r>
              <w:rPr>
                <w:rFonts w:eastAsia="仿宋_GB2312"/>
                <w:color w:val="000000"/>
                <w:kern w:val="0"/>
                <w:sz w:val="24"/>
              </w:rPr>
              <w:t>8000</w:t>
            </w:r>
          </w:p>
        </w:tc>
        <w:tc>
          <w:tcPr>
            <w:tcW w:w="1043" w:type="dxa"/>
            <w:tcBorders>
              <w:top w:val="single" w:color="000000" w:sz="4" w:space="0"/>
              <w:left w:val="single" w:color="000000" w:sz="4" w:space="0"/>
              <w:bottom w:val="single" w:color="000000" w:sz="4" w:space="0"/>
              <w:right w:val="single" w:color="000000" w:sz="4" w:space="0"/>
            </w:tcBorders>
            <w:vAlign w:val="center"/>
          </w:tcPr>
          <w:p w14:paraId="6F059CFF">
            <w:pPr>
              <w:widowControl/>
              <w:jc w:val="center"/>
              <w:rPr>
                <w:rFonts w:eastAsia="仿宋_GB2312"/>
                <w:color w:val="000000"/>
                <w:kern w:val="0"/>
                <w:sz w:val="24"/>
              </w:rPr>
            </w:pPr>
          </w:p>
        </w:tc>
        <w:tc>
          <w:tcPr>
            <w:tcW w:w="801" w:type="dxa"/>
            <w:tcBorders>
              <w:top w:val="single" w:color="000000" w:sz="4" w:space="0"/>
              <w:left w:val="single" w:color="000000" w:sz="4" w:space="0"/>
              <w:bottom w:val="single" w:color="000000" w:sz="4" w:space="0"/>
              <w:right w:val="single" w:color="000000" w:sz="4" w:space="0"/>
            </w:tcBorders>
            <w:vAlign w:val="center"/>
          </w:tcPr>
          <w:p w14:paraId="20447180">
            <w:pPr>
              <w:widowControl/>
              <w:jc w:val="center"/>
              <w:rPr>
                <w:rFonts w:eastAsia="仿宋_GB2312"/>
                <w:color w:val="000000"/>
                <w:kern w:val="0"/>
                <w:sz w:val="24"/>
              </w:rPr>
            </w:pPr>
            <w:r>
              <w:rPr>
                <w:rFonts w:eastAsia="仿宋_GB2312"/>
                <w:color w:val="000000"/>
                <w:kern w:val="0"/>
                <w:sz w:val="24"/>
              </w:rPr>
              <w:t>3666</w:t>
            </w:r>
          </w:p>
        </w:tc>
        <w:tc>
          <w:tcPr>
            <w:tcW w:w="1005" w:type="dxa"/>
            <w:tcBorders>
              <w:top w:val="single" w:color="000000" w:sz="4" w:space="0"/>
              <w:left w:val="single" w:color="000000" w:sz="4" w:space="0"/>
              <w:bottom w:val="single" w:color="000000" w:sz="4" w:space="0"/>
              <w:right w:val="single" w:color="000000" w:sz="4" w:space="0"/>
            </w:tcBorders>
            <w:vAlign w:val="center"/>
          </w:tcPr>
          <w:p w14:paraId="3FBCD73B">
            <w:pPr>
              <w:widowControl/>
              <w:jc w:val="center"/>
              <w:rPr>
                <w:rFonts w:eastAsia="仿宋_GB2312"/>
                <w:color w:val="000000"/>
                <w:kern w:val="0"/>
                <w:sz w:val="24"/>
              </w:rPr>
            </w:pPr>
            <w:r>
              <w:rPr>
                <w:rFonts w:eastAsia="仿宋_GB2312"/>
                <w:color w:val="000000"/>
                <w:kern w:val="0"/>
                <w:sz w:val="24"/>
              </w:rPr>
              <w:t>3614.76</w:t>
            </w:r>
          </w:p>
        </w:tc>
        <w:tc>
          <w:tcPr>
            <w:tcW w:w="930" w:type="dxa"/>
            <w:tcBorders>
              <w:top w:val="single" w:color="000000" w:sz="4" w:space="0"/>
              <w:left w:val="single" w:color="000000" w:sz="4" w:space="0"/>
              <w:bottom w:val="single" w:color="000000" w:sz="4" w:space="0"/>
              <w:right w:val="single" w:color="000000" w:sz="4" w:space="0"/>
            </w:tcBorders>
            <w:vAlign w:val="center"/>
          </w:tcPr>
          <w:p w14:paraId="3D657079">
            <w:pPr>
              <w:widowControl/>
              <w:jc w:val="center"/>
              <w:rPr>
                <w:rFonts w:eastAsia="仿宋_GB2312"/>
                <w:color w:val="000000"/>
                <w:kern w:val="0"/>
                <w:sz w:val="24"/>
              </w:rPr>
            </w:pPr>
            <w:r>
              <w:rPr>
                <w:rFonts w:eastAsia="仿宋_GB2312"/>
                <w:color w:val="000000"/>
                <w:kern w:val="0"/>
                <w:sz w:val="24"/>
              </w:rPr>
              <w:t>14481.19</w:t>
            </w:r>
          </w:p>
        </w:tc>
        <w:tc>
          <w:tcPr>
            <w:tcW w:w="907" w:type="dxa"/>
            <w:tcBorders>
              <w:top w:val="single" w:color="000000" w:sz="4" w:space="0"/>
              <w:left w:val="single" w:color="000000" w:sz="4" w:space="0"/>
              <w:bottom w:val="single" w:color="000000" w:sz="4" w:space="0"/>
              <w:right w:val="single" w:color="000000" w:sz="4" w:space="0"/>
            </w:tcBorders>
            <w:vAlign w:val="center"/>
          </w:tcPr>
          <w:p w14:paraId="061DDFE6">
            <w:pPr>
              <w:widowControl/>
              <w:jc w:val="center"/>
              <w:rPr>
                <w:rFonts w:eastAsia="仿宋_GB2312"/>
                <w:color w:val="000000"/>
                <w:kern w:val="0"/>
                <w:sz w:val="24"/>
              </w:rPr>
            </w:pPr>
            <w:r>
              <w:rPr>
                <w:rFonts w:eastAsia="仿宋_GB2312"/>
                <w:color w:val="000000"/>
                <w:kern w:val="0"/>
                <w:sz w:val="24"/>
              </w:rPr>
              <w:t>8134.91</w:t>
            </w:r>
          </w:p>
        </w:tc>
        <w:tc>
          <w:tcPr>
            <w:tcW w:w="1163" w:type="dxa"/>
            <w:tcBorders>
              <w:top w:val="single" w:color="000000" w:sz="4" w:space="0"/>
              <w:left w:val="single" w:color="000000" w:sz="4" w:space="0"/>
              <w:bottom w:val="single" w:color="000000" w:sz="4" w:space="0"/>
              <w:right w:val="single" w:color="000000" w:sz="4" w:space="0"/>
            </w:tcBorders>
            <w:vAlign w:val="center"/>
          </w:tcPr>
          <w:p w14:paraId="254DC1CF">
            <w:pPr>
              <w:widowControl/>
              <w:jc w:val="center"/>
              <w:rPr>
                <w:rFonts w:eastAsia="仿宋_GB2312"/>
                <w:color w:val="000000"/>
                <w:kern w:val="0"/>
                <w:sz w:val="24"/>
              </w:rPr>
            </w:pPr>
            <w:r>
              <w:rPr>
                <w:rFonts w:eastAsia="仿宋_GB2312"/>
                <w:color w:val="000000"/>
                <w:kern w:val="0"/>
                <w:sz w:val="24"/>
              </w:rPr>
              <w:t>3500</w:t>
            </w:r>
          </w:p>
        </w:tc>
        <w:tc>
          <w:tcPr>
            <w:tcW w:w="1298" w:type="dxa"/>
            <w:tcBorders>
              <w:top w:val="single" w:color="000000" w:sz="4" w:space="0"/>
              <w:left w:val="single" w:color="000000" w:sz="4" w:space="0"/>
              <w:bottom w:val="single" w:color="000000" w:sz="4" w:space="0"/>
              <w:right w:val="single" w:color="000000" w:sz="4" w:space="0"/>
            </w:tcBorders>
            <w:vAlign w:val="center"/>
          </w:tcPr>
          <w:p w14:paraId="6F379DFB">
            <w:pPr>
              <w:widowControl/>
              <w:jc w:val="center"/>
              <w:rPr>
                <w:rFonts w:eastAsia="仿宋_GB2312"/>
                <w:color w:val="000000"/>
                <w:kern w:val="0"/>
                <w:sz w:val="24"/>
              </w:rPr>
            </w:pPr>
            <w:r>
              <w:rPr>
                <w:rFonts w:eastAsia="仿宋_GB2312"/>
                <w:color w:val="000000"/>
                <w:kern w:val="0"/>
                <w:sz w:val="24"/>
              </w:rPr>
              <w:t>5476</w:t>
            </w:r>
          </w:p>
        </w:tc>
        <w:tc>
          <w:tcPr>
            <w:tcW w:w="1094" w:type="dxa"/>
            <w:tcBorders>
              <w:top w:val="single" w:color="000000" w:sz="4" w:space="0"/>
              <w:left w:val="single" w:color="000000" w:sz="4" w:space="0"/>
              <w:bottom w:val="single" w:color="000000" w:sz="4" w:space="0"/>
              <w:right w:val="single" w:color="000000" w:sz="4" w:space="0"/>
            </w:tcBorders>
            <w:vAlign w:val="center"/>
          </w:tcPr>
          <w:p w14:paraId="0D17003A">
            <w:pPr>
              <w:widowControl/>
              <w:jc w:val="center"/>
              <w:rPr>
                <w:rFonts w:eastAsia="仿宋_GB2312"/>
                <w:color w:val="000000"/>
                <w:kern w:val="0"/>
                <w:sz w:val="24"/>
              </w:rPr>
            </w:pPr>
            <w:r>
              <w:rPr>
                <w:rFonts w:eastAsia="仿宋_GB2312"/>
                <w:color w:val="000000"/>
                <w:kern w:val="0"/>
                <w:sz w:val="24"/>
              </w:rPr>
              <w:t>6.5</w:t>
            </w:r>
          </w:p>
        </w:tc>
        <w:tc>
          <w:tcPr>
            <w:tcW w:w="1271" w:type="dxa"/>
            <w:tcBorders>
              <w:top w:val="single" w:color="000000" w:sz="4" w:space="0"/>
              <w:left w:val="single" w:color="000000" w:sz="4" w:space="0"/>
              <w:bottom w:val="single" w:color="000000" w:sz="4" w:space="0"/>
              <w:right w:val="single" w:color="000000" w:sz="4" w:space="0"/>
            </w:tcBorders>
            <w:vAlign w:val="center"/>
          </w:tcPr>
          <w:p w14:paraId="23E2687B">
            <w:pPr>
              <w:widowControl/>
              <w:jc w:val="center"/>
              <w:rPr>
                <w:rFonts w:eastAsia="仿宋_GB2312"/>
                <w:color w:val="000000"/>
                <w:kern w:val="0"/>
                <w:sz w:val="24"/>
              </w:rPr>
            </w:pPr>
            <w:r>
              <w:rPr>
                <w:rFonts w:eastAsia="仿宋_GB2312"/>
                <w:color w:val="000000"/>
                <w:kern w:val="0"/>
                <w:sz w:val="24"/>
              </w:rPr>
              <w:t>预期性</w:t>
            </w:r>
          </w:p>
        </w:tc>
        <w:tc>
          <w:tcPr>
            <w:tcW w:w="1553" w:type="dxa"/>
            <w:tcBorders>
              <w:top w:val="single" w:color="000000" w:sz="4" w:space="0"/>
              <w:left w:val="single" w:color="000000" w:sz="4" w:space="0"/>
              <w:bottom w:val="single" w:color="000000" w:sz="4" w:space="0"/>
              <w:right w:val="single" w:color="000000" w:sz="4" w:space="0"/>
            </w:tcBorders>
            <w:vAlign w:val="center"/>
          </w:tcPr>
          <w:p w14:paraId="2875341D">
            <w:pPr>
              <w:widowControl/>
              <w:jc w:val="center"/>
              <w:rPr>
                <w:rFonts w:eastAsia="仿宋_GB2312"/>
                <w:color w:val="000000"/>
                <w:kern w:val="0"/>
                <w:sz w:val="24"/>
              </w:rPr>
            </w:pPr>
            <w:r>
              <w:rPr>
                <w:rFonts w:eastAsia="仿宋_GB2312"/>
                <w:color w:val="000000"/>
                <w:kern w:val="0"/>
                <w:sz w:val="24"/>
              </w:rPr>
              <w:t>接近预期</w:t>
            </w:r>
          </w:p>
        </w:tc>
      </w:tr>
      <w:tr w14:paraId="68C3F560">
        <w:tblPrEx>
          <w:tblCellMar>
            <w:top w:w="15" w:type="dxa"/>
            <w:left w:w="15" w:type="dxa"/>
            <w:bottom w:w="15" w:type="dxa"/>
            <w:right w:w="15" w:type="dxa"/>
          </w:tblCellMar>
        </w:tblPrEx>
        <w:trPr>
          <w:trHeight w:val="340" w:hRule="atLeast"/>
          <w:jc w:val="center"/>
        </w:trPr>
        <w:tc>
          <w:tcPr>
            <w:tcW w:w="604" w:type="dxa"/>
            <w:tcBorders>
              <w:top w:val="single" w:color="000000" w:sz="4" w:space="0"/>
              <w:left w:val="single" w:color="000000" w:sz="4" w:space="0"/>
              <w:bottom w:val="single" w:color="000000" w:sz="4" w:space="0"/>
              <w:right w:val="single" w:color="000000" w:sz="4" w:space="0"/>
            </w:tcBorders>
            <w:vAlign w:val="center"/>
          </w:tcPr>
          <w:p w14:paraId="40CBBD78">
            <w:pPr>
              <w:widowControl/>
              <w:jc w:val="center"/>
              <w:rPr>
                <w:rFonts w:eastAsia="仿宋_GB2312"/>
                <w:color w:val="000000"/>
                <w:kern w:val="0"/>
                <w:sz w:val="24"/>
              </w:rPr>
            </w:pPr>
            <w:r>
              <w:rPr>
                <w:rFonts w:eastAsia="仿宋_GB2312"/>
                <w:color w:val="000000"/>
                <w:kern w:val="0"/>
                <w:sz w:val="24"/>
              </w:rPr>
              <w:t>15</w:t>
            </w:r>
          </w:p>
        </w:tc>
        <w:tc>
          <w:tcPr>
            <w:tcW w:w="632" w:type="dxa"/>
            <w:vMerge w:val="restart"/>
            <w:tcBorders>
              <w:top w:val="single" w:color="000000" w:sz="4" w:space="0"/>
              <w:left w:val="single" w:color="000000" w:sz="4" w:space="0"/>
              <w:right w:val="single" w:color="000000" w:sz="4" w:space="0"/>
            </w:tcBorders>
            <w:vAlign w:val="center"/>
          </w:tcPr>
          <w:p w14:paraId="6E4E547C">
            <w:pPr>
              <w:widowControl/>
              <w:jc w:val="center"/>
              <w:rPr>
                <w:rFonts w:eastAsia="仿宋_GB2312"/>
                <w:color w:val="000000"/>
                <w:kern w:val="0"/>
                <w:sz w:val="24"/>
              </w:rPr>
            </w:pPr>
            <w:r>
              <w:rPr>
                <w:rFonts w:eastAsia="仿宋_GB2312"/>
                <w:color w:val="000000"/>
                <w:kern w:val="0"/>
                <w:sz w:val="24"/>
              </w:rPr>
              <w:t>创新</w:t>
            </w:r>
          </w:p>
          <w:p w14:paraId="2D6C6055">
            <w:pPr>
              <w:widowControl/>
              <w:jc w:val="center"/>
              <w:rPr>
                <w:rFonts w:eastAsia="仿宋_GB2312"/>
                <w:color w:val="000000"/>
                <w:kern w:val="0"/>
                <w:sz w:val="24"/>
              </w:rPr>
            </w:pPr>
            <w:r>
              <w:rPr>
                <w:rFonts w:eastAsia="仿宋_GB2312"/>
                <w:color w:val="000000"/>
                <w:kern w:val="0"/>
                <w:sz w:val="24"/>
              </w:rPr>
              <w:t>开放</w:t>
            </w:r>
          </w:p>
          <w:p w14:paraId="0E246E2D">
            <w:pPr>
              <w:widowControl/>
              <w:jc w:val="left"/>
              <w:rPr>
                <w:rFonts w:eastAsia="仿宋_GB2312"/>
                <w:color w:val="000000"/>
                <w:kern w:val="0"/>
                <w:sz w:val="24"/>
              </w:rPr>
            </w:pPr>
            <w:r>
              <w:rPr>
                <w:rFonts w:eastAsia="仿宋_GB2312"/>
                <w:color w:val="000000"/>
                <w:kern w:val="0"/>
                <w:sz w:val="24"/>
              </w:rPr>
              <w:t>指标</w:t>
            </w:r>
          </w:p>
        </w:tc>
        <w:tc>
          <w:tcPr>
            <w:tcW w:w="1684" w:type="dxa"/>
            <w:gridSpan w:val="2"/>
            <w:tcBorders>
              <w:top w:val="single" w:color="000000" w:sz="4" w:space="0"/>
              <w:left w:val="single" w:color="000000" w:sz="4" w:space="0"/>
              <w:bottom w:val="single" w:color="000000" w:sz="4" w:space="0"/>
              <w:right w:val="single" w:color="000000" w:sz="4" w:space="0"/>
            </w:tcBorders>
            <w:vAlign w:val="bottom"/>
          </w:tcPr>
          <w:p w14:paraId="19F273D5">
            <w:pPr>
              <w:widowControl/>
              <w:jc w:val="center"/>
              <w:rPr>
                <w:rFonts w:eastAsia="仿宋_GB2312"/>
                <w:color w:val="000000"/>
                <w:kern w:val="0"/>
                <w:sz w:val="24"/>
              </w:rPr>
            </w:pPr>
            <w:r>
              <w:rPr>
                <w:rFonts w:eastAsia="仿宋_GB2312"/>
                <w:color w:val="000000"/>
                <w:kern w:val="0"/>
                <w:sz w:val="24"/>
              </w:rPr>
              <w:t>实际引进市外资金（亿元）</w:t>
            </w:r>
          </w:p>
        </w:tc>
        <w:tc>
          <w:tcPr>
            <w:tcW w:w="1047" w:type="dxa"/>
            <w:tcBorders>
              <w:top w:val="single" w:color="000000" w:sz="4" w:space="0"/>
              <w:left w:val="single" w:color="000000" w:sz="4" w:space="0"/>
              <w:bottom w:val="single" w:color="000000" w:sz="4" w:space="0"/>
              <w:right w:val="single" w:color="000000" w:sz="4" w:space="0"/>
            </w:tcBorders>
            <w:vAlign w:val="center"/>
          </w:tcPr>
          <w:p w14:paraId="6BC8F1F7">
            <w:pPr>
              <w:widowControl/>
              <w:jc w:val="center"/>
              <w:rPr>
                <w:rFonts w:eastAsia="仿宋_GB2312"/>
                <w:color w:val="000000"/>
                <w:kern w:val="0"/>
                <w:sz w:val="24"/>
              </w:rPr>
            </w:pPr>
            <w:r>
              <w:rPr>
                <w:rFonts w:eastAsia="仿宋_GB2312"/>
                <w:color w:val="000000"/>
                <w:kern w:val="0"/>
                <w:sz w:val="24"/>
              </w:rPr>
              <w:t>73</w:t>
            </w:r>
          </w:p>
        </w:tc>
        <w:tc>
          <w:tcPr>
            <w:tcW w:w="1043" w:type="dxa"/>
            <w:tcBorders>
              <w:top w:val="single" w:color="000000" w:sz="4" w:space="0"/>
              <w:left w:val="single" w:color="000000" w:sz="4" w:space="0"/>
              <w:bottom w:val="single" w:color="000000" w:sz="4" w:space="0"/>
              <w:right w:val="single" w:color="000000" w:sz="4" w:space="0"/>
            </w:tcBorders>
            <w:vAlign w:val="center"/>
          </w:tcPr>
          <w:p w14:paraId="6BE7D4B3">
            <w:pPr>
              <w:widowControl/>
              <w:jc w:val="center"/>
              <w:rPr>
                <w:rFonts w:eastAsia="仿宋_GB2312"/>
                <w:color w:val="000000"/>
                <w:kern w:val="0"/>
                <w:sz w:val="24"/>
              </w:rPr>
            </w:pPr>
          </w:p>
        </w:tc>
        <w:tc>
          <w:tcPr>
            <w:tcW w:w="801" w:type="dxa"/>
            <w:tcBorders>
              <w:top w:val="single" w:color="000000" w:sz="4" w:space="0"/>
              <w:left w:val="single" w:color="000000" w:sz="4" w:space="0"/>
              <w:bottom w:val="single" w:color="000000" w:sz="4" w:space="0"/>
              <w:right w:val="single" w:color="000000" w:sz="4" w:space="0"/>
            </w:tcBorders>
            <w:vAlign w:val="center"/>
          </w:tcPr>
          <w:p w14:paraId="54F641AE">
            <w:pPr>
              <w:widowControl/>
              <w:jc w:val="center"/>
              <w:rPr>
                <w:rFonts w:eastAsia="仿宋_GB2312"/>
                <w:color w:val="000000"/>
                <w:kern w:val="0"/>
                <w:sz w:val="24"/>
              </w:rPr>
            </w:pPr>
            <w:r>
              <w:rPr>
                <w:rFonts w:eastAsia="仿宋_GB2312"/>
                <w:color w:val="000000"/>
                <w:kern w:val="0"/>
                <w:sz w:val="24"/>
              </w:rPr>
              <w:t>80.02</w:t>
            </w:r>
          </w:p>
        </w:tc>
        <w:tc>
          <w:tcPr>
            <w:tcW w:w="1005" w:type="dxa"/>
            <w:tcBorders>
              <w:top w:val="single" w:color="000000" w:sz="4" w:space="0"/>
              <w:left w:val="single" w:color="000000" w:sz="4" w:space="0"/>
              <w:bottom w:val="single" w:color="000000" w:sz="4" w:space="0"/>
              <w:right w:val="single" w:color="000000" w:sz="4" w:space="0"/>
            </w:tcBorders>
            <w:vAlign w:val="center"/>
          </w:tcPr>
          <w:p w14:paraId="106B1554">
            <w:pPr>
              <w:widowControl/>
              <w:jc w:val="center"/>
              <w:rPr>
                <w:rFonts w:eastAsia="仿宋_GB2312"/>
                <w:color w:val="000000"/>
                <w:kern w:val="0"/>
                <w:sz w:val="24"/>
              </w:rPr>
            </w:pPr>
            <w:r>
              <w:rPr>
                <w:rFonts w:eastAsia="仿宋_GB2312"/>
                <w:color w:val="000000"/>
                <w:kern w:val="0"/>
                <w:sz w:val="24"/>
              </w:rPr>
              <w:t>98.28</w:t>
            </w:r>
          </w:p>
        </w:tc>
        <w:tc>
          <w:tcPr>
            <w:tcW w:w="930" w:type="dxa"/>
            <w:tcBorders>
              <w:top w:val="single" w:color="000000" w:sz="4" w:space="0"/>
              <w:left w:val="single" w:color="000000" w:sz="4" w:space="0"/>
              <w:bottom w:val="single" w:color="000000" w:sz="4" w:space="0"/>
              <w:right w:val="single" w:color="000000" w:sz="4" w:space="0"/>
            </w:tcBorders>
            <w:vAlign w:val="center"/>
          </w:tcPr>
          <w:p w14:paraId="7180DA16">
            <w:pPr>
              <w:widowControl/>
              <w:jc w:val="center"/>
              <w:rPr>
                <w:rFonts w:eastAsia="仿宋_GB2312"/>
                <w:color w:val="000000"/>
                <w:kern w:val="0"/>
                <w:sz w:val="24"/>
              </w:rPr>
            </w:pPr>
            <w:r>
              <w:rPr>
                <w:rFonts w:eastAsia="仿宋_GB2312"/>
                <w:color w:val="000000"/>
                <w:kern w:val="0"/>
                <w:sz w:val="24"/>
              </w:rPr>
              <w:t>103.67</w:t>
            </w:r>
          </w:p>
        </w:tc>
        <w:tc>
          <w:tcPr>
            <w:tcW w:w="907" w:type="dxa"/>
            <w:tcBorders>
              <w:top w:val="single" w:color="000000" w:sz="4" w:space="0"/>
              <w:left w:val="single" w:color="000000" w:sz="4" w:space="0"/>
              <w:bottom w:val="single" w:color="000000" w:sz="4" w:space="0"/>
              <w:right w:val="single" w:color="000000" w:sz="4" w:space="0"/>
            </w:tcBorders>
            <w:vAlign w:val="center"/>
          </w:tcPr>
          <w:p w14:paraId="266AEB58">
            <w:pPr>
              <w:widowControl/>
              <w:jc w:val="center"/>
              <w:rPr>
                <w:rFonts w:eastAsia="仿宋_GB2312"/>
                <w:color w:val="000000"/>
                <w:kern w:val="0"/>
                <w:sz w:val="24"/>
              </w:rPr>
            </w:pPr>
            <w:r>
              <w:rPr>
                <w:rFonts w:eastAsia="仿宋_GB2312"/>
                <w:color w:val="000000"/>
                <w:kern w:val="0"/>
                <w:sz w:val="24"/>
              </w:rPr>
              <w:t>128.22</w:t>
            </w:r>
          </w:p>
        </w:tc>
        <w:tc>
          <w:tcPr>
            <w:tcW w:w="1163" w:type="dxa"/>
            <w:tcBorders>
              <w:top w:val="single" w:color="000000" w:sz="4" w:space="0"/>
              <w:left w:val="single" w:color="000000" w:sz="4" w:space="0"/>
              <w:bottom w:val="single" w:color="000000" w:sz="4" w:space="0"/>
              <w:right w:val="single" w:color="000000" w:sz="4" w:space="0"/>
            </w:tcBorders>
            <w:vAlign w:val="center"/>
          </w:tcPr>
          <w:p w14:paraId="60D59335">
            <w:pPr>
              <w:widowControl/>
              <w:jc w:val="center"/>
              <w:rPr>
                <w:rFonts w:eastAsia="仿宋_GB2312"/>
                <w:color w:val="000000"/>
                <w:kern w:val="0"/>
                <w:sz w:val="24"/>
              </w:rPr>
            </w:pPr>
            <w:r>
              <w:rPr>
                <w:rFonts w:eastAsia="仿宋_GB2312"/>
                <w:color w:val="000000"/>
                <w:kern w:val="0"/>
                <w:sz w:val="24"/>
              </w:rPr>
              <w:t>149.53</w:t>
            </w:r>
          </w:p>
        </w:tc>
        <w:tc>
          <w:tcPr>
            <w:tcW w:w="1298" w:type="dxa"/>
            <w:tcBorders>
              <w:top w:val="single" w:color="000000" w:sz="4" w:space="0"/>
              <w:left w:val="single" w:color="000000" w:sz="4" w:space="0"/>
              <w:bottom w:val="single" w:color="000000" w:sz="4" w:space="0"/>
              <w:right w:val="single" w:color="000000" w:sz="4" w:space="0"/>
            </w:tcBorders>
            <w:vAlign w:val="center"/>
          </w:tcPr>
          <w:p w14:paraId="54DC2650">
            <w:pPr>
              <w:widowControl/>
              <w:jc w:val="center"/>
              <w:rPr>
                <w:rFonts w:eastAsia="仿宋_GB2312"/>
                <w:color w:val="000000"/>
                <w:kern w:val="0"/>
                <w:sz w:val="24"/>
              </w:rPr>
            </w:pPr>
            <w:r>
              <w:rPr>
                <w:rFonts w:eastAsia="仿宋_GB2312"/>
                <w:color w:val="000000"/>
                <w:kern w:val="0"/>
                <w:sz w:val="24"/>
              </w:rPr>
              <w:t>130</w:t>
            </w:r>
          </w:p>
        </w:tc>
        <w:tc>
          <w:tcPr>
            <w:tcW w:w="1094" w:type="dxa"/>
            <w:tcBorders>
              <w:top w:val="single" w:color="000000" w:sz="4" w:space="0"/>
              <w:left w:val="single" w:color="000000" w:sz="4" w:space="0"/>
              <w:bottom w:val="single" w:color="000000" w:sz="4" w:space="0"/>
              <w:right w:val="single" w:color="000000" w:sz="4" w:space="0"/>
            </w:tcBorders>
            <w:vAlign w:val="center"/>
          </w:tcPr>
          <w:p w14:paraId="2B719146">
            <w:pPr>
              <w:widowControl/>
              <w:jc w:val="center"/>
              <w:rPr>
                <w:rFonts w:eastAsia="仿宋_GB2312"/>
                <w:color w:val="000000"/>
                <w:kern w:val="0"/>
                <w:sz w:val="24"/>
              </w:rPr>
            </w:pPr>
            <w:r>
              <w:rPr>
                <w:rFonts w:eastAsia="仿宋_GB2312"/>
                <w:color w:val="000000"/>
                <w:kern w:val="0"/>
                <w:sz w:val="24"/>
              </w:rPr>
              <w:t>13.4</w:t>
            </w:r>
          </w:p>
        </w:tc>
        <w:tc>
          <w:tcPr>
            <w:tcW w:w="1271" w:type="dxa"/>
            <w:tcBorders>
              <w:top w:val="single" w:color="000000" w:sz="4" w:space="0"/>
              <w:left w:val="single" w:color="000000" w:sz="4" w:space="0"/>
              <w:bottom w:val="single" w:color="000000" w:sz="4" w:space="0"/>
              <w:right w:val="single" w:color="000000" w:sz="4" w:space="0"/>
            </w:tcBorders>
            <w:vAlign w:val="center"/>
          </w:tcPr>
          <w:p w14:paraId="12DD9B7D">
            <w:pPr>
              <w:widowControl/>
              <w:jc w:val="center"/>
              <w:rPr>
                <w:rFonts w:eastAsia="仿宋_GB2312"/>
                <w:color w:val="000000"/>
                <w:kern w:val="0"/>
                <w:sz w:val="24"/>
              </w:rPr>
            </w:pPr>
            <w:r>
              <w:rPr>
                <w:rFonts w:eastAsia="仿宋_GB2312"/>
                <w:color w:val="000000"/>
                <w:kern w:val="0"/>
                <w:sz w:val="24"/>
              </w:rPr>
              <w:t>预期性</w:t>
            </w:r>
          </w:p>
        </w:tc>
        <w:tc>
          <w:tcPr>
            <w:tcW w:w="1553" w:type="dxa"/>
            <w:tcBorders>
              <w:top w:val="single" w:color="000000" w:sz="4" w:space="0"/>
              <w:left w:val="single" w:color="000000" w:sz="4" w:space="0"/>
              <w:bottom w:val="single" w:color="000000" w:sz="4" w:space="0"/>
              <w:right w:val="single" w:color="000000" w:sz="4" w:space="0"/>
            </w:tcBorders>
            <w:vAlign w:val="center"/>
          </w:tcPr>
          <w:p w14:paraId="6D6E584F">
            <w:pPr>
              <w:widowControl/>
              <w:jc w:val="center"/>
              <w:rPr>
                <w:rFonts w:eastAsia="仿宋_GB2312"/>
                <w:color w:val="000000"/>
                <w:kern w:val="0"/>
                <w:sz w:val="24"/>
              </w:rPr>
            </w:pPr>
            <w:r>
              <w:rPr>
                <w:rFonts w:eastAsia="仿宋_GB2312"/>
                <w:color w:val="000000"/>
                <w:kern w:val="0"/>
                <w:sz w:val="24"/>
              </w:rPr>
              <w:t>提前完成</w:t>
            </w:r>
          </w:p>
        </w:tc>
      </w:tr>
      <w:tr w14:paraId="180F50E7">
        <w:tblPrEx>
          <w:tblCellMar>
            <w:top w:w="15" w:type="dxa"/>
            <w:left w:w="15" w:type="dxa"/>
            <w:bottom w:w="15" w:type="dxa"/>
            <w:right w:w="15" w:type="dxa"/>
          </w:tblCellMar>
        </w:tblPrEx>
        <w:trPr>
          <w:trHeight w:val="340" w:hRule="atLeast"/>
          <w:jc w:val="center"/>
        </w:trPr>
        <w:tc>
          <w:tcPr>
            <w:tcW w:w="604" w:type="dxa"/>
            <w:tcBorders>
              <w:top w:val="single" w:color="000000" w:sz="4" w:space="0"/>
              <w:left w:val="single" w:color="000000" w:sz="4" w:space="0"/>
              <w:bottom w:val="single" w:color="000000" w:sz="4" w:space="0"/>
              <w:right w:val="single" w:color="000000" w:sz="4" w:space="0"/>
            </w:tcBorders>
            <w:vAlign w:val="center"/>
          </w:tcPr>
          <w:p w14:paraId="71C3E7B9">
            <w:pPr>
              <w:widowControl/>
              <w:jc w:val="center"/>
              <w:rPr>
                <w:rFonts w:eastAsia="仿宋_GB2312"/>
                <w:color w:val="000000"/>
                <w:kern w:val="0"/>
                <w:sz w:val="24"/>
              </w:rPr>
            </w:pPr>
            <w:r>
              <w:rPr>
                <w:rFonts w:eastAsia="仿宋_GB2312"/>
                <w:color w:val="000000"/>
                <w:kern w:val="0"/>
                <w:sz w:val="24"/>
              </w:rPr>
              <w:t>16</w:t>
            </w:r>
          </w:p>
        </w:tc>
        <w:tc>
          <w:tcPr>
            <w:tcW w:w="632" w:type="dxa"/>
            <w:vMerge w:val="continue"/>
            <w:tcBorders>
              <w:left w:val="single" w:color="000000" w:sz="4" w:space="0"/>
              <w:bottom w:val="single" w:color="000000" w:sz="4" w:space="0"/>
              <w:right w:val="single" w:color="000000" w:sz="4" w:space="0"/>
            </w:tcBorders>
            <w:vAlign w:val="center"/>
          </w:tcPr>
          <w:p w14:paraId="4635D5FB">
            <w:pPr>
              <w:widowControl/>
              <w:jc w:val="left"/>
              <w:rPr>
                <w:rFonts w:eastAsia="仿宋_GB2312"/>
                <w:color w:val="000000"/>
                <w:kern w:val="0"/>
                <w:sz w:val="24"/>
              </w:rPr>
            </w:pPr>
          </w:p>
        </w:tc>
        <w:tc>
          <w:tcPr>
            <w:tcW w:w="1684" w:type="dxa"/>
            <w:gridSpan w:val="2"/>
            <w:tcBorders>
              <w:top w:val="single" w:color="000000" w:sz="4" w:space="0"/>
              <w:left w:val="single" w:color="000000" w:sz="4" w:space="0"/>
              <w:bottom w:val="single" w:color="000000" w:sz="4" w:space="0"/>
              <w:right w:val="single" w:color="000000" w:sz="4" w:space="0"/>
            </w:tcBorders>
            <w:vAlign w:val="center"/>
          </w:tcPr>
          <w:p w14:paraId="4C9D845D">
            <w:pPr>
              <w:widowControl/>
              <w:jc w:val="center"/>
              <w:rPr>
                <w:rFonts w:eastAsia="仿宋_GB2312"/>
                <w:color w:val="000000"/>
                <w:kern w:val="0"/>
                <w:sz w:val="24"/>
              </w:rPr>
            </w:pPr>
            <w:r>
              <w:rPr>
                <w:rFonts w:eastAsia="仿宋_GB2312"/>
                <w:color w:val="000000"/>
                <w:kern w:val="0"/>
                <w:sz w:val="24"/>
              </w:rPr>
              <w:t>旅游总收入</w:t>
            </w:r>
          </w:p>
          <w:p w14:paraId="1AEABB16">
            <w:pPr>
              <w:widowControl/>
              <w:jc w:val="center"/>
              <w:rPr>
                <w:rFonts w:eastAsia="仿宋_GB2312"/>
                <w:color w:val="000000"/>
                <w:kern w:val="0"/>
                <w:sz w:val="24"/>
              </w:rPr>
            </w:pPr>
            <w:r>
              <w:rPr>
                <w:rFonts w:eastAsia="仿宋_GB2312"/>
                <w:color w:val="000000"/>
                <w:kern w:val="0"/>
                <w:sz w:val="24"/>
              </w:rPr>
              <w:t>（亿元）</w:t>
            </w:r>
          </w:p>
        </w:tc>
        <w:tc>
          <w:tcPr>
            <w:tcW w:w="1047" w:type="dxa"/>
            <w:tcBorders>
              <w:top w:val="single" w:color="000000" w:sz="4" w:space="0"/>
              <w:left w:val="single" w:color="000000" w:sz="4" w:space="0"/>
              <w:bottom w:val="single" w:color="000000" w:sz="4" w:space="0"/>
              <w:right w:val="single" w:color="000000" w:sz="4" w:space="0"/>
            </w:tcBorders>
            <w:vAlign w:val="center"/>
          </w:tcPr>
          <w:p w14:paraId="362BBD44">
            <w:pPr>
              <w:widowControl/>
              <w:jc w:val="center"/>
              <w:rPr>
                <w:rFonts w:eastAsia="仿宋_GB2312"/>
                <w:color w:val="000000"/>
                <w:kern w:val="0"/>
                <w:sz w:val="24"/>
              </w:rPr>
            </w:pPr>
            <w:r>
              <w:rPr>
                <w:rFonts w:eastAsia="仿宋_GB2312"/>
                <w:color w:val="000000"/>
                <w:kern w:val="0"/>
                <w:sz w:val="24"/>
              </w:rPr>
              <w:t>—</w:t>
            </w:r>
          </w:p>
        </w:tc>
        <w:tc>
          <w:tcPr>
            <w:tcW w:w="1043" w:type="dxa"/>
            <w:tcBorders>
              <w:top w:val="single" w:color="000000" w:sz="4" w:space="0"/>
              <w:left w:val="single" w:color="000000" w:sz="4" w:space="0"/>
              <w:bottom w:val="single" w:color="000000" w:sz="4" w:space="0"/>
              <w:right w:val="single" w:color="000000" w:sz="4" w:space="0"/>
            </w:tcBorders>
            <w:vAlign w:val="center"/>
          </w:tcPr>
          <w:p w14:paraId="097D1D1F">
            <w:pPr>
              <w:widowControl/>
              <w:jc w:val="center"/>
              <w:rPr>
                <w:rFonts w:eastAsia="仿宋_GB2312"/>
                <w:color w:val="000000"/>
                <w:kern w:val="0"/>
                <w:sz w:val="24"/>
              </w:rPr>
            </w:pPr>
            <w:r>
              <w:rPr>
                <w:rFonts w:eastAsia="仿宋_GB2312"/>
                <w:color w:val="000000"/>
                <w:kern w:val="0"/>
                <w:sz w:val="24"/>
              </w:rPr>
              <w:t>15.84</w:t>
            </w:r>
          </w:p>
        </w:tc>
        <w:tc>
          <w:tcPr>
            <w:tcW w:w="801" w:type="dxa"/>
            <w:tcBorders>
              <w:top w:val="single" w:color="000000" w:sz="4" w:space="0"/>
              <w:left w:val="single" w:color="000000" w:sz="4" w:space="0"/>
              <w:bottom w:val="single" w:color="000000" w:sz="4" w:space="0"/>
              <w:right w:val="single" w:color="000000" w:sz="4" w:space="0"/>
            </w:tcBorders>
            <w:vAlign w:val="center"/>
          </w:tcPr>
          <w:p w14:paraId="1C75216A">
            <w:pPr>
              <w:widowControl/>
              <w:jc w:val="center"/>
              <w:rPr>
                <w:rFonts w:eastAsia="仿宋_GB2312"/>
                <w:color w:val="000000"/>
                <w:kern w:val="0"/>
                <w:sz w:val="24"/>
              </w:rPr>
            </w:pPr>
            <w:r>
              <w:rPr>
                <w:rFonts w:eastAsia="仿宋_GB2312"/>
                <w:color w:val="000000"/>
                <w:kern w:val="0"/>
                <w:sz w:val="24"/>
              </w:rPr>
              <w:t>147.18</w:t>
            </w:r>
          </w:p>
        </w:tc>
        <w:tc>
          <w:tcPr>
            <w:tcW w:w="1005" w:type="dxa"/>
            <w:tcBorders>
              <w:top w:val="single" w:color="000000" w:sz="4" w:space="0"/>
              <w:left w:val="single" w:color="000000" w:sz="4" w:space="0"/>
              <w:bottom w:val="single" w:color="000000" w:sz="4" w:space="0"/>
              <w:right w:val="single" w:color="000000" w:sz="4" w:space="0"/>
            </w:tcBorders>
            <w:vAlign w:val="center"/>
          </w:tcPr>
          <w:p w14:paraId="5EE24110">
            <w:pPr>
              <w:widowControl/>
              <w:jc w:val="center"/>
              <w:rPr>
                <w:rFonts w:eastAsia="仿宋_GB2312"/>
                <w:color w:val="000000"/>
                <w:kern w:val="0"/>
                <w:sz w:val="24"/>
              </w:rPr>
            </w:pPr>
            <w:r>
              <w:rPr>
                <w:rFonts w:eastAsia="仿宋_GB2312"/>
                <w:color w:val="000000"/>
                <w:kern w:val="0"/>
                <w:sz w:val="24"/>
              </w:rPr>
              <w:t>210.47</w:t>
            </w:r>
          </w:p>
        </w:tc>
        <w:tc>
          <w:tcPr>
            <w:tcW w:w="930" w:type="dxa"/>
            <w:tcBorders>
              <w:top w:val="single" w:color="000000" w:sz="4" w:space="0"/>
              <w:left w:val="single" w:color="000000" w:sz="4" w:space="0"/>
              <w:bottom w:val="single" w:color="000000" w:sz="4" w:space="0"/>
              <w:right w:val="single" w:color="000000" w:sz="4" w:space="0"/>
            </w:tcBorders>
            <w:vAlign w:val="center"/>
          </w:tcPr>
          <w:p w14:paraId="53106F9D">
            <w:pPr>
              <w:widowControl/>
              <w:jc w:val="center"/>
              <w:rPr>
                <w:rFonts w:eastAsia="仿宋_GB2312"/>
                <w:color w:val="000000"/>
                <w:kern w:val="0"/>
                <w:sz w:val="24"/>
              </w:rPr>
            </w:pPr>
            <w:r>
              <w:rPr>
                <w:rFonts w:eastAsia="仿宋_GB2312"/>
                <w:color w:val="000000"/>
                <w:kern w:val="0"/>
                <w:sz w:val="24"/>
              </w:rPr>
              <w:t>288.29</w:t>
            </w:r>
          </w:p>
        </w:tc>
        <w:tc>
          <w:tcPr>
            <w:tcW w:w="907" w:type="dxa"/>
            <w:tcBorders>
              <w:top w:val="single" w:color="000000" w:sz="4" w:space="0"/>
              <w:left w:val="single" w:color="000000" w:sz="4" w:space="0"/>
              <w:bottom w:val="single" w:color="000000" w:sz="4" w:space="0"/>
              <w:right w:val="single" w:color="000000" w:sz="4" w:space="0"/>
            </w:tcBorders>
            <w:vAlign w:val="center"/>
          </w:tcPr>
          <w:p w14:paraId="2F8D6446">
            <w:pPr>
              <w:widowControl/>
              <w:jc w:val="center"/>
              <w:rPr>
                <w:rFonts w:eastAsia="仿宋_GB2312"/>
                <w:color w:val="000000"/>
                <w:kern w:val="0"/>
                <w:sz w:val="24"/>
              </w:rPr>
            </w:pPr>
            <w:r>
              <w:rPr>
                <w:rFonts w:eastAsia="仿宋_GB2312"/>
                <w:color w:val="000000"/>
                <w:kern w:val="0"/>
                <w:sz w:val="24"/>
              </w:rPr>
              <w:t>360.38</w:t>
            </w:r>
          </w:p>
        </w:tc>
        <w:tc>
          <w:tcPr>
            <w:tcW w:w="1163" w:type="dxa"/>
            <w:tcBorders>
              <w:top w:val="single" w:color="000000" w:sz="4" w:space="0"/>
              <w:left w:val="single" w:color="000000" w:sz="4" w:space="0"/>
              <w:bottom w:val="single" w:color="000000" w:sz="4" w:space="0"/>
              <w:right w:val="single" w:color="000000" w:sz="4" w:space="0"/>
            </w:tcBorders>
            <w:vAlign w:val="center"/>
          </w:tcPr>
          <w:p w14:paraId="3AFC9902">
            <w:pPr>
              <w:widowControl/>
              <w:jc w:val="center"/>
              <w:rPr>
                <w:rFonts w:eastAsia="仿宋_GB2312"/>
                <w:color w:val="000000"/>
                <w:kern w:val="0"/>
                <w:sz w:val="24"/>
              </w:rPr>
            </w:pPr>
            <w:r>
              <w:rPr>
                <w:rFonts w:eastAsia="仿宋_GB2312"/>
                <w:color w:val="000000"/>
                <w:kern w:val="0"/>
                <w:sz w:val="24"/>
              </w:rPr>
              <w:t>243.95</w:t>
            </w:r>
          </w:p>
        </w:tc>
        <w:tc>
          <w:tcPr>
            <w:tcW w:w="1298" w:type="dxa"/>
            <w:tcBorders>
              <w:top w:val="single" w:color="000000" w:sz="4" w:space="0"/>
              <w:left w:val="single" w:color="000000" w:sz="4" w:space="0"/>
              <w:bottom w:val="single" w:color="000000" w:sz="4" w:space="0"/>
              <w:right w:val="single" w:color="000000" w:sz="4" w:space="0"/>
            </w:tcBorders>
            <w:vAlign w:val="center"/>
          </w:tcPr>
          <w:p w14:paraId="2CC2BED5">
            <w:pPr>
              <w:widowControl/>
              <w:jc w:val="center"/>
              <w:rPr>
                <w:rFonts w:eastAsia="仿宋_GB2312"/>
                <w:color w:val="000000"/>
                <w:kern w:val="0"/>
                <w:sz w:val="24"/>
              </w:rPr>
            </w:pPr>
            <w:r>
              <w:rPr>
                <w:rFonts w:eastAsia="仿宋_GB2312"/>
                <w:color w:val="000000"/>
                <w:kern w:val="0"/>
                <w:sz w:val="24"/>
              </w:rPr>
              <w:t>—</w:t>
            </w:r>
          </w:p>
        </w:tc>
        <w:tc>
          <w:tcPr>
            <w:tcW w:w="1094" w:type="dxa"/>
            <w:tcBorders>
              <w:top w:val="single" w:color="000000" w:sz="4" w:space="0"/>
              <w:left w:val="single" w:color="000000" w:sz="4" w:space="0"/>
              <w:bottom w:val="single" w:color="000000" w:sz="4" w:space="0"/>
              <w:right w:val="single" w:color="000000" w:sz="4" w:space="0"/>
            </w:tcBorders>
            <w:vAlign w:val="center"/>
          </w:tcPr>
          <w:p w14:paraId="11AF95F7">
            <w:pPr>
              <w:widowControl/>
              <w:jc w:val="center"/>
              <w:rPr>
                <w:rFonts w:eastAsia="仿宋_GB2312"/>
                <w:color w:val="000000"/>
                <w:kern w:val="0"/>
                <w:sz w:val="24"/>
              </w:rPr>
            </w:pPr>
            <w:r>
              <w:rPr>
                <w:rFonts w:eastAsia="仿宋_GB2312"/>
                <w:color w:val="000000"/>
                <w:kern w:val="0"/>
                <w:sz w:val="24"/>
              </w:rPr>
              <w:t>15</w:t>
            </w:r>
          </w:p>
        </w:tc>
        <w:tc>
          <w:tcPr>
            <w:tcW w:w="1271" w:type="dxa"/>
            <w:tcBorders>
              <w:top w:val="single" w:color="000000" w:sz="4" w:space="0"/>
              <w:left w:val="single" w:color="000000" w:sz="4" w:space="0"/>
              <w:bottom w:val="single" w:color="000000" w:sz="4" w:space="0"/>
              <w:right w:val="single" w:color="000000" w:sz="4" w:space="0"/>
            </w:tcBorders>
            <w:vAlign w:val="center"/>
          </w:tcPr>
          <w:p w14:paraId="327767AE">
            <w:pPr>
              <w:widowControl/>
              <w:jc w:val="center"/>
              <w:rPr>
                <w:rFonts w:eastAsia="仿宋_GB2312"/>
                <w:color w:val="000000"/>
                <w:kern w:val="0"/>
                <w:sz w:val="24"/>
              </w:rPr>
            </w:pPr>
            <w:r>
              <w:rPr>
                <w:rFonts w:eastAsia="仿宋_GB2312"/>
                <w:color w:val="000000"/>
                <w:kern w:val="0"/>
                <w:sz w:val="24"/>
              </w:rPr>
              <w:t>预期性</w:t>
            </w:r>
          </w:p>
        </w:tc>
        <w:tc>
          <w:tcPr>
            <w:tcW w:w="1553" w:type="dxa"/>
            <w:tcBorders>
              <w:top w:val="single" w:color="000000" w:sz="4" w:space="0"/>
              <w:left w:val="single" w:color="000000" w:sz="4" w:space="0"/>
              <w:bottom w:val="single" w:color="000000" w:sz="4" w:space="0"/>
              <w:right w:val="single" w:color="000000" w:sz="4" w:space="0"/>
            </w:tcBorders>
            <w:vAlign w:val="center"/>
          </w:tcPr>
          <w:p w14:paraId="679A3393">
            <w:pPr>
              <w:widowControl/>
              <w:jc w:val="center"/>
              <w:rPr>
                <w:rFonts w:eastAsia="仿宋_GB2312"/>
                <w:color w:val="000000"/>
                <w:kern w:val="0"/>
                <w:sz w:val="24"/>
              </w:rPr>
            </w:pPr>
            <w:r>
              <w:rPr>
                <w:rFonts w:eastAsia="仿宋_GB2312"/>
                <w:color w:val="000000"/>
                <w:kern w:val="0"/>
                <w:sz w:val="24"/>
              </w:rPr>
              <w:t>提前完成</w:t>
            </w:r>
          </w:p>
        </w:tc>
      </w:tr>
      <w:tr w14:paraId="3D5E9F54">
        <w:tblPrEx>
          <w:tblCellMar>
            <w:top w:w="15" w:type="dxa"/>
            <w:left w:w="15" w:type="dxa"/>
            <w:bottom w:w="15" w:type="dxa"/>
            <w:right w:w="15" w:type="dxa"/>
          </w:tblCellMar>
        </w:tblPrEx>
        <w:trPr>
          <w:trHeight w:val="340" w:hRule="atLeast"/>
          <w:jc w:val="center"/>
        </w:trPr>
        <w:tc>
          <w:tcPr>
            <w:tcW w:w="604" w:type="dxa"/>
            <w:tcBorders>
              <w:top w:val="single" w:color="000000" w:sz="4" w:space="0"/>
              <w:left w:val="single" w:color="000000" w:sz="4" w:space="0"/>
              <w:bottom w:val="single" w:color="000000" w:sz="4" w:space="0"/>
              <w:right w:val="single" w:color="000000" w:sz="4" w:space="0"/>
            </w:tcBorders>
            <w:vAlign w:val="center"/>
          </w:tcPr>
          <w:p w14:paraId="5398CB05">
            <w:pPr>
              <w:widowControl/>
              <w:jc w:val="center"/>
              <w:rPr>
                <w:rFonts w:eastAsia="仿宋_GB2312"/>
                <w:color w:val="000000"/>
                <w:kern w:val="0"/>
                <w:sz w:val="24"/>
              </w:rPr>
            </w:pPr>
            <w:r>
              <w:rPr>
                <w:rFonts w:eastAsia="仿宋_GB2312"/>
                <w:color w:val="000000"/>
                <w:kern w:val="0"/>
                <w:sz w:val="24"/>
              </w:rPr>
              <w:t>17</w:t>
            </w:r>
          </w:p>
        </w:tc>
        <w:tc>
          <w:tcPr>
            <w:tcW w:w="632" w:type="dxa"/>
            <w:vMerge w:val="restart"/>
            <w:tcBorders>
              <w:top w:val="single" w:color="000000" w:sz="4" w:space="0"/>
              <w:left w:val="single" w:color="000000" w:sz="4" w:space="0"/>
              <w:bottom w:val="single" w:color="000000" w:sz="4" w:space="0"/>
              <w:right w:val="single" w:color="000000" w:sz="4" w:space="0"/>
            </w:tcBorders>
            <w:vAlign w:val="center"/>
          </w:tcPr>
          <w:p w14:paraId="23D06C71">
            <w:pPr>
              <w:widowControl/>
              <w:jc w:val="center"/>
              <w:rPr>
                <w:rFonts w:eastAsia="仿宋_GB2312"/>
                <w:color w:val="000000"/>
                <w:kern w:val="0"/>
                <w:sz w:val="24"/>
              </w:rPr>
            </w:pPr>
            <w:r>
              <w:rPr>
                <w:rFonts w:eastAsia="仿宋_GB2312"/>
                <w:color w:val="000000"/>
                <w:kern w:val="0"/>
                <w:sz w:val="24"/>
              </w:rPr>
              <w:t>文明幸福指标</w:t>
            </w:r>
          </w:p>
        </w:tc>
        <w:tc>
          <w:tcPr>
            <w:tcW w:w="1684" w:type="dxa"/>
            <w:gridSpan w:val="2"/>
            <w:tcBorders>
              <w:top w:val="single" w:color="000000" w:sz="4" w:space="0"/>
              <w:left w:val="single" w:color="000000" w:sz="4" w:space="0"/>
              <w:bottom w:val="single" w:color="000000" w:sz="4" w:space="0"/>
              <w:right w:val="single" w:color="000000" w:sz="4" w:space="0"/>
            </w:tcBorders>
            <w:vAlign w:val="center"/>
          </w:tcPr>
          <w:p w14:paraId="211A6B4B">
            <w:pPr>
              <w:widowControl/>
              <w:jc w:val="center"/>
              <w:rPr>
                <w:rFonts w:eastAsia="仿宋_GB2312"/>
                <w:color w:val="000000"/>
                <w:kern w:val="0"/>
                <w:sz w:val="24"/>
              </w:rPr>
            </w:pPr>
            <w:r>
              <w:rPr>
                <w:rFonts w:eastAsia="仿宋_GB2312"/>
                <w:color w:val="000000"/>
                <w:kern w:val="0"/>
                <w:sz w:val="24"/>
              </w:rPr>
              <w:t>人均受教育年限（年）</w:t>
            </w:r>
          </w:p>
        </w:tc>
        <w:tc>
          <w:tcPr>
            <w:tcW w:w="1047" w:type="dxa"/>
            <w:tcBorders>
              <w:top w:val="single" w:color="000000" w:sz="4" w:space="0"/>
              <w:left w:val="single" w:color="000000" w:sz="4" w:space="0"/>
              <w:bottom w:val="single" w:color="000000" w:sz="4" w:space="0"/>
              <w:right w:val="single" w:color="000000" w:sz="4" w:space="0"/>
            </w:tcBorders>
            <w:vAlign w:val="center"/>
          </w:tcPr>
          <w:p w14:paraId="2E9D9391">
            <w:pPr>
              <w:widowControl/>
              <w:jc w:val="center"/>
              <w:rPr>
                <w:rFonts w:eastAsia="仿宋_GB2312"/>
                <w:color w:val="000000"/>
                <w:kern w:val="0"/>
                <w:sz w:val="24"/>
              </w:rPr>
            </w:pPr>
            <w:r>
              <w:rPr>
                <w:rFonts w:eastAsia="仿宋_GB2312"/>
                <w:color w:val="000000"/>
                <w:kern w:val="0"/>
                <w:sz w:val="24"/>
              </w:rPr>
              <w:t>≥11</w:t>
            </w:r>
          </w:p>
        </w:tc>
        <w:tc>
          <w:tcPr>
            <w:tcW w:w="1043" w:type="dxa"/>
            <w:tcBorders>
              <w:top w:val="single" w:color="000000" w:sz="4" w:space="0"/>
              <w:left w:val="single" w:color="000000" w:sz="4" w:space="0"/>
              <w:bottom w:val="single" w:color="000000" w:sz="4" w:space="0"/>
              <w:right w:val="single" w:color="000000" w:sz="4" w:space="0"/>
            </w:tcBorders>
            <w:vAlign w:val="center"/>
          </w:tcPr>
          <w:p w14:paraId="0C3CF6EC">
            <w:pPr>
              <w:widowControl/>
              <w:jc w:val="center"/>
              <w:rPr>
                <w:rFonts w:eastAsia="仿宋_GB2312"/>
                <w:color w:val="000000"/>
                <w:kern w:val="0"/>
                <w:sz w:val="24"/>
              </w:rPr>
            </w:pPr>
          </w:p>
        </w:tc>
        <w:tc>
          <w:tcPr>
            <w:tcW w:w="801" w:type="dxa"/>
            <w:tcBorders>
              <w:top w:val="single" w:color="000000" w:sz="4" w:space="0"/>
              <w:left w:val="single" w:color="000000" w:sz="4" w:space="0"/>
              <w:bottom w:val="single" w:color="000000" w:sz="4" w:space="0"/>
              <w:right w:val="single" w:color="000000" w:sz="4" w:space="0"/>
            </w:tcBorders>
            <w:vAlign w:val="center"/>
          </w:tcPr>
          <w:p w14:paraId="66D70A84">
            <w:pPr>
              <w:widowControl/>
              <w:jc w:val="center"/>
              <w:rPr>
                <w:rFonts w:eastAsia="仿宋_GB2312"/>
                <w:color w:val="000000"/>
                <w:kern w:val="0"/>
                <w:sz w:val="24"/>
              </w:rPr>
            </w:pPr>
            <w:r>
              <w:rPr>
                <w:rFonts w:eastAsia="仿宋_GB2312"/>
                <w:color w:val="000000"/>
                <w:kern w:val="0"/>
                <w:sz w:val="24"/>
              </w:rPr>
              <w:t>11</w:t>
            </w:r>
          </w:p>
        </w:tc>
        <w:tc>
          <w:tcPr>
            <w:tcW w:w="1005" w:type="dxa"/>
            <w:tcBorders>
              <w:top w:val="single" w:color="000000" w:sz="4" w:space="0"/>
              <w:left w:val="single" w:color="000000" w:sz="4" w:space="0"/>
              <w:bottom w:val="single" w:color="000000" w:sz="4" w:space="0"/>
              <w:right w:val="single" w:color="000000" w:sz="4" w:space="0"/>
            </w:tcBorders>
            <w:vAlign w:val="center"/>
          </w:tcPr>
          <w:p w14:paraId="7C56A8C3">
            <w:pPr>
              <w:widowControl/>
              <w:jc w:val="center"/>
              <w:rPr>
                <w:rFonts w:eastAsia="仿宋_GB2312"/>
                <w:color w:val="000000"/>
                <w:kern w:val="0"/>
                <w:sz w:val="24"/>
              </w:rPr>
            </w:pPr>
            <w:r>
              <w:rPr>
                <w:rFonts w:eastAsia="仿宋_GB2312"/>
                <w:color w:val="000000"/>
                <w:kern w:val="0"/>
                <w:sz w:val="24"/>
              </w:rPr>
              <w:t>11</w:t>
            </w:r>
          </w:p>
        </w:tc>
        <w:tc>
          <w:tcPr>
            <w:tcW w:w="930" w:type="dxa"/>
            <w:tcBorders>
              <w:top w:val="single" w:color="000000" w:sz="4" w:space="0"/>
              <w:left w:val="single" w:color="000000" w:sz="4" w:space="0"/>
              <w:bottom w:val="single" w:color="000000" w:sz="4" w:space="0"/>
              <w:right w:val="single" w:color="000000" w:sz="4" w:space="0"/>
            </w:tcBorders>
            <w:vAlign w:val="center"/>
          </w:tcPr>
          <w:p w14:paraId="769B286A">
            <w:pPr>
              <w:widowControl/>
              <w:jc w:val="center"/>
              <w:rPr>
                <w:rFonts w:eastAsia="仿宋_GB2312"/>
                <w:color w:val="000000"/>
                <w:kern w:val="0"/>
                <w:sz w:val="24"/>
              </w:rPr>
            </w:pPr>
            <w:r>
              <w:rPr>
                <w:rFonts w:eastAsia="仿宋_GB2312"/>
                <w:color w:val="000000"/>
                <w:kern w:val="0"/>
                <w:sz w:val="24"/>
              </w:rPr>
              <w:t>11</w:t>
            </w:r>
          </w:p>
        </w:tc>
        <w:tc>
          <w:tcPr>
            <w:tcW w:w="907" w:type="dxa"/>
            <w:tcBorders>
              <w:top w:val="single" w:color="000000" w:sz="4" w:space="0"/>
              <w:left w:val="single" w:color="000000" w:sz="4" w:space="0"/>
              <w:bottom w:val="single" w:color="000000" w:sz="4" w:space="0"/>
              <w:right w:val="single" w:color="000000" w:sz="4" w:space="0"/>
            </w:tcBorders>
            <w:vAlign w:val="center"/>
          </w:tcPr>
          <w:p w14:paraId="60702487">
            <w:pPr>
              <w:widowControl/>
              <w:jc w:val="center"/>
              <w:rPr>
                <w:rFonts w:eastAsia="仿宋_GB2312"/>
                <w:color w:val="000000"/>
                <w:kern w:val="0"/>
                <w:sz w:val="24"/>
              </w:rPr>
            </w:pPr>
            <w:r>
              <w:rPr>
                <w:rFonts w:eastAsia="仿宋_GB2312"/>
                <w:color w:val="000000"/>
                <w:kern w:val="0"/>
                <w:sz w:val="24"/>
              </w:rPr>
              <w:t>11</w:t>
            </w:r>
          </w:p>
        </w:tc>
        <w:tc>
          <w:tcPr>
            <w:tcW w:w="1163" w:type="dxa"/>
            <w:tcBorders>
              <w:top w:val="single" w:color="000000" w:sz="4" w:space="0"/>
              <w:left w:val="single" w:color="000000" w:sz="4" w:space="0"/>
              <w:bottom w:val="single" w:color="000000" w:sz="4" w:space="0"/>
              <w:right w:val="single" w:color="000000" w:sz="4" w:space="0"/>
            </w:tcBorders>
            <w:vAlign w:val="center"/>
          </w:tcPr>
          <w:p w14:paraId="0D22E25D">
            <w:pPr>
              <w:widowControl/>
              <w:jc w:val="center"/>
              <w:rPr>
                <w:rFonts w:eastAsia="仿宋_GB2312"/>
                <w:color w:val="000000"/>
                <w:kern w:val="0"/>
                <w:sz w:val="24"/>
              </w:rPr>
            </w:pPr>
            <w:r>
              <w:rPr>
                <w:rFonts w:eastAsia="仿宋_GB2312"/>
                <w:color w:val="000000"/>
                <w:kern w:val="0"/>
                <w:sz w:val="24"/>
              </w:rPr>
              <w:t>11</w:t>
            </w:r>
          </w:p>
        </w:tc>
        <w:tc>
          <w:tcPr>
            <w:tcW w:w="1298" w:type="dxa"/>
            <w:tcBorders>
              <w:top w:val="single" w:color="000000" w:sz="4" w:space="0"/>
              <w:left w:val="single" w:color="000000" w:sz="4" w:space="0"/>
              <w:bottom w:val="single" w:color="000000" w:sz="4" w:space="0"/>
              <w:right w:val="single" w:color="000000" w:sz="4" w:space="0"/>
            </w:tcBorders>
            <w:vAlign w:val="center"/>
          </w:tcPr>
          <w:p w14:paraId="4D46FF46">
            <w:pPr>
              <w:widowControl/>
              <w:jc w:val="center"/>
              <w:rPr>
                <w:rFonts w:eastAsia="仿宋_GB2312"/>
                <w:color w:val="000000"/>
                <w:kern w:val="0"/>
                <w:sz w:val="24"/>
              </w:rPr>
            </w:pPr>
            <w:r>
              <w:rPr>
                <w:rFonts w:eastAsia="仿宋_GB2312"/>
                <w:color w:val="000000"/>
                <w:kern w:val="0"/>
                <w:sz w:val="24"/>
              </w:rPr>
              <w:t>≥11</w:t>
            </w:r>
          </w:p>
        </w:tc>
        <w:tc>
          <w:tcPr>
            <w:tcW w:w="1094" w:type="dxa"/>
            <w:tcBorders>
              <w:top w:val="single" w:color="000000" w:sz="4" w:space="0"/>
              <w:left w:val="single" w:color="000000" w:sz="4" w:space="0"/>
              <w:bottom w:val="single" w:color="000000" w:sz="4" w:space="0"/>
              <w:right w:val="single" w:color="000000" w:sz="4" w:space="0"/>
            </w:tcBorders>
            <w:vAlign w:val="center"/>
          </w:tcPr>
          <w:p w14:paraId="5DCFACB6">
            <w:pPr>
              <w:widowControl/>
              <w:jc w:val="center"/>
              <w:rPr>
                <w:rFonts w:eastAsia="仿宋_GB2312"/>
                <w:color w:val="000000"/>
                <w:kern w:val="0"/>
                <w:sz w:val="24"/>
              </w:rPr>
            </w:pPr>
            <w:r>
              <w:rPr>
                <w:rFonts w:eastAsia="仿宋_GB2312"/>
                <w:color w:val="000000"/>
                <w:kern w:val="0"/>
                <w:sz w:val="24"/>
              </w:rPr>
              <w:t>—</w:t>
            </w:r>
          </w:p>
        </w:tc>
        <w:tc>
          <w:tcPr>
            <w:tcW w:w="1271" w:type="dxa"/>
            <w:tcBorders>
              <w:top w:val="single" w:color="000000" w:sz="4" w:space="0"/>
              <w:left w:val="single" w:color="000000" w:sz="4" w:space="0"/>
              <w:bottom w:val="single" w:color="000000" w:sz="4" w:space="0"/>
              <w:right w:val="single" w:color="000000" w:sz="4" w:space="0"/>
            </w:tcBorders>
            <w:vAlign w:val="center"/>
          </w:tcPr>
          <w:p w14:paraId="3E5123BA">
            <w:pPr>
              <w:widowControl/>
              <w:jc w:val="center"/>
              <w:rPr>
                <w:rFonts w:eastAsia="仿宋_GB2312"/>
                <w:color w:val="000000"/>
                <w:kern w:val="0"/>
                <w:sz w:val="24"/>
              </w:rPr>
            </w:pPr>
            <w:r>
              <w:rPr>
                <w:rFonts w:eastAsia="仿宋_GB2312"/>
                <w:color w:val="000000"/>
                <w:kern w:val="0"/>
                <w:sz w:val="24"/>
              </w:rPr>
              <w:t>约束性</w:t>
            </w:r>
          </w:p>
        </w:tc>
        <w:tc>
          <w:tcPr>
            <w:tcW w:w="1553" w:type="dxa"/>
            <w:tcBorders>
              <w:top w:val="single" w:color="000000" w:sz="4" w:space="0"/>
              <w:left w:val="single" w:color="000000" w:sz="4" w:space="0"/>
              <w:bottom w:val="single" w:color="000000" w:sz="4" w:space="0"/>
              <w:right w:val="single" w:color="000000" w:sz="4" w:space="0"/>
            </w:tcBorders>
            <w:vAlign w:val="center"/>
          </w:tcPr>
          <w:p w14:paraId="352CF470">
            <w:pPr>
              <w:widowControl/>
              <w:jc w:val="center"/>
              <w:rPr>
                <w:rFonts w:eastAsia="仿宋_GB2312"/>
                <w:color w:val="000000"/>
                <w:kern w:val="0"/>
                <w:sz w:val="24"/>
              </w:rPr>
            </w:pPr>
            <w:r>
              <w:rPr>
                <w:rFonts w:eastAsia="仿宋_GB2312"/>
                <w:color w:val="000000"/>
                <w:kern w:val="0"/>
                <w:sz w:val="24"/>
              </w:rPr>
              <w:t>提前完成</w:t>
            </w:r>
          </w:p>
        </w:tc>
      </w:tr>
      <w:tr w14:paraId="587222F4">
        <w:tblPrEx>
          <w:tblCellMar>
            <w:top w:w="15" w:type="dxa"/>
            <w:left w:w="15" w:type="dxa"/>
            <w:bottom w:w="15" w:type="dxa"/>
            <w:right w:w="15" w:type="dxa"/>
          </w:tblCellMar>
        </w:tblPrEx>
        <w:trPr>
          <w:trHeight w:val="340" w:hRule="atLeast"/>
          <w:jc w:val="center"/>
        </w:trPr>
        <w:tc>
          <w:tcPr>
            <w:tcW w:w="604" w:type="dxa"/>
            <w:tcBorders>
              <w:top w:val="single" w:color="000000" w:sz="4" w:space="0"/>
              <w:left w:val="single" w:color="000000" w:sz="4" w:space="0"/>
              <w:bottom w:val="single" w:color="000000" w:sz="4" w:space="0"/>
              <w:right w:val="single" w:color="000000" w:sz="4" w:space="0"/>
            </w:tcBorders>
            <w:vAlign w:val="center"/>
          </w:tcPr>
          <w:p w14:paraId="3CA6DDC6">
            <w:pPr>
              <w:widowControl/>
              <w:jc w:val="center"/>
              <w:rPr>
                <w:rFonts w:eastAsia="仿宋_GB2312"/>
                <w:color w:val="000000"/>
                <w:kern w:val="0"/>
                <w:sz w:val="24"/>
              </w:rPr>
            </w:pPr>
            <w:r>
              <w:rPr>
                <w:rFonts w:eastAsia="仿宋_GB2312"/>
                <w:color w:val="000000"/>
                <w:kern w:val="0"/>
                <w:sz w:val="24"/>
              </w:rPr>
              <w:t>18</w:t>
            </w:r>
          </w:p>
        </w:tc>
        <w:tc>
          <w:tcPr>
            <w:tcW w:w="632" w:type="dxa"/>
            <w:vMerge w:val="continue"/>
            <w:tcBorders>
              <w:top w:val="single" w:color="000000" w:sz="4" w:space="0"/>
              <w:left w:val="single" w:color="000000" w:sz="4" w:space="0"/>
              <w:bottom w:val="single" w:color="000000" w:sz="4" w:space="0"/>
              <w:right w:val="single" w:color="000000" w:sz="4" w:space="0"/>
            </w:tcBorders>
            <w:vAlign w:val="center"/>
          </w:tcPr>
          <w:p w14:paraId="02DBF00F">
            <w:pPr>
              <w:widowControl/>
              <w:jc w:val="left"/>
              <w:rPr>
                <w:rFonts w:eastAsia="仿宋_GB2312"/>
                <w:color w:val="000000"/>
                <w:kern w:val="0"/>
                <w:sz w:val="24"/>
              </w:rPr>
            </w:pPr>
          </w:p>
        </w:tc>
        <w:tc>
          <w:tcPr>
            <w:tcW w:w="1684" w:type="dxa"/>
            <w:gridSpan w:val="2"/>
            <w:tcBorders>
              <w:top w:val="single" w:color="000000" w:sz="4" w:space="0"/>
              <w:left w:val="single" w:color="000000" w:sz="4" w:space="0"/>
              <w:bottom w:val="single" w:color="000000" w:sz="4" w:space="0"/>
              <w:right w:val="single" w:color="000000" w:sz="4" w:space="0"/>
            </w:tcBorders>
            <w:vAlign w:val="center"/>
          </w:tcPr>
          <w:p w14:paraId="70C0F860">
            <w:pPr>
              <w:widowControl/>
              <w:jc w:val="center"/>
              <w:rPr>
                <w:rFonts w:eastAsia="仿宋_GB2312"/>
                <w:color w:val="000000"/>
                <w:kern w:val="0"/>
                <w:sz w:val="24"/>
              </w:rPr>
            </w:pPr>
            <w:r>
              <w:rPr>
                <w:rFonts w:eastAsia="仿宋_GB2312"/>
                <w:color w:val="000000"/>
                <w:kern w:val="0"/>
                <w:sz w:val="24"/>
              </w:rPr>
              <w:t>人口期望寿命（岁）</w:t>
            </w:r>
          </w:p>
        </w:tc>
        <w:tc>
          <w:tcPr>
            <w:tcW w:w="1047" w:type="dxa"/>
            <w:tcBorders>
              <w:top w:val="single" w:color="000000" w:sz="4" w:space="0"/>
              <w:left w:val="single" w:color="000000" w:sz="4" w:space="0"/>
              <w:bottom w:val="single" w:color="000000" w:sz="4" w:space="0"/>
              <w:right w:val="single" w:color="000000" w:sz="4" w:space="0"/>
            </w:tcBorders>
            <w:vAlign w:val="center"/>
          </w:tcPr>
          <w:p w14:paraId="217D2BF4">
            <w:pPr>
              <w:widowControl/>
              <w:jc w:val="center"/>
              <w:rPr>
                <w:rFonts w:eastAsia="仿宋_GB2312"/>
                <w:color w:val="000000"/>
                <w:kern w:val="0"/>
                <w:sz w:val="24"/>
              </w:rPr>
            </w:pPr>
            <w:r>
              <w:rPr>
                <w:rFonts w:eastAsia="仿宋_GB2312"/>
                <w:color w:val="000000"/>
                <w:kern w:val="0"/>
                <w:sz w:val="24"/>
              </w:rPr>
              <w:t>78.2</w:t>
            </w:r>
          </w:p>
        </w:tc>
        <w:tc>
          <w:tcPr>
            <w:tcW w:w="1043" w:type="dxa"/>
            <w:tcBorders>
              <w:top w:val="single" w:color="000000" w:sz="4" w:space="0"/>
              <w:left w:val="single" w:color="000000" w:sz="4" w:space="0"/>
              <w:bottom w:val="single" w:color="000000" w:sz="4" w:space="0"/>
              <w:right w:val="single" w:color="000000" w:sz="4" w:space="0"/>
            </w:tcBorders>
            <w:vAlign w:val="center"/>
          </w:tcPr>
          <w:p w14:paraId="0C28BC7E">
            <w:pPr>
              <w:widowControl/>
              <w:jc w:val="center"/>
              <w:rPr>
                <w:rFonts w:eastAsia="仿宋_GB2312"/>
                <w:color w:val="000000"/>
                <w:kern w:val="0"/>
                <w:sz w:val="24"/>
              </w:rPr>
            </w:pPr>
          </w:p>
        </w:tc>
        <w:tc>
          <w:tcPr>
            <w:tcW w:w="801" w:type="dxa"/>
            <w:tcBorders>
              <w:top w:val="single" w:color="000000" w:sz="4" w:space="0"/>
              <w:left w:val="single" w:color="000000" w:sz="4" w:space="0"/>
              <w:bottom w:val="single" w:color="000000" w:sz="4" w:space="0"/>
              <w:right w:val="single" w:color="000000" w:sz="4" w:space="0"/>
            </w:tcBorders>
            <w:vAlign w:val="center"/>
          </w:tcPr>
          <w:p w14:paraId="1F888754">
            <w:pPr>
              <w:widowControl/>
              <w:jc w:val="center"/>
              <w:rPr>
                <w:rFonts w:eastAsia="仿宋_GB2312"/>
                <w:color w:val="000000"/>
                <w:kern w:val="0"/>
                <w:sz w:val="24"/>
              </w:rPr>
            </w:pPr>
            <w:r>
              <w:rPr>
                <w:rFonts w:eastAsia="仿宋_GB2312"/>
                <w:color w:val="000000"/>
                <w:kern w:val="0"/>
                <w:sz w:val="24"/>
              </w:rPr>
              <w:t>78.62</w:t>
            </w:r>
          </w:p>
        </w:tc>
        <w:tc>
          <w:tcPr>
            <w:tcW w:w="1005" w:type="dxa"/>
            <w:tcBorders>
              <w:top w:val="single" w:color="000000" w:sz="4" w:space="0"/>
              <w:left w:val="single" w:color="000000" w:sz="4" w:space="0"/>
              <w:bottom w:val="single" w:color="000000" w:sz="4" w:space="0"/>
              <w:right w:val="single" w:color="000000" w:sz="4" w:space="0"/>
            </w:tcBorders>
            <w:vAlign w:val="center"/>
          </w:tcPr>
          <w:p w14:paraId="68AB4CF0">
            <w:pPr>
              <w:widowControl/>
              <w:jc w:val="center"/>
              <w:rPr>
                <w:rFonts w:eastAsia="仿宋_GB2312"/>
                <w:color w:val="000000"/>
                <w:kern w:val="0"/>
                <w:sz w:val="24"/>
              </w:rPr>
            </w:pPr>
            <w:r>
              <w:rPr>
                <w:rFonts w:eastAsia="仿宋_GB2312"/>
                <w:color w:val="000000"/>
                <w:kern w:val="0"/>
                <w:sz w:val="24"/>
              </w:rPr>
              <w:t>78.96</w:t>
            </w:r>
          </w:p>
        </w:tc>
        <w:tc>
          <w:tcPr>
            <w:tcW w:w="930" w:type="dxa"/>
            <w:tcBorders>
              <w:top w:val="single" w:color="000000" w:sz="4" w:space="0"/>
              <w:left w:val="single" w:color="000000" w:sz="4" w:space="0"/>
              <w:bottom w:val="single" w:color="000000" w:sz="4" w:space="0"/>
              <w:right w:val="single" w:color="000000" w:sz="4" w:space="0"/>
            </w:tcBorders>
            <w:vAlign w:val="center"/>
          </w:tcPr>
          <w:p w14:paraId="05D99B6F">
            <w:pPr>
              <w:widowControl/>
              <w:jc w:val="center"/>
              <w:rPr>
                <w:rFonts w:eastAsia="仿宋_GB2312"/>
                <w:color w:val="000000"/>
                <w:kern w:val="0"/>
                <w:sz w:val="24"/>
              </w:rPr>
            </w:pPr>
            <w:r>
              <w:rPr>
                <w:rFonts w:eastAsia="仿宋_GB2312"/>
                <w:color w:val="000000"/>
                <w:kern w:val="0"/>
                <w:sz w:val="24"/>
              </w:rPr>
              <w:t>79</w:t>
            </w:r>
          </w:p>
        </w:tc>
        <w:tc>
          <w:tcPr>
            <w:tcW w:w="907" w:type="dxa"/>
            <w:tcBorders>
              <w:top w:val="single" w:color="000000" w:sz="4" w:space="0"/>
              <w:left w:val="single" w:color="000000" w:sz="4" w:space="0"/>
              <w:bottom w:val="single" w:color="000000" w:sz="4" w:space="0"/>
              <w:right w:val="single" w:color="000000" w:sz="4" w:space="0"/>
            </w:tcBorders>
            <w:vAlign w:val="center"/>
          </w:tcPr>
          <w:p w14:paraId="56864CC2">
            <w:pPr>
              <w:widowControl/>
              <w:jc w:val="center"/>
              <w:rPr>
                <w:rFonts w:eastAsia="仿宋_GB2312"/>
                <w:color w:val="000000"/>
                <w:kern w:val="0"/>
                <w:sz w:val="24"/>
              </w:rPr>
            </w:pPr>
            <w:r>
              <w:rPr>
                <w:rFonts w:eastAsia="仿宋_GB2312"/>
                <w:color w:val="000000"/>
                <w:kern w:val="0"/>
                <w:sz w:val="24"/>
              </w:rPr>
              <w:t>79.1</w:t>
            </w:r>
          </w:p>
        </w:tc>
        <w:tc>
          <w:tcPr>
            <w:tcW w:w="1163" w:type="dxa"/>
            <w:tcBorders>
              <w:top w:val="single" w:color="000000" w:sz="4" w:space="0"/>
              <w:left w:val="single" w:color="000000" w:sz="4" w:space="0"/>
              <w:bottom w:val="single" w:color="000000" w:sz="4" w:space="0"/>
              <w:right w:val="single" w:color="000000" w:sz="4" w:space="0"/>
            </w:tcBorders>
            <w:vAlign w:val="center"/>
          </w:tcPr>
          <w:p w14:paraId="2B30BEAA">
            <w:pPr>
              <w:widowControl/>
              <w:jc w:val="center"/>
              <w:rPr>
                <w:rFonts w:eastAsia="仿宋_GB2312"/>
                <w:color w:val="000000"/>
                <w:kern w:val="0"/>
                <w:sz w:val="24"/>
              </w:rPr>
            </w:pPr>
            <w:r>
              <w:rPr>
                <w:rFonts w:eastAsia="仿宋_GB2312"/>
                <w:color w:val="000000"/>
                <w:kern w:val="0"/>
                <w:sz w:val="24"/>
              </w:rPr>
              <w:t>—</w:t>
            </w:r>
          </w:p>
        </w:tc>
        <w:tc>
          <w:tcPr>
            <w:tcW w:w="1298" w:type="dxa"/>
            <w:tcBorders>
              <w:top w:val="single" w:color="000000" w:sz="4" w:space="0"/>
              <w:left w:val="single" w:color="000000" w:sz="4" w:space="0"/>
              <w:bottom w:val="single" w:color="000000" w:sz="4" w:space="0"/>
              <w:right w:val="single" w:color="000000" w:sz="4" w:space="0"/>
            </w:tcBorders>
            <w:vAlign w:val="center"/>
          </w:tcPr>
          <w:p w14:paraId="40BF9534">
            <w:pPr>
              <w:widowControl/>
              <w:jc w:val="center"/>
              <w:rPr>
                <w:rFonts w:eastAsia="仿宋_GB2312"/>
                <w:color w:val="000000"/>
                <w:kern w:val="0"/>
                <w:sz w:val="24"/>
              </w:rPr>
            </w:pPr>
            <w:r>
              <w:rPr>
                <w:rFonts w:eastAsia="仿宋_GB2312"/>
                <w:color w:val="000000"/>
                <w:kern w:val="0"/>
                <w:sz w:val="24"/>
              </w:rPr>
              <w:t>80</w:t>
            </w:r>
          </w:p>
        </w:tc>
        <w:tc>
          <w:tcPr>
            <w:tcW w:w="1094" w:type="dxa"/>
            <w:tcBorders>
              <w:top w:val="single" w:color="000000" w:sz="4" w:space="0"/>
              <w:left w:val="single" w:color="000000" w:sz="4" w:space="0"/>
              <w:bottom w:val="single" w:color="000000" w:sz="4" w:space="0"/>
              <w:right w:val="single" w:color="000000" w:sz="4" w:space="0"/>
            </w:tcBorders>
            <w:vAlign w:val="center"/>
          </w:tcPr>
          <w:p w14:paraId="43693C23">
            <w:pPr>
              <w:widowControl/>
              <w:jc w:val="center"/>
              <w:rPr>
                <w:rFonts w:eastAsia="仿宋_GB2312"/>
                <w:color w:val="000000"/>
                <w:kern w:val="0"/>
                <w:sz w:val="24"/>
              </w:rPr>
            </w:pPr>
            <w:r>
              <w:rPr>
                <w:rFonts w:eastAsia="仿宋_GB2312"/>
                <w:color w:val="000000"/>
                <w:kern w:val="0"/>
                <w:sz w:val="24"/>
              </w:rPr>
              <w:t>—</w:t>
            </w:r>
          </w:p>
        </w:tc>
        <w:tc>
          <w:tcPr>
            <w:tcW w:w="1271" w:type="dxa"/>
            <w:tcBorders>
              <w:top w:val="single" w:color="000000" w:sz="4" w:space="0"/>
              <w:left w:val="single" w:color="000000" w:sz="4" w:space="0"/>
              <w:bottom w:val="single" w:color="000000" w:sz="4" w:space="0"/>
              <w:right w:val="single" w:color="000000" w:sz="4" w:space="0"/>
            </w:tcBorders>
            <w:vAlign w:val="center"/>
          </w:tcPr>
          <w:p w14:paraId="2BCC7F72">
            <w:pPr>
              <w:widowControl/>
              <w:jc w:val="center"/>
              <w:rPr>
                <w:rFonts w:eastAsia="仿宋_GB2312"/>
                <w:color w:val="000000"/>
                <w:kern w:val="0"/>
                <w:sz w:val="24"/>
              </w:rPr>
            </w:pPr>
            <w:r>
              <w:rPr>
                <w:rFonts w:eastAsia="仿宋_GB2312"/>
                <w:color w:val="000000"/>
                <w:kern w:val="0"/>
                <w:sz w:val="24"/>
              </w:rPr>
              <w:t>预期性</w:t>
            </w:r>
          </w:p>
        </w:tc>
        <w:tc>
          <w:tcPr>
            <w:tcW w:w="1553" w:type="dxa"/>
            <w:tcBorders>
              <w:top w:val="single" w:color="000000" w:sz="4" w:space="0"/>
              <w:left w:val="single" w:color="000000" w:sz="4" w:space="0"/>
              <w:bottom w:val="single" w:color="000000" w:sz="4" w:space="0"/>
              <w:right w:val="single" w:color="000000" w:sz="4" w:space="0"/>
            </w:tcBorders>
            <w:vAlign w:val="center"/>
          </w:tcPr>
          <w:p w14:paraId="35249712">
            <w:pPr>
              <w:widowControl/>
              <w:jc w:val="center"/>
              <w:rPr>
                <w:rFonts w:eastAsia="仿宋_GB2312"/>
                <w:color w:val="000000"/>
                <w:kern w:val="0"/>
                <w:sz w:val="24"/>
              </w:rPr>
            </w:pPr>
            <w:r>
              <w:rPr>
                <w:rFonts w:eastAsia="仿宋_GB2312"/>
                <w:color w:val="000000"/>
                <w:kern w:val="0"/>
                <w:sz w:val="24"/>
              </w:rPr>
              <w:t>能够完成</w:t>
            </w:r>
          </w:p>
        </w:tc>
      </w:tr>
      <w:tr w14:paraId="78738FEC">
        <w:tblPrEx>
          <w:tblCellMar>
            <w:top w:w="15" w:type="dxa"/>
            <w:left w:w="15" w:type="dxa"/>
            <w:bottom w:w="15" w:type="dxa"/>
            <w:right w:w="15" w:type="dxa"/>
          </w:tblCellMar>
        </w:tblPrEx>
        <w:trPr>
          <w:trHeight w:val="340" w:hRule="atLeast"/>
          <w:jc w:val="center"/>
        </w:trPr>
        <w:tc>
          <w:tcPr>
            <w:tcW w:w="604" w:type="dxa"/>
            <w:tcBorders>
              <w:top w:val="single" w:color="000000" w:sz="4" w:space="0"/>
              <w:left w:val="single" w:color="000000" w:sz="4" w:space="0"/>
              <w:bottom w:val="single" w:color="000000" w:sz="4" w:space="0"/>
              <w:right w:val="single" w:color="000000" w:sz="4" w:space="0"/>
            </w:tcBorders>
            <w:vAlign w:val="center"/>
          </w:tcPr>
          <w:p w14:paraId="7156E817">
            <w:pPr>
              <w:widowControl/>
              <w:jc w:val="center"/>
              <w:rPr>
                <w:rFonts w:eastAsia="仿宋_GB2312"/>
                <w:color w:val="000000"/>
                <w:kern w:val="0"/>
                <w:sz w:val="24"/>
              </w:rPr>
            </w:pPr>
            <w:r>
              <w:rPr>
                <w:rFonts w:eastAsia="仿宋_GB2312"/>
                <w:color w:val="000000"/>
                <w:kern w:val="0"/>
                <w:sz w:val="24"/>
              </w:rPr>
              <w:t>19</w:t>
            </w:r>
          </w:p>
        </w:tc>
        <w:tc>
          <w:tcPr>
            <w:tcW w:w="632" w:type="dxa"/>
            <w:vMerge w:val="continue"/>
            <w:tcBorders>
              <w:top w:val="single" w:color="000000" w:sz="4" w:space="0"/>
              <w:left w:val="single" w:color="000000" w:sz="4" w:space="0"/>
              <w:bottom w:val="single" w:color="000000" w:sz="4" w:space="0"/>
              <w:right w:val="single" w:color="000000" w:sz="4" w:space="0"/>
            </w:tcBorders>
            <w:vAlign w:val="center"/>
          </w:tcPr>
          <w:p w14:paraId="14A40783">
            <w:pPr>
              <w:widowControl/>
              <w:jc w:val="left"/>
              <w:rPr>
                <w:rFonts w:eastAsia="仿宋_GB2312"/>
                <w:color w:val="000000"/>
                <w:kern w:val="0"/>
                <w:sz w:val="24"/>
              </w:rPr>
            </w:pPr>
          </w:p>
        </w:tc>
        <w:tc>
          <w:tcPr>
            <w:tcW w:w="1684" w:type="dxa"/>
            <w:gridSpan w:val="2"/>
            <w:tcBorders>
              <w:top w:val="single" w:color="000000" w:sz="4" w:space="0"/>
              <w:left w:val="single" w:color="000000" w:sz="4" w:space="0"/>
              <w:bottom w:val="single" w:color="000000" w:sz="4" w:space="0"/>
              <w:right w:val="single" w:color="000000" w:sz="4" w:space="0"/>
            </w:tcBorders>
            <w:vAlign w:val="center"/>
          </w:tcPr>
          <w:p w14:paraId="671FA4FB">
            <w:pPr>
              <w:widowControl/>
              <w:jc w:val="center"/>
              <w:rPr>
                <w:rFonts w:eastAsia="仿宋_GB2312"/>
                <w:color w:val="000000"/>
                <w:kern w:val="0"/>
                <w:sz w:val="24"/>
              </w:rPr>
            </w:pPr>
            <w:r>
              <w:rPr>
                <w:rFonts w:eastAsia="仿宋_GB2312"/>
                <w:color w:val="000000"/>
                <w:kern w:val="0"/>
                <w:sz w:val="24"/>
              </w:rPr>
              <w:t>高中阶段毛入学率（%）</w:t>
            </w:r>
          </w:p>
        </w:tc>
        <w:tc>
          <w:tcPr>
            <w:tcW w:w="1047" w:type="dxa"/>
            <w:tcBorders>
              <w:top w:val="single" w:color="000000" w:sz="4" w:space="0"/>
              <w:left w:val="single" w:color="000000" w:sz="4" w:space="0"/>
              <w:bottom w:val="single" w:color="000000" w:sz="4" w:space="0"/>
              <w:right w:val="single" w:color="000000" w:sz="4" w:space="0"/>
            </w:tcBorders>
            <w:vAlign w:val="center"/>
          </w:tcPr>
          <w:p w14:paraId="45BDA6D7">
            <w:pPr>
              <w:widowControl/>
              <w:jc w:val="center"/>
              <w:rPr>
                <w:rFonts w:eastAsia="仿宋_GB2312"/>
                <w:color w:val="000000"/>
                <w:kern w:val="0"/>
                <w:sz w:val="24"/>
              </w:rPr>
            </w:pPr>
            <w:r>
              <w:rPr>
                <w:rFonts w:eastAsia="仿宋_GB2312"/>
                <w:color w:val="000000"/>
                <w:kern w:val="0"/>
                <w:sz w:val="24"/>
              </w:rPr>
              <w:t>98.8</w:t>
            </w:r>
          </w:p>
        </w:tc>
        <w:tc>
          <w:tcPr>
            <w:tcW w:w="1043" w:type="dxa"/>
            <w:tcBorders>
              <w:top w:val="single" w:color="000000" w:sz="4" w:space="0"/>
              <w:left w:val="single" w:color="000000" w:sz="4" w:space="0"/>
              <w:bottom w:val="single" w:color="000000" w:sz="4" w:space="0"/>
              <w:right w:val="single" w:color="000000" w:sz="4" w:space="0"/>
            </w:tcBorders>
            <w:vAlign w:val="center"/>
          </w:tcPr>
          <w:p w14:paraId="69168F6D">
            <w:pPr>
              <w:widowControl/>
              <w:jc w:val="center"/>
              <w:rPr>
                <w:rFonts w:eastAsia="仿宋_GB2312"/>
                <w:color w:val="000000"/>
                <w:kern w:val="0"/>
                <w:sz w:val="24"/>
              </w:rPr>
            </w:pPr>
          </w:p>
        </w:tc>
        <w:tc>
          <w:tcPr>
            <w:tcW w:w="801" w:type="dxa"/>
            <w:tcBorders>
              <w:top w:val="single" w:color="000000" w:sz="4" w:space="0"/>
              <w:left w:val="single" w:color="000000" w:sz="4" w:space="0"/>
              <w:bottom w:val="single" w:color="000000" w:sz="4" w:space="0"/>
              <w:right w:val="single" w:color="000000" w:sz="4" w:space="0"/>
            </w:tcBorders>
            <w:vAlign w:val="center"/>
          </w:tcPr>
          <w:p w14:paraId="24B2EE0A">
            <w:pPr>
              <w:widowControl/>
              <w:jc w:val="center"/>
              <w:rPr>
                <w:rFonts w:eastAsia="仿宋_GB2312"/>
                <w:color w:val="000000"/>
                <w:kern w:val="0"/>
                <w:sz w:val="24"/>
              </w:rPr>
            </w:pPr>
            <w:r>
              <w:rPr>
                <w:rFonts w:eastAsia="仿宋_GB2312"/>
                <w:color w:val="000000"/>
                <w:kern w:val="0"/>
                <w:sz w:val="24"/>
              </w:rPr>
              <w:t>96.8</w:t>
            </w:r>
          </w:p>
        </w:tc>
        <w:tc>
          <w:tcPr>
            <w:tcW w:w="1005" w:type="dxa"/>
            <w:tcBorders>
              <w:top w:val="single" w:color="000000" w:sz="4" w:space="0"/>
              <w:left w:val="single" w:color="000000" w:sz="4" w:space="0"/>
              <w:bottom w:val="single" w:color="000000" w:sz="4" w:space="0"/>
              <w:right w:val="single" w:color="000000" w:sz="4" w:space="0"/>
            </w:tcBorders>
            <w:vAlign w:val="center"/>
          </w:tcPr>
          <w:p w14:paraId="17A419AE">
            <w:pPr>
              <w:widowControl/>
              <w:jc w:val="center"/>
              <w:rPr>
                <w:rFonts w:eastAsia="仿宋_GB2312"/>
                <w:color w:val="000000"/>
                <w:kern w:val="0"/>
                <w:sz w:val="24"/>
              </w:rPr>
            </w:pPr>
            <w:r>
              <w:rPr>
                <w:rFonts w:eastAsia="仿宋_GB2312"/>
                <w:color w:val="000000"/>
                <w:kern w:val="0"/>
                <w:sz w:val="24"/>
              </w:rPr>
              <w:t>95</w:t>
            </w:r>
          </w:p>
        </w:tc>
        <w:tc>
          <w:tcPr>
            <w:tcW w:w="930" w:type="dxa"/>
            <w:tcBorders>
              <w:top w:val="single" w:color="000000" w:sz="4" w:space="0"/>
              <w:left w:val="single" w:color="000000" w:sz="4" w:space="0"/>
              <w:bottom w:val="single" w:color="000000" w:sz="4" w:space="0"/>
              <w:right w:val="single" w:color="000000" w:sz="4" w:space="0"/>
            </w:tcBorders>
            <w:vAlign w:val="center"/>
          </w:tcPr>
          <w:p w14:paraId="7E14B6E9">
            <w:pPr>
              <w:widowControl/>
              <w:jc w:val="center"/>
              <w:rPr>
                <w:rFonts w:eastAsia="仿宋_GB2312"/>
                <w:color w:val="000000"/>
                <w:kern w:val="0"/>
                <w:sz w:val="24"/>
              </w:rPr>
            </w:pPr>
            <w:r>
              <w:rPr>
                <w:rFonts w:eastAsia="仿宋_GB2312"/>
                <w:color w:val="000000"/>
                <w:kern w:val="0"/>
                <w:sz w:val="24"/>
              </w:rPr>
              <w:t>97</w:t>
            </w:r>
          </w:p>
        </w:tc>
        <w:tc>
          <w:tcPr>
            <w:tcW w:w="907" w:type="dxa"/>
            <w:tcBorders>
              <w:top w:val="single" w:color="000000" w:sz="4" w:space="0"/>
              <w:left w:val="single" w:color="000000" w:sz="4" w:space="0"/>
              <w:bottom w:val="single" w:color="000000" w:sz="4" w:space="0"/>
              <w:right w:val="single" w:color="000000" w:sz="4" w:space="0"/>
            </w:tcBorders>
            <w:vAlign w:val="center"/>
          </w:tcPr>
          <w:p w14:paraId="0457F1F2">
            <w:pPr>
              <w:widowControl/>
              <w:jc w:val="center"/>
              <w:rPr>
                <w:rFonts w:eastAsia="仿宋_GB2312"/>
                <w:color w:val="000000"/>
                <w:kern w:val="0"/>
                <w:sz w:val="24"/>
              </w:rPr>
            </w:pPr>
            <w:r>
              <w:rPr>
                <w:rFonts w:eastAsia="仿宋_GB2312"/>
                <w:color w:val="000000"/>
                <w:kern w:val="0"/>
                <w:sz w:val="24"/>
              </w:rPr>
              <w:t>97</w:t>
            </w:r>
          </w:p>
        </w:tc>
        <w:tc>
          <w:tcPr>
            <w:tcW w:w="1163" w:type="dxa"/>
            <w:tcBorders>
              <w:top w:val="single" w:color="000000" w:sz="4" w:space="0"/>
              <w:left w:val="single" w:color="000000" w:sz="4" w:space="0"/>
              <w:bottom w:val="single" w:color="000000" w:sz="4" w:space="0"/>
              <w:right w:val="single" w:color="000000" w:sz="4" w:space="0"/>
            </w:tcBorders>
            <w:vAlign w:val="center"/>
          </w:tcPr>
          <w:p w14:paraId="705E72C9">
            <w:pPr>
              <w:widowControl/>
              <w:jc w:val="center"/>
              <w:rPr>
                <w:rFonts w:eastAsia="仿宋_GB2312"/>
                <w:color w:val="000000"/>
                <w:kern w:val="0"/>
                <w:sz w:val="24"/>
              </w:rPr>
            </w:pPr>
            <w:r>
              <w:rPr>
                <w:rFonts w:eastAsia="仿宋_GB2312"/>
                <w:color w:val="000000"/>
                <w:kern w:val="0"/>
                <w:sz w:val="24"/>
              </w:rPr>
              <w:t>97</w:t>
            </w:r>
          </w:p>
        </w:tc>
        <w:tc>
          <w:tcPr>
            <w:tcW w:w="1298" w:type="dxa"/>
            <w:tcBorders>
              <w:top w:val="single" w:color="000000" w:sz="4" w:space="0"/>
              <w:left w:val="single" w:color="000000" w:sz="4" w:space="0"/>
              <w:bottom w:val="single" w:color="000000" w:sz="4" w:space="0"/>
              <w:right w:val="single" w:color="000000" w:sz="4" w:space="0"/>
            </w:tcBorders>
            <w:vAlign w:val="center"/>
          </w:tcPr>
          <w:p w14:paraId="5D1BACE2">
            <w:pPr>
              <w:widowControl/>
              <w:jc w:val="center"/>
              <w:rPr>
                <w:rFonts w:eastAsia="仿宋_GB2312"/>
                <w:color w:val="000000"/>
                <w:kern w:val="0"/>
                <w:sz w:val="24"/>
              </w:rPr>
            </w:pPr>
            <w:r>
              <w:rPr>
                <w:rFonts w:eastAsia="仿宋_GB2312"/>
                <w:color w:val="000000"/>
                <w:kern w:val="0"/>
                <w:sz w:val="24"/>
              </w:rPr>
              <w:t>99</w:t>
            </w:r>
          </w:p>
        </w:tc>
        <w:tc>
          <w:tcPr>
            <w:tcW w:w="1094" w:type="dxa"/>
            <w:tcBorders>
              <w:top w:val="single" w:color="000000" w:sz="4" w:space="0"/>
              <w:left w:val="single" w:color="000000" w:sz="4" w:space="0"/>
              <w:bottom w:val="single" w:color="000000" w:sz="4" w:space="0"/>
              <w:right w:val="single" w:color="000000" w:sz="4" w:space="0"/>
            </w:tcBorders>
            <w:vAlign w:val="center"/>
          </w:tcPr>
          <w:p w14:paraId="07049BF2">
            <w:pPr>
              <w:widowControl/>
              <w:jc w:val="center"/>
              <w:rPr>
                <w:rFonts w:eastAsia="仿宋_GB2312"/>
                <w:color w:val="000000"/>
                <w:kern w:val="0"/>
                <w:sz w:val="24"/>
              </w:rPr>
            </w:pPr>
            <w:r>
              <w:rPr>
                <w:rFonts w:eastAsia="仿宋_GB2312"/>
                <w:color w:val="000000"/>
                <w:kern w:val="0"/>
                <w:sz w:val="24"/>
              </w:rPr>
              <w:t>—</w:t>
            </w:r>
          </w:p>
        </w:tc>
        <w:tc>
          <w:tcPr>
            <w:tcW w:w="1271" w:type="dxa"/>
            <w:tcBorders>
              <w:top w:val="single" w:color="000000" w:sz="4" w:space="0"/>
              <w:left w:val="single" w:color="000000" w:sz="4" w:space="0"/>
              <w:bottom w:val="single" w:color="000000" w:sz="4" w:space="0"/>
              <w:right w:val="single" w:color="000000" w:sz="4" w:space="0"/>
            </w:tcBorders>
            <w:vAlign w:val="center"/>
          </w:tcPr>
          <w:p w14:paraId="20B5FDF8">
            <w:pPr>
              <w:widowControl/>
              <w:jc w:val="center"/>
              <w:rPr>
                <w:rFonts w:eastAsia="仿宋_GB2312"/>
                <w:color w:val="000000"/>
                <w:kern w:val="0"/>
                <w:sz w:val="24"/>
              </w:rPr>
            </w:pPr>
            <w:r>
              <w:rPr>
                <w:rFonts w:eastAsia="仿宋_GB2312"/>
                <w:color w:val="000000"/>
                <w:kern w:val="0"/>
                <w:sz w:val="24"/>
              </w:rPr>
              <w:t>预期性</w:t>
            </w:r>
          </w:p>
        </w:tc>
        <w:tc>
          <w:tcPr>
            <w:tcW w:w="1553" w:type="dxa"/>
            <w:tcBorders>
              <w:top w:val="single" w:color="000000" w:sz="4" w:space="0"/>
              <w:left w:val="single" w:color="000000" w:sz="4" w:space="0"/>
              <w:bottom w:val="single" w:color="000000" w:sz="4" w:space="0"/>
              <w:right w:val="single" w:color="000000" w:sz="4" w:space="0"/>
            </w:tcBorders>
            <w:vAlign w:val="center"/>
          </w:tcPr>
          <w:p w14:paraId="0DA17333">
            <w:pPr>
              <w:widowControl/>
              <w:jc w:val="center"/>
              <w:rPr>
                <w:rFonts w:eastAsia="仿宋_GB2312"/>
                <w:color w:val="000000"/>
                <w:kern w:val="0"/>
                <w:sz w:val="24"/>
              </w:rPr>
            </w:pPr>
            <w:r>
              <w:rPr>
                <w:rFonts w:eastAsia="仿宋_GB2312"/>
                <w:color w:val="000000"/>
                <w:kern w:val="0"/>
                <w:sz w:val="24"/>
              </w:rPr>
              <w:t>能够完成</w:t>
            </w:r>
          </w:p>
        </w:tc>
      </w:tr>
      <w:tr w14:paraId="1804F54C">
        <w:tblPrEx>
          <w:tblCellMar>
            <w:top w:w="15" w:type="dxa"/>
            <w:left w:w="15" w:type="dxa"/>
            <w:bottom w:w="15" w:type="dxa"/>
            <w:right w:w="15" w:type="dxa"/>
          </w:tblCellMar>
        </w:tblPrEx>
        <w:trPr>
          <w:trHeight w:val="340" w:hRule="atLeast"/>
          <w:jc w:val="center"/>
        </w:trPr>
        <w:tc>
          <w:tcPr>
            <w:tcW w:w="604" w:type="dxa"/>
            <w:vMerge w:val="restart"/>
            <w:tcBorders>
              <w:top w:val="single" w:color="000000" w:sz="4" w:space="0"/>
              <w:left w:val="single" w:color="000000" w:sz="4" w:space="0"/>
              <w:bottom w:val="single" w:color="000000" w:sz="4" w:space="0"/>
              <w:right w:val="single" w:color="000000" w:sz="4" w:space="0"/>
            </w:tcBorders>
            <w:vAlign w:val="center"/>
          </w:tcPr>
          <w:p w14:paraId="2B8D4392">
            <w:pPr>
              <w:widowControl/>
              <w:jc w:val="center"/>
              <w:rPr>
                <w:rFonts w:eastAsia="仿宋_GB2312"/>
                <w:color w:val="000000"/>
                <w:kern w:val="0"/>
                <w:sz w:val="24"/>
              </w:rPr>
            </w:pPr>
            <w:r>
              <w:rPr>
                <w:rFonts w:eastAsia="仿宋_GB2312"/>
                <w:color w:val="000000"/>
                <w:kern w:val="0"/>
                <w:sz w:val="24"/>
              </w:rPr>
              <w:t>20</w:t>
            </w:r>
          </w:p>
        </w:tc>
        <w:tc>
          <w:tcPr>
            <w:tcW w:w="632" w:type="dxa"/>
            <w:vMerge w:val="continue"/>
            <w:tcBorders>
              <w:top w:val="single" w:color="000000" w:sz="4" w:space="0"/>
              <w:left w:val="single" w:color="000000" w:sz="4" w:space="0"/>
              <w:bottom w:val="single" w:color="000000" w:sz="4" w:space="0"/>
              <w:right w:val="single" w:color="000000" w:sz="4" w:space="0"/>
            </w:tcBorders>
            <w:vAlign w:val="center"/>
          </w:tcPr>
          <w:p w14:paraId="1B340AD0">
            <w:pPr>
              <w:widowControl/>
              <w:jc w:val="left"/>
              <w:rPr>
                <w:rFonts w:eastAsia="仿宋_GB2312"/>
                <w:color w:val="000000"/>
                <w:kern w:val="0"/>
                <w:sz w:val="24"/>
              </w:rPr>
            </w:pPr>
          </w:p>
        </w:tc>
        <w:tc>
          <w:tcPr>
            <w:tcW w:w="1684" w:type="dxa"/>
            <w:gridSpan w:val="2"/>
            <w:vMerge w:val="restart"/>
            <w:tcBorders>
              <w:top w:val="single" w:color="000000" w:sz="4" w:space="0"/>
              <w:left w:val="single" w:color="000000" w:sz="4" w:space="0"/>
              <w:bottom w:val="single" w:color="000000" w:sz="4" w:space="0"/>
              <w:right w:val="single" w:color="000000" w:sz="4" w:space="0"/>
            </w:tcBorders>
            <w:vAlign w:val="center"/>
          </w:tcPr>
          <w:p w14:paraId="41BE0A7E">
            <w:pPr>
              <w:widowControl/>
              <w:jc w:val="center"/>
              <w:rPr>
                <w:rFonts w:eastAsia="仿宋_GB2312"/>
                <w:color w:val="000000"/>
                <w:kern w:val="0"/>
                <w:sz w:val="24"/>
              </w:rPr>
            </w:pPr>
            <w:r>
              <w:rPr>
                <w:rFonts w:eastAsia="仿宋_GB2312"/>
                <w:color w:val="000000"/>
                <w:kern w:val="0"/>
                <w:sz w:val="24"/>
              </w:rPr>
              <w:t>公共教育投入占GDP比重（%）</w:t>
            </w:r>
          </w:p>
        </w:tc>
        <w:tc>
          <w:tcPr>
            <w:tcW w:w="1047" w:type="dxa"/>
            <w:vMerge w:val="restart"/>
            <w:tcBorders>
              <w:top w:val="single" w:color="000000" w:sz="4" w:space="0"/>
              <w:left w:val="single" w:color="000000" w:sz="4" w:space="0"/>
              <w:bottom w:val="single" w:color="000000" w:sz="4" w:space="0"/>
              <w:right w:val="single" w:color="000000" w:sz="4" w:space="0"/>
            </w:tcBorders>
            <w:vAlign w:val="center"/>
          </w:tcPr>
          <w:p w14:paraId="0F455CA3">
            <w:pPr>
              <w:widowControl/>
              <w:jc w:val="center"/>
              <w:rPr>
                <w:rFonts w:eastAsia="仿宋_GB2312"/>
                <w:color w:val="000000"/>
                <w:kern w:val="0"/>
                <w:sz w:val="24"/>
              </w:rPr>
            </w:pPr>
            <w:r>
              <w:rPr>
                <w:rFonts w:eastAsia="仿宋_GB2312"/>
                <w:color w:val="000000"/>
                <w:kern w:val="0"/>
                <w:sz w:val="24"/>
              </w:rPr>
              <w:t>1.55</w:t>
            </w:r>
          </w:p>
        </w:tc>
        <w:tc>
          <w:tcPr>
            <w:tcW w:w="1043" w:type="dxa"/>
            <w:vMerge w:val="restart"/>
            <w:tcBorders>
              <w:top w:val="single" w:color="000000" w:sz="4" w:space="0"/>
              <w:left w:val="single" w:color="000000" w:sz="4" w:space="0"/>
              <w:bottom w:val="single" w:color="000000" w:sz="4" w:space="0"/>
              <w:right w:val="single" w:color="000000" w:sz="4" w:space="0"/>
            </w:tcBorders>
            <w:vAlign w:val="center"/>
          </w:tcPr>
          <w:p w14:paraId="567F13C5">
            <w:pPr>
              <w:widowControl/>
              <w:jc w:val="center"/>
              <w:rPr>
                <w:rFonts w:eastAsia="仿宋_GB2312"/>
                <w:color w:val="000000"/>
                <w:kern w:val="0"/>
                <w:sz w:val="24"/>
              </w:rPr>
            </w:pPr>
          </w:p>
        </w:tc>
        <w:tc>
          <w:tcPr>
            <w:tcW w:w="801" w:type="dxa"/>
            <w:vMerge w:val="restart"/>
            <w:tcBorders>
              <w:top w:val="single" w:color="000000" w:sz="4" w:space="0"/>
              <w:left w:val="single" w:color="000000" w:sz="4" w:space="0"/>
              <w:bottom w:val="single" w:color="000000" w:sz="4" w:space="0"/>
              <w:right w:val="single" w:color="000000" w:sz="4" w:space="0"/>
            </w:tcBorders>
            <w:vAlign w:val="center"/>
          </w:tcPr>
          <w:p w14:paraId="78E2039C">
            <w:pPr>
              <w:widowControl/>
              <w:jc w:val="center"/>
              <w:rPr>
                <w:rFonts w:eastAsia="仿宋_GB2312"/>
                <w:color w:val="000000"/>
                <w:kern w:val="0"/>
                <w:sz w:val="24"/>
              </w:rPr>
            </w:pPr>
            <w:r>
              <w:rPr>
                <w:rFonts w:eastAsia="仿宋_GB2312"/>
                <w:color w:val="000000"/>
                <w:kern w:val="0"/>
                <w:sz w:val="24"/>
              </w:rPr>
              <w:t>1.69</w:t>
            </w:r>
          </w:p>
        </w:tc>
        <w:tc>
          <w:tcPr>
            <w:tcW w:w="1005" w:type="dxa"/>
            <w:vMerge w:val="restart"/>
            <w:tcBorders>
              <w:top w:val="single" w:color="000000" w:sz="4" w:space="0"/>
              <w:left w:val="single" w:color="000000" w:sz="4" w:space="0"/>
              <w:bottom w:val="single" w:color="000000" w:sz="4" w:space="0"/>
              <w:right w:val="single" w:color="000000" w:sz="4" w:space="0"/>
            </w:tcBorders>
            <w:vAlign w:val="center"/>
          </w:tcPr>
          <w:p w14:paraId="24FC6947">
            <w:pPr>
              <w:widowControl/>
              <w:jc w:val="center"/>
              <w:rPr>
                <w:rFonts w:eastAsia="仿宋_GB2312"/>
                <w:color w:val="000000"/>
                <w:kern w:val="0"/>
                <w:sz w:val="24"/>
              </w:rPr>
            </w:pPr>
            <w:r>
              <w:rPr>
                <w:rFonts w:eastAsia="仿宋_GB2312"/>
                <w:color w:val="000000"/>
                <w:kern w:val="0"/>
                <w:sz w:val="24"/>
              </w:rPr>
              <w:t>1.64</w:t>
            </w:r>
          </w:p>
        </w:tc>
        <w:tc>
          <w:tcPr>
            <w:tcW w:w="930" w:type="dxa"/>
            <w:vMerge w:val="restart"/>
            <w:tcBorders>
              <w:top w:val="single" w:color="000000" w:sz="4" w:space="0"/>
              <w:left w:val="single" w:color="000000" w:sz="4" w:space="0"/>
              <w:bottom w:val="single" w:color="000000" w:sz="4" w:space="0"/>
              <w:right w:val="single" w:color="000000" w:sz="4" w:space="0"/>
            </w:tcBorders>
            <w:vAlign w:val="center"/>
          </w:tcPr>
          <w:p w14:paraId="6B622BE3">
            <w:pPr>
              <w:widowControl/>
              <w:jc w:val="center"/>
              <w:rPr>
                <w:rFonts w:eastAsia="仿宋_GB2312"/>
                <w:color w:val="000000"/>
                <w:kern w:val="0"/>
                <w:sz w:val="24"/>
              </w:rPr>
            </w:pPr>
            <w:r>
              <w:rPr>
                <w:rFonts w:eastAsia="仿宋_GB2312"/>
                <w:color w:val="000000"/>
                <w:kern w:val="0"/>
                <w:sz w:val="24"/>
              </w:rPr>
              <w:t>1.71</w:t>
            </w:r>
          </w:p>
        </w:tc>
        <w:tc>
          <w:tcPr>
            <w:tcW w:w="907" w:type="dxa"/>
            <w:vMerge w:val="restart"/>
            <w:tcBorders>
              <w:top w:val="single" w:color="000000" w:sz="4" w:space="0"/>
              <w:left w:val="single" w:color="000000" w:sz="4" w:space="0"/>
              <w:bottom w:val="single" w:color="000000" w:sz="4" w:space="0"/>
              <w:right w:val="single" w:color="000000" w:sz="4" w:space="0"/>
            </w:tcBorders>
            <w:vAlign w:val="center"/>
          </w:tcPr>
          <w:p w14:paraId="22DD7F69">
            <w:pPr>
              <w:widowControl/>
              <w:jc w:val="center"/>
              <w:rPr>
                <w:rFonts w:eastAsia="仿宋_GB2312"/>
                <w:color w:val="000000"/>
                <w:kern w:val="0"/>
                <w:sz w:val="24"/>
              </w:rPr>
            </w:pPr>
            <w:r>
              <w:rPr>
                <w:rFonts w:eastAsia="仿宋_GB2312"/>
                <w:color w:val="000000"/>
                <w:kern w:val="0"/>
                <w:sz w:val="24"/>
              </w:rPr>
              <w:t>1.29</w:t>
            </w:r>
          </w:p>
        </w:tc>
        <w:tc>
          <w:tcPr>
            <w:tcW w:w="1163" w:type="dxa"/>
            <w:vMerge w:val="restart"/>
            <w:tcBorders>
              <w:top w:val="single" w:color="000000" w:sz="4" w:space="0"/>
              <w:left w:val="single" w:color="000000" w:sz="4" w:space="0"/>
              <w:bottom w:val="single" w:color="000000" w:sz="4" w:space="0"/>
              <w:right w:val="single" w:color="000000" w:sz="4" w:space="0"/>
            </w:tcBorders>
            <w:vAlign w:val="center"/>
          </w:tcPr>
          <w:p w14:paraId="2796049A">
            <w:pPr>
              <w:widowControl/>
              <w:jc w:val="center"/>
              <w:rPr>
                <w:rFonts w:eastAsia="仿宋_GB2312"/>
                <w:color w:val="000000"/>
                <w:kern w:val="0"/>
                <w:sz w:val="24"/>
              </w:rPr>
            </w:pPr>
            <w:r>
              <w:rPr>
                <w:rFonts w:eastAsia="仿宋_GB2312"/>
                <w:color w:val="000000"/>
                <w:kern w:val="0"/>
                <w:sz w:val="24"/>
              </w:rPr>
              <w:t>12.32亿元</w:t>
            </w:r>
          </w:p>
        </w:tc>
        <w:tc>
          <w:tcPr>
            <w:tcW w:w="1298" w:type="dxa"/>
            <w:vMerge w:val="restart"/>
            <w:tcBorders>
              <w:top w:val="single" w:color="000000" w:sz="4" w:space="0"/>
              <w:left w:val="single" w:color="000000" w:sz="4" w:space="0"/>
              <w:bottom w:val="single" w:color="000000" w:sz="4" w:space="0"/>
              <w:right w:val="single" w:color="000000" w:sz="4" w:space="0"/>
            </w:tcBorders>
            <w:vAlign w:val="center"/>
          </w:tcPr>
          <w:p w14:paraId="6D4175C6">
            <w:pPr>
              <w:widowControl/>
              <w:jc w:val="center"/>
              <w:rPr>
                <w:rFonts w:eastAsia="仿宋_GB2312"/>
                <w:color w:val="000000"/>
                <w:kern w:val="0"/>
                <w:sz w:val="24"/>
              </w:rPr>
            </w:pPr>
            <w:r>
              <w:rPr>
                <w:rFonts w:eastAsia="仿宋_GB2312"/>
                <w:color w:val="000000"/>
                <w:kern w:val="0"/>
                <w:sz w:val="24"/>
              </w:rPr>
              <w:t>4</w:t>
            </w:r>
          </w:p>
        </w:tc>
        <w:tc>
          <w:tcPr>
            <w:tcW w:w="1094" w:type="dxa"/>
            <w:vMerge w:val="restart"/>
            <w:tcBorders>
              <w:top w:val="single" w:color="000000" w:sz="4" w:space="0"/>
              <w:left w:val="single" w:color="000000" w:sz="4" w:space="0"/>
              <w:bottom w:val="single" w:color="000000" w:sz="4" w:space="0"/>
              <w:right w:val="single" w:color="000000" w:sz="4" w:space="0"/>
            </w:tcBorders>
            <w:vAlign w:val="center"/>
          </w:tcPr>
          <w:p w14:paraId="3BE2095F">
            <w:pPr>
              <w:widowControl/>
              <w:jc w:val="center"/>
              <w:rPr>
                <w:rFonts w:eastAsia="仿宋_GB2312"/>
                <w:color w:val="000000"/>
                <w:kern w:val="0"/>
                <w:sz w:val="24"/>
              </w:rPr>
            </w:pPr>
            <w:r>
              <w:rPr>
                <w:rFonts w:eastAsia="仿宋_GB2312"/>
                <w:color w:val="000000"/>
                <w:kern w:val="0"/>
                <w:sz w:val="24"/>
              </w:rPr>
              <w:t>—</w:t>
            </w:r>
          </w:p>
        </w:tc>
        <w:tc>
          <w:tcPr>
            <w:tcW w:w="1271" w:type="dxa"/>
            <w:vMerge w:val="restart"/>
            <w:tcBorders>
              <w:top w:val="single" w:color="000000" w:sz="4" w:space="0"/>
              <w:left w:val="single" w:color="000000" w:sz="4" w:space="0"/>
              <w:bottom w:val="single" w:color="000000" w:sz="4" w:space="0"/>
              <w:right w:val="single" w:color="000000" w:sz="4" w:space="0"/>
            </w:tcBorders>
            <w:vAlign w:val="center"/>
          </w:tcPr>
          <w:p w14:paraId="65ACDA7C">
            <w:pPr>
              <w:widowControl/>
              <w:jc w:val="center"/>
              <w:rPr>
                <w:rFonts w:eastAsia="仿宋_GB2312"/>
                <w:color w:val="000000"/>
                <w:kern w:val="0"/>
                <w:sz w:val="24"/>
              </w:rPr>
            </w:pPr>
            <w:r>
              <w:rPr>
                <w:rFonts w:eastAsia="仿宋_GB2312"/>
                <w:color w:val="000000"/>
                <w:kern w:val="0"/>
                <w:sz w:val="24"/>
              </w:rPr>
              <w:t>预期性</w:t>
            </w:r>
          </w:p>
        </w:tc>
        <w:tc>
          <w:tcPr>
            <w:tcW w:w="1553" w:type="dxa"/>
            <w:vMerge w:val="restart"/>
            <w:tcBorders>
              <w:top w:val="single" w:color="000000" w:sz="4" w:space="0"/>
              <w:left w:val="single" w:color="000000" w:sz="4" w:space="0"/>
              <w:bottom w:val="single" w:color="000000" w:sz="4" w:space="0"/>
              <w:right w:val="single" w:color="000000" w:sz="4" w:space="0"/>
            </w:tcBorders>
            <w:vAlign w:val="center"/>
          </w:tcPr>
          <w:p w14:paraId="45435CB4">
            <w:pPr>
              <w:widowControl/>
              <w:jc w:val="center"/>
              <w:rPr>
                <w:rFonts w:eastAsia="仿宋_GB2312"/>
                <w:color w:val="000000"/>
                <w:kern w:val="0"/>
                <w:sz w:val="24"/>
              </w:rPr>
            </w:pPr>
            <w:r>
              <w:rPr>
                <w:rFonts w:eastAsia="仿宋_GB2312"/>
                <w:color w:val="000000"/>
                <w:kern w:val="0"/>
                <w:sz w:val="24"/>
              </w:rPr>
              <w:t>接近预期</w:t>
            </w:r>
          </w:p>
        </w:tc>
      </w:tr>
      <w:tr w14:paraId="2402899B">
        <w:tblPrEx>
          <w:tblCellMar>
            <w:top w:w="15" w:type="dxa"/>
            <w:left w:w="15" w:type="dxa"/>
            <w:bottom w:w="15" w:type="dxa"/>
            <w:right w:w="15" w:type="dxa"/>
          </w:tblCellMar>
        </w:tblPrEx>
        <w:trPr>
          <w:trHeight w:val="340" w:hRule="atLeast"/>
          <w:jc w:val="center"/>
        </w:trPr>
        <w:tc>
          <w:tcPr>
            <w:tcW w:w="604" w:type="dxa"/>
            <w:vMerge w:val="continue"/>
            <w:tcBorders>
              <w:top w:val="single" w:color="000000" w:sz="4" w:space="0"/>
              <w:left w:val="single" w:color="000000" w:sz="4" w:space="0"/>
              <w:bottom w:val="single" w:color="000000" w:sz="4" w:space="0"/>
              <w:right w:val="single" w:color="000000" w:sz="4" w:space="0"/>
            </w:tcBorders>
            <w:vAlign w:val="center"/>
          </w:tcPr>
          <w:p w14:paraId="1DA40584">
            <w:pPr>
              <w:widowControl/>
              <w:jc w:val="left"/>
              <w:rPr>
                <w:rFonts w:eastAsia="仿宋_GB2312"/>
                <w:color w:val="000000"/>
                <w:kern w:val="0"/>
                <w:sz w:val="24"/>
              </w:rPr>
            </w:pPr>
          </w:p>
        </w:tc>
        <w:tc>
          <w:tcPr>
            <w:tcW w:w="632" w:type="dxa"/>
            <w:vMerge w:val="continue"/>
            <w:tcBorders>
              <w:top w:val="single" w:color="000000" w:sz="4" w:space="0"/>
              <w:left w:val="single" w:color="000000" w:sz="4" w:space="0"/>
              <w:bottom w:val="single" w:color="000000" w:sz="4" w:space="0"/>
              <w:right w:val="single" w:color="000000" w:sz="4" w:space="0"/>
            </w:tcBorders>
            <w:vAlign w:val="center"/>
          </w:tcPr>
          <w:p w14:paraId="2AD34C90">
            <w:pPr>
              <w:widowControl/>
              <w:jc w:val="left"/>
              <w:rPr>
                <w:rFonts w:eastAsia="仿宋_GB2312"/>
                <w:color w:val="000000"/>
                <w:kern w:val="0"/>
                <w:sz w:val="24"/>
              </w:rPr>
            </w:pPr>
          </w:p>
        </w:tc>
        <w:tc>
          <w:tcPr>
            <w:tcW w:w="1684" w:type="dxa"/>
            <w:gridSpan w:val="2"/>
            <w:vMerge w:val="continue"/>
            <w:tcBorders>
              <w:top w:val="single" w:color="000000" w:sz="4" w:space="0"/>
              <w:left w:val="single" w:color="000000" w:sz="4" w:space="0"/>
              <w:bottom w:val="single" w:color="000000" w:sz="4" w:space="0"/>
              <w:right w:val="single" w:color="000000" w:sz="4" w:space="0"/>
            </w:tcBorders>
            <w:vAlign w:val="center"/>
          </w:tcPr>
          <w:p w14:paraId="3429AF10">
            <w:pPr>
              <w:widowControl/>
              <w:jc w:val="left"/>
              <w:rPr>
                <w:rFonts w:eastAsia="仿宋_GB2312"/>
                <w:color w:val="000000"/>
                <w:kern w:val="0"/>
                <w:sz w:val="24"/>
              </w:rPr>
            </w:pPr>
          </w:p>
        </w:tc>
        <w:tc>
          <w:tcPr>
            <w:tcW w:w="1047" w:type="dxa"/>
            <w:vMerge w:val="continue"/>
            <w:tcBorders>
              <w:top w:val="single" w:color="000000" w:sz="4" w:space="0"/>
              <w:left w:val="single" w:color="000000" w:sz="4" w:space="0"/>
              <w:bottom w:val="single" w:color="000000" w:sz="4" w:space="0"/>
              <w:right w:val="single" w:color="000000" w:sz="4" w:space="0"/>
            </w:tcBorders>
            <w:vAlign w:val="center"/>
          </w:tcPr>
          <w:p w14:paraId="77F41CC7">
            <w:pPr>
              <w:widowControl/>
              <w:jc w:val="left"/>
              <w:rPr>
                <w:rFonts w:eastAsia="仿宋_GB2312"/>
                <w:color w:val="000000"/>
                <w:kern w:val="0"/>
                <w:sz w:val="24"/>
              </w:rPr>
            </w:pPr>
          </w:p>
        </w:tc>
        <w:tc>
          <w:tcPr>
            <w:tcW w:w="1043" w:type="dxa"/>
            <w:vMerge w:val="continue"/>
            <w:tcBorders>
              <w:top w:val="single" w:color="000000" w:sz="4" w:space="0"/>
              <w:left w:val="single" w:color="000000" w:sz="4" w:space="0"/>
              <w:bottom w:val="single" w:color="000000" w:sz="4" w:space="0"/>
              <w:right w:val="single" w:color="000000" w:sz="4" w:space="0"/>
            </w:tcBorders>
            <w:vAlign w:val="center"/>
          </w:tcPr>
          <w:p w14:paraId="3DF6019A">
            <w:pPr>
              <w:widowControl/>
              <w:jc w:val="left"/>
              <w:rPr>
                <w:rFonts w:eastAsia="仿宋_GB2312"/>
                <w:color w:val="000000"/>
                <w:kern w:val="0"/>
                <w:sz w:val="24"/>
              </w:rPr>
            </w:pPr>
          </w:p>
        </w:tc>
        <w:tc>
          <w:tcPr>
            <w:tcW w:w="801" w:type="dxa"/>
            <w:vMerge w:val="continue"/>
            <w:tcBorders>
              <w:top w:val="single" w:color="000000" w:sz="4" w:space="0"/>
              <w:left w:val="single" w:color="000000" w:sz="4" w:space="0"/>
              <w:bottom w:val="single" w:color="000000" w:sz="4" w:space="0"/>
              <w:right w:val="single" w:color="000000" w:sz="4" w:space="0"/>
            </w:tcBorders>
            <w:vAlign w:val="center"/>
          </w:tcPr>
          <w:p w14:paraId="57FD006E">
            <w:pPr>
              <w:widowControl/>
              <w:jc w:val="left"/>
              <w:rPr>
                <w:rFonts w:eastAsia="仿宋_GB2312"/>
                <w:color w:val="000000"/>
                <w:kern w:val="0"/>
                <w:sz w:val="24"/>
              </w:rPr>
            </w:pPr>
          </w:p>
        </w:tc>
        <w:tc>
          <w:tcPr>
            <w:tcW w:w="1005" w:type="dxa"/>
            <w:vMerge w:val="continue"/>
            <w:tcBorders>
              <w:top w:val="single" w:color="000000" w:sz="4" w:space="0"/>
              <w:left w:val="single" w:color="000000" w:sz="4" w:space="0"/>
              <w:bottom w:val="single" w:color="000000" w:sz="4" w:space="0"/>
              <w:right w:val="single" w:color="000000" w:sz="4" w:space="0"/>
            </w:tcBorders>
            <w:vAlign w:val="center"/>
          </w:tcPr>
          <w:p w14:paraId="5F00ABD7">
            <w:pPr>
              <w:widowControl/>
              <w:jc w:val="left"/>
              <w:rPr>
                <w:rFonts w:eastAsia="仿宋_GB2312"/>
                <w:color w:val="000000"/>
                <w:kern w:val="0"/>
                <w:sz w:val="24"/>
              </w:rPr>
            </w:pPr>
          </w:p>
        </w:tc>
        <w:tc>
          <w:tcPr>
            <w:tcW w:w="930" w:type="dxa"/>
            <w:vMerge w:val="continue"/>
            <w:tcBorders>
              <w:top w:val="single" w:color="000000" w:sz="4" w:space="0"/>
              <w:left w:val="single" w:color="000000" w:sz="4" w:space="0"/>
              <w:bottom w:val="single" w:color="000000" w:sz="4" w:space="0"/>
              <w:right w:val="single" w:color="000000" w:sz="4" w:space="0"/>
            </w:tcBorders>
            <w:vAlign w:val="center"/>
          </w:tcPr>
          <w:p w14:paraId="552716C4">
            <w:pPr>
              <w:widowControl/>
              <w:jc w:val="left"/>
              <w:rPr>
                <w:rFonts w:eastAsia="仿宋_GB2312"/>
                <w:color w:val="000000"/>
                <w:kern w:val="0"/>
                <w:sz w:val="24"/>
              </w:rPr>
            </w:pPr>
          </w:p>
        </w:tc>
        <w:tc>
          <w:tcPr>
            <w:tcW w:w="907" w:type="dxa"/>
            <w:vMerge w:val="continue"/>
            <w:tcBorders>
              <w:top w:val="single" w:color="000000" w:sz="4" w:space="0"/>
              <w:left w:val="single" w:color="000000" w:sz="4" w:space="0"/>
              <w:bottom w:val="single" w:color="000000" w:sz="4" w:space="0"/>
              <w:right w:val="single" w:color="000000" w:sz="4" w:space="0"/>
            </w:tcBorders>
            <w:vAlign w:val="center"/>
          </w:tcPr>
          <w:p w14:paraId="75F53FD3">
            <w:pPr>
              <w:widowControl/>
              <w:jc w:val="left"/>
              <w:rPr>
                <w:rFonts w:eastAsia="仿宋_GB2312"/>
                <w:color w:val="000000"/>
                <w:kern w:val="0"/>
                <w:sz w:val="24"/>
              </w:rPr>
            </w:pPr>
          </w:p>
        </w:tc>
        <w:tc>
          <w:tcPr>
            <w:tcW w:w="1163" w:type="dxa"/>
            <w:vMerge w:val="continue"/>
            <w:tcBorders>
              <w:top w:val="single" w:color="000000" w:sz="4" w:space="0"/>
              <w:left w:val="single" w:color="000000" w:sz="4" w:space="0"/>
              <w:bottom w:val="single" w:color="000000" w:sz="4" w:space="0"/>
              <w:right w:val="single" w:color="000000" w:sz="4" w:space="0"/>
            </w:tcBorders>
            <w:vAlign w:val="center"/>
          </w:tcPr>
          <w:p w14:paraId="0EAF1AAD">
            <w:pPr>
              <w:widowControl/>
              <w:jc w:val="left"/>
              <w:rPr>
                <w:rFonts w:eastAsia="仿宋_GB2312"/>
                <w:color w:val="000000"/>
                <w:kern w:val="0"/>
                <w:sz w:val="24"/>
              </w:rPr>
            </w:pPr>
          </w:p>
        </w:tc>
        <w:tc>
          <w:tcPr>
            <w:tcW w:w="1298" w:type="dxa"/>
            <w:vMerge w:val="continue"/>
            <w:tcBorders>
              <w:top w:val="single" w:color="000000" w:sz="4" w:space="0"/>
              <w:left w:val="single" w:color="000000" w:sz="4" w:space="0"/>
              <w:bottom w:val="single" w:color="000000" w:sz="4" w:space="0"/>
              <w:right w:val="single" w:color="000000" w:sz="4" w:space="0"/>
            </w:tcBorders>
            <w:vAlign w:val="center"/>
          </w:tcPr>
          <w:p w14:paraId="30979DD3">
            <w:pPr>
              <w:widowControl/>
              <w:jc w:val="left"/>
              <w:rPr>
                <w:rFonts w:eastAsia="仿宋_GB2312"/>
                <w:color w:val="000000"/>
                <w:kern w:val="0"/>
                <w:sz w:val="24"/>
              </w:rPr>
            </w:pPr>
          </w:p>
        </w:tc>
        <w:tc>
          <w:tcPr>
            <w:tcW w:w="1094" w:type="dxa"/>
            <w:vMerge w:val="continue"/>
            <w:tcBorders>
              <w:top w:val="single" w:color="000000" w:sz="4" w:space="0"/>
              <w:left w:val="single" w:color="000000" w:sz="4" w:space="0"/>
              <w:bottom w:val="single" w:color="000000" w:sz="4" w:space="0"/>
              <w:right w:val="single" w:color="000000" w:sz="4" w:space="0"/>
            </w:tcBorders>
            <w:vAlign w:val="center"/>
          </w:tcPr>
          <w:p w14:paraId="411CE368">
            <w:pPr>
              <w:widowControl/>
              <w:jc w:val="left"/>
              <w:rPr>
                <w:rFonts w:eastAsia="仿宋_GB2312"/>
                <w:color w:val="000000"/>
                <w:kern w:val="0"/>
                <w:sz w:val="24"/>
              </w:rPr>
            </w:pPr>
          </w:p>
        </w:tc>
        <w:tc>
          <w:tcPr>
            <w:tcW w:w="1271" w:type="dxa"/>
            <w:vMerge w:val="continue"/>
            <w:tcBorders>
              <w:top w:val="single" w:color="000000" w:sz="4" w:space="0"/>
              <w:left w:val="single" w:color="000000" w:sz="4" w:space="0"/>
              <w:bottom w:val="single" w:color="000000" w:sz="4" w:space="0"/>
              <w:right w:val="single" w:color="000000" w:sz="4" w:space="0"/>
            </w:tcBorders>
            <w:vAlign w:val="center"/>
          </w:tcPr>
          <w:p w14:paraId="6AA4021F">
            <w:pPr>
              <w:widowControl/>
              <w:jc w:val="left"/>
              <w:rPr>
                <w:rFonts w:eastAsia="仿宋_GB2312"/>
                <w:color w:val="000000"/>
                <w:kern w:val="0"/>
                <w:sz w:val="24"/>
              </w:rPr>
            </w:pPr>
          </w:p>
        </w:tc>
        <w:tc>
          <w:tcPr>
            <w:tcW w:w="1553" w:type="dxa"/>
            <w:vMerge w:val="continue"/>
            <w:tcBorders>
              <w:top w:val="single" w:color="000000" w:sz="4" w:space="0"/>
              <w:left w:val="single" w:color="000000" w:sz="4" w:space="0"/>
              <w:bottom w:val="single" w:color="000000" w:sz="4" w:space="0"/>
              <w:right w:val="single" w:color="000000" w:sz="4" w:space="0"/>
            </w:tcBorders>
            <w:vAlign w:val="center"/>
          </w:tcPr>
          <w:p w14:paraId="3E9DCD9C">
            <w:pPr>
              <w:widowControl/>
              <w:jc w:val="left"/>
              <w:rPr>
                <w:rFonts w:eastAsia="仿宋_GB2312"/>
                <w:color w:val="000000"/>
                <w:kern w:val="0"/>
                <w:sz w:val="24"/>
              </w:rPr>
            </w:pPr>
          </w:p>
        </w:tc>
      </w:tr>
      <w:tr w14:paraId="6D59420D">
        <w:tblPrEx>
          <w:tblCellMar>
            <w:top w:w="15" w:type="dxa"/>
            <w:left w:w="15" w:type="dxa"/>
            <w:bottom w:w="15" w:type="dxa"/>
            <w:right w:w="15" w:type="dxa"/>
          </w:tblCellMar>
        </w:tblPrEx>
        <w:trPr>
          <w:trHeight w:val="340" w:hRule="atLeast"/>
          <w:jc w:val="center"/>
        </w:trPr>
        <w:tc>
          <w:tcPr>
            <w:tcW w:w="604" w:type="dxa"/>
            <w:tcBorders>
              <w:top w:val="single" w:color="000000" w:sz="4" w:space="0"/>
              <w:left w:val="single" w:color="000000" w:sz="4" w:space="0"/>
              <w:bottom w:val="single" w:color="000000" w:sz="4" w:space="0"/>
              <w:right w:val="single" w:color="000000" w:sz="4" w:space="0"/>
            </w:tcBorders>
            <w:vAlign w:val="center"/>
          </w:tcPr>
          <w:p w14:paraId="523144B0">
            <w:pPr>
              <w:widowControl/>
              <w:jc w:val="center"/>
              <w:rPr>
                <w:rFonts w:eastAsia="仿宋_GB2312"/>
                <w:color w:val="000000"/>
                <w:kern w:val="0"/>
                <w:sz w:val="24"/>
              </w:rPr>
            </w:pPr>
            <w:r>
              <w:rPr>
                <w:rFonts w:eastAsia="仿宋_GB2312"/>
                <w:color w:val="000000"/>
                <w:kern w:val="0"/>
                <w:sz w:val="24"/>
              </w:rPr>
              <w:t>21</w:t>
            </w:r>
          </w:p>
        </w:tc>
        <w:tc>
          <w:tcPr>
            <w:tcW w:w="632" w:type="dxa"/>
            <w:vMerge w:val="restart"/>
            <w:tcBorders>
              <w:top w:val="single" w:color="000000" w:sz="4" w:space="0"/>
              <w:left w:val="single" w:color="000000" w:sz="4" w:space="0"/>
              <w:bottom w:val="single" w:color="000000" w:sz="4" w:space="0"/>
              <w:right w:val="single" w:color="000000" w:sz="4" w:space="0"/>
            </w:tcBorders>
            <w:vAlign w:val="center"/>
          </w:tcPr>
          <w:p w14:paraId="1F0855FC">
            <w:pPr>
              <w:widowControl/>
              <w:jc w:val="center"/>
              <w:rPr>
                <w:rFonts w:eastAsia="仿宋_GB2312"/>
                <w:color w:val="000000"/>
                <w:kern w:val="0"/>
                <w:sz w:val="24"/>
              </w:rPr>
            </w:pPr>
            <w:r>
              <w:rPr>
                <w:rFonts w:eastAsia="仿宋_GB2312"/>
                <w:color w:val="000000"/>
                <w:kern w:val="0"/>
                <w:sz w:val="24"/>
              </w:rPr>
              <w:t>绿色</w:t>
            </w:r>
          </w:p>
          <w:p w14:paraId="38EFF33B">
            <w:pPr>
              <w:widowControl/>
              <w:jc w:val="center"/>
              <w:rPr>
                <w:rFonts w:eastAsia="仿宋_GB2312"/>
                <w:color w:val="000000"/>
                <w:kern w:val="0"/>
                <w:sz w:val="24"/>
              </w:rPr>
            </w:pPr>
            <w:r>
              <w:rPr>
                <w:rFonts w:eastAsia="仿宋_GB2312"/>
                <w:color w:val="000000"/>
                <w:kern w:val="0"/>
                <w:sz w:val="24"/>
              </w:rPr>
              <w:t>生态</w:t>
            </w:r>
          </w:p>
          <w:p w14:paraId="75830959">
            <w:pPr>
              <w:widowControl/>
              <w:jc w:val="center"/>
              <w:rPr>
                <w:rFonts w:eastAsia="仿宋_GB2312"/>
                <w:color w:val="000000"/>
                <w:kern w:val="0"/>
                <w:sz w:val="24"/>
              </w:rPr>
            </w:pPr>
            <w:r>
              <w:rPr>
                <w:rFonts w:eastAsia="仿宋_GB2312"/>
                <w:color w:val="000000"/>
                <w:kern w:val="0"/>
                <w:sz w:val="24"/>
              </w:rPr>
              <w:t>指标</w:t>
            </w:r>
          </w:p>
        </w:tc>
        <w:tc>
          <w:tcPr>
            <w:tcW w:w="1684" w:type="dxa"/>
            <w:gridSpan w:val="2"/>
            <w:tcBorders>
              <w:top w:val="single" w:color="000000" w:sz="4" w:space="0"/>
              <w:left w:val="single" w:color="000000" w:sz="4" w:space="0"/>
              <w:bottom w:val="single" w:color="000000" w:sz="4" w:space="0"/>
              <w:right w:val="single" w:color="000000" w:sz="4" w:space="0"/>
            </w:tcBorders>
            <w:vAlign w:val="center"/>
          </w:tcPr>
          <w:p w14:paraId="53C6F09C">
            <w:pPr>
              <w:widowControl/>
              <w:jc w:val="center"/>
              <w:rPr>
                <w:rFonts w:eastAsia="仿宋_GB2312"/>
                <w:color w:val="000000"/>
                <w:kern w:val="0"/>
                <w:sz w:val="24"/>
              </w:rPr>
            </w:pPr>
            <w:r>
              <w:rPr>
                <w:rFonts w:eastAsia="仿宋_GB2312"/>
                <w:color w:val="000000"/>
                <w:kern w:val="0"/>
                <w:sz w:val="24"/>
              </w:rPr>
              <w:t>森林覆盖率（%）</w:t>
            </w:r>
          </w:p>
        </w:tc>
        <w:tc>
          <w:tcPr>
            <w:tcW w:w="1047" w:type="dxa"/>
            <w:tcBorders>
              <w:top w:val="single" w:color="000000" w:sz="4" w:space="0"/>
              <w:left w:val="single" w:color="000000" w:sz="4" w:space="0"/>
              <w:bottom w:val="single" w:color="000000" w:sz="4" w:space="0"/>
              <w:right w:val="single" w:color="000000" w:sz="4" w:space="0"/>
            </w:tcBorders>
            <w:vAlign w:val="center"/>
          </w:tcPr>
          <w:p w14:paraId="5A105673">
            <w:pPr>
              <w:widowControl/>
              <w:jc w:val="center"/>
              <w:rPr>
                <w:rFonts w:eastAsia="仿宋_GB2312"/>
                <w:color w:val="000000"/>
                <w:kern w:val="0"/>
                <w:sz w:val="24"/>
              </w:rPr>
            </w:pPr>
            <w:r>
              <w:rPr>
                <w:rFonts w:eastAsia="仿宋_GB2312"/>
                <w:color w:val="000000"/>
                <w:kern w:val="0"/>
                <w:sz w:val="24"/>
              </w:rPr>
              <w:t>59.08</w:t>
            </w:r>
          </w:p>
        </w:tc>
        <w:tc>
          <w:tcPr>
            <w:tcW w:w="1043" w:type="dxa"/>
            <w:tcBorders>
              <w:top w:val="single" w:color="000000" w:sz="4" w:space="0"/>
              <w:left w:val="single" w:color="000000" w:sz="4" w:space="0"/>
              <w:bottom w:val="single" w:color="000000" w:sz="4" w:space="0"/>
              <w:right w:val="single" w:color="000000" w:sz="4" w:space="0"/>
            </w:tcBorders>
            <w:vAlign w:val="center"/>
          </w:tcPr>
          <w:p w14:paraId="283F3152">
            <w:pPr>
              <w:widowControl/>
              <w:jc w:val="center"/>
              <w:rPr>
                <w:rFonts w:eastAsia="仿宋_GB2312"/>
                <w:color w:val="000000"/>
                <w:kern w:val="0"/>
                <w:sz w:val="24"/>
              </w:rPr>
            </w:pPr>
          </w:p>
        </w:tc>
        <w:tc>
          <w:tcPr>
            <w:tcW w:w="801" w:type="dxa"/>
            <w:tcBorders>
              <w:top w:val="single" w:color="000000" w:sz="4" w:space="0"/>
              <w:left w:val="single" w:color="000000" w:sz="4" w:space="0"/>
              <w:bottom w:val="single" w:color="000000" w:sz="4" w:space="0"/>
              <w:right w:val="single" w:color="000000" w:sz="4" w:space="0"/>
            </w:tcBorders>
            <w:vAlign w:val="center"/>
          </w:tcPr>
          <w:p w14:paraId="3E6BC753">
            <w:pPr>
              <w:widowControl/>
              <w:jc w:val="center"/>
              <w:rPr>
                <w:rFonts w:eastAsia="仿宋_GB2312"/>
                <w:color w:val="000000"/>
                <w:kern w:val="0"/>
                <w:sz w:val="24"/>
              </w:rPr>
            </w:pPr>
            <w:r>
              <w:rPr>
                <w:rFonts w:eastAsia="仿宋_GB2312"/>
                <w:color w:val="000000"/>
                <w:kern w:val="0"/>
                <w:sz w:val="24"/>
              </w:rPr>
              <w:t>51.97</w:t>
            </w:r>
          </w:p>
        </w:tc>
        <w:tc>
          <w:tcPr>
            <w:tcW w:w="1005" w:type="dxa"/>
            <w:tcBorders>
              <w:top w:val="single" w:color="000000" w:sz="4" w:space="0"/>
              <w:left w:val="single" w:color="000000" w:sz="4" w:space="0"/>
              <w:bottom w:val="single" w:color="000000" w:sz="4" w:space="0"/>
              <w:right w:val="single" w:color="000000" w:sz="4" w:space="0"/>
            </w:tcBorders>
            <w:vAlign w:val="center"/>
          </w:tcPr>
          <w:p w14:paraId="725131DA">
            <w:pPr>
              <w:widowControl/>
              <w:jc w:val="center"/>
              <w:rPr>
                <w:rFonts w:eastAsia="仿宋_GB2312"/>
                <w:color w:val="000000"/>
                <w:kern w:val="0"/>
                <w:sz w:val="24"/>
              </w:rPr>
            </w:pPr>
            <w:r>
              <w:rPr>
                <w:rFonts w:eastAsia="仿宋_GB2312"/>
                <w:color w:val="000000"/>
                <w:kern w:val="0"/>
                <w:sz w:val="24"/>
              </w:rPr>
              <w:t>51.97</w:t>
            </w:r>
          </w:p>
        </w:tc>
        <w:tc>
          <w:tcPr>
            <w:tcW w:w="930" w:type="dxa"/>
            <w:tcBorders>
              <w:top w:val="single" w:color="000000" w:sz="4" w:space="0"/>
              <w:left w:val="single" w:color="000000" w:sz="4" w:space="0"/>
              <w:bottom w:val="single" w:color="000000" w:sz="4" w:space="0"/>
              <w:right w:val="single" w:color="000000" w:sz="4" w:space="0"/>
            </w:tcBorders>
            <w:vAlign w:val="center"/>
          </w:tcPr>
          <w:p w14:paraId="0D718B41">
            <w:pPr>
              <w:widowControl/>
              <w:jc w:val="center"/>
              <w:rPr>
                <w:rFonts w:eastAsia="仿宋_GB2312"/>
                <w:color w:val="000000"/>
                <w:kern w:val="0"/>
                <w:sz w:val="24"/>
              </w:rPr>
            </w:pPr>
            <w:r>
              <w:rPr>
                <w:rFonts w:eastAsia="仿宋_GB2312"/>
                <w:color w:val="000000"/>
                <w:kern w:val="0"/>
                <w:sz w:val="24"/>
              </w:rPr>
              <w:t>51.97</w:t>
            </w:r>
          </w:p>
        </w:tc>
        <w:tc>
          <w:tcPr>
            <w:tcW w:w="907" w:type="dxa"/>
            <w:tcBorders>
              <w:top w:val="single" w:color="000000" w:sz="4" w:space="0"/>
              <w:left w:val="single" w:color="000000" w:sz="4" w:space="0"/>
              <w:bottom w:val="single" w:color="000000" w:sz="4" w:space="0"/>
              <w:right w:val="single" w:color="000000" w:sz="4" w:space="0"/>
            </w:tcBorders>
            <w:vAlign w:val="center"/>
          </w:tcPr>
          <w:p w14:paraId="7BE6D3EE">
            <w:pPr>
              <w:widowControl/>
              <w:jc w:val="center"/>
              <w:rPr>
                <w:rFonts w:eastAsia="仿宋_GB2312"/>
                <w:color w:val="000000"/>
                <w:kern w:val="0"/>
                <w:sz w:val="24"/>
              </w:rPr>
            </w:pPr>
            <w:r>
              <w:rPr>
                <w:rFonts w:eastAsia="仿宋_GB2312"/>
                <w:color w:val="000000"/>
                <w:kern w:val="0"/>
                <w:sz w:val="24"/>
              </w:rPr>
              <w:t>52.88</w:t>
            </w:r>
          </w:p>
        </w:tc>
        <w:tc>
          <w:tcPr>
            <w:tcW w:w="1163" w:type="dxa"/>
            <w:tcBorders>
              <w:top w:val="single" w:color="000000" w:sz="4" w:space="0"/>
              <w:left w:val="single" w:color="000000" w:sz="4" w:space="0"/>
              <w:bottom w:val="single" w:color="000000" w:sz="4" w:space="0"/>
              <w:right w:val="single" w:color="000000" w:sz="4" w:space="0"/>
            </w:tcBorders>
            <w:vAlign w:val="center"/>
          </w:tcPr>
          <w:p w14:paraId="6C7E50C8">
            <w:pPr>
              <w:widowControl/>
              <w:jc w:val="center"/>
              <w:rPr>
                <w:rFonts w:eastAsia="仿宋_GB2312"/>
                <w:color w:val="000000"/>
                <w:kern w:val="0"/>
                <w:sz w:val="24"/>
              </w:rPr>
            </w:pPr>
            <w:r>
              <w:rPr>
                <w:rFonts w:eastAsia="仿宋_GB2312"/>
                <w:color w:val="000000"/>
                <w:kern w:val="0"/>
                <w:sz w:val="24"/>
              </w:rPr>
              <w:t>54.34</w:t>
            </w:r>
          </w:p>
        </w:tc>
        <w:tc>
          <w:tcPr>
            <w:tcW w:w="1298" w:type="dxa"/>
            <w:tcBorders>
              <w:top w:val="single" w:color="000000" w:sz="4" w:space="0"/>
              <w:left w:val="single" w:color="000000" w:sz="4" w:space="0"/>
              <w:bottom w:val="single" w:color="000000" w:sz="4" w:space="0"/>
              <w:right w:val="single" w:color="000000" w:sz="4" w:space="0"/>
            </w:tcBorders>
            <w:vAlign w:val="center"/>
          </w:tcPr>
          <w:p w14:paraId="401473B1">
            <w:pPr>
              <w:widowControl/>
              <w:jc w:val="center"/>
              <w:rPr>
                <w:rFonts w:eastAsia="仿宋_GB2312"/>
                <w:color w:val="000000"/>
                <w:kern w:val="0"/>
                <w:sz w:val="24"/>
              </w:rPr>
            </w:pPr>
            <w:r>
              <w:rPr>
                <w:rFonts w:eastAsia="仿宋_GB2312"/>
                <w:color w:val="000000"/>
                <w:kern w:val="0"/>
                <w:sz w:val="24"/>
              </w:rPr>
              <w:t>60.5</w:t>
            </w:r>
          </w:p>
        </w:tc>
        <w:tc>
          <w:tcPr>
            <w:tcW w:w="1094" w:type="dxa"/>
            <w:tcBorders>
              <w:top w:val="single" w:color="000000" w:sz="4" w:space="0"/>
              <w:left w:val="single" w:color="000000" w:sz="4" w:space="0"/>
              <w:bottom w:val="single" w:color="000000" w:sz="4" w:space="0"/>
              <w:right w:val="single" w:color="000000" w:sz="4" w:space="0"/>
            </w:tcBorders>
            <w:vAlign w:val="center"/>
          </w:tcPr>
          <w:p w14:paraId="1C1F235B">
            <w:pPr>
              <w:widowControl/>
              <w:jc w:val="center"/>
              <w:rPr>
                <w:rFonts w:eastAsia="仿宋_GB2312"/>
                <w:color w:val="000000"/>
                <w:kern w:val="0"/>
                <w:sz w:val="24"/>
              </w:rPr>
            </w:pPr>
            <w:r>
              <w:rPr>
                <w:rFonts w:eastAsia="仿宋_GB2312"/>
                <w:color w:val="000000"/>
                <w:kern w:val="0"/>
                <w:sz w:val="24"/>
              </w:rPr>
              <w:t>1.42</w:t>
            </w:r>
          </w:p>
        </w:tc>
        <w:tc>
          <w:tcPr>
            <w:tcW w:w="1271" w:type="dxa"/>
            <w:tcBorders>
              <w:top w:val="single" w:color="000000" w:sz="4" w:space="0"/>
              <w:left w:val="single" w:color="000000" w:sz="4" w:space="0"/>
              <w:bottom w:val="single" w:color="000000" w:sz="4" w:space="0"/>
              <w:right w:val="single" w:color="000000" w:sz="4" w:space="0"/>
            </w:tcBorders>
            <w:vAlign w:val="center"/>
          </w:tcPr>
          <w:p w14:paraId="582FE30C">
            <w:pPr>
              <w:widowControl/>
              <w:jc w:val="center"/>
              <w:rPr>
                <w:rFonts w:eastAsia="仿宋_GB2312"/>
                <w:color w:val="000000"/>
                <w:kern w:val="0"/>
                <w:sz w:val="24"/>
              </w:rPr>
            </w:pPr>
            <w:r>
              <w:rPr>
                <w:rFonts w:eastAsia="仿宋_GB2312"/>
                <w:color w:val="000000"/>
                <w:kern w:val="0"/>
                <w:sz w:val="24"/>
              </w:rPr>
              <w:t>约束性</w:t>
            </w:r>
          </w:p>
        </w:tc>
        <w:tc>
          <w:tcPr>
            <w:tcW w:w="1553" w:type="dxa"/>
            <w:tcBorders>
              <w:top w:val="single" w:color="000000" w:sz="4" w:space="0"/>
              <w:left w:val="single" w:color="000000" w:sz="4" w:space="0"/>
              <w:bottom w:val="single" w:color="000000" w:sz="4" w:space="0"/>
              <w:right w:val="single" w:color="000000" w:sz="4" w:space="0"/>
            </w:tcBorders>
            <w:vAlign w:val="center"/>
          </w:tcPr>
          <w:p w14:paraId="2247DE3E">
            <w:pPr>
              <w:widowControl/>
              <w:jc w:val="center"/>
              <w:rPr>
                <w:rFonts w:eastAsia="仿宋_GB2312"/>
                <w:color w:val="000000"/>
                <w:kern w:val="0"/>
                <w:sz w:val="24"/>
              </w:rPr>
            </w:pPr>
            <w:r>
              <w:rPr>
                <w:rFonts w:eastAsia="仿宋_GB2312"/>
                <w:color w:val="000000"/>
                <w:kern w:val="0"/>
                <w:sz w:val="24"/>
              </w:rPr>
              <w:t>接近预期</w:t>
            </w:r>
          </w:p>
        </w:tc>
      </w:tr>
      <w:tr w14:paraId="508326AC">
        <w:tblPrEx>
          <w:tblCellMar>
            <w:top w:w="15" w:type="dxa"/>
            <w:left w:w="15" w:type="dxa"/>
            <w:bottom w:w="15" w:type="dxa"/>
            <w:right w:w="15" w:type="dxa"/>
          </w:tblCellMar>
        </w:tblPrEx>
        <w:trPr>
          <w:trHeight w:val="340" w:hRule="atLeast"/>
          <w:jc w:val="center"/>
        </w:trPr>
        <w:tc>
          <w:tcPr>
            <w:tcW w:w="604" w:type="dxa"/>
            <w:tcBorders>
              <w:top w:val="single" w:color="000000" w:sz="4" w:space="0"/>
              <w:left w:val="single" w:color="000000" w:sz="4" w:space="0"/>
              <w:bottom w:val="single" w:color="000000" w:sz="4" w:space="0"/>
              <w:right w:val="single" w:color="000000" w:sz="4" w:space="0"/>
            </w:tcBorders>
            <w:vAlign w:val="center"/>
          </w:tcPr>
          <w:p w14:paraId="5034FD1A">
            <w:pPr>
              <w:widowControl/>
              <w:jc w:val="center"/>
              <w:rPr>
                <w:rFonts w:eastAsia="仿宋_GB2312"/>
                <w:color w:val="000000"/>
                <w:kern w:val="0"/>
                <w:sz w:val="24"/>
              </w:rPr>
            </w:pPr>
            <w:r>
              <w:rPr>
                <w:rFonts w:eastAsia="仿宋_GB2312"/>
                <w:color w:val="000000"/>
                <w:kern w:val="0"/>
                <w:sz w:val="24"/>
              </w:rPr>
              <w:t>22</w:t>
            </w:r>
          </w:p>
        </w:tc>
        <w:tc>
          <w:tcPr>
            <w:tcW w:w="632" w:type="dxa"/>
            <w:vMerge w:val="continue"/>
            <w:tcBorders>
              <w:top w:val="single" w:color="000000" w:sz="4" w:space="0"/>
              <w:left w:val="single" w:color="000000" w:sz="4" w:space="0"/>
              <w:bottom w:val="single" w:color="000000" w:sz="4" w:space="0"/>
              <w:right w:val="single" w:color="000000" w:sz="4" w:space="0"/>
            </w:tcBorders>
            <w:vAlign w:val="center"/>
          </w:tcPr>
          <w:p w14:paraId="371078B8">
            <w:pPr>
              <w:widowControl/>
              <w:jc w:val="left"/>
              <w:rPr>
                <w:rFonts w:eastAsia="仿宋_GB2312"/>
                <w:color w:val="000000"/>
                <w:kern w:val="0"/>
                <w:sz w:val="24"/>
              </w:rPr>
            </w:pPr>
          </w:p>
        </w:tc>
        <w:tc>
          <w:tcPr>
            <w:tcW w:w="1684" w:type="dxa"/>
            <w:gridSpan w:val="2"/>
            <w:tcBorders>
              <w:top w:val="single" w:color="000000" w:sz="4" w:space="0"/>
              <w:left w:val="single" w:color="000000" w:sz="4" w:space="0"/>
              <w:bottom w:val="single" w:color="000000" w:sz="4" w:space="0"/>
              <w:right w:val="single" w:color="000000" w:sz="4" w:space="0"/>
            </w:tcBorders>
            <w:vAlign w:val="center"/>
          </w:tcPr>
          <w:p w14:paraId="0D4E27E6">
            <w:pPr>
              <w:widowControl/>
              <w:jc w:val="center"/>
              <w:rPr>
                <w:rFonts w:eastAsia="仿宋_GB2312"/>
                <w:color w:val="000000"/>
                <w:kern w:val="0"/>
                <w:sz w:val="24"/>
              </w:rPr>
            </w:pPr>
            <w:r>
              <w:rPr>
                <w:rFonts w:eastAsia="仿宋_GB2312"/>
                <w:color w:val="000000"/>
                <w:kern w:val="0"/>
                <w:sz w:val="24"/>
              </w:rPr>
              <w:t>城市生活垃圾</w:t>
            </w:r>
            <w:r>
              <w:rPr>
                <w:rFonts w:eastAsia="仿宋_GB2312"/>
                <w:color w:val="000000"/>
                <w:spacing w:val="-14"/>
                <w:kern w:val="0"/>
                <w:sz w:val="24"/>
              </w:rPr>
              <w:t>无害化处理率（%）</w:t>
            </w:r>
          </w:p>
        </w:tc>
        <w:tc>
          <w:tcPr>
            <w:tcW w:w="1047" w:type="dxa"/>
            <w:tcBorders>
              <w:top w:val="single" w:color="000000" w:sz="4" w:space="0"/>
              <w:left w:val="single" w:color="000000" w:sz="4" w:space="0"/>
              <w:bottom w:val="single" w:color="000000" w:sz="4" w:space="0"/>
              <w:right w:val="single" w:color="000000" w:sz="4" w:space="0"/>
            </w:tcBorders>
            <w:vAlign w:val="center"/>
          </w:tcPr>
          <w:p w14:paraId="0DD18C0A">
            <w:pPr>
              <w:widowControl/>
              <w:jc w:val="center"/>
              <w:rPr>
                <w:rFonts w:eastAsia="仿宋_GB2312"/>
                <w:color w:val="000000"/>
                <w:kern w:val="0"/>
                <w:sz w:val="24"/>
              </w:rPr>
            </w:pPr>
            <w:r>
              <w:rPr>
                <w:rFonts w:eastAsia="仿宋_GB2312"/>
                <w:color w:val="000000"/>
                <w:kern w:val="0"/>
                <w:sz w:val="24"/>
              </w:rPr>
              <w:t>100</w:t>
            </w:r>
          </w:p>
        </w:tc>
        <w:tc>
          <w:tcPr>
            <w:tcW w:w="1043" w:type="dxa"/>
            <w:tcBorders>
              <w:top w:val="single" w:color="000000" w:sz="4" w:space="0"/>
              <w:left w:val="single" w:color="000000" w:sz="4" w:space="0"/>
              <w:bottom w:val="single" w:color="000000" w:sz="4" w:space="0"/>
              <w:right w:val="single" w:color="000000" w:sz="4" w:space="0"/>
            </w:tcBorders>
            <w:vAlign w:val="center"/>
          </w:tcPr>
          <w:p w14:paraId="679EB8B6">
            <w:pPr>
              <w:widowControl/>
              <w:jc w:val="center"/>
              <w:rPr>
                <w:rFonts w:eastAsia="仿宋_GB2312"/>
                <w:color w:val="000000"/>
                <w:kern w:val="0"/>
                <w:sz w:val="24"/>
              </w:rPr>
            </w:pPr>
          </w:p>
        </w:tc>
        <w:tc>
          <w:tcPr>
            <w:tcW w:w="801" w:type="dxa"/>
            <w:tcBorders>
              <w:top w:val="single" w:color="000000" w:sz="4" w:space="0"/>
              <w:left w:val="single" w:color="000000" w:sz="4" w:space="0"/>
              <w:bottom w:val="single" w:color="000000" w:sz="4" w:space="0"/>
              <w:right w:val="single" w:color="000000" w:sz="4" w:space="0"/>
            </w:tcBorders>
            <w:vAlign w:val="center"/>
          </w:tcPr>
          <w:p w14:paraId="3A4534E7">
            <w:pPr>
              <w:widowControl/>
              <w:jc w:val="center"/>
              <w:rPr>
                <w:rFonts w:eastAsia="仿宋_GB2312"/>
                <w:color w:val="000000"/>
                <w:kern w:val="0"/>
                <w:sz w:val="24"/>
              </w:rPr>
            </w:pPr>
            <w:r>
              <w:rPr>
                <w:rFonts w:eastAsia="仿宋_GB2312"/>
                <w:color w:val="000000"/>
                <w:kern w:val="0"/>
                <w:sz w:val="24"/>
              </w:rPr>
              <w:t>100</w:t>
            </w:r>
          </w:p>
        </w:tc>
        <w:tc>
          <w:tcPr>
            <w:tcW w:w="1005" w:type="dxa"/>
            <w:tcBorders>
              <w:top w:val="single" w:color="000000" w:sz="4" w:space="0"/>
              <w:left w:val="single" w:color="000000" w:sz="4" w:space="0"/>
              <w:bottom w:val="single" w:color="000000" w:sz="4" w:space="0"/>
              <w:right w:val="single" w:color="000000" w:sz="4" w:space="0"/>
            </w:tcBorders>
            <w:vAlign w:val="center"/>
          </w:tcPr>
          <w:p w14:paraId="1692D8F9">
            <w:pPr>
              <w:widowControl/>
              <w:jc w:val="center"/>
              <w:rPr>
                <w:rFonts w:eastAsia="仿宋_GB2312"/>
                <w:color w:val="000000"/>
                <w:kern w:val="0"/>
                <w:sz w:val="24"/>
              </w:rPr>
            </w:pPr>
            <w:r>
              <w:rPr>
                <w:rFonts w:eastAsia="仿宋_GB2312"/>
                <w:color w:val="000000"/>
                <w:kern w:val="0"/>
                <w:sz w:val="24"/>
              </w:rPr>
              <w:t>100</w:t>
            </w:r>
          </w:p>
        </w:tc>
        <w:tc>
          <w:tcPr>
            <w:tcW w:w="930" w:type="dxa"/>
            <w:tcBorders>
              <w:top w:val="single" w:color="000000" w:sz="4" w:space="0"/>
              <w:left w:val="single" w:color="000000" w:sz="4" w:space="0"/>
              <w:bottom w:val="single" w:color="000000" w:sz="4" w:space="0"/>
              <w:right w:val="single" w:color="000000" w:sz="4" w:space="0"/>
            </w:tcBorders>
            <w:vAlign w:val="center"/>
          </w:tcPr>
          <w:p w14:paraId="29D97F67">
            <w:pPr>
              <w:widowControl/>
              <w:jc w:val="center"/>
              <w:rPr>
                <w:rFonts w:eastAsia="仿宋_GB2312"/>
                <w:color w:val="000000"/>
                <w:kern w:val="0"/>
                <w:sz w:val="24"/>
              </w:rPr>
            </w:pPr>
            <w:r>
              <w:rPr>
                <w:rFonts w:eastAsia="仿宋_GB2312"/>
                <w:color w:val="000000"/>
                <w:kern w:val="0"/>
                <w:sz w:val="24"/>
              </w:rPr>
              <w:t>100</w:t>
            </w:r>
          </w:p>
        </w:tc>
        <w:tc>
          <w:tcPr>
            <w:tcW w:w="907" w:type="dxa"/>
            <w:tcBorders>
              <w:top w:val="single" w:color="000000" w:sz="4" w:space="0"/>
              <w:left w:val="single" w:color="000000" w:sz="4" w:space="0"/>
              <w:bottom w:val="single" w:color="000000" w:sz="4" w:space="0"/>
              <w:right w:val="single" w:color="000000" w:sz="4" w:space="0"/>
            </w:tcBorders>
            <w:vAlign w:val="center"/>
          </w:tcPr>
          <w:p w14:paraId="774A4FC2">
            <w:pPr>
              <w:widowControl/>
              <w:jc w:val="center"/>
              <w:rPr>
                <w:rFonts w:eastAsia="仿宋_GB2312"/>
                <w:color w:val="000000"/>
                <w:kern w:val="0"/>
                <w:sz w:val="24"/>
              </w:rPr>
            </w:pPr>
            <w:r>
              <w:rPr>
                <w:rFonts w:eastAsia="仿宋_GB2312"/>
                <w:color w:val="000000"/>
                <w:kern w:val="0"/>
                <w:sz w:val="24"/>
              </w:rPr>
              <w:t>100</w:t>
            </w:r>
          </w:p>
        </w:tc>
        <w:tc>
          <w:tcPr>
            <w:tcW w:w="1163" w:type="dxa"/>
            <w:tcBorders>
              <w:top w:val="single" w:color="000000" w:sz="4" w:space="0"/>
              <w:left w:val="single" w:color="000000" w:sz="4" w:space="0"/>
              <w:bottom w:val="single" w:color="000000" w:sz="4" w:space="0"/>
              <w:right w:val="single" w:color="000000" w:sz="4" w:space="0"/>
            </w:tcBorders>
            <w:vAlign w:val="center"/>
          </w:tcPr>
          <w:p w14:paraId="7F95CD68">
            <w:pPr>
              <w:widowControl/>
              <w:jc w:val="center"/>
              <w:rPr>
                <w:rFonts w:eastAsia="仿宋_GB2312"/>
                <w:color w:val="000000"/>
                <w:kern w:val="0"/>
                <w:sz w:val="24"/>
              </w:rPr>
            </w:pPr>
            <w:r>
              <w:rPr>
                <w:rFonts w:eastAsia="仿宋_GB2312"/>
                <w:color w:val="000000"/>
                <w:kern w:val="0"/>
                <w:sz w:val="24"/>
              </w:rPr>
              <w:t>100</w:t>
            </w:r>
          </w:p>
        </w:tc>
        <w:tc>
          <w:tcPr>
            <w:tcW w:w="1298" w:type="dxa"/>
            <w:tcBorders>
              <w:top w:val="single" w:color="000000" w:sz="4" w:space="0"/>
              <w:left w:val="single" w:color="000000" w:sz="4" w:space="0"/>
              <w:bottom w:val="single" w:color="000000" w:sz="4" w:space="0"/>
              <w:right w:val="single" w:color="000000" w:sz="4" w:space="0"/>
            </w:tcBorders>
            <w:vAlign w:val="center"/>
          </w:tcPr>
          <w:p w14:paraId="20EAAC7D">
            <w:pPr>
              <w:widowControl/>
              <w:jc w:val="center"/>
              <w:rPr>
                <w:rFonts w:eastAsia="仿宋_GB2312"/>
                <w:color w:val="000000"/>
                <w:kern w:val="0"/>
                <w:sz w:val="24"/>
              </w:rPr>
            </w:pPr>
            <w:r>
              <w:rPr>
                <w:rFonts w:eastAsia="仿宋_GB2312"/>
                <w:color w:val="000000"/>
                <w:kern w:val="0"/>
                <w:sz w:val="24"/>
              </w:rPr>
              <w:t>100</w:t>
            </w:r>
          </w:p>
        </w:tc>
        <w:tc>
          <w:tcPr>
            <w:tcW w:w="1094" w:type="dxa"/>
            <w:tcBorders>
              <w:top w:val="single" w:color="000000" w:sz="4" w:space="0"/>
              <w:left w:val="single" w:color="000000" w:sz="4" w:space="0"/>
              <w:bottom w:val="single" w:color="000000" w:sz="4" w:space="0"/>
              <w:right w:val="single" w:color="000000" w:sz="4" w:space="0"/>
            </w:tcBorders>
            <w:vAlign w:val="center"/>
          </w:tcPr>
          <w:p w14:paraId="3DC817E2">
            <w:pPr>
              <w:widowControl/>
              <w:jc w:val="center"/>
              <w:rPr>
                <w:rFonts w:eastAsia="仿宋_GB2312"/>
                <w:color w:val="000000"/>
                <w:kern w:val="0"/>
                <w:sz w:val="24"/>
              </w:rPr>
            </w:pPr>
            <w:r>
              <w:rPr>
                <w:rFonts w:eastAsia="仿宋_GB2312"/>
                <w:color w:val="000000"/>
                <w:kern w:val="0"/>
                <w:sz w:val="24"/>
              </w:rPr>
              <w:t>—</w:t>
            </w:r>
          </w:p>
        </w:tc>
        <w:tc>
          <w:tcPr>
            <w:tcW w:w="1271" w:type="dxa"/>
            <w:tcBorders>
              <w:top w:val="single" w:color="000000" w:sz="4" w:space="0"/>
              <w:left w:val="single" w:color="000000" w:sz="4" w:space="0"/>
              <w:bottom w:val="single" w:color="000000" w:sz="4" w:space="0"/>
              <w:right w:val="single" w:color="000000" w:sz="4" w:space="0"/>
            </w:tcBorders>
            <w:vAlign w:val="center"/>
          </w:tcPr>
          <w:p w14:paraId="53D92726">
            <w:pPr>
              <w:widowControl/>
              <w:jc w:val="center"/>
              <w:rPr>
                <w:rFonts w:eastAsia="仿宋_GB2312"/>
                <w:color w:val="000000"/>
                <w:kern w:val="0"/>
                <w:sz w:val="24"/>
              </w:rPr>
            </w:pPr>
            <w:r>
              <w:rPr>
                <w:rFonts w:eastAsia="仿宋_GB2312"/>
                <w:color w:val="000000"/>
                <w:kern w:val="0"/>
                <w:sz w:val="24"/>
              </w:rPr>
              <w:t>约束性</w:t>
            </w:r>
          </w:p>
        </w:tc>
        <w:tc>
          <w:tcPr>
            <w:tcW w:w="1553" w:type="dxa"/>
            <w:tcBorders>
              <w:top w:val="single" w:color="000000" w:sz="4" w:space="0"/>
              <w:left w:val="single" w:color="000000" w:sz="4" w:space="0"/>
              <w:bottom w:val="single" w:color="000000" w:sz="4" w:space="0"/>
              <w:right w:val="single" w:color="000000" w:sz="4" w:space="0"/>
            </w:tcBorders>
            <w:vAlign w:val="center"/>
          </w:tcPr>
          <w:p w14:paraId="37BF1FC1">
            <w:pPr>
              <w:widowControl/>
              <w:jc w:val="center"/>
              <w:rPr>
                <w:rFonts w:eastAsia="仿宋_GB2312"/>
                <w:color w:val="000000"/>
                <w:kern w:val="0"/>
                <w:sz w:val="24"/>
              </w:rPr>
            </w:pPr>
            <w:r>
              <w:rPr>
                <w:rFonts w:eastAsia="仿宋_GB2312"/>
                <w:color w:val="000000"/>
                <w:kern w:val="0"/>
                <w:sz w:val="24"/>
              </w:rPr>
              <w:t>提前完成</w:t>
            </w:r>
          </w:p>
        </w:tc>
      </w:tr>
      <w:tr w14:paraId="67C7BAF2">
        <w:tblPrEx>
          <w:tblCellMar>
            <w:top w:w="15" w:type="dxa"/>
            <w:left w:w="15" w:type="dxa"/>
            <w:bottom w:w="15" w:type="dxa"/>
            <w:right w:w="15" w:type="dxa"/>
          </w:tblCellMar>
        </w:tblPrEx>
        <w:trPr>
          <w:trHeight w:val="1249" w:hRule="atLeast"/>
          <w:jc w:val="center"/>
        </w:trPr>
        <w:tc>
          <w:tcPr>
            <w:tcW w:w="604" w:type="dxa"/>
            <w:tcBorders>
              <w:top w:val="single" w:color="000000" w:sz="4" w:space="0"/>
              <w:left w:val="single" w:color="000000" w:sz="4" w:space="0"/>
              <w:bottom w:val="single" w:color="000000" w:sz="4" w:space="0"/>
              <w:right w:val="single" w:color="000000" w:sz="4" w:space="0"/>
            </w:tcBorders>
            <w:vAlign w:val="center"/>
          </w:tcPr>
          <w:p w14:paraId="4B7F47BB">
            <w:pPr>
              <w:widowControl/>
              <w:jc w:val="center"/>
              <w:rPr>
                <w:rFonts w:eastAsia="仿宋_GB2312"/>
                <w:color w:val="000000"/>
                <w:kern w:val="0"/>
                <w:sz w:val="24"/>
              </w:rPr>
            </w:pPr>
            <w:r>
              <w:rPr>
                <w:rFonts w:eastAsia="仿宋_GB2312"/>
                <w:color w:val="000000"/>
                <w:kern w:val="0"/>
                <w:sz w:val="24"/>
              </w:rPr>
              <w:t>23</w:t>
            </w:r>
          </w:p>
        </w:tc>
        <w:tc>
          <w:tcPr>
            <w:tcW w:w="632" w:type="dxa"/>
            <w:vMerge w:val="continue"/>
            <w:tcBorders>
              <w:top w:val="single" w:color="000000" w:sz="4" w:space="0"/>
              <w:left w:val="single" w:color="000000" w:sz="4" w:space="0"/>
              <w:bottom w:val="single" w:color="000000" w:sz="4" w:space="0"/>
              <w:right w:val="single" w:color="000000" w:sz="4" w:space="0"/>
            </w:tcBorders>
            <w:vAlign w:val="center"/>
          </w:tcPr>
          <w:p w14:paraId="312BC2EA">
            <w:pPr>
              <w:widowControl/>
              <w:jc w:val="left"/>
              <w:rPr>
                <w:rFonts w:eastAsia="仿宋_GB2312"/>
                <w:color w:val="000000"/>
                <w:kern w:val="0"/>
                <w:sz w:val="24"/>
              </w:rPr>
            </w:pPr>
          </w:p>
        </w:tc>
        <w:tc>
          <w:tcPr>
            <w:tcW w:w="1684" w:type="dxa"/>
            <w:gridSpan w:val="2"/>
            <w:tcBorders>
              <w:top w:val="single" w:color="000000" w:sz="4" w:space="0"/>
              <w:left w:val="single" w:color="000000" w:sz="4" w:space="0"/>
              <w:bottom w:val="single" w:color="000000" w:sz="4" w:space="0"/>
              <w:right w:val="single" w:color="000000" w:sz="4" w:space="0"/>
            </w:tcBorders>
            <w:vAlign w:val="center"/>
          </w:tcPr>
          <w:p w14:paraId="27EF9383">
            <w:pPr>
              <w:widowControl/>
              <w:jc w:val="center"/>
              <w:rPr>
                <w:rFonts w:eastAsia="仿宋_GB2312"/>
                <w:color w:val="000000"/>
                <w:kern w:val="0"/>
                <w:sz w:val="24"/>
              </w:rPr>
            </w:pPr>
            <w:r>
              <w:rPr>
                <w:rFonts w:eastAsia="仿宋_GB2312"/>
                <w:color w:val="000000"/>
                <w:kern w:val="0"/>
                <w:sz w:val="24"/>
              </w:rPr>
              <w:t>万元生产总值能耗累计降低率（%）</w:t>
            </w:r>
          </w:p>
        </w:tc>
        <w:tc>
          <w:tcPr>
            <w:tcW w:w="1047" w:type="dxa"/>
            <w:tcBorders>
              <w:top w:val="single" w:color="000000" w:sz="4" w:space="0"/>
              <w:left w:val="single" w:color="000000" w:sz="4" w:space="0"/>
              <w:bottom w:val="single" w:color="000000" w:sz="4" w:space="0"/>
              <w:right w:val="single" w:color="000000" w:sz="4" w:space="0"/>
            </w:tcBorders>
            <w:vAlign w:val="center"/>
          </w:tcPr>
          <w:p w14:paraId="3B47BE5C">
            <w:pPr>
              <w:widowControl/>
              <w:jc w:val="center"/>
              <w:rPr>
                <w:rFonts w:eastAsia="仿宋_GB2312"/>
                <w:color w:val="000000"/>
                <w:kern w:val="0"/>
                <w:sz w:val="24"/>
              </w:rPr>
            </w:pPr>
            <w:r>
              <w:rPr>
                <w:rFonts w:eastAsia="仿宋_GB2312"/>
                <w:color w:val="000000"/>
                <w:kern w:val="0"/>
                <w:sz w:val="24"/>
              </w:rPr>
              <w:t>-4.6</w:t>
            </w:r>
          </w:p>
        </w:tc>
        <w:tc>
          <w:tcPr>
            <w:tcW w:w="1043" w:type="dxa"/>
            <w:tcBorders>
              <w:top w:val="single" w:color="000000" w:sz="4" w:space="0"/>
              <w:left w:val="single" w:color="000000" w:sz="4" w:space="0"/>
              <w:bottom w:val="single" w:color="000000" w:sz="4" w:space="0"/>
              <w:right w:val="single" w:color="000000" w:sz="4" w:space="0"/>
            </w:tcBorders>
            <w:vAlign w:val="center"/>
          </w:tcPr>
          <w:p w14:paraId="68151183">
            <w:pPr>
              <w:widowControl/>
              <w:jc w:val="center"/>
              <w:rPr>
                <w:rFonts w:eastAsia="仿宋_GB2312"/>
                <w:color w:val="000000"/>
                <w:kern w:val="0"/>
                <w:sz w:val="24"/>
              </w:rPr>
            </w:pPr>
          </w:p>
        </w:tc>
        <w:tc>
          <w:tcPr>
            <w:tcW w:w="801" w:type="dxa"/>
            <w:tcBorders>
              <w:top w:val="single" w:color="000000" w:sz="4" w:space="0"/>
              <w:left w:val="single" w:color="000000" w:sz="4" w:space="0"/>
              <w:bottom w:val="single" w:color="000000" w:sz="4" w:space="0"/>
              <w:right w:val="single" w:color="000000" w:sz="4" w:space="0"/>
            </w:tcBorders>
            <w:vAlign w:val="center"/>
          </w:tcPr>
          <w:p w14:paraId="481EA6FF">
            <w:pPr>
              <w:widowControl/>
              <w:jc w:val="center"/>
              <w:rPr>
                <w:rFonts w:eastAsia="仿宋_GB2312"/>
                <w:color w:val="000000"/>
                <w:kern w:val="0"/>
                <w:sz w:val="24"/>
              </w:rPr>
            </w:pPr>
            <w:r>
              <w:rPr>
                <w:rFonts w:eastAsia="仿宋_GB2312"/>
                <w:color w:val="000000"/>
                <w:kern w:val="0"/>
                <w:sz w:val="24"/>
              </w:rPr>
              <w:t>-3.3</w:t>
            </w:r>
          </w:p>
        </w:tc>
        <w:tc>
          <w:tcPr>
            <w:tcW w:w="1005" w:type="dxa"/>
            <w:tcBorders>
              <w:top w:val="single" w:color="000000" w:sz="4" w:space="0"/>
              <w:left w:val="single" w:color="000000" w:sz="4" w:space="0"/>
              <w:bottom w:val="single" w:color="000000" w:sz="4" w:space="0"/>
              <w:right w:val="single" w:color="000000" w:sz="4" w:space="0"/>
            </w:tcBorders>
            <w:vAlign w:val="center"/>
          </w:tcPr>
          <w:p w14:paraId="78395E3B">
            <w:pPr>
              <w:widowControl/>
              <w:jc w:val="center"/>
              <w:rPr>
                <w:rFonts w:eastAsia="仿宋_GB2312"/>
                <w:color w:val="000000"/>
                <w:kern w:val="0"/>
                <w:sz w:val="24"/>
              </w:rPr>
            </w:pPr>
            <w:r>
              <w:rPr>
                <w:rFonts w:eastAsia="仿宋_GB2312"/>
                <w:color w:val="000000"/>
                <w:kern w:val="0"/>
                <w:sz w:val="24"/>
              </w:rPr>
              <w:t>-1.46</w:t>
            </w:r>
          </w:p>
        </w:tc>
        <w:tc>
          <w:tcPr>
            <w:tcW w:w="930" w:type="dxa"/>
            <w:tcBorders>
              <w:top w:val="single" w:color="000000" w:sz="4" w:space="0"/>
              <w:left w:val="single" w:color="000000" w:sz="4" w:space="0"/>
              <w:bottom w:val="single" w:color="000000" w:sz="4" w:space="0"/>
              <w:right w:val="single" w:color="000000" w:sz="4" w:space="0"/>
            </w:tcBorders>
            <w:vAlign w:val="center"/>
          </w:tcPr>
          <w:p w14:paraId="290568C2">
            <w:pPr>
              <w:widowControl/>
              <w:jc w:val="center"/>
              <w:rPr>
                <w:rFonts w:eastAsia="仿宋_GB2312"/>
                <w:color w:val="000000"/>
                <w:kern w:val="0"/>
                <w:sz w:val="24"/>
              </w:rPr>
            </w:pPr>
            <w:r>
              <w:rPr>
                <w:rFonts w:eastAsia="仿宋_GB2312"/>
                <w:color w:val="000000"/>
                <w:kern w:val="0"/>
                <w:sz w:val="24"/>
              </w:rPr>
              <w:t>-0.25</w:t>
            </w:r>
          </w:p>
        </w:tc>
        <w:tc>
          <w:tcPr>
            <w:tcW w:w="907" w:type="dxa"/>
            <w:tcBorders>
              <w:top w:val="single" w:color="000000" w:sz="4" w:space="0"/>
              <w:left w:val="single" w:color="000000" w:sz="4" w:space="0"/>
              <w:bottom w:val="single" w:color="000000" w:sz="4" w:space="0"/>
              <w:right w:val="single" w:color="000000" w:sz="4" w:space="0"/>
            </w:tcBorders>
            <w:vAlign w:val="center"/>
          </w:tcPr>
          <w:p w14:paraId="5C6C350D">
            <w:pPr>
              <w:widowControl/>
              <w:jc w:val="center"/>
              <w:rPr>
                <w:rFonts w:eastAsia="仿宋_GB2312"/>
                <w:color w:val="000000"/>
                <w:kern w:val="0"/>
                <w:sz w:val="24"/>
              </w:rPr>
            </w:pPr>
            <w:r>
              <w:rPr>
                <w:rFonts w:eastAsia="仿宋_GB2312"/>
                <w:color w:val="000000"/>
                <w:kern w:val="0"/>
                <w:sz w:val="24"/>
              </w:rPr>
              <w:t>-8.92</w:t>
            </w:r>
          </w:p>
        </w:tc>
        <w:tc>
          <w:tcPr>
            <w:tcW w:w="1163" w:type="dxa"/>
            <w:tcBorders>
              <w:top w:val="single" w:color="000000" w:sz="4" w:space="0"/>
              <w:left w:val="single" w:color="000000" w:sz="4" w:space="0"/>
              <w:bottom w:val="single" w:color="000000" w:sz="4" w:space="0"/>
              <w:right w:val="single" w:color="000000" w:sz="4" w:space="0"/>
            </w:tcBorders>
            <w:vAlign w:val="center"/>
          </w:tcPr>
          <w:p w14:paraId="746292ED">
            <w:pPr>
              <w:widowControl/>
              <w:jc w:val="center"/>
              <w:rPr>
                <w:rFonts w:eastAsia="仿宋_GB2312"/>
                <w:color w:val="000000"/>
                <w:kern w:val="0"/>
                <w:sz w:val="24"/>
              </w:rPr>
            </w:pPr>
            <w:r>
              <w:rPr>
                <w:rFonts w:eastAsia="仿宋_GB2312"/>
                <w:color w:val="000000"/>
                <w:kern w:val="0"/>
                <w:sz w:val="24"/>
              </w:rPr>
              <w:t>—</w:t>
            </w:r>
          </w:p>
        </w:tc>
        <w:tc>
          <w:tcPr>
            <w:tcW w:w="1298" w:type="dxa"/>
            <w:tcBorders>
              <w:top w:val="single" w:color="000000" w:sz="4" w:space="0"/>
              <w:left w:val="single" w:color="000000" w:sz="4" w:space="0"/>
              <w:bottom w:val="single" w:color="000000" w:sz="4" w:space="0"/>
              <w:right w:val="single" w:color="000000" w:sz="4" w:space="0"/>
            </w:tcBorders>
            <w:vAlign w:val="center"/>
          </w:tcPr>
          <w:p w14:paraId="1D07D966">
            <w:pPr>
              <w:widowControl/>
              <w:jc w:val="center"/>
              <w:rPr>
                <w:rFonts w:eastAsia="仿宋_GB2312"/>
                <w:color w:val="000000"/>
                <w:kern w:val="0"/>
                <w:sz w:val="24"/>
              </w:rPr>
            </w:pPr>
            <w:r>
              <w:rPr>
                <w:rFonts w:eastAsia="仿宋_GB2312"/>
                <w:color w:val="000000"/>
                <w:kern w:val="0"/>
                <w:sz w:val="24"/>
              </w:rPr>
              <w:t>5</w:t>
            </w:r>
          </w:p>
        </w:tc>
        <w:tc>
          <w:tcPr>
            <w:tcW w:w="1094" w:type="dxa"/>
            <w:tcBorders>
              <w:top w:val="single" w:color="000000" w:sz="4" w:space="0"/>
              <w:left w:val="single" w:color="000000" w:sz="4" w:space="0"/>
              <w:bottom w:val="single" w:color="000000" w:sz="4" w:space="0"/>
              <w:right w:val="single" w:color="000000" w:sz="4" w:space="0"/>
            </w:tcBorders>
            <w:vAlign w:val="center"/>
          </w:tcPr>
          <w:p w14:paraId="0F9F1E48">
            <w:pPr>
              <w:widowControl/>
              <w:jc w:val="center"/>
              <w:rPr>
                <w:rFonts w:eastAsia="仿宋_GB2312"/>
                <w:color w:val="000000"/>
                <w:kern w:val="0"/>
                <w:sz w:val="24"/>
              </w:rPr>
            </w:pPr>
            <w:r>
              <w:rPr>
                <w:rFonts w:eastAsia="仿宋_GB2312"/>
                <w:color w:val="000000"/>
                <w:kern w:val="0"/>
                <w:sz w:val="24"/>
              </w:rPr>
              <w:t>—</w:t>
            </w:r>
          </w:p>
        </w:tc>
        <w:tc>
          <w:tcPr>
            <w:tcW w:w="1271" w:type="dxa"/>
            <w:tcBorders>
              <w:top w:val="single" w:color="000000" w:sz="4" w:space="0"/>
              <w:left w:val="single" w:color="000000" w:sz="4" w:space="0"/>
              <w:bottom w:val="single" w:color="000000" w:sz="4" w:space="0"/>
              <w:right w:val="single" w:color="000000" w:sz="4" w:space="0"/>
            </w:tcBorders>
            <w:vAlign w:val="center"/>
          </w:tcPr>
          <w:p w14:paraId="293C4237">
            <w:pPr>
              <w:widowControl/>
              <w:jc w:val="center"/>
              <w:rPr>
                <w:rFonts w:eastAsia="仿宋_GB2312"/>
                <w:color w:val="000000"/>
                <w:kern w:val="0"/>
                <w:sz w:val="24"/>
              </w:rPr>
            </w:pPr>
            <w:r>
              <w:rPr>
                <w:rFonts w:eastAsia="仿宋_GB2312"/>
                <w:color w:val="000000"/>
                <w:kern w:val="0"/>
                <w:sz w:val="24"/>
              </w:rPr>
              <w:t>约束性</w:t>
            </w:r>
          </w:p>
        </w:tc>
        <w:tc>
          <w:tcPr>
            <w:tcW w:w="1553" w:type="dxa"/>
            <w:tcBorders>
              <w:top w:val="single" w:color="000000" w:sz="4" w:space="0"/>
              <w:left w:val="single" w:color="000000" w:sz="4" w:space="0"/>
              <w:bottom w:val="single" w:color="000000" w:sz="4" w:space="0"/>
              <w:right w:val="single" w:color="000000" w:sz="4" w:space="0"/>
            </w:tcBorders>
            <w:vAlign w:val="center"/>
          </w:tcPr>
          <w:p w14:paraId="5669961A">
            <w:pPr>
              <w:widowControl/>
              <w:jc w:val="center"/>
              <w:rPr>
                <w:rFonts w:eastAsia="仿宋_GB2312"/>
                <w:color w:val="000000"/>
                <w:kern w:val="0"/>
                <w:sz w:val="24"/>
              </w:rPr>
            </w:pPr>
            <w:r>
              <w:rPr>
                <w:rFonts w:eastAsia="仿宋_GB2312"/>
                <w:color w:val="000000"/>
                <w:kern w:val="0"/>
                <w:sz w:val="24"/>
              </w:rPr>
              <w:t>能够完成</w:t>
            </w:r>
          </w:p>
        </w:tc>
      </w:tr>
      <w:tr w14:paraId="071A5D82">
        <w:tblPrEx>
          <w:tblCellMar>
            <w:top w:w="15" w:type="dxa"/>
            <w:left w:w="15" w:type="dxa"/>
            <w:bottom w:w="15" w:type="dxa"/>
            <w:right w:w="15" w:type="dxa"/>
          </w:tblCellMar>
        </w:tblPrEx>
        <w:trPr>
          <w:trHeight w:val="340" w:hRule="atLeast"/>
          <w:jc w:val="center"/>
        </w:trPr>
        <w:tc>
          <w:tcPr>
            <w:tcW w:w="604" w:type="dxa"/>
            <w:vMerge w:val="restart"/>
            <w:tcBorders>
              <w:top w:val="single" w:color="000000" w:sz="4" w:space="0"/>
              <w:left w:val="single" w:color="000000" w:sz="4" w:space="0"/>
              <w:bottom w:val="single" w:color="000000" w:sz="4" w:space="0"/>
              <w:right w:val="single" w:color="000000" w:sz="4" w:space="0"/>
            </w:tcBorders>
            <w:vAlign w:val="center"/>
          </w:tcPr>
          <w:p w14:paraId="58A54740">
            <w:pPr>
              <w:widowControl/>
              <w:jc w:val="center"/>
              <w:rPr>
                <w:rFonts w:eastAsia="仿宋_GB2312"/>
                <w:color w:val="000000"/>
                <w:kern w:val="0"/>
                <w:sz w:val="24"/>
              </w:rPr>
            </w:pPr>
            <w:r>
              <w:rPr>
                <w:rFonts w:eastAsia="仿宋_GB2312"/>
                <w:color w:val="000000"/>
                <w:kern w:val="0"/>
                <w:sz w:val="24"/>
              </w:rPr>
              <w:t>24</w:t>
            </w:r>
          </w:p>
        </w:tc>
        <w:tc>
          <w:tcPr>
            <w:tcW w:w="632" w:type="dxa"/>
            <w:vMerge w:val="restart"/>
            <w:tcBorders>
              <w:top w:val="single" w:color="000000" w:sz="4" w:space="0"/>
              <w:left w:val="single" w:color="000000" w:sz="4" w:space="0"/>
              <w:bottom w:val="single" w:color="000000" w:sz="4" w:space="0"/>
              <w:right w:val="single" w:color="000000" w:sz="4" w:space="0"/>
            </w:tcBorders>
            <w:vAlign w:val="center"/>
          </w:tcPr>
          <w:p w14:paraId="48720549">
            <w:pPr>
              <w:widowControl/>
              <w:jc w:val="center"/>
              <w:rPr>
                <w:rFonts w:eastAsia="仿宋_GB2312"/>
                <w:color w:val="000000"/>
                <w:kern w:val="0"/>
                <w:sz w:val="24"/>
              </w:rPr>
            </w:pPr>
            <w:r>
              <w:rPr>
                <w:rFonts w:eastAsia="仿宋_GB2312"/>
                <w:color w:val="000000"/>
                <w:kern w:val="0"/>
                <w:sz w:val="24"/>
              </w:rPr>
              <w:t>绿色</w:t>
            </w:r>
          </w:p>
          <w:p w14:paraId="081FEBF9">
            <w:pPr>
              <w:widowControl/>
              <w:jc w:val="center"/>
              <w:rPr>
                <w:rFonts w:eastAsia="仿宋_GB2312"/>
                <w:color w:val="000000"/>
                <w:kern w:val="0"/>
                <w:sz w:val="24"/>
              </w:rPr>
            </w:pPr>
            <w:r>
              <w:rPr>
                <w:rFonts w:eastAsia="仿宋_GB2312"/>
                <w:color w:val="000000"/>
                <w:kern w:val="0"/>
                <w:sz w:val="24"/>
              </w:rPr>
              <w:t>生态</w:t>
            </w:r>
          </w:p>
          <w:p w14:paraId="5B1C50EB">
            <w:pPr>
              <w:widowControl/>
              <w:jc w:val="left"/>
              <w:rPr>
                <w:rFonts w:eastAsia="仿宋_GB2312"/>
                <w:color w:val="000000"/>
                <w:kern w:val="0"/>
                <w:sz w:val="24"/>
              </w:rPr>
            </w:pPr>
            <w:r>
              <w:rPr>
                <w:rFonts w:eastAsia="仿宋_GB2312"/>
                <w:color w:val="000000"/>
                <w:kern w:val="0"/>
                <w:sz w:val="24"/>
              </w:rPr>
              <w:t>指标</w:t>
            </w:r>
          </w:p>
        </w:tc>
        <w:tc>
          <w:tcPr>
            <w:tcW w:w="1684" w:type="dxa"/>
            <w:gridSpan w:val="2"/>
            <w:vMerge w:val="restart"/>
            <w:tcBorders>
              <w:top w:val="single" w:color="000000" w:sz="4" w:space="0"/>
              <w:left w:val="single" w:color="000000" w:sz="4" w:space="0"/>
              <w:bottom w:val="single" w:color="000000" w:sz="4" w:space="0"/>
              <w:right w:val="single" w:color="000000" w:sz="4" w:space="0"/>
            </w:tcBorders>
            <w:vAlign w:val="center"/>
          </w:tcPr>
          <w:p w14:paraId="1499B65B">
            <w:pPr>
              <w:widowControl/>
              <w:jc w:val="center"/>
              <w:rPr>
                <w:rFonts w:eastAsia="仿宋_GB2312"/>
                <w:color w:val="000000"/>
                <w:kern w:val="0"/>
                <w:sz w:val="24"/>
              </w:rPr>
            </w:pPr>
            <w:r>
              <w:rPr>
                <w:rFonts w:eastAsia="仿宋_GB2312"/>
                <w:color w:val="000000"/>
                <w:kern w:val="0"/>
                <w:sz w:val="24"/>
              </w:rPr>
              <w:t>西山区用水量（万立方米）</w:t>
            </w:r>
          </w:p>
        </w:tc>
        <w:tc>
          <w:tcPr>
            <w:tcW w:w="1047" w:type="dxa"/>
            <w:vMerge w:val="restart"/>
            <w:tcBorders>
              <w:top w:val="single" w:color="000000" w:sz="4" w:space="0"/>
              <w:left w:val="single" w:color="000000" w:sz="4" w:space="0"/>
              <w:bottom w:val="single" w:color="000000" w:sz="4" w:space="0"/>
              <w:right w:val="single" w:color="000000" w:sz="4" w:space="0"/>
            </w:tcBorders>
            <w:vAlign w:val="center"/>
          </w:tcPr>
          <w:p w14:paraId="07EAA664">
            <w:pPr>
              <w:widowControl/>
              <w:jc w:val="center"/>
              <w:rPr>
                <w:rFonts w:eastAsia="仿宋_GB2312"/>
                <w:color w:val="000000"/>
                <w:kern w:val="0"/>
                <w:sz w:val="24"/>
              </w:rPr>
            </w:pPr>
            <w:r>
              <w:rPr>
                <w:rFonts w:eastAsia="仿宋_GB2312"/>
                <w:color w:val="000000"/>
                <w:kern w:val="0"/>
                <w:sz w:val="24"/>
              </w:rPr>
              <w:t>3800</w:t>
            </w:r>
          </w:p>
        </w:tc>
        <w:tc>
          <w:tcPr>
            <w:tcW w:w="1043" w:type="dxa"/>
            <w:vMerge w:val="restart"/>
            <w:tcBorders>
              <w:top w:val="single" w:color="000000" w:sz="4" w:space="0"/>
              <w:left w:val="single" w:color="000000" w:sz="4" w:space="0"/>
              <w:bottom w:val="single" w:color="000000" w:sz="4" w:space="0"/>
              <w:right w:val="single" w:color="000000" w:sz="4" w:space="0"/>
            </w:tcBorders>
            <w:vAlign w:val="center"/>
          </w:tcPr>
          <w:p w14:paraId="3BB4404F">
            <w:pPr>
              <w:widowControl/>
              <w:jc w:val="center"/>
              <w:rPr>
                <w:rFonts w:eastAsia="仿宋_GB2312"/>
                <w:color w:val="000000"/>
                <w:kern w:val="0"/>
                <w:sz w:val="24"/>
              </w:rPr>
            </w:pPr>
          </w:p>
        </w:tc>
        <w:tc>
          <w:tcPr>
            <w:tcW w:w="801" w:type="dxa"/>
            <w:vMerge w:val="restart"/>
            <w:tcBorders>
              <w:top w:val="single" w:color="000000" w:sz="4" w:space="0"/>
              <w:left w:val="single" w:color="000000" w:sz="4" w:space="0"/>
              <w:bottom w:val="single" w:color="000000" w:sz="4" w:space="0"/>
              <w:right w:val="single" w:color="000000" w:sz="4" w:space="0"/>
            </w:tcBorders>
            <w:vAlign w:val="center"/>
          </w:tcPr>
          <w:p w14:paraId="4BB5A527">
            <w:pPr>
              <w:widowControl/>
              <w:jc w:val="center"/>
              <w:rPr>
                <w:rFonts w:eastAsia="仿宋_GB2312"/>
                <w:color w:val="000000"/>
                <w:kern w:val="0"/>
                <w:sz w:val="24"/>
              </w:rPr>
            </w:pPr>
            <w:r>
              <w:rPr>
                <w:rFonts w:eastAsia="仿宋_GB2312"/>
                <w:color w:val="000000"/>
                <w:kern w:val="0"/>
                <w:sz w:val="24"/>
              </w:rPr>
              <w:t>4235</w:t>
            </w:r>
          </w:p>
        </w:tc>
        <w:tc>
          <w:tcPr>
            <w:tcW w:w="1005" w:type="dxa"/>
            <w:vMerge w:val="restart"/>
            <w:tcBorders>
              <w:top w:val="single" w:color="000000" w:sz="4" w:space="0"/>
              <w:left w:val="single" w:color="000000" w:sz="4" w:space="0"/>
              <w:bottom w:val="single" w:color="000000" w:sz="4" w:space="0"/>
              <w:right w:val="single" w:color="000000" w:sz="4" w:space="0"/>
            </w:tcBorders>
            <w:vAlign w:val="center"/>
          </w:tcPr>
          <w:p w14:paraId="0635F71D">
            <w:pPr>
              <w:widowControl/>
              <w:jc w:val="center"/>
              <w:rPr>
                <w:rFonts w:eastAsia="仿宋_GB2312"/>
                <w:color w:val="000000"/>
                <w:kern w:val="0"/>
                <w:sz w:val="24"/>
              </w:rPr>
            </w:pPr>
            <w:r>
              <w:rPr>
                <w:rFonts w:eastAsia="仿宋_GB2312"/>
                <w:color w:val="000000"/>
                <w:kern w:val="0"/>
                <w:sz w:val="24"/>
              </w:rPr>
              <w:t>4270</w:t>
            </w:r>
          </w:p>
        </w:tc>
        <w:tc>
          <w:tcPr>
            <w:tcW w:w="930" w:type="dxa"/>
            <w:vMerge w:val="restart"/>
            <w:tcBorders>
              <w:top w:val="single" w:color="000000" w:sz="4" w:space="0"/>
              <w:left w:val="single" w:color="000000" w:sz="4" w:space="0"/>
              <w:bottom w:val="single" w:color="000000" w:sz="4" w:space="0"/>
              <w:right w:val="single" w:color="000000" w:sz="4" w:space="0"/>
            </w:tcBorders>
            <w:vAlign w:val="center"/>
          </w:tcPr>
          <w:p w14:paraId="329E7E77">
            <w:pPr>
              <w:widowControl/>
              <w:jc w:val="center"/>
              <w:rPr>
                <w:rFonts w:eastAsia="仿宋_GB2312"/>
                <w:color w:val="000000"/>
                <w:kern w:val="0"/>
                <w:sz w:val="24"/>
              </w:rPr>
            </w:pPr>
            <w:r>
              <w:rPr>
                <w:rFonts w:eastAsia="仿宋_GB2312"/>
                <w:color w:val="000000"/>
                <w:kern w:val="0"/>
                <w:sz w:val="24"/>
              </w:rPr>
              <w:t>4459</w:t>
            </w:r>
          </w:p>
        </w:tc>
        <w:tc>
          <w:tcPr>
            <w:tcW w:w="907" w:type="dxa"/>
            <w:vMerge w:val="restart"/>
            <w:tcBorders>
              <w:top w:val="single" w:color="000000" w:sz="4" w:space="0"/>
              <w:left w:val="single" w:color="000000" w:sz="4" w:space="0"/>
              <w:bottom w:val="single" w:color="000000" w:sz="4" w:space="0"/>
              <w:right w:val="single" w:color="000000" w:sz="4" w:space="0"/>
            </w:tcBorders>
            <w:vAlign w:val="center"/>
          </w:tcPr>
          <w:p w14:paraId="55DFC94D">
            <w:pPr>
              <w:widowControl/>
              <w:jc w:val="center"/>
              <w:rPr>
                <w:rFonts w:eastAsia="仿宋_GB2312"/>
                <w:color w:val="000000"/>
                <w:kern w:val="0"/>
                <w:sz w:val="24"/>
              </w:rPr>
            </w:pPr>
            <w:r>
              <w:rPr>
                <w:rFonts w:eastAsia="仿宋_GB2312"/>
                <w:color w:val="000000"/>
                <w:kern w:val="0"/>
                <w:sz w:val="24"/>
              </w:rPr>
              <w:t>4616</w:t>
            </w:r>
          </w:p>
        </w:tc>
        <w:tc>
          <w:tcPr>
            <w:tcW w:w="1163" w:type="dxa"/>
            <w:vMerge w:val="restart"/>
            <w:tcBorders>
              <w:top w:val="single" w:color="000000" w:sz="4" w:space="0"/>
              <w:left w:val="single" w:color="000000" w:sz="4" w:space="0"/>
              <w:bottom w:val="single" w:color="000000" w:sz="4" w:space="0"/>
              <w:right w:val="single" w:color="000000" w:sz="4" w:space="0"/>
            </w:tcBorders>
            <w:vAlign w:val="center"/>
          </w:tcPr>
          <w:p w14:paraId="08BC71D6">
            <w:pPr>
              <w:widowControl/>
              <w:jc w:val="center"/>
              <w:rPr>
                <w:rFonts w:eastAsia="仿宋_GB2312"/>
                <w:color w:val="000000"/>
                <w:kern w:val="0"/>
                <w:sz w:val="24"/>
              </w:rPr>
            </w:pPr>
            <w:r>
              <w:rPr>
                <w:rFonts w:eastAsia="仿宋_GB2312"/>
                <w:color w:val="000000"/>
                <w:kern w:val="0"/>
                <w:sz w:val="24"/>
              </w:rPr>
              <w:t>5000</w:t>
            </w:r>
          </w:p>
        </w:tc>
        <w:tc>
          <w:tcPr>
            <w:tcW w:w="1298" w:type="dxa"/>
            <w:vMerge w:val="restart"/>
            <w:tcBorders>
              <w:top w:val="single" w:color="000000" w:sz="4" w:space="0"/>
              <w:left w:val="single" w:color="000000" w:sz="4" w:space="0"/>
              <w:bottom w:val="single" w:color="000000" w:sz="4" w:space="0"/>
              <w:right w:val="single" w:color="000000" w:sz="4" w:space="0"/>
            </w:tcBorders>
            <w:vAlign w:val="center"/>
          </w:tcPr>
          <w:p w14:paraId="0B6D3308">
            <w:pPr>
              <w:widowControl/>
              <w:jc w:val="center"/>
              <w:rPr>
                <w:rFonts w:eastAsia="仿宋_GB2312"/>
                <w:color w:val="000000"/>
                <w:kern w:val="0"/>
                <w:sz w:val="24"/>
              </w:rPr>
            </w:pPr>
            <w:r>
              <w:rPr>
                <w:rFonts w:eastAsia="仿宋_GB2312"/>
                <w:color w:val="000000"/>
                <w:kern w:val="0"/>
                <w:sz w:val="24"/>
              </w:rPr>
              <w:t>6468</w:t>
            </w:r>
          </w:p>
        </w:tc>
        <w:tc>
          <w:tcPr>
            <w:tcW w:w="1094" w:type="dxa"/>
            <w:vMerge w:val="restart"/>
            <w:tcBorders>
              <w:top w:val="single" w:color="000000" w:sz="4" w:space="0"/>
              <w:left w:val="single" w:color="000000" w:sz="4" w:space="0"/>
              <w:bottom w:val="single" w:color="000000" w:sz="4" w:space="0"/>
              <w:right w:val="single" w:color="000000" w:sz="4" w:space="0"/>
            </w:tcBorders>
            <w:vAlign w:val="center"/>
          </w:tcPr>
          <w:p w14:paraId="6A874570">
            <w:pPr>
              <w:widowControl/>
              <w:jc w:val="center"/>
              <w:rPr>
                <w:rFonts w:eastAsia="仿宋_GB2312"/>
                <w:color w:val="000000"/>
                <w:kern w:val="0"/>
                <w:sz w:val="24"/>
              </w:rPr>
            </w:pPr>
            <w:r>
              <w:rPr>
                <w:rFonts w:eastAsia="仿宋_GB2312"/>
                <w:color w:val="000000"/>
                <w:kern w:val="0"/>
                <w:sz w:val="24"/>
              </w:rPr>
              <w:t>—</w:t>
            </w:r>
          </w:p>
        </w:tc>
        <w:tc>
          <w:tcPr>
            <w:tcW w:w="1271" w:type="dxa"/>
            <w:vMerge w:val="restart"/>
            <w:tcBorders>
              <w:top w:val="single" w:color="000000" w:sz="4" w:space="0"/>
              <w:left w:val="single" w:color="000000" w:sz="4" w:space="0"/>
              <w:bottom w:val="single" w:color="000000" w:sz="4" w:space="0"/>
              <w:right w:val="single" w:color="000000" w:sz="4" w:space="0"/>
            </w:tcBorders>
            <w:vAlign w:val="center"/>
          </w:tcPr>
          <w:p w14:paraId="55F92289">
            <w:pPr>
              <w:widowControl/>
              <w:jc w:val="center"/>
              <w:rPr>
                <w:rFonts w:eastAsia="仿宋_GB2312"/>
                <w:color w:val="000000"/>
                <w:kern w:val="0"/>
                <w:sz w:val="24"/>
              </w:rPr>
            </w:pPr>
            <w:r>
              <w:rPr>
                <w:rFonts w:eastAsia="仿宋_GB2312"/>
                <w:color w:val="000000"/>
                <w:kern w:val="0"/>
                <w:sz w:val="24"/>
              </w:rPr>
              <w:t>约束性</w:t>
            </w:r>
          </w:p>
        </w:tc>
        <w:tc>
          <w:tcPr>
            <w:tcW w:w="1553" w:type="dxa"/>
            <w:vMerge w:val="restart"/>
            <w:tcBorders>
              <w:top w:val="single" w:color="000000" w:sz="4" w:space="0"/>
              <w:left w:val="single" w:color="000000" w:sz="4" w:space="0"/>
              <w:bottom w:val="single" w:color="000000" w:sz="4" w:space="0"/>
              <w:right w:val="single" w:color="000000" w:sz="4" w:space="0"/>
            </w:tcBorders>
            <w:vAlign w:val="center"/>
          </w:tcPr>
          <w:p w14:paraId="772AB826">
            <w:pPr>
              <w:widowControl/>
              <w:jc w:val="center"/>
              <w:rPr>
                <w:rFonts w:eastAsia="仿宋_GB2312"/>
                <w:color w:val="000000"/>
                <w:kern w:val="0"/>
                <w:sz w:val="24"/>
              </w:rPr>
            </w:pPr>
            <w:r>
              <w:rPr>
                <w:rFonts w:eastAsia="仿宋_GB2312"/>
                <w:color w:val="000000"/>
                <w:kern w:val="0"/>
                <w:sz w:val="24"/>
              </w:rPr>
              <w:t>能够完成</w:t>
            </w:r>
          </w:p>
        </w:tc>
      </w:tr>
      <w:tr w14:paraId="0F60E3B7">
        <w:tblPrEx>
          <w:tblCellMar>
            <w:top w:w="15" w:type="dxa"/>
            <w:left w:w="15" w:type="dxa"/>
            <w:bottom w:w="15" w:type="dxa"/>
            <w:right w:w="15" w:type="dxa"/>
          </w:tblCellMar>
        </w:tblPrEx>
        <w:trPr>
          <w:trHeight w:val="624" w:hRule="atLeast"/>
          <w:jc w:val="center"/>
        </w:trPr>
        <w:tc>
          <w:tcPr>
            <w:tcW w:w="604" w:type="dxa"/>
            <w:vMerge w:val="continue"/>
            <w:tcBorders>
              <w:top w:val="single" w:color="000000" w:sz="4" w:space="0"/>
              <w:left w:val="single" w:color="000000" w:sz="4" w:space="0"/>
              <w:bottom w:val="single" w:color="000000" w:sz="4" w:space="0"/>
              <w:right w:val="single" w:color="000000" w:sz="4" w:space="0"/>
            </w:tcBorders>
            <w:vAlign w:val="center"/>
          </w:tcPr>
          <w:p w14:paraId="0BD36A42">
            <w:pPr>
              <w:widowControl/>
              <w:jc w:val="left"/>
              <w:rPr>
                <w:rFonts w:eastAsia="仿宋_GB2312"/>
                <w:color w:val="000000"/>
                <w:kern w:val="0"/>
                <w:sz w:val="24"/>
              </w:rPr>
            </w:pPr>
          </w:p>
        </w:tc>
        <w:tc>
          <w:tcPr>
            <w:tcW w:w="632" w:type="dxa"/>
            <w:vMerge w:val="continue"/>
            <w:tcBorders>
              <w:top w:val="single" w:color="000000" w:sz="4" w:space="0"/>
              <w:left w:val="single" w:color="000000" w:sz="4" w:space="0"/>
              <w:bottom w:val="single" w:color="000000" w:sz="4" w:space="0"/>
              <w:right w:val="single" w:color="000000" w:sz="4" w:space="0"/>
            </w:tcBorders>
            <w:vAlign w:val="center"/>
          </w:tcPr>
          <w:p w14:paraId="063DAD5B">
            <w:pPr>
              <w:widowControl/>
              <w:jc w:val="left"/>
              <w:rPr>
                <w:rFonts w:eastAsia="仿宋_GB2312"/>
                <w:color w:val="000000"/>
                <w:kern w:val="0"/>
                <w:sz w:val="24"/>
              </w:rPr>
            </w:pPr>
          </w:p>
        </w:tc>
        <w:tc>
          <w:tcPr>
            <w:tcW w:w="1684" w:type="dxa"/>
            <w:gridSpan w:val="2"/>
            <w:vMerge w:val="continue"/>
            <w:tcBorders>
              <w:top w:val="single" w:color="000000" w:sz="4" w:space="0"/>
              <w:left w:val="single" w:color="000000" w:sz="4" w:space="0"/>
              <w:bottom w:val="single" w:color="000000" w:sz="4" w:space="0"/>
              <w:right w:val="single" w:color="000000" w:sz="4" w:space="0"/>
            </w:tcBorders>
            <w:vAlign w:val="center"/>
          </w:tcPr>
          <w:p w14:paraId="6A14A596">
            <w:pPr>
              <w:widowControl/>
              <w:jc w:val="left"/>
              <w:rPr>
                <w:rFonts w:eastAsia="仿宋_GB2312"/>
                <w:color w:val="000000"/>
                <w:kern w:val="0"/>
                <w:sz w:val="24"/>
              </w:rPr>
            </w:pPr>
          </w:p>
        </w:tc>
        <w:tc>
          <w:tcPr>
            <w:tcW w:w="1047" w:type="dxa"/>
            <w:vMerge w:val="continue"/>
            <w:tcBorders>
              <w:top w:val="single" w:color="000000" w:sz="4" w:space="0"/>
              <w:left w:val="single" w:color="000000" w:sz="4" w:space="0"/>
              <w:bottom w:val="single" w:color="000000" w:sz="4" w:space="0"/>
              <w:right w:val="single" w:color="000000" w:sz="4" w:space="0"/>
            </w:tcBorders>
            <w:vAlign w:val="center"/>
          </w:tcPr>
          <w:p w14:paraId="15B44D3A">
            <w:pPr>
              <w:widowControl/>
              <w:jc w:val="left"/>
              <w:rPr>
                <w:rFonts w:eastAsia="仿宋_GB2312"/>
                <w:color w:val="000000"/>
                <w:kern w:val="0"/>
                <w:sz w:val="24"/>
              </w:rPr>
            </w:pPr>
          </w:p>
        </w:tc>
        <w:tc>
          <w:tcPr>
            <w:tcW w:w="1043" w:type="dxa"/>
            <w:vMerge w:val="continue"/>
            <w:tcBorders>
              <w:top w:val="single" w:color="000000" w:sz="4" w:space="0"/>
              <w:left w:val="single" w:color="000000" w:sz="4" w:space="0"/>
              <w:bottom w:val="single" w:color="000000" w:sz="4" w:space="0"/>
              <w:right w:val="single" w:color="000000" w:sz="4" w:space="0"/>
            </w:tcBorders>
            <w:vAlign w:val="center"/>
          </w:tcPr>
          <w:p w14:paraId="61712498">
            <w:pPr>
              <w:widowControl/>
              <w:jc w:val="left"/>
              <w:rPr>
                <w:rFonts w:eastAsia="仿宋_GB2312"/>
                <w:color w:val="000000"/>
                <w:kern w:val="0"/>
                <w:sz w:val="24"/>
              </w:rPr>
            </w:pPr>
          </w:p>
        </w:tc>
        <w:tc>
          <w:tcPr>
            <w:tcW w:w="801" w:type="dxa"/>
            <w:vMerge w:val="continue"/>
            <w:tcBorders>
              <w:top w:val="single" w:color="000000" w:sz="4" w:space="0"/>
              <w:left w:val="single" w:color="000000" w:sz="4" w:space="0"/>
              <w:bottom w:val="single" w:color="000000" w:sz="4" w:space="0"/>
              <w:right w:val="single" w:color="000000" w:sz="4" w:space="0"/>
            </w:tcBorders>
            <w:vAlign w:val="center"/>
          </w:tcPr>
          <w:p w14:paraId="16AD6867">
            <w:pPr>
              <w:widowControl/>
              <w:jc w:val="left"/>
              <w:rPr>
                <w:rFonts w:eastAsia="仿宋_GB2312"/>
                <w:color w:val="000000"/>
                <w:kern w:val="0"/>
                <w:sz w:val="24"/>
              </w:rPr>
            </w:pPr>
          </w:p>
        </w:tc>
        <w:tc>
          <w:tcPr>
            <w:tcW w:w="1005" w:type="dxa"/>
            <w:vMerge w:val="continue"/>
            <w:tcBorders>
              <w:top w:val="single" w:color="000000" w:sz="4" w:space="0"/>
              <w:left w:val="single" w:color="000000" w:sz="4" w:space="0"/>
              <w:bottom w:val="single" w:color="000000" w:sz="4" w:space="0"/>
              <w:right w:val="single" w:color="000000" w:sz="4" w:space="0"/>
            </w:tcBorders>
            <w:vAlign w:val="center"/>
          </w:tcPr>
          <w:p w14:paraId="49A1C950">
            <w:pPr>
              <w:widowControl/>
              <w:jc w:val="left"/>
              <w:rPr>
                <w:rFonts w:eastAsia="仿宋_GB2312"/>
                <w:color w:val="000000"/>
                <w:kern w:val="0"/>
                <w:sz w:val="24"/>
              </w:rPr>
            </w:pPr>
          </w:p>
        </w:tc>
        <w:tc>
          <w:tcPr>
            <w:tcW w:w="930" w:type="dxa"/>
            <w:vMerge w:val="continue"/>
            <w:tcBorders>
              <w:top w:val="single" w:color="000000" w:sz="4" w:space="0"/>
              <w:left w:val="single" w:color="000000" w:sz="4" w:space="0"/>
              <w:bottom w:val="single" w:color="000000" w:sz="4" w:space="0"/>
              <w:right w:val="single" w:color="000000" w:sz="4" w:space="0"/>
            </w:tcBorders>
            <w:vAlign w:val="center"/>
          </w:tcPr>
          <w:p w14:paraId="6E9FEA02">
            <w:pPr>
              <w:widowControl/>
              <w:jc w:val="left"/>
              <w:rPr>
                <w:rFonts w:eastAsia="仿宋_GB2312"/>
                <w:color w:val="000000"/>
                <w:kern w:val="0"/>
                <w:sz w:val="24"/>
              </w:rPr>
            </w:pPr>
          </w:p>
        </w:tc>
        <w:tc>
          <w:tcPr>
            <w:tcW w:w="907" w:type="dxa"/>
            <w:vMerge w:val="continue"/>
            <w:tcBorders>
              <w:top w:val="single" w:color="000000" w:sz="4" w:space="0"/>
              <w:left w:val="single" w:color="000000" w:sz="4" w:space="0"/>
              <w:bottom w:val="single" w:color="000000" w:sz="4" w:space="0"/>
              <w:right w:val="single" w:color="000000" w:sz="4" w:space="0"/>
            </w:tcBorders>
            <w:vAlign w:val="center"/>
          </w:tcPr>
          <w:p w14:paraId="473A6B30">
            <w:pPr>
              <w:widowControl/>
              <w:jc w:val="left"/>
              <w:rPr>
                <w:rFonts w:eastAsia="仿宋_GB2312"/>
                <w:color w:val="000000"/>
                <w:kern w:val="0"/>
                <w:sz w:val="24"/>
              </w:rPr>
            </w:pPr>
          </w:p>
        </w:tc>
        <w:tc>
          <w:tcPr>
            <w:tcW w:w="1163" w:type="dxa"/>
            <w:vMerge w:val="continue"/>
            <w:tcBorders>
              <w:top w:val="single" w:color="000000" w:sz="4" w:space="0"/>
              <w:left w:val="single" w:color="000000" w:sz="4" w:space="0"/>
              <w:bottom w:val="single" w:color="000000" w:sz="4" w:space="0"/>
              <w:right w:val="single" w:color="000000" w:sz="4" w:space="0"/>
            </w:tcBorders>
            <w:vAlign w:val="center"/>
          </w:tcPr>
          <w:p w14:paraId="4402B957">
            <w:pPr>
              <w:widowControl/>
              <w:jc w:val="left"/>
              <w:rPr>
                <w:rFonts w:eastAsia="仿宋_GB2312"/>
                <w:color w:val="000000"/>
                <w:kern w:val="0"/>
                <w:sz w:val="24"/>
              </w:rPr>
            </w:pPr>
          </w:p>
        </w:tc>
        <w:tc>
          <w:tcPr>
            <w:tcW w:w="1298" w:type="dxa"/>
            <w:vMerge w:val="continue"/>
            <w:tcBorders>
              <w:top w:val="single" w:color="000000" w:sz="4" w:space="0"/>
              <w:left w:val="single" w:color="000000" w:sz="4" w:space="0"/>
              <w:bottom w:val="single" w:color="000000" w:sz="4" w:space="0"/>
              <w:right w:val="single" w:color="000000" w:sz="4" w:space="0"/>
            </w:tcBorders>
            <w:vAlign w:val="center"/>
          </w:tcPr>
          <w:p w14:paraId="45D195AE">
            <w:pPr>
              <w:widowControl/>
              <w:jc w:val="left"/>
              <w:rPr>
                <w:rFonts w:eastAsia="仿宋_GB2312"/>
                <w:color w:val="000000"/>
                <w:kern w:val="0"/>
                <w:sz w:val="24"/>
              </w:rPr>
            </w:pPr>
          </w:p>
        </w:tc>
        <w:tc>
          <w:tcPr>
            <w:tcW w:w="1094" w:type="dxa"/>
            <w:vMerge w:val="continue"/>
            <w:tcBorders>
              <w:top w:val="single" w:color="000000" w:sz="4" w:space="0"/>
              <w:left w:val="single" w:color="000000" w:sz="4" w:space="0"/>
              <w:bottom w:val="single" w:color="000000" w:sz="4" w:space="0"/>
              <w:right w:val="single" w:color="000000" w:sz="4" w:space="0"/>
            </w:tcBorders>
            <w:vAlign w:val="center"/>
          </w:tcPr>
          <w:p w14:paraId="765D1726">
            <w:pPr>
              <w:widowControl/>
              <w:jc w:val="left"/>
              <w:rPr>
                <w:rFonts w:eastAsia="仿宋_GB2312"/>
                <w:color w:val="000000"/>
                <w:kern w:val="0"/>
                <w:sz w:val="24"/>
              </w:rPr>
            </w:pPr>
          </w:p>
        </w:tc>
        <w:tc>
          <w:tcPr>
            <w:tcW w:w="1271" w:type="dxa"/>
            <w:vMerge w:val="continue"/>
            <w:tcBorders>
              <w:top w:val="single" w:color="000000" w:sz="4" w:space="0"/>
              <w:left w:val="single" w:color="000000" w:sz="4" w:space="0"/>
              <w:bottom w:val="single" w:color="000000" w:sz="4" w:space="0"/>
              <w:right w:val="single" w:color="000000" w:sz="4" w:space="0"/>
            </w:tcBorders>
            <w:vAlign w:val="center"/>
          </w:tcPr>
          <w:p w14:paraId="4BC6C25A">
            <w:pPr>
              <w:widowControl/>
              <w:jc w:val="left"/>
              <w:rPr>
                <w:rFonts w:eastAsia="仿宋_GB2312"/>
                <w:color w:val="000000"/>
                <w:kern w:val="0"/>
                <w:sz w:val="24"/>
              </w:rPr>
            </w:pPr>
          </w:p>
        </w:tc>
        <w:tc>
          <w:tcPr>
            <w:tcW w:w="1553" w:type="dxa"/>
            <w:vMerge w:val="continue"/>
            <w:tcBorders>
              <w:top w:val="single" w:color="000000" w:sz="4" w:space="0"/>
              <w:left w:val="single" w:color="000000" w:sz="4" w:space="0"/>
              <w:bottom w:val="single" w:color="000000" w:sz="4" w:space="0"/>
              <w:right w:val="single" w:color="000000" w:sz="4" w:space="0"/>
            </w:tcBorders>
            <w:vAlign w:val="center"/>
          </w:tcPr>
          <w:p w14:paraId="5A554B15">
            <w:pPr>
              <w:widowControl/>
              <w:jc w:val="left"/>
              <w:rPr>
                <w:rFonts w:eastAsia="仿宋_GB2312"/>
                <w:color w:val="000000"/>
                <w:kern w:val="0"/>
                <w:sz w:val="24"/>
              </w:rPr>
            </w:pPr>
          </w:p>
        </w:tc>
      </w:tr>
      <w:tr w14:paraId="2F1D0A55">
        <w:tblPrEx>
          <w:tblCellMar>
            <w:top w:w="15" w:type="dxa"/>
            <w:left w:w="15" w:type="dxa"/>
            <w:bottom w:w="15" w:type="dxa"/>
            <w:right w:w="15" w:type="dxa"/>
          </w:tblCellMar>
        </w:tblPrEx>
        <w:trPr>
          <w:trHeight w:val="1323" w:hRule="atLeast"/>
          <w:jc w:val="center"/>
        </w:trPr>
        <w:tc>
          <w:tcPr>
            <w:tcW w:w="604" w:type="dxa"/>
            <w:tcBorders>
              <w:top w:val="single" w:color="000000" w:sz="4" w:space="0"/>
              <w:left w:val="single" w:color="000000" w:sz="4" w:space="0"/>
              <w:bottom w:val="single" w:color="000000" w:sz="4" w:space="0"/>
              <w:right w:val="single" w:color="000000" w:sz="4" w:space="0"/>
            </w:tcBorders>
            <w:vAlign w:val="center"/>
          </w:tcPr>
          <w:p w14:paraId="097F6A68">
            <w:pPr>
              <w:widowControl/>
              <w:jc w:val="center"/>
              <w:rPr>
                <w:rFonts w:eastAsia="仿宋_GB2312"/>
                <w:color w:val="000000"/>
                <w:kern w:val="0"/>
                <w:sz w:val="24"/>
              </w:rPr>
            </w:pPr>
            <w:r>
              <w:rPr>
                <w:rFonts w:eastAsia="仿宋_GB2312"/>
                <w:color w:val="000000"/>
                <w:kern w:val="0"/>
                <w:sz w:val="24"/>
              </w:rPr>
              <w:t>25</w:t>
            </w:r>
          </w:p>
        </w:tc>
        <w:tc>
          <w:tcPr>
            <w:tcW w:w="632" w:type="dxa"/>
            <w:vMerge w:val="continue"/>
            <w:tcBorders>
              <w:top w:val="single" w:color="000000" w:sz="4" w:space="0"/>
              <w:left w:val="single" w:color="000000" w:sz="4" w:space="0"/>
              <w:bottom w:val="single" w:color="000000" w:sz="4" w:space="0"/>
              <w:right w:val="single" w:color="000000" w:sz="4" w:space="0"/>
            </w:tcBorders>
            <w:vAlign w:val="center"/>
          </w:tcPr>
          <w:p w14:paraId="145B73A3">
            <w:pPr>
              <w:widowControl/>
              <w:jc w:val="left"/>
              <w:rPr>
                <w:rFonts w:eastAsia="仿宋_GB2312"/>
                <w:color w:val="000000"/>
                <w:kern w:val="0"/>
                <w:sz w:val="24"/>
              </w:rPr>
            </w:pPr>
          </w:p>
        </w:tc>
        <w:tc>
          <w:tcPr>
            <w:tcW w:w="1684" w:type="dxa"/>
            <w:gridSpan w:val="2"/>
            <w:tcBorders>
              <w:top w:val="single" w:color="000000" w:sz="4" w:space="0"/>
              <w:left w:val="single" w:color="000000" w:sz="4" w:space="0"/>
              <w:bottom w:val="single" w:color="000000" w:sz="4" w:space="0"/>
              <w:right w:val="single" w:color="000000" w:sz="4" w:space="0"/>
            </w:tcBorders>
            <w:vAlign w:val="center"/>
          </w:tcPr>
          <w:p w14:paraId="17A138C7">
            <w:pPr>
              <w:widowControl/>
              <w:jc w:val="center"/>
              <w:rPr>
                <w:rFonts w:eastAsia="仿宋_GB2312"/>
                <w:color w:val="000000"/>
                <w:kern w:val="0"/>
                <w:sz w:val="24"/>
              </w:rPr>
            </w:pPr>
            <w:r>
              <w:rPr>
                <w:rFonts w:eastAsia="仿宋_GB2312"/>
                <w:color w:val="000000"/>
                <w:kern w:val="0"/>
                <w:sz w:val="24"/>
              </w:rPr>
              <w:t>城市空气质量优良天数比率（%）</w:t>
            </w:r>
          </w:p>
        </w:tc>
        <w:tc>
          <w:tcPr>
            <w:tcW w:w="1047" w:type="dxa"/>
            <w:tcBorders>
              <w:top w:val="single" w:color="000000" w:sz="4" w:space="0"/>
              <w:left w:val="single" w:color="000000" w:sz="4" w:space="0"/>
              <w:bottom w:val="single" w:color="000000" w:sz="4" w:space="0"/>
              <w:right w:val="single" w:color="000000" w:sz="4" w:space="0"/>
            </w:tcBorders>
            <w:vAlign w:val="center"/>
          </w:tcPr>
          <w:p w14:paraId="5A3D82CD">
            <w:pPr>
              <w:widowControl/>
              <w:jc w:val="center"/>
              <w:rPr>
                <w:rFonts w:eastAsia="仿宋_GB2312"/>
                <w:color w:val="000000"/>
                <w:kern w:val="0"/>
                <w:sz w:val="24"/>
              </w:rPr>
            </w:pPr>
            <w:r>
              <w:rPr>
                <w:rFonts w:eastAsia="仿宋_GB2312"/>
                <w:color w:val="000000"/>
                <w:kern w:val="0"/>
                <w:sz w:val="24"/>
              </w:rPr>
              <w:t>85</w:t>
            </w:r>
          </w:p>
        </w:tc>
        <w:tc>
          <w:tcPr>
            <w:tcW w:w="1043" w:type="dxa"/>
            <w:tcBorders>
              <w:top w:val="single" w:color="000000" w:sz="4" w:space="0"/>
              <w:left w:val="single" w:color="000000" w:sz="4" w:space="0"/>
              <w:bottom w:val="single" w:color="000000" w:sz="4" w:space="0"/>
              <w:right w:val="single" w:color="000000" w:sz="4" w:space="0"/>
            </w:tcBorders>
            <w:vAlign w:val="center"/>
          </w:tcPr>
          <w:p w14:paraId="6721C7A6">
            <w:pPr>
              <w:widowControl/>
              <w:jc w:val="center"/>
              <w:rPr>
                <w:rFonts w:eastAsia="仿宋_GB2312"/>
                <w:color w:val="000000"/>
                <w:kern w:val="0"/>
                <w:sz w:val="24"/>
              </w:rPr>
            </w:pPr>
          </w:p>
        </w:tc>
        <w:tc>
          <w:tcPr>
            <w:tcW w:w="801" w:type="dxa"/>
            <w:tcBorders>
              <w:top w:val="single" w:color="000000" w:sz="4" w:space="0"/>
              <w:left w:val="single" w:color="000000" w:sz="4" w:space="0"/>
              <w:bottom w:val="single" w:color="000000" w:sz="4" w:space="0"/>
              <w:right w:val="single" w:color="000000" w:sz="4" w:space="0"/>
            </w:tcBorders>
            <w:vAlign w:val="center"/>
          </w:tcPr>
          <w:p w14:paraId="34C331C8">
            <w:pPr>
              <w:widowControl/>
              <w:jc w:val="center"/>
              <w:rPr>
                <w:rFonts w:eastAsia="仿宋_GB2312"/>
                <w:color w:val="000000"/>
                <w:kern w:val="0"/>
                <w:sz w:val="24"/>
              </w:rPr>
            </w:pPr>
            <w:r>
              <w:rPr>
                <w:rFonts w:eastAsia="仿宋_GB2312"/>
                <w:color w:val="000000"/>
                <w:kern w:val="0"/>
                <w:sz w:val="24"/>
              </w:rPr>
              <w:t>99.2</w:t>
            </w:r>
          </w:p>
        </w:tc>
        <w:tc>
          <w:tcPr>
            <w:tcW w:w="1005" w:type="dxa"/>
            <w:tcBorders>
              <w:top w:val="single" w:color="000000" w:sz="4" w:space="0"/>
              <w:left w:val="single" w:color="000000" w:sz="4" w:space="0"/>
              <w:bottom w:val="single" w:color="000000" w:sz="4" w:space="0"/>
              <w:right w:val="single" w:color="000000" w:sz="4" w:space="0"/>
            </w:tcBorders>
            <w:vAlign w:val="center"/>
          </w:tcPr>
          <w:p w14:paraId="5B100202">
            <w:pPr>
              <w:widowControl/>
              <w:jc w:val="center"/>
              <w:rPr>
                <w:rFonts w:eastAsia="仿宋_GB2312"/>
                <w:color w:val="000000"/>
                <w:kern w:val="0"/>
                <w:sz w:val="24"/>
              </w:rPr>
            </w:pPr>
            <w:r>
              <w:rPr>
                <w:rFonts w:eastAsia="仿宋_GB2312"/>
                <w:color w:val="000000"/>
                <w:kern w:val="0"/>
                <w:sz w:val="24"/>
              </w:rPr>
              <w:t>97.5</w:t>
            </w:r>
          </w:p>
        </w:tc>
        <w:tc>
          <w:tcPr>
            <w:tcW w:w="930" w:type="dxa"/>
            <w:tcBorders>
              <w:top w:val="single" w:color="000000" w:sz="4" w:space="0"/>
              <w:left w:val="single" w:color="000000" w:sz="4" w:space="0"/>
              <w:bottom w:val="single" w:color="000000" w:sz="4" w:space="0"/>
              <w:right w:val="single" w:color="000000" w:sz="4" w:space="0"/>
            </w:tcBorders>
            <w:vAlign w:val="center"/>
          </w:tcPr>
          <w:p w14:paraId="0A280A16">
            <w:pPr>
              <w:widowControl/>
              <w:jc w:val="center"/>
              <w:rPr>
                <w:rFonts w:eastAsia="仿宋_GB2312"/>
                <w:color w:val="000000"/>
                <w:kern w:val="0"/>
                <w:sz w:val="24"/>
              </w:rPr>
            </w:pPr>
            <w:r>
              <w:rPr>
                <w:rFonts w:eastAsia="仿宋_GB2312"/>
                <w:color w:val="000000"/>
                <w:kern w:val="0"/>
                <w:sz w:val="24"/>
              </w:rPr>
              <w:t>99.45</w:t>
            </w:r>
          </w:p>
        </w:tc>
        <w:tc>
          <w:tcPr>
            <w:tcW w:w="907" w:type="dxa"/>
            <w:tcBorders>
              <w:top w:val="single" w:color="000000" w:sz="4" w:space="0"/>
              <w:left w:val="single" w:color="000000" w:sz="4" w:space="0"/>
              <w:bottom w:val="single" w:color="000000" w:sz="4" w:space="0"/>
              <w:right w:val="single" w:color="000000" w:sz="4" w:space="0"/>
            </w:tcBorders>
            <w:vAlign w:val="center"/>
          </w:tcPr>
          <w:p w14:paraId="4149464E">
            <w:pPr>
              <w:widowControl/>
              <w:jc w:val="center"/>
              <w:rPr>
                <w:rFonts w:eastAsia="仿宋_GB2312"/>
                <w:color w:val="000000"/>
                <w:kern w:val="0"/>
                <w:sz w:val="24"/>
              </w:rPr>
            </w:pPr>
            <w:r>
              <w:rPr>
                <w:rFonts w:eastAsia="仿宋_GB2312"/>
                <w:color w:val="000000"/>
                <w:kern w:val="0"/>
                <w:sz w:val="24"/>
              </w:rPr>
              <w:t>99.7</w:t>
            </w:r>
          </w:p>
        </w:tc>
        <w:tc>
          <w:tcPr>
            <w:tcW w:w="1163" w:type="dxa"/>
            <w:tcBorders>
              <w:top w:val="single" w:color="000000" w:sz="4" w:space="0"/>
              <w:left w:val="single" w:color="000000" w:sz="4" w:space="0"/>
              <w:bottom w:val="single" w:color="000000" w:sz="4" w:space="0"/>
              <w:right w:val="single" w:color="000000" w:sz="4" w:space="0"/>
            </w:tcBorders>
            <w:vAlign w:val="center"/>
          </w:tcPr>
          <w:p w14:paraId="229E1F4C">
            <w:pPr>
              <w:widowControl/>
              <w:jc w:val="center"/>
              <w:rPr>
                <w:rFonts w:eastAsia="仿宋_GB2312"/>
                <w:color w:val="000000"/>
                <w:kern w:val="0"/>
                <w:sz w:val="24"/>
              </w:rPr>
            </w:pPr>
            <w:r>
              <w:rPr>
                <w:rFonts w:eastAsia="仿宋_GB2312"/>
                <w:color w:val="000000"/>
                <w:kern w:val="0"/>
                <w:sz w:val="24"/>
              </w:rPr>
              <w:t>99.7</w:t>
            </w:r>
          </w:p>
        </w:tc>
        <w:tc>
          <w:tcPr>
            <w:tcW w:w="1298" w:type="dxa"/>
            <w:tcBorders>
              <w:top w:val="single" w:color="000000" w:sz="4" w:space="0"/>
              <w:left w:val="single" w:color="000000" w:sz="4" w:space="0"/>
              <w:bottom w:val="single" w:color="000000" w:sz="4" w:space="0"/>
              <w:right w:val="single" w:color="000000" w:sz="4" w:space="0"/>
            </w:tcBorders>
            <w:vAlign w:val="center"/>
          </w:tcPr>
          <w:p w14:paraId="5BABCF17">
            <w:pPr>
              <w:widowControl/>
              <w:jc w:val="center"/>
              <w:rPr>
                <w:rFonts w:eastAsia="仿宋_GB2312"/>
                <w:color w:val="000000"/>
                <w:kern w:val="0"/>
                <w:sz w:val="24"/>
              </w:rPr>
            </w:pPr>
            <w:r>
              <w:rPr>
                <w:rFonts w:eastAsia="仿宋_GB2312"/>
                <w:color w:val="000000"/>
                <w:kern w:val="0"/>
                <w:sz w:val="24"/>
              </w:rPr>
              <w:t>≥85</w:t>
            </w:r>
          </w:p>
        </w:tc>
        <w:tc>
          <w:tcPr>
            <w:tcW w:w="1094" w:type="dxa"/>
            <w:tcBorders>
              <w:top w:val="single" w:color="000000" w:sz="4" w:space="0"/>
              <w:left w:val="single" w:color="000000" w:sz="4" w:space="0"/>
              <w:bottom w:val="single" w:color="000000" w:sz="4" w:space="0"/>
              <w:right w:val="single" w:color="000000" w:sz="4" w:space="0"/>
            </w:tcBorders>
            <w:vAlign w:val="center"/>
          </w:tcPr>
          <w:p w14:paraId="18F6663E">
            <w:pPr>
              <w:widowControl/>
              <w:jc w:val="center"/>
              <w:rPr>
                <w:rFonts w:eastAsia="仿宋_GB2312"/>
                <w:color w:val="000000"/>
                <w:kern w:val="0"/>
                <w:sz w:val="24"/>
              </w:rPr>
            </w:pPr>
            <w:r>
              <w:rPr>
                <w:rFonts w:eastAsia="仿宋_GB2312"/>
                <w:color w:val="000000"/>
                <w:kern w:val="0"/>
                <w:sz w:val="24"/>
              </w:rPr>
              <w:t>—</w:t>
            </w:r>
          </w:p>
        </w:tc>
        <w:tc>
          <w:tcPr>
            <w:tcW w:w="1271" w:type="dxa"/>
            <w:tcBorders>
              <w:top w:val="single" w:color="000000" w:sz="4" w:space="0"/>
              <w:left w:val="single" w:color="000000" w:sz="4" w:space="0"/>
              <w:bottom w:val="single" w:color="000000" w:sz="4" w:space="0"/>
              <w:right w:val="single" w:color="000000" w:sz="4" w:space="0"/>
            </w:tcBorders>
            <w:vAlign w:val="center"/>
          </w:tcPr>
          <w:p w14:paraId="3110D1A1">
            <w:pPr>
              <w:widowControl/>
              <w:jc w:val="center"/>
              <w:rPr>
                <w:rFonts w:eastAsia="仿宋_GB2312"/>
                <w:color w:val="000000"/>
                <w:kern w:val="0"/>
                <w:sz w:val="24"/>
              </w:rPr>
            </w:pPr>
            <w:r>
              <w:rPr>
                <w:rFonts w:eastAsia="仿宋_GB2312"/>
                <w:color w:val="000000"/>
                <w:kern w:val="0"/>
                <w:sz w:val="24"/>
              </w:rPr>
              <w:t>约束性</w:t>
            </w:r>
          </w:p>
        </w:tc>
        <w:tc>
          <w:tcPr>
            <w:tcW w:w="1553" w:type="dxa"/>
            <w:tcBorders>
              <w:top w:val="single" w:color="000000" w:sz="4" w:space="0"/>
              <w:left w:val="single" w:color="000000" w:sz="4" w:space="0"/>
              <w:bottom w:val="single" w:color="000000" w:sz="4" w:space="0"/>
              <w:right w:val="single" w:color="000000" w:sz="4" w:space="0"/>
            </w:tcBorders>
            <w:vAlign w:val="center"/>
          </w:tcPr>
          <w:p w14:paraId="7B1894A5">
            <w:pPr>
              <w:widowControl/>
              <w:jc w:val="center"/>
              <w:rPr>
                <w:rFonts w:eastAsia="仿宋_GB2312"/>
                <w:color w:val="000000"/>
                <w:kern w:val="0"/>
                <w:sz w:val="24"/>
              </w:rPr>
            </w:pPr>
            <w:r>
              <w:rPr>
                <w:rFonts w:eastAsia="仿宋_GB2312"/>
                <w:color w:val="000000"/>
                <w:kern w:val="0"/>
                <w:sz w:val="24"/>
              </w:rPr>
              <w:t>能够完成</w:t>
            </w:r>
          </w:p>
        </w:tc>
      </w:tr>
      <w:tr w14:paraId="4B95D7DA">
        <w:tblPrEx>
          <w:tblCellMar>
            <w:top w:w="15" w:type="dxa"/>
            <w:left w:w="15" w:type="dxa"/>
            <w:bottom w:w="15" w:type="dxa"/>
            <w:right w:w="15" w:type="dxa"/>
          </w:tblCellMar>
        </w:tblPrEx>
        <w:trPr>
          <w:trHeight w:val="1141" w:hRule="atLeast"/>
          <w:jc w:val="center"/>
        </w:trPr>
        <w:tc>
          <w:tcPr>
            <w:tcW w:w="604" w:type="dxa"/>
            <w:vMerge w:val="restart"/>
            <w:tcBorders>
              <w:top w:val="single" w:color="000000" w:sz="4" w:space="0"/>
              <w:left w:val="single" w:color="000000" w:sz="4" w:space="0"/>
              <w:bottom w:val="single" w:color="000000" w:sz="4" w:space="0"/>
              <w:right w:val="single" w:color="000000" w:sz="4" w:space="0"/>
            </w:tcBorders>
            <w:vAlign w:val="center"/>
          </w:tcPr>
          <w:p w14:paraId="5003B789">
            <w:pPr>
              <w:widowControl/>
              <w:jc w:val="center"/>
              <w:rPr>
                <w:rFonts w:eastAsia="仿宋_GB2312"/>
                <w:color w:val="000000"/>
                <w:kern w:val="0"/>
                <w:sz w:val="24"/>
              </w:rPr>
            </w:pPr>
            <w:r>
              <w:rPr>
                <w:rFonts w:eastAsia="仿宋_GB2312"/>
                <w:color w:val="000000"/>
                <w:kern w:val="0"/>
                <w:sz w:val="24"/>
              </w:rPr>
              <w:t>26</w:t>
            </w:r>
          </w:p>
        </w:tc>
        <w:tc>
          <w:tcPr>
            <w:tcW w:w="632" w:type="dxa"/>
            <w:vMerge w:val="restart"/>
            <w:tcBorders>
              <w:top w:val="single" w:color="000000" w:sz="4" w:space="0"/>
              <w:left w:val="single" w:color="000000" w:sz="4" w:space="0"/>
              <w:right w:val="single" w:color="000000" w:sz="4" w:space="0"/>
            </w:tcBorders>
            <w:vAlign w:val="center"/>
          </w:tcPr>
          <w:p w14:paraId="3D59D823">
            <w:pPr>
              <w:widowControl/>
              <w:jc w:val="center"/>
              <w:rPr>
                <w:rFonts w:eastAsia="仿宋_GB2312"/>
                <w:color w:val="000000"/>
                <w:kern w:val="0"/>
                <w:sz w:val="24"/>
              </w:rPr>
            </w:pPr>
            <w:r>
              <w:rPr>
                <w:rFonts w:eastAsia="仿宋_GB2312"/>
                <w:color w:val="000000"/>
                <w:kern w:val="0"/>
                <w:sz w:val="24"/>
              </w:rPr>
              <w:t>绿色</w:t>
            </w:r>
          </w:p>
          <w:p w14:paraId="01223810">
            <w:pPr>
              <w:widowControl/>
              <w:jc w:val="center"/>
              <w:rPr>
                <w:rFonts w:eastAsia="仿宋_GB2312"/>
                <w:color w:val="000000"/>
                <w:kern w:val="0"/>
                <w:sz w:val="24"/>
              </w:rPr>
            </w:pPr>
            <w:r>
              <w:rPr>
                <w:rFonts w:eastAsia="仿宋_GB2312"/>
                <w:color w:val="000000"/>
                <w:kern w:val="0"/>
                <w:sz w:val="24"/>
              </w:rPr>
              <w:t>生态</w:t>
            </w:r>
          </w:p>
          <w:p w14:paraId="0EEF325C">
            <w:pPr>
              <w:widowControl/>
              <w:jc w:val="center"/>
              <w:rPr>
                <w:rFonts w:eastAsia="仿宋_GB2312"/>
                <w:color w:val="000000"/>
                <w:kern w:val="0"/>
                <w:sz w:val="24"/>
              </w:rPr>
            </w:pPr>
            <w:r>
              <w:rPr>
                <w:rFonts w:eastAsia="仿宋_GB2312"/>
                <w:color w:val="000000"/>
                <w:kern w:val="0"/>
                <w:sz w:val="24"/>
              </w:rPr>
              <w:t>指标</w:t>
            </w:r>
          </w:p>
        </w:tc>
        <w:tc>
          <w:tcPr>
            <w:tcW w:w="548" w:type="dxa"/>
            <w:vMerge w:val="restart"/>
            <w:tcBorders>
              <w:top w:val="single" w:color="000000" w:sz="4" w:space="0"/>
              <w:left w:val="single" w:color="000000" w:sz="4" w:space="0"/>
              <w:bottom w:val="single" w:color="000000" w:sz="4" w:space="0"/>
              <w:right w:val="single" w:color="000000" w:sz="4" w:space="0"/>
            </w:tcBorders>
            <w:vAlign w:val="center"/>
          </w:tcPr>
          <w:p w14:paraId="6D6BE06E">
            <w:pPr>
              <w:widowControl/>
              <w:jc w:val="center"/>
              <w:rPr>
                <w:rFonts w:eastAsia="仿宋_GB2312"/>
                <w:color w:val="000000"/>
                <w:kern w:val="0"/>
                <w:sz w:val="24"/>
              </w:rPr>
            </w:pPr>
            <w:r>
              <w:rPr>
                <w:rFonts w:eastAsia="仿宋_GB2312"/>
                <w:color w:val="000000"/>
                <w:kern w:val="0"/>
                <w:sz w:val="24"/>
              </w:rPr>
              <w:t>主要污染物减排</w:t>
            </w:r>
          </w:p>
        </w:tc>
        <w:tc>
          <w:tcPr>
            <w:tcW w:w="1136" w:type="dxa"/>
            <w:tcBorders>
              <w:top w:val="single" w:color="000000" w:sz="4" w:space="0"/>
              <w:left w:val="single" w:color="000000" w:sz="4" w:space="0"/>
              <w:bottom w:val="single" w:color="000000" w:sz="4" w:space="0"/>
              <w:right w:val="single" w:color="000000" w:sz="4" w:space="0"/>
            </w:tcBorders>
            <w:vAlign w:val="center"/>
          </w:tcPr>
          <w:p w14:paraId="4FCE9DFD">
            <w:pPr>
              <w:widowControl/>
              <w:jc w:val="center"/>
              <w:rPr>
                <w:rFonts w:eastAsia="仿宋_GB2312"/>
                <w:color w:val="000000"/>
                <w:kern w:val="0"/>
                <w:sz w:val="24"/>
              </w:rPr>
            </w:pPr>
            <w:r>
              <w:rPr>
                <w:rFonts w:eastAsia="仿宋_GB2312"/>
                <w:color w:val="000000"/>
                <w:kern w:val="0"/>
                <w:sz w:val="24"/>
              </w:rPr>
              <w:t>化学需氧量累计降低率（%）</w:t>
            </w:r>
          </w:p>
        </w:tc>
        <w:tc>
          <w:tcPr>
            <w:tcW w:w="8194" w:type="dxa"/>
            <w:gridSpan w:val="8"/>
            <w:vMerge w:val="restart"/>
            <w:tcBorders>
              <w:top w:val="single" w:color="000000" w:sz="4" w:space="0"/>
              <w:left w:val="single" w:color="000000" w:sz="4" w:space="0"/>
              <w:bottom w:val="single" w:color="000000" w:sz="4" w:space="0"/>
              <w:right w:val="single" w:color="000000" w:sz="4" w:space="0"/>
            </w:tcBorders>
            <w:vAlign w:val="center"/>
          </w:tcPr>
          <w:p w14:paraId="4F9833F7">
            <w:pPr>
              <w:widowControl/>
              <w:ind w:firstLine="480"/>
              <w:rPr>
                <w:rFonts w:eastAsia="仿宋_GB2312"/>
                <w:color w:val="000000"/>
                <w:kern w:val="0"/>
                <w:sz w:val="24"/>
              </w:rPr>
            </w:pPr>
            <w:r>
              <w:rPr>
                <w:rFonts w:eastAsia="仿宋_GB2312"/>
                <w:color w:val="000000"/>
                <w:kern w:val="0"/>
                <w:sz w:val="24"/>
              </w:rPr>
              <w:t>此四项主要污染物减排指标任务由云南省生态环境厅印发给各州市，昆明市未对四项主要污染物减排指标进行各区县再细分，采取统一考核，2015-2019年均通过考核。</w:t>
            </w:r>
          </w:p>
        </w:tc>
        <w:tc>
          <w:tcPr>
            <w:tcW w:w="1094" w:type="dxa"/>
            <w:tcBorders>
              <w:top w:val="single" w:color="000000" w:sz="4" w:space="0"/>
              <w:left w:val="single" w:color="000000" w:sz="4" w:space="0"/>
              <w:bottom w:val="single" w:color="000000" w:sz="4" w:space="0"/>
              <w:right w:val="single" w:color="000000" w:sz="4" w:space="0"/>
            </w:tcBorders>
            <w:vAlign w:val="center"/>
          </w:tcPr>
          <w:p w14:paraId="7D358023">
            <w:pPr>
              <w:widowControl/>
              <w:jc w:val="center"/>
              <w:rPr>
                <w:rFonts w:eastAsia="仿宋_GB2312"/>
                <w:color w:val="000000"/>
                <w:kern w:val="0"/>
                <w:sz w:val="24"/>
              </w:rPr>
            </w:pPr>
            <w:r>
              <w:rPr>
                <w:rFonts w:eastAsia="仿宋_GB2312"/>
                <w:color w:val="000000"/>
                <w:kern w:val="0"/>
                <w:sz w:val="24"/>
              </w:rPr>
              <w:t>—</w:t>
            </w:r>
          </w:p>
        </w:tc>
        <w:tc>
          <w:tcPr>
            <w:tcW w:w="1271" w:type="dxa"/>
            <w:tcBorders>
              <w:top w:val="single" w:color="000000" w:sz="4" w:space="0"/>
              <w:left w:val="single" w:color="000000" w:sz="4" w:space="0"/>
              <w:bottom w:val="single" w:color="000000" w:sz="4" w:space="0"/>
              <w:right w:val="single" w:color="000000" w:sz="4" w:space="0"/>
            </w:tcBorders>
            <w:vAlign w:val="center"/>
          </w:tcPr>
          <w:p w14:paraId="113C3FD9">
            <w:pPr>
              <w:widowControl/>
              <w:jc w:val="center"/>
              <w:rPr>
                <w:rFonts w:eastAsia="仿宋_GB2312"/>
                <w:color w:val="000000"/>
                <w:kern w:val="0"/>
                <w:sz w:val="24"/>
              </w:rPr>
            </w:pPr>
            <w:r>
              <w:rPr>
                <w:rFonts w:eastAsia="仿宋_GB2312"/>
                <w:color w:val="000000"/>
                <w:kern w:val="0"/>
                <w:sz w:val="24"/>
              </w:rPr>
              <w:t>约束性</w:t>
            </w:r>
          </w:p>
        </w:tc>
        <w:tc>
          <w:tcPr>
            <w:tcW w:w="1553" w:type="dxa"/>
            <w:vMerge w:val="restart"/>
            <w:tcBorders>
              <w:top w:val="single" w:color="000000" w:sz="4" w:space="0"/>
              <w:left w:val="single" w:color="000000" w:sz="4" w:space="0"/>
              <w:bottom w:val="single" w:color="000000" w:sz="4" w:space="0"/>
              <w:right w:val="single" w:color="000000" w:sz="4" w:space="0"/>
            </w:tcBorders>
            <w:vAlign w:val="center"/>
          </w:tcPr>
          <w:p w14:paraId="318BCDF2">
            <w:pPr>
              <w:widowControl/>
              <w:jc w:val="center"/>
              <w:rPr>
                <w:rFonts w:eastAsia="仿宋_GB2312"/>
                <w:color w:val="000000"/>
                <w:kern w:val="0"/>
                <w:sz w:val="24"/>
              </w:rPr>
            </w:pPr>
            <w:r>
              <w:rPr>
                <w:rFonts w:eastAsia="仿宋_GB2312"/>
                <w:color w:val="000000"/>
                <w:kern w:val="0"/>
                <w:sz w:val="24"/>
              </w:rPr>
              <w:t>能够完成</w:t>
            </w:r>
          </w:p>
        </w:tc>
      </w:tr>
      <w:tr w14:paraId="67C3141D">
        <w:tblPrEx>
          <w:tblCellMar>
            <w:top w:w="15" w:type="dxa"/>
            <w:left w:w="15" w:type="dxa"/>
            <w:bottom w:w="15" w:type="dxa"/>
            <w:right w:w="15" w:type="dxa"/>
          </w:tblCellMar>
        </w:tblPrEx>
        <w:trPr>
          <w:trHeight w:val="340" w:hRule="atLeast"/>
          <w:jc w:val="center"/>
        </w:trPr>
        <w:tc>
          <w:tcPr>
            <w:tcW w:w="604" w:type="dxa"/>
            <w:vMerge w:val="continue"/>
            <w:tcBorders>
              <w:top w:val="single" w:color="000000" w:sz="4" w:space="0"/>
              <w:left w:val="single" w:color="000000" w:sz="4" w:space="0"/>
              <w:bottom w:val="single" w:color="000000" w:sz="4" w:space="0"/>
              <w:right w:val="single" w:color="000000" w:sz="4" w:space="0"/>
            </w:tcBorders>
            <w:vAlign w:val="center"/>
          </w:tcPr>
          <w:p w14:paraId="6B0AC087">
            <w:pPr>
              <w:widowControl/>
              <w:jc w:val="left"/>
              <w:rPr>
                <w:rFonts w:eastAsia="仿宋_GB2312"/>
                <w:color w:val="000000"/>
                <w:kern w:val="0"/>
                <w:sz w:val="24"/>
              </w:rPr>
            </w:pPr>
          </w:p>
        </w:tc>
        <w:tc>
          <w:tcPr>
            <w:tcW w:w="632" w:type="dxa"/>
            <w:vMerge w:val="continue"/>
            <w:tcBorders>
              <w:left w:val="single" w:color="000000" w:sz="4" w:space="0"/>
              <w:right w:val="single" w:color="000000" w:sz="4" w:space="0"/>
            </w:tcBorders>
            <w:vAlign w:val="center"/>
          </w:tcPr>
          <w:p w14:paraId="06821CDB">
            <w:pPr>
              <w:widowControl/>
              <w:jc w:val="left"/>
              <w:rPr>
                <w:rFonts w:eastAsia="仿宋_GB2312"/>
                <w:color w:val="000000"/>
                <w:kern w:val="0"/>
                <w:sz w:val="24"/>
              </w:rPr>
            </w:pPr>
          </w:p>
        </w:tc>
        <w:tc>
          <w:tcPr>
            <w:tcW w:w="548" w:type="dxa"/>
            <w:vMerge w:val="continue"/>
            <w:tcBorders>
              <w:top w:val="single" w:color="000000" w:sz="4" w:space="0"/>
              <w:left w:val="single" w:color="000000" w:sz="4" w:space="0"/>
              <w:bottom w:val="single" w:color="000000" w:sz="4" w:space="0"/>
              <w:right w:val="single" w:color="000000" w:sz="4" w:space="0"/>
            </w:tcBorders>
            <w:vAlign w:val="center"/>
          </w:tcPr>
          <w:p w14:paraId="05841858">
            <w:pPr>
              <w:widowControl/>
              <w:jc w:val="left"/>
              <w:rPr>
                <w:rFonts w:eastAsia="仿宋_GB2312"/>
                <w:color w:val="000000"/>
                <w:kern w:val="0"/>
                <w:sz w:val="24"/>
              </w:rPr>
            </w:pPr>
          </w:p>
        </w:tc>
        <w:tc>
          <w:tcPr>
            <w:tcW w:w="1136" w:type="dxa"/>
            <w:tcBorders>
              <w:top w:val="single" w:color="000000" w:sz="4" w:space="0"/>
              <w:left w:val="single" w:color="000000" w:sz="4" w:space="0"/>
              <w:bottom w:val="single" w:color="000000" w:sz="4" w:space="0"/>
              <w:right w:val="single" w:color="000000" w:sz="4" w:space="0"/>
            </w:tcBorders>
            <w:vAlign w:val="center"/>
          </w:tcPr>
          <w:p w14:paraId="3CFF034B">
            <w:pPr>
              <w:widowControl/>
              <w:jc w:val="center"/>
              <w:rPr>
                <w:rFonts w:eastAsia="仿宋_GB2312"/>
                <w:color w:val="000000"/>
                <w:kern w:val="0"/>
                <w:sz w:val="24"/>
              </w:rPr>
            </w:pPr>
            <w:r>
              <w:rPr>
                <w:rFonts w:eastAsia="仿宋_GB2312"/>
                <w:color w:val="000000"/>
                <w:kern w:val="0"/>
                <w:sz w:val="24"/>
              </w:rPr>
              <w:t>氨氮累计降低率（%）</w:t>
            </w:r>
          </w:p>
        </w:tc>
        <w:tc>
          <w:tcPr>
            <w:tcW w:w="8194" w:type="dxa"/>
            <w:gridSpan w:val="8"/>
            <w:vMerge w:val="continue"/>
            <w:tcBorders>
              <w:top w:val="single" w:color="000000" w:sz="4" w:space="0"/>
              <w:left w:val="single" w:color="000000" w:sz="4" w:space="0"/>
              <w:bottom w:val="single" w:color="000000" w:sz="4" w:space="0"/>
              <w:right w:val="single" w:color="000000" w:sz="4" w:space="0"/>
            </w:tcBorders>
            <w:vAlign w:val="center"/>
          </w:tcPr>
          <w:p w14:paraId="0AA73A92">
            <w:pPr>
              <w:widowControl/>
              <w:jc w:val="left"/>
              <w:rPr>
                <w:rFonts w:eastAsia="仿宋_GB2312"/>
                <w:color w:val="000000"/>
                <w:kern w:val="0"/>
                <w:sz w:val="24"/>
              </w:rPr>
            </w:pPr>
          </w:p>
        </w:tc>
        <w:tc>
          <w:tcPr>
            <w:tcW w:w="1094" w:type="dxa"/>
            <w:tcBorders>
              <w:top w:val="single" w:color="000000" w:sz="4" w:space="0"/>
              <w:left w:val="single" w:color="000000" w:sz="4" w:space="0"/>
              <w:bottom w:val="single" w:color="000000" w:sz="4" w:space="0"/>
              <w:right w:val="single" w:color="000000" w:sz="4" w:space="0"/>
            </w:tcBorders>
            <w:vAlign w:val="center"/>
          </w:tcPr>
          <w:p w14:paraId="00681129">
            <w:pPr>
              <w:widowControl/>
              <w:jc w:val="center"/>
              <w:rPr>
                <w:rFonts w:eastAsia="仿宋_GB2312"/>
                <w:color w:val="000000"/>
                <w:kern w:val="0"/>
                <w:sz w:val="24"/>
              </w:rPr>
            </w:pPr>
            <w:r>
              <w:rPr>
                <w:rFonts w:eastAsia="仿宋_GB2312"/>
                <w:color w:val="000000"/>
                <w:kern w:val="0"/>
                <w:sz w:val="24"/>
              </w:rPr>
              <w:t>—</w:t>
            </w:r>
          </w:p>
        </w:tc>
        <w:tc>
          <w:tcPr>
            <w:tcW w:w="1271" w:type="dxa"/>
            <w:tcBorders>
              <w:top w:val="single" w:color="000000" w:sz="4" w:space="0"/>
              <w:left w:val="single" w:color="000000" w:sz="4" w:space="0"/>
              <w:bottom w:val="single" w:color="000000" w:sz="4" w:space="0"/>
              <w:right w:val="single" w:color="000000" w:sz="4" w:space="0"/>
            </w:tcBorders>
            <w:vAlign w:val="center"/>
          </w:tcPr>
          <w:p w14:paraId="7FA99B10">
            <w:pPr>
              <w:widowControl/>
              <w:jc w:val="center"/>
              <w:rPr>
                <w:rFonts w:eastAsia="仿宋_GB2312"/>
                <w:color w:val="000000"/>
                <w:kern w:val="0"/>
                <w:sz w:val="24"/>
              </w:rPr>
            </w:pPr>
            <w:r>
              <w:rPr>
                <w:rFonts w:eastAsia="仿宋_GB2312"/>
                <w:color w:val="000000"/>
                <w:kern w:val="0"/>
                <w:sz w:val="24"/>
              </w:rPr>
              <w:t>约束性</w:t>
            </w:r>
          </w:p>
        </w:tc>
        <w:tc>
          <w:tcPr>
            <w:tcW w:w="1553" w:type="dxa"/>
            <w:vMerge w:val="continue"/>
            <w:tcBorders>
              <w:top w:val="single" w:color="000000" w:sz="4" w:space="0"/>
              <w:left w:val="single" w:color="000000" w:sz="4" w:space="0"/>
              <w:bottom w:val="single" w:color="000000" w:sz="4" w:space="0"/>
              <w:right w:val="single" w:color="000000" w:sz="4" w:space="0"/>
            </w:tcBorders>
            <w:vAlign w:val="center"/>
          </w:tcPr>
          <w:p w14:paraId="0AD1D538">
            <w:pPr>
              <w:widowControl/>
              <w:jc w:val="left"/>
              <w:rPr>
                <w:rFonts w:eastAsia="仿宋_GB2312"/>
                <w:color w:val="000000"/>
                <w:kern w:val="0"/>
                <w:sz w:val="24"/>
              </w:rPr>
            </w:pPr>
          </w:p>
        </w:tc>
      </w:tr>
      <w:tr w14:paraId="612599EC">
        <w:tblPrEx>
          <w:tblCellMar>
            <w:top w:w="15" w:type="dxa"/>
            <w:left w:w="15" w:type="dxa"/>
            <w:bottom w:w="15" w:type="dxa"/>
            <w:right w:w="15" w:type="dxa"/>
          </w:tblCellMar>
        </w:tblPrEx>
        <w:trPr>
          <w:trHeight w:val="340" w:hRule="atLeast"/>
          <w:jc w:val="center"/>
        </w:trPr>
        <w:tc>
          <w:tcPr>
            <w:tcW w:w="604" w:type="dxa"/>
            <w:vMerge w:val="continue"/>
            <w:tcBorders>
              <w:top w:val="single" w:color="000000" w:sz="4" w:space="0"/>
              <w:left w:val="single" w:color="000000" w:sz="4" w:space="0"/>
              <w:bottom w:val="single" w:color="000000" w:sz="4" w:space="0"/>
              <w:right w:val="single" w:color="000000" w:sz="4" w:space="0"/>
            </w:tcBorders>
            <w:vAlign w:val="center"/>
          </w:tcPr>
          <w:p w14:paraId="592FAF5C">
            <w:pPr>
              <w:widowControl/>
              <w:jc w:val="left"/>
              <w:rPr>
                <w:rFonts w:eastAsia="仿宋_GB2312"/>
                <w:color w:val="000000"/>
                <w:kern w:val="0"/>
                <w:sz w:val="24"/>
              </w:rPr>
            </w:pPr>
          </w:p>
        </w:tc>
        <w:tc>
          <w:tcPr>
            <w:tcW w:w="632" w:type="dxa"/>
            <w:vMerge w:val="continue"/>
            <w:tcBorders>
              <w:left w:val="single" w:color="000000" w:sz="4" w:space="0"/>
              <w:right w:val="single" w:color="000000" w:sz="4" w:space="0"/>
            </w:tcBorders>
            <w:vAlign w:val="center"/>
          </w:tcPr>
          <w:p w14:paraId="4EA500AD">
            <w:pPr>
              <w:widowControl/>
              <w:jc w:val="left"/>
              <w:rPr>
                <w:rFonts w:eastAsia="仿宋_GB2312"/>
                <w:color w:val="000000"/>
                <w:kern w:val="0"/>
                <w:sz w:val="24"/>
              </w:rPr>
            </w:pPr>
          </w:p>
        </w:tc>
        <w:tc>
          <w:tcPr>
            <w:tcW w:w="548" w:type="dxa"/>
            <w:vMerge w:val="continue"/>
            <w:tcBorders>
              <w:top w:val="single" w:color="000000" w:sz="4" w:space="0"/>
              <w:left w:val="single" w:color="000000" w:sz="4" w:space="0"/>
              <w:bottom w:val="single" w:color="000000" w:sz="4" w:space="0"/>
              <w:right w:val="single" w:color="000000" w:sz="4" w:space="0"/>
            </w:tcBorders>
            <w:vAlign w:val="center"/>
          </w:tcPr>
          <w:p w14:paraId="3AB08E94">
            <w:pPr>
              <w:widowControl/>
              <w:jc w:val="left"/>
              <w:rPr>
                <w:rFonts w:eastAsia="仿宋_GB2312"/>
                <w:color w:val="000000"/>
                <w:kern w:val="0"/>
                <w:sz w:val="24"/>
              </w:rPr>
            </w:pPr>
          </w:p>
        </w:tc>
        <w:tc>
          <w:tcPr>
            <w:tcW w:w="1136" w:type="dxa"/>
            <w:tcBorders>
              <w:top w:val="single" w:color="000000" w:sz="4" w:space="0"/>
              <w:left w:val="single" w:color="000000" w:sz="4" w:space="0"/>
              <w:bottom w:val="single" w:color="000000" w:sz="4" w:space="0"/>
              <w:right w:val="single" w:color="000000" w:sz="4" w:space="0"/>
            </w:tcBorders>
            <w:vAlign w:val="center"/>
          </w:tcPr>
          <w:p w14:paraId="6B71DE6E">
            <w:pPr>
              <w:widowControl/>
              <w:jc w:val="center"/>
              <w:rPr>
                <w:rFonts w:eastAsia="仿宋_GB2312"/>
                <w:color w:val="000000"/>
                <w:kern w:val="0"/>
                <w:sz w:val="24"/>
              </w:rPr>
            </w:pPr>
            <w:r>
              <w:rPr>
                <w:rFonts w:eastAsia="仿宋_GB2312"/>
                <w:color w:val="000000"/>
                <w:kern w:val="0"/>
                <w:sz w:val="24"/>
              </w:rPr>
              <w:t>二氧化硫累计降低率（%）</w:t>
            </w:r>
          </w:p>
        </w:tc>
        <w:tc>
          <w:tcPr>
            <w:tcW w:w="8194" w:type="dxa"/>
            <w:gridSpan w:val="8"/>
            <w:vMerge w:val="continue"/>
            <w:tcBorders>
              <w:top w:val="single" w:color="000000" w:sz="4" w:space="0"/>
              <w:left w:val="single" w:color="000000" w:sz="4" w:space="0"/>
              <w:bottom w:val="single" w:color="000000" w:sz="4" w:space="0"/>
              <w:right w:val="single" w:color="000000" w:sz="4" w:space="0"/>
            </w:tcBorders>
            <w:vAlign w:val="center"/>
          </w:tcPr>
          <w:p w14:paraId="79BA4A53">
            <w:pPr>
              <w:widowControl/>
              <w:jc w:val="left"/>
              <w:rPr>
                <w:rFonts w:eastAsia="仿宋_GB2312"/>
                <w:color w:val="000000"/>
                <w:kern w:val="0"/>
                <w:sz w:val="24"/>
              </w:rPr>
            </w:pPr>
          </w:p>
        </w:tc>
        <w:tc>
          <w:tcPr>
            <w:tcW w:w="1094" w:type="dxa"/>
            <w:tcBorders>
              <w:top w:val="single" w:color="000000" w:sz="4" w:space="0"/>
              <w:left w:val="single" w:color="000000" w:sz="4" w:space="0"/>
              <w:bottom w:val="single" w:color="000000" w:sz="4" w:space="0"/>
              <w:right w:val="single" w:color="000000" w:sz="4" w:space="0"/>
            </w:tcBorders>
            <w:vAlign w:val="center"/>
          </w:tcPr>
          <w:p w14:paraId="6332B98F">
            <w:pPr>
              <w:widowControl/>
              <w:jc w:val="center"/>
              <w:rPr>
                <w:rFonts w:eastAsia="仿宋_GB2312"/>
                <w:color w:val="000000"/>
                <w:kern w:val="0"/>
                <w:sz w:val="24"/>
              </w:rPr>
            </w:pPr>
            <w:r>
              <w:rPr>
                <w:rFonts w:eastAsia="仿宋_GB2312"/>
                <w:color w:val="000000"/>
                <w:kern w:val="0"/>
                <w:sz w:val="24"/>
              </w:rPr>
              <w:t>—</w:t>
            </w:r>
          </w:p>
        </w:tc>
        <w:tc>
          <w:tcPr>
            <w:tcW w:w="1271" w:type="dxa"/>
            <w:tcBorders>
              <w:top w:val="single" w:color="000000" w:sz="4" w:space="0"/>
              <w:left w:val="single" w:color="000000" w:sz="4" w:space="0"/>
              <w:bottom w:val="single" w:color="000000" w:sz="4" w:space="0"/>
              <w:right w:val="single" w:color="000000" w:sz="4" w:space="0"/>
            </w:tcBorders>
            <w:vAlign w:val="center"/>
          </w:tcPr>
          <w:p w14:paraId="3659F856">
            <w:pPr>
              <w:widowControl/>
              <w:jc w:val="center"/>
              <w:rPr>
                <w:rFonts w:eastAsia="仿宋_GB2312"/>
                <w:color w:val="000000"/>
                <w:kern w:val="0"/>
                <w:sz w:val="24"/>
              </w:rPr>
            </w:pPr>
            <w:r>
              <w:rPr>
                <w:rFonts w:eastAsia="仿宋_GB2312"/>
                <w:color w:val="000000"/>
                <w:kern w:val="0"/>
                <w:sz w:val="24"/>
              </w:rPr>
              <w:t>约束性</w:t>
            </w:r>
          </w:p>
        </w:tc>
        <w:tc>
          <w:tcPr>
            <w:tcW w:w="1553" w:type="dxa"/>
            <w:vMerge w:val="continue"/>
            <w:tcBorders>
              <w:top w:val="single" w:color="000000" w:sz="4" w:space="0"/>
              <w:left w:val="single" w:color="000000" w:sz="4" w:space="0"/>
              <w:bottom w:val="single" w:color="000000" w:sz="4" w:space="0"/>
              <w:right w:val="single" w:color="000000" w:sz="4" w:space="0"/>
            </w:tcBorders>
            <w:vAlign w:val="center"/>
          </w:tcPr>
          <w:p w14:paraId="02EA3B52">
            <w:pPr>
              <w:widowControl/>
              <w:jc w:val="left"/>
              <w:rPr>
                <w:rFonts w:eastAsia="仿宋_GB2312"/>
                <w:color w:val="000000"/>
                <w:kern w:val="0"/>
                <w:sz w:val="24"/>
              </w:rPr>
            </w:pPr>
          </w:p>
        </w:tc>
      </w:tr>
      <w:tr w14:paraId="1EEDBD17">
        <w:tblPrEx>
          <w:tblCellMar>
            <w:top w:w="15" w:type="dxa"/>
            <w:left w:w="15" w:type="dxa"/>
            <w:bottom w:w="15" w:type="dxa"/>
            <w:right w:w="15" w:type="dxa"/>
          </w:tblCellMar>
        </w:tblPrEx>
        <w:trPr>
          <w:trHeight w:val="340" w:hRule="atLeast"/>
          <w:jc w:val="center"/>
        </w:trPr>
        <w:tc>
          <w:tcPr>
            <w:tcW w:w="604" w:type="dxa"/>
            <w:vMerge w:val="continue"/>
            <w:tcBorders>
              <w:top w:val="single" w:color="000000" w:sz="4" w:space="0"/>
              <w:left w:val="single" w:color="000000" w:sz="4" w:space="0"/>
              <w:bottom w:val="single" w:color="000000" w:sz="4" w:space="0"/>
              <w:right w:val="single" w:color="000000" w:sz="4" w:space="0"/>
            </w:tcBorders>
            <w:vAlign w:val="center"/>
          </w:tcPr>
          <w:p w14:paraId="37EC9900">
            <w:pPr>
              <w:widowControl/>
              <w:jc w:val="left"/>
              <w:rPr>
                <w:rFonts w:eastAsia="仿宋_GB2312"/>
                <w:color w:val="000000"/>
                <w:kern w:val="0"/>
                <w:sz w:val="24"/>
              </w:rPr>
            </w:pPr>
          </w:p>
        </w:tc>
        <w:tc>
          <w:tcPr>
            <w:tcW w:w="632" w:type="dxa"/>
            <w:vMerge w:val="continue"/>
            <w:tcBorders>
              <w:left w:val="single" w:color="000000" w:sz="4" w:space="0"/>
              <w:bottom w:val="single" w:color="000000" w:sz="4" w:space="0"/>
              <w:right w:val="single" w:color="000000" w:sz="4" w:space="0"/>
            </w:tcBorders>
            <w:vAlign w:val="center"/>
          </w:tcPr>
          <w:p w14:paraId="26ED8E37">
            <w:pPr>
              <w:widowControl/>
              <w:jc w:val="left"/>
              <w:rPr>
                <w:rFonts w:eastAsia="仿宋_GB2312"/>
                <w:color w:val="000000"/>
                <w:kern w:val="0"/>
                <w:sz w:val="24"/>
              </w:rPr>
            </w:pPr>
          </w:p>
        </w:tc>
        <w:tc>
          <w:tcPr>
            <w:tcW w:w="548" w:type="dxa"/>
            <w:vMerge w:val="continue"/>
            <w:tcBorders>
              <w:top w:val="single" w:color="000000" w:sz="4" w:space="0"/>
              <w:left w:val="single" w:color="000000" w:sz="4" w:space="0"/>
              <w:bottom w:val="single" w:color="000000" w:sz="4" w:space="0"/>
              <w:right w:val="single" w:color="000000" w:sz="4" w:space="0"/>
            </w:tcBorders>
            <w:vAlign w:val="center"/>
          </w:tcPr>
          <w:p w14:paraId="51496127">
            <w:pPr>
              <w:widowControl/>
              <w:jc w:val="left"/>
              <w:rPr>
                <w:rFonts w:eastAsia="仿宋_GB2312"/>
                <w:color w:val="000000"/>
                <w:kern w:val="0"/>
                <w:sz w:val="24"/>
              </w:rPr>
            </w:pPr>
          </w:p>
        </w:tc>
        <w:tc>
          <w:tcPr>
            <w:tcW w:w="1136" w:type="dxa"/>
            <w:tcBorders>
              <w:top w:val="single" w:color="000000" w:sz="4" w:space="0"/>
              <w:left w:val="single" w:color="000000" w:sz="4" w:space="0"/>
              <w:bottom w:val="single" w:color="000000" w:sz="4" w:space="0"/>
              <w:right w:val="single" w:color="000000" w:sz="4" w:space="0"/>
            </w:tcBorders>
            <w:vAlign w:val="center"/>
          </w:tcPr>
          <w:p w14:paraId="753DBCC7">
            <w:pPr>
              <w:widowControl/>
              <w:jc w:val="center"/>
              <w:rPr>
                <w:rFonts w:eastAsia="仿宋_GB2312"/>
                <w:color w:val="000000"/>
                <w:kern w:val="0"/>
                <w:sz w:val="24"/>
              </w:rPr>
            </w:pPr>
            <w:r>
              <w:rPr>
                <w:rFonts w:eastAsia="仿宋_GB2312"/>
                <w:color w:val="000000"/>
                <w:kern w:val="0"/>
                <w:sz w:val="24"/>
              </w:rPr>
              <w:t>氮氧化物累计降低率（%）</w:t>
            </w:r>
          </w:p>
        </w:tc>
        <w:tc>
          <w:tcPr>
            <w:tcW w:w="8194" w:type="dxa"/>
            <w:gridSpan w:val="8"/>
            <w:vMerge w:val="continue"/>
            <w:tcBorders>
              <w:top w:val="single" w:color="000000" w:sz="4" w:space="0"/>
              <w:left w:val="single" w:color="000000" w:sz="4" w:space="0"/>
              <w:bottom w:val="single" w:color="000000" w:sz="4" w:space="0"/>
              <w:right w:val="single" w:color="000000" w:sz="4" w:space="0"/>
            </w:tcBorders>
            <w:vAlign w:val="center"/>
          </w:tcPr>
          <w:p w14:paraId="1F247B23">
            <w:pPr>
              <w:widowControl/>
              <w:jc w:val="left"/>
              <w:rPr>
                <w:rFonts w:eastAsia="仿宋_GB2312"/>
                <w:color w:val="000000"/>
                <w:kern w:val="0"/>
                <w:sz w:val="24"/>
              </w:rPr>
            </w:pPr>
          </w:p>
        </w:tc>
        <w:tc>
          <w:tcPr>
            <w:tcW w:w="1094" w:type="dxa"/>
            <w:tcBorders>
              <w:top w:val="single" w:color="000000" w:sz="4" w:space="0"/>
              <w:left w:val="single" w:color="000000" w:sz="4" w:space="0"/>
              <w:bottom w:val="single" w:color="000000" w:sz="4" w:space="0"/>
              <w:right w:val="single" w:color="000000" w:sz="4" w:space="0"/>
            </w:tcBorders>
            <w:vAlign w:val="center"/>
          </w:tcPr>
          <w:p w14:paraId="2285CC16">
            <w:pPr>
              <w:widowControl/>
              <w:jc w:val="center"/>
              <w:rPr>
                <w:rFonts w:eastAsia="仿宋_GB2312"/>
                <w:color w:val="000000"/>
                <w:kern w:val="0"/>
                <w:sz w:val="24"/>
              </w:rPr>
            </w:pPr>
            <w:r>
              <w:rPr>
                <w:rFonts w:eastAsia="仿宋_GB2312"/>
                <w:color w:val="000000"/>
                <w:kern w:val="0"/>
                <w:sz w:val="24"/>
              </w:rPr>
              <w:t>—</w:t>
            </w:r>
          </w:p>
        </w:tc>
        <w:tc>
          <w:tcPr>
            <w:tcW w:w="1271" w:type="dxa"/>
            <w:tcBorders>
              <w:top w:val="single" w:color="000000" w:sz="4" w:space="0"/>
              <w:left w:val="single" w:color="000000" w:sz="4" w:space="0"/>
              <w:bottom w:val="single" w:color="000000" w:sz="4" w:space="0"/>
              <w:right w:val="single" w:color="000000" w:sz="4" w:space="0"/>
            </w:tcBorders>
            <w:vAlign w:val="center"/>
          </w:tcPr>
          <w:p w14:paraId="14961521">
            <w:pPr>
              <w:widowControl/>
              <w:jc w:val="center"/>
              <w:rPr>
                <w:rFonts w:eastAsia="仿宋_GB2312"/>
                <w:color w:val="000000"/>
                <w:kern w:val="0"/>
                <w:sz w:val="24"/>
              </w:rPr>
            </w:pPr>
            <w:r>
              <w:rPr>
                <w:rFonts w:eastAsia="仿宋_GB2312"/>
                <w:color w:val="000000"/>
                <w:kern w:val="0"/>
                <w:sz w:val="24"/>
              </w:rPr>
              <w:t>约束性</w:t>
            </w:r>
          </w:p>
        </w:tc>
        <w:tc>
          <w:tcPr>
            <w:tcW w:w="1553" w:type="dxa"/>
            <w:vMerge w:val="continue"/>
            <w:tcBorders>
              <w:top w:val="single" w:color="000000" w:sz="4" w:space="0"/>
              <w:left w:val="single" w:color="000000" w:sz="4" w:space="0"/>
              <w:bottom w:val="single" w:color="000000" w:sz="4" w:space="0"/>
              <w:right w:val="single" w:color="000000" w:sz="4" w:space="0"/>
            </w:tcBorders>
            <w:vAlign w:val="center"/>
          </w:tcPr>
          <w:p w14:paraId="5B3410EA">
            <w:pPr>
              <w:widowControl/>
              <w:jc w:val="left"/>
              <w:rPr>
                <w:rFonts w:eastAsia="仿宋_GB2312"/>
                <w:color w:val="000000"/>
                <w:kern w:val="0"/>
                <w:sz w:val="24"/>
              </w:rPr>
            </w:pPr>
          </w:p>
        </w:tc>
      </w:tr>
      <w:tr w14:paraId="0AF3F87A">
        <w:tblPrEx>
          <w:tblCellMar>
            <w:top w:w="15" w:type="dxa"/>
            <w:left w:w="15" w:type="dxa"/>
            <w:bottom w:w="15" w:type="dxa"/>
            <w:right w:w="15" w:type="dxa"/>
          </w:tblCellMar>
        </w:tblPrEx>
        <w:trPr>
          <w:trHeight w:val="340" w:hRule="atLeast"/>
          <w:jc w:val="center"/>
        </w:trPr>
        <w:tc>
          <w:tcPr>
            <w:tcW w:w="604" w:type="dxa"/>
            <w:vMerge w:val="restart"/>
            <w:tcBorders>
              <w:top w:val="single" w:color="000000" w:sz="4" w:space="0"/>
              <w:left w:val="single" w:color="000000" w:sz="4" w:space="0"/>
              <w:bottom w:val="single" w:color="000000" w:sz="4" w:space="0"/>
              <w:right w:val="single" w:color="000000" w:sz="4" w:space="0"/>
            </w:tcBorders>
            <w:vAlign w:val="center"/>
          </w:tcPr>
          <w:p w14:paraId="2EE2A08E">
            <w:pPr>
              <w:widowControl/>
              <w:jc w:val="center"/>
              <w:rPr>
                <w:rFonts w:eastAsia="仿宋_GB2312"/>
                <w:color w:val="000000"/>
                <w:kern w:val="0"/>
                <w:sz w:val="24"/>
              </w:rPr>
            </w:pPr>
            <w:r>
              <w:rPr>
                <w:rFonts w:eastAsia="仿宋_GB2312"/>
                <w:color w:val="000000"/>
                <w:kern w:val="0"/>
                <w:sz w:val="24"/>
              </w:rPr>
              <w:t>27</w:t>
            </w:r>
          </w:p>
        </w:tc>
        <w:tc>
          <w:tcPr>
            <w:tcW w:w="632" w:type="dxa"/>
            <w:vMerge w:val="restart"/>
            <w:tcBorders>
              <w:top w:val="single" w:color="000000" w:sz="4" w:space="0"/>
              <w:left w:val="single" w:color="000000" w:sz="4" w:space="0"/>
              <w:right w:val="single" w:color="000000" w:sz="4" w:space="0"/>
            </w:tcBorders>
            <w:vAlign w:val="center"/>
          </w:tcPr>
          <w:p w14:paraId="7964BFA8">
            <w:pPr>
              <w:widowControl/>
              <w:jc w:val="center"/>
              <w:rPr>
                <w:rFonts w:eastAsia="仿宋_GB2312"/>
                <w:color w:val="000000"/>
                <w:kern w:val="0"/>
                <w:sz w:val="24"/>
              </w:rPr>
            </w:pPr>
            <w:r>
              <w:rPr>
                <w:rFonts w:eastAsia="仿宋_GB2312"/>
                <w:color w:val="000000"/>
                <w:kern w:val="0"/>
                <w:sz w:val="24"/>
              </w:rPr>
              <w:t>绿色</w:t>
            </w:r>
          </w:p>
          <w:p w14:paraId="46732241">
            <w:pPr>
              <w:widowControl/>
              <w:jc w:val="center"/>
              <w:rPr>
                <w:rFonts w:eastAsia="仿宋_GB2312"/>
                <w:color w:val="000000"/>
                <w:kern w:val="0"/>
                <w:sz w:val="24"/>
              </w:rPr>
            </w:pPr>
            <w:r>
              <w:rPr>
                <w:rFonts w:eastAsia="仿宋_GB2312"/>
                <w:color w:val="000000"/>
                <w:kern w:val="0"/>
                <w:sz w:val="24"/>
              </w:rPr>
              <w:t>生态</w:t>
            </w:r>
          </w:p>
          <w:p w14:paraId="450F77B0">
            <w:pPr>
              <w:widowControl/>
              <w:jc w:val="left"/>
              <w:rPr>
                <w:rFonts w:eastAsia="仿宋_GB2312"/>
                <w:color w:val="000000"/>
                <w:kern w:val="0"/>
                <w:sz w:val="24"/>
              </w:rPr>
            </w:pPr>
            <w:r>
              <w:rPr>
                <w:rFonts w:eastAsia="仿宋_GB2312"/>
                <w:color w:val="000000"/>
                <w:kern w:val="0"/>
                <w:sz w:val="24"/>
              </w:rPr>
              <w:t>指标</w:t>
            </w:r>
          </w:p>
        </w:tc>
        <w:tc>
          <w:tcPr>
            <w:tcW w:w="548" w:type="dxa"/>
            <w:vMerge w:val="restart"/>
            <w:tcBorders>
              <w:top w:val="single" w:color="000000" w:sz="4" w:space="0"/>
              <w:left w:val="single" w:color="000000" w:sz="4" w:space="0"/>
              <w:bottom w:val="single" w:color="000000" w:sz="4" w:space="0"/>
              <w:right w:val="single" w:color="000000" w:sz="4" w:space="0"/>
            </w:tcBorders>
            <w:vAlign w:val="center"/>
          </w:tcPr>
          <w:p w14:paraId="6CB4412F">
            <w:pPr>
              <w:widowControl/>
              <w:jc w:val="center"/>
              <w:rPr>
                <w:rFonts w:eastAsia="仿宋_GB2312"/>
                <w:color w:val="000000"/>
                <w:kern w:val="0"/>
                <w:sz w:val="24"/>
              </w:rPr>
            </w:pPr>
            <w:r>
              <w:rPr>
                <w:rFonts w:eastAsia="仿宋_GB2312"/>
                <w:color w:val="000000"/>
                <w:kern w:val="0"/>
                <w:sz w:val="24"/>
              </w:rPr>
              <w:t>地表水质量</w:t>
            </w:r>
          </w:p>
        </w:tc>
        <w:tc>
          <w:tcPr>
            <w:tcW w:w="1136" w:type="dxa"/>
            <w:tcBorders>
              <w:top w:val="single" w:color="000000" w:sz="4" w:space="0"/>
              <w:left w:val="single" w:color="000000" w:sz="4" w:space="0"/>
              <w:bottom w:val="single" w:color="000000" w:sz="4" w:space="0"/>
              <w:right w:val="single" w:color="000000" w:sz="4" w:space="0"/>
            </w:tcBorders>
            <w:vAlign w:val="center"/>
          </w:tcPr>
          <w:p w14:paraId="25F419E7">
            <w:pPr>
              <w:widowControl/>
              <w:jc w:val="center"/>
              <w:rPr>
                <w:rFonts w:eastAsia="仿宋_GB2312"/>
                <w:color w:val="000000"/>
                <w:kern w:val="0"/>
                <w:sz w:val="24"/>
              </w:rPr>
            </w:pPr>
            <w:r>
              <w:rPr>
                <w:rFonts w:eastAsia="仿宋_GB2312"/>
                <w:color w:val="000000"/>
                <w:kern w:val="0"/>
                <w:sz w:val="24"/>
              </w:rPr>
              <w:t>好于</w:t>
            </w:r>
            <w:r>
              <w:rPr>
                <w:rFonts w:hint="eastAsia" w:ascii="宋体" w:hAnsi="宋体" w:cs="宋体"/>
                <w:color w:val="000000"/>
                <w:kern w:val="0"/>
                <w:sz w:val="24"/>
              </w:rPr>
              <w:t>Ⅲ</w:t>
            </w:r>
            <w:r>
              <w:rPr>
                <w:rFonts w:eastAsia="仿宋_GB2312"/>
                <w:color w:val="000000"/>
                <w:kern w:val="0"/>
                <w:sz w:val="24"/>
              </w:rPr>
              <w:t>类水体比例（%）</w:t>
            </w:r>
          </w:p>
        </w:tc>
        <w:tc>
          <w:tcPr>
            <w:tcW w:w="2090" w:type="dxa"/>
            <w:gridSpan w:val="2"/>
            <w:tcBorders>
              <w:top w:val="single" w:color="000000" w:sz="4" w:space="0"/>
              <w:left w:val="single" w:color="000000" w:sz="4" w:space="0"/>
              <w:bottom w:val="single" w:color="000000" w:sz="4" w:space="0"/>
            </w:tcBorders>
            <w:vAlign w:val="center"/>
          </w:tcPr>
          <w:p w14:paraId="19B7A84B">
            <w:pPr>
              <w:widowControl/>
              <w:jc w:val="center"/>
              <w:rPr>
                <w:rFonts w:eastAsia="仿宋_GB2312"/>
                <w:color w:val="000000"/>
                <w:kern w:val="0"/>
                <w:sz w:val="24"/>
              </w:rPr>
            </w:pPr>
            <w:r>
              <w:rPr>
                <w:rFonts w:eastAsia="仿宋_GB2312"/>
                <w:color w:val="000000"/>
                <w:kern w:val="0"/>
                <w:sz w:val="24"/>
              </w:rPr>
              <w:t>15.4</w:t>
            </w:r>
          </w:p>
        </w:tc>
        <w:tc>
          <w:tcPr>
            <w:tcW w:w="801" w:type="dxa"/>
            <w:tcBorders>
              <w:top w:val="single" w:color="000000" w:sz="4" w:space="0"/>
              <w:left w:val="single" w:color="000000" w:sz="4" w:space="0"/>
              <w:bottom w:val="single" w:color="000000" w:sz="4" w:space="0"/>
              <w:right w:val="single" w:color="000000" w:sz="4" w:space="0"/>
            </w:tcBorders>
            <w:vAlign w:val="center"/>
          </w:tcPr>
          <w:p w14:paraId="1B62A659">
            <w:pPr>
              <w:widowControl/>
              <w:jc w:val="left"/>
              <w:rPr>
                <w:rFonts w:eastAsia="仿宋_GB2312"/>
                <w:color w:val="000000"/>
                <w:kern w:val="0"/>
                <w:sz w:val="24"/>
              </w:rPr>
            </w:pPr>
            <w:r>
              <w:rPr>
                <w:rFonts w:eastAsia="仿宋_GB2312"/>
                <w:color w:val="000000"/>
                <w:kern w:val="0"/>
                <w:sz w:val="24"/>
              </w:rPr>
              <w:t>15.4</w:t>
            </w:r>
          </w:p>
        </w:tc>
        <w:tc>
          <w:tcPr>
            <w:tcW w:w="1005" w:type="dxa"/>
            <w:tcBorders>
              <w:top w:val="single" w:color="000000" w:sz="4" w:space="0"/>
              <w:left w:val="single" w:color="000000" w:sz="4" w:space="0"/>
              <w:bottom w:val="single" w:color="000000" w:sz="4" w:space="0"/>
              <w:right w:val="single" w:color="000000" w:sz="4" w:space="0"/>
            </w:tcBorders>
            <w:vAlign w:val="center"/>
          </w:tcPr>
          <w:p w14:paraId="1B5828B6">
            <w:pPr>
              <w:widowControl/>
              <w:jc w:val="center"/>
              <w:rPr>
                <w:rFonts w:eastAsia="仿宋_GB2312"/>
                <w:color w:val="000000"/>
                <w:kern w:val="0"/>
                <w:sz w:val="24"/>
              </w:rPr>
            </w:pPr>
            <w:r>
              <w:rPr>
                <w:rFonts w:eastAsia="仿宋_GB2312"/>
                <w:color w:val="000000"/>
                <w:kern w:val="0"/>
                <w:sz w:val="24"/>
              </w:rPr>
              <w:t>35.7</w:t>
            </w:r>
          </w:p>
        </w:tc>
        <w:tc>
          <w:tcPr>
            <w:tcW w:w="930" w:type="dxa"/>
            <w:tcBorders>
              <w:top w:val="single" w:color="000000" w:sz="4" w:space="0"/>
              <w:left w:val="single" w:color="000000" w:sz="4" w:space="0"/>
              <w:bottom w:val="single" w:color="000000" w:sz="4" w:space="0"/>
              <w:right w:val="single" w:color="000000" w:sz="4" w:space="0"/>
            </w:tcBorders>
            <w:vAlign w:val="center"/>
          </w:tcPr>
          <w:p w14:paraId="07EE9116">
            <w:pPr>
              <w:widowControl/>
              <w:jc w:val="center"/>
              <w:rPr>
                <w:rFonts w:eastAsia="仿宋_GB2312"/>
                <w:color w:val="000000"/>
                <w:kern w:val="0"/>
                <w:sz w:val="24"/>
              </w:rPr>
            </w:pPr>
            <w:r>
              <w:rPr>
                <w:rFonts w:eastAsia="仿宋_GB2312"/>
                <w:color w:val="000000"/>
                <w:kern w:val="0"/>
                <w:sz w:val="24"/>
              </w:rPr>
              <w:t>50</w:t>
            </w:r>
          </w:p>
        </w:tc>
        <w:tc>
          <w:tcPr>
            <w:tcW w:w="907" w:type="dxa"/>
            <w:tcBorders>
              <w:top w:val="single" w:color="000000" w:sz="4" w:space="0"/>
              <w:left w:val="single" w:color="000000" w:sz="4" w:space="0"/>
              <w:bottom w:val="single" w:color="000000" w:sz="4" w:space="0"/>
              <w:right w:val="single" w:color="000000" w:sz="4" w:space="0"/>
            </w:tcBorders>
            <w:vAlign w:val="center"/>
          </w:tcPr>
          <w:p w14:paraId="08E76438">
            <w:pPr>
              <w:widowControl/>
              <w:jc w:val="center"/>
              <w:rPr>
                <w:rFonts w:eastAsia="仿宋_GB2312"/>
                <w:color w:val="000000"/>
                <w:kern w:val="0"/>
                <w:sz w:val="24"/>
              </w:rPr>
            </w:pPr>
            <w:r>
              <w:rPr>
                <w:rFonts w:eastAsia="仿宋_GB2312"/>
                <w:color w:val="000000"/>
                <w:kern w:val="0"/>
                <w:sz w:val="24"/>
              </w:rPr>
              <w:t>57.1</w:t>
            </w:r>
          </w:p>
        </w:tc>
        <w:tc>
          <w:tcPr>
            <w:tcW w:w="1163" w:type="dxa"/>
            <w:tcBorders>
              <w:top w:val="single" w:color="000000" w:sz="4" w:space="0"/>
              <w:left w:val="single" w:color="000000" w:sz="4" w:space="0"/>
              <w:bottom w:val="single" w:color="000000" w:sz="4" w:space="0"/>
              <w:right w:val="single" w:color="000000" w:sz="4" w:space="0"/>
            </w:tcBorders>
            <w:vAlign w:val="center"/>
          </w:tcPr>
          <w:p w14:paraId="5F218B18">
            <w:pPr>
              <w:widowControl/>
              <w:jc w:val="center"/>
              <w:rPr>
                <w:rFonts w:eastAsia="仿宋_GB2312"/>
                <w:color w:val="000000"/>
                <w:kern w:val="0"/>
                <w:sz w:val="24"/>
              </w:rPr>
            </w:pPr>
            <w:r>
              <w:rPr>
                <w:rFonts w:eastAsia="仿宋_GB2312"/>
                <w:color w:val="000000"/>
                <w:kern w:val="0"/>
                <w:sz w:val="24"/>
              </w:rPr>
              <w:t>69.23</w:t>
            </w:r>
          </w:p>
        </w:tc>
        <w:tc>
          <w:tcPr>
            <w:tcW w:w="1298" w:type="dxa"/>
            <w:tcBorders>
              <w:top w:val="single" w:color="000000" w:sz="4" w:space="0"/>
              <w:left w:val="single" w:color="000000" w:sz="4" w:space="0"/>
              <w:bottom w:val="single" w:color="000000" w:sz="4" w:space="0"/>
              <w:right w:val="single" w:color="000000" w:sz="4" w:space="0"/>
            </w:tcBorders>
            <w:vAlign w:val="center"/>
          </w:tcPr>
          <w:p w14:paraId="44A491DD">
            <w:pPr>
              <w:widowControl/>
              <w:jc w:val="center"/>
              <w:rPr>
                <w:rFonts w:eastAsia="仿宋_GB2312"/>
                <w:color w:val="000000"/>
                <w:kern w:val="0"/>
                <w:sz w:val="24"/>
              </w:rPr>
            </w:pPr>
            <w:r>
              <w:rPr>
                <w:rFonts w:eastAsia="仿宋_GB2312"/>
                <w:color w:val="000000"/>
                <w:kern w:val="0"/>
                <w:sz w:val="24"/>
              </w:rPr>
              <w:t>—</w:t>
            </w:r>
          </w:p>
        </w:tc>
        <w:tc>
          <w:tcPr>
            <w:tcW w:w="1094" w:type="dxa"/>
            <w:tcBorders>
              <w:top w:val="single" w:color="000000" w:sz="4" w:space="0"/>
              <w:left w:val="single" w:color="000000" w:sz="4" w:space="0"/>
              <w:bottom w:val="single" w:color="000000" w:sz="4" w:space="0"/>
              <w:right w:val="single" w:color="000000" w:sz="4" w:space="0"/>
            </w:tcBorders>
            <w:vAlign w:val="center"/>
          </w:tcPr>
          <w:p w14:paraId="213DF3E6">
            <w:pPr>
              <w:widowControl/>
              <w:jc w:val="center"/>
              <w:rPr>
                <w:rFonts w:eastAsia="仿宋_GB2312"/>
                <w:color w:val="000000"/>
                <w:kern w:val="0"/>
                <w:sz w:val="24"/>
              </w:rPr>
            </w:pPr>
            <w:r>
              <w:rPr>
                <w:rFonts w:eastAsia="仿宋_GB2312"/>
                <w:color w:val="000000"/>
                <w:kern w:val="0"/>
                <w:sz w:val="24"/>
              </w:rPr>
              <w:t>70</w:t>
            </w:r>
          </w:p>
        </w:tc>
        <w:tc>
          <w:tcPr>
            <w:tcW w:w="1271" w:type="dxa"/>
            <w:tcBorders>
              <w:top w:val="single" w:color="000000" w:sz="4" w:space="0"/>
              <w:left w:val="single" w:color="000000" w:sz="4" w:space="0"/>
              <w:bottom w:val="single" w:color="000000" w:sz="4" w:space="0"/>
              <w:right w:val="single" w:color="000000" w:sz="4" w:space="0"/>
            </w:tcBorders>
            <w:vAlign w:val="center"/>
          </w:tcPr>
          <w:p w14:paraId="5E84AD63">
            <w:pPr>
              <w:widowControl/>
              <w:jc w:val="center"/>
              <w:rPr>
                <w:rFonts w:eastAsia="仿宋_GB2312"/>
                <w:color w:val="000000"/>
                <w:kern w:val="0"/>
                <w:sz w:val="24"/>
              </w:rPr>
            </w:pPr>
            <w:r>
              <w:rPr>
                <w:rFonts w:eastAsia="仿宋_GB2312"/>
                <w:color w:val="000000"/>
                <w:kern w:val="0"/>
                <w:sz w:val="24"/>
              </w:rPr>
              <w:t>约束性</w:t>
            </w:r>
          </w:p>
        </w:tc>
        <w:tc>
          <w:tcPr>
            <w:tcW w:w="1553" w:type="dxa"/>
            <w:tcBorders>
              <w:top w:val="single" w:color="000000" w:sz="4" w:space="0"/>
              <w:left w:val="single" w:color="000000" w:sz="4" w:space="0"/>
              <w:bottom w:val="single" w:color="000000" w:sz="4" w:space="0"/>
              <w:right w:val="single" w:color="000000" w:sz="4" w:space="0"/>
            </w:tcBorders>
            <w:vAlign w:val="center"/>
          </w:tcPr>
          <w:p w14:paraId="27C36A43">
            <w:pPr>
              <w:widowControl/>
              <w:jc w:val="center"/>
              <w:rPr>
                <w:rFonts w:eastAsia="仿宋_GB2312"/>
                <w:color w:val="000000"/>
                <w:kern w:val="0"/>
                <w:sz w:val="24"/>
              </w:rPr>
            </w:pPr>
            <w:r>
              <w:rPr>
                <w:rFonts w:eastAsia="仿宋_GB2312"/>
                <w:color w:val="000000"/>
                <w:kern w:val="0"/>
                <w:sz w:val="24"/>
              </w:rPr>
              <w:t>基本完成</w:t>
            </w:r>
          </w:p>
        </w:tc>
      </w:tr>
      <w:tr w14:paraId="0DFF2586">
        <w:tblPrEx>
          <w:tblCellMar>
            <w:top w:w="15" w:type="dxa"/>
            <w:left w:w="15" w:type="dxa"/>
            <w:bottom w:w="15" w:type="dxa"/>
            <w:right w:w="15" w:type="dxa"/>
          </w:tblCellMar>
        </w:tblPrEx>
        <w:trPr>
          <w:trHeight w:val="340" w:hRule="atLeast"/>
          <w:jc w:val="center"/>
        </w:trPr>
        <w:tc>
          <w:tcPr>
            <w:tcW w:w="604" w:type="dxa"/>
            <w:vMerge w:val="continue"/>
            <w:tcBorders>
              <w:top w:val="single" w:color="000000" w:sz="4" w:space="0"/>
              <w:left w:val="single" w:color="000000" w:sz="4" w:space="0"/>
              <w:bottom w:val="single" w:color="000000" w:sz="4" w:space="0"/>
              <w:right w:val="single" w:color="000000" w:sz="4" w:space="0"/>
            </w:tcBorders>
            <w:vAlign w:val="center"/>
          </w:tcPr>
          <w:p w14:paraId="27708790">
            <w:pPr>
              <w:widowControl/>
              <w:jc w:val="left"/>
              <w:rPr>
                <w:rFonts w:eastAsia="仿宋_GB2312"/>
                <w:color w:val="000000"/>
                <w:kern w:val="0"/>
                <w:sz w:val="24"/>
              </w:rPr>
            </w:pPr>
          </w:p>
        </w:tc>
        <w:tc>
          <w:tcPr>
            <w:tcW w:w="632" w:type="dxa"/>
            <w:vMerge w:val="continue"/>
            <w:tcBorders>
              <w:left w:val="single" w:color="000000" w:sz="4" w:space="0"/>
              <w:bottom w:val="single" w:color="000000" w:sz="4" w:space="0"/>
              <w:right w:val="single" w:color="000000" w:sz="4" w:space="0"/>
            </w:tcBorders>
            <w:vAlign w:val="center"/>
          </w:tcPr>
          <w:p w14:paraId="5C4C5B2B">
            <w:pPr>
              <w:widowControl/>
              <w:jc w:val="left"/>
              <w:rPr>
                <w:rFonts w:eastAsia="仿宋_GB2312"/>
                <w:color w:val="000000"/>
                <w:kern w:val="0"/>
                <w:sz w:val="24"/>
              </w:rPr>
            </w:pPr>
          </w:p>
        </w:tc>
        <w:tc>
          <w:tcPr>
            <w:tcW w:w="548" w:type="dxa"/>
            <w:vMerge w:val="continue"/>
            <w:tcBorders>
              <w:top w:val="single" w:color="000000" w:sz="4" w:space="0"/>
              <w:left w:val="single" w:color="000000" w:sz="4" w:space="0"/>
              <w:bottom w:val="single" w:color="000000" w:sz="4" w:space="0"/>
              <w:right w:val="single" w:color="000000" w:sz="4" w:space="0"/>
            </w:tcBorders>
            <w:vAlign w:val="center"/>
          </w:tcPr>
          <w:p w14:paraId="70C25276">
            <w:pPr>
              <w:widowControl/>
              <w:jc w:val="left"/>
              <w:rPr>
                <w:rFonts w:eastAsia="仿宋_GB2312"/>
                <w:color w:val="000000"/>
                <w:kern w:val="0"/>
                <w:sz w:val="24"/>
              </w:rPr>
            </w:pPr>
          </w:p>
        </w:tc>
        <w:tc>
          <w:tcPr>
            <w:tcW w:w="1136" w:type="dxa"/>
            <w:tcBorders>
              <w:top w:val="single" w:color="000000" w:sz="4" w:space="0"/>
              <w:left w:val="single" w:color="000000" w:sz="4" w:space="0"/>
              <w:bottom w:val="single" w:color="000000" w:sz="4" w:space="0"/>
              <w:right w:val="single" w:color="000000" w:sz="4" w:space="0"/>
            </w:tcBorders>
            <w:vAlign w:val="center"/>
          </w:tcPr>
          <w:p w14:paraId="4C5DEB6F">
            <w:pPr>
              <w:widowControl/>
              <w:jc w:val="center"/>
              <w:rPr>
                <w:rFonts w:eastAsia="仿宋_GB2312"/>
                <w:color w:val="000000"/>
                <w:kern w:val="0"/>
                <w:sz w:val="24"/>
              </w:rPr>
            </w:pPr>
            <w:r>
              <w:rPr>
                <w:rFonts w:eastAsia="仿宋_GB2312"/>
                <w:color w:val="000000"/>
                <w:kern w:val="0"/>
                <w:sz w:val="24"/>
              </w:rPr>
              <w:t>劣</w:t>
            </w:r>
            <w:r>
              <w:rPr>
                <w:rFonts w:hint="eastAsia" w:ascii="宋体" w:hAnsi="宋体" w:cs="宋体"/>
                <w:color w:val="000000"/>
                <w:kern w:val="0"/>
                <w:sz w:val="24"/>
              </w:rPr>
              <w:t>Ⅴ</w:t>
            </w:r>
            <w:r>
              <w:rPr>
                <w:rFonts w:eastAsia="仿宋_GB2312"/>
                <w:color w:val="000000"/>
                <w:kern w:val="0"/>
                <w:sz w:val="24"/>
              </w:rPr>
              <w:t>类水体比例（%）</w:t>
            </w:r>
          </w:p>
        </w:tc>
        <w:tc>
          <w:tcPr>
            <w:tcW w:w="2090" w:type="dxa"/>
            <w:gridSpan w:val="2"/>
            <w:tcBorders>
              <w:top w:val="single" w:color="000000" w:sz="4" w:space="0"/>
              <w:left w:val="single" w:color="000000" w:sz="4" w:space="0"/>
              <w:bottom w:val="single" w:color="000000" w:sz="4" w:space="0"/>
            </w:tcBorders>
            <w:vAlign w:val="center"/>
          </w:tcPr>
          <w:p w14:paraId="7076C64F">
            <w:pPr>
              <w:widowControl/>
              <w:jc w:val="center"/>
              <w:rPr>
                <w:rFonts w:eastAsia="仿宋_GB2312"/>
                <w:color w:val="000000"/>
                <w:kern w:val="0"/>
                <w:sz w:val="24"/>
              </w:rPr>
            </w:pPr>
            <w:r>
              <w:rPr>
                <w:rFonts w:eastAsia="仿宋_GB2312"/>
                <w:color w:val="000000"/>
                <w:kern w:val="0"/>
                <w:sz w:val="24"/>
              </w:rPr>
              <w:t>46.2</w:t>
            </w:r>
          </w:p>
        </w:tc>
        <w:tc>
          <w:tcPr>
            <w:tcW w:w="801" w:type="dxa"/>
            <w:tcBorders>
              <w:top w:val="single" w:color="000000" w:sz="4" w:space="0"/>
              <w:left w:val="single" w:color="000000" w:sz="4" w:space="0"/>
              <w:bottom w:val="single" w:color="000000" w:sz="4" w:space="0"/>
              <w:right w:val="single" w:color="000000" w:sz="4" w:space="0"/>
            </w:tcBorders>
            <w:vAlign w:val="center"/>
          </w:tcPr>
          <w:p w14:paraId="7F818EB4">
            <w:pPr>
              <w:widowControl/>
              <w:jc w:val="left"/>
              <w:rPr>
                <w:rFonts w:eastAsia="仿宋_GB2312"/>
                <w:color w:val="000000"/>
                <w:kern w:val="0"/>
                <w:sz w:val="24"/>
              </w:rPr>
            </w:pPr>
            <w:r>
              <w:rPr>
                <w:rFonts w:eastAsia="仿宋_GB2312"/>
                <w:color w:val="000000"/>
                <w:kern w:val="0"/>
                <w:sz w:val="24"/>
              </w:rPr>
              <w:t>30.8</w:t>
            </w:r>
          </w:p>
        </w:tc>
        <w:tc>
          <w:tcPr>
            <w:tcW w:w="1005" w:type="dxa"/>
            <w:tcBorders>
              <w:top w:val="single" w:color="000000" w:sz="4" w:space="0"/>
              <w:left w:val="single" w:color="000000" w:sz="4" w:space="0"/>
              <w:bottom w:val="single" w:color="000000" w:sz="4" w:space="0"/>
              <w:right w:val="single" w:color="000000" w:sz="4" w:space="0"/>
            </w:tcBorders>
            <w:vAlign w:val="center"/>
          </w:tcPr>
          <w:p w14:paraId="6BB24FE1">
            <w:pPr>
              <w:widowControl/>
              <w:jc w:val="center"/>
              <w:rPr>
                <w:rFonts w:eastAsia="仿宋_GB2312"/>
                <w:color w:val="000000"/>
                <w:kern w:val="0"/>
                <w:sz w:val="24"/>
              </w:rPr>
            </w:pPr>
            <w:r>
              <w:rPr>
                <w:rFonts w:eastAsia="仿宋_GB2312"/>
                <w:color w:val="000000"/>
                <w:kern w:val="0"/>
                <w:sz w:val="24"/>
              </w:rPr>
              <w:t>14.3</w:t>
            </w:r>
          </w:p>
        </w:tc>
        <w:tc>
          <w:tcPr>
            <w:tcW w:w="930" w:type="dxa"/>
            <w:tcBorders>
              <w:top w:val="single" w:color="000000" w:sz="4" w:space="0"/>
              <w:left w:val="single" w:color="000000" w:sz="4" w:space="0"/>
              <w:bottom w:val="single" w:color="000000" w:sz="4" w:space="0"/>
              <w:right w:val="single" w:color="000000" w:sz="4" w:space="0"/>
            </w:tcBorders>
            <w:vAlign w:val="center"/>
          </w:tcPr>
          <w:p w14:paraId="6F4A7A94">
            <w:pPr>
              <w:widowControl/>
              <w:jc w:val="center"/>
              <w:rPr>
                <w:rFonts w:eastAsia="仿宋_GB2312"/>
                <w:color w:val="000000"/>
                <w:kern w:val="0"/>
                <w:sz w:val="24"/>
              </w:rPr>
            </w:pPr>
            <w:r>
              <w:rPr>
                <w:rFonts w:eastAsia="仿宋_GB2312"/>
                <w:color w:val="000000"/>
                <w:kern w:val="0"/>
                <w:sz w:val="24"/>
              </w:rPr>
              <w:t>14.3</w:t>
            </w:r>
          </w:p>
        </w:tc>
        <w:tc>
          <w:tcPr>
            <w:tcW w:w="907" w:type="dxa"/>
            <w:tcBorders>
              <w:top w:val="single" w:color="000000" w:sz="4" w:space="0"/>
              <w:left w:val="single" w:color="000000" w:sz="4" w:space="0"/>
              <w:bottom w:val="single" w:color="000000" w:sz="4" w:space="0"/>
              <w:right w:val="single" w:color="000000" w:sz="4" w:space="0"/>
            </w:tcBorders>
            <w:vAlign w:val="center"/>
          </w:tcPr>
          <w:p w14:paraId="4CD0F42B">
            <w:pPr>
              <w:widowControl/>
              <w:jc w:val="center"/>
              <w:rPr>
                <w:rFonts w:eastAsia="仿宋_GB2312"/>
                <w:color w:val="000000"/>
                <w:kern w:val="0"/>
                <w:sz w:val="24"/>
              </w:rPr>
            </w:pPr>
            <w:r>
              <w:rPr>
                <w:rFonts w:eastAsia="仿宋_GB2312"/>
                <w:color w:val="000000"/>
                <w:kern w:val="0"/>
                <w:sz w:val="24"/>
              </w:rPr>
              <w:t>0</w:t>
            </w:r>
          </w:p>
        </w:tc>
        <w:tc>
          <w:tcPr>
            <w:tcW w:w="1163" w:type="dxa"/>
            <w:tcBorders>
              <w:top w:val="single" w:color="000000" w:sz="4" w:space="0"/>
              <w:left w:val="single" w:color="000000" w:sz="4" w:space="0"/>
              <w:bottom w:val="single" w:color="000000" w:sz="4" w:space="0"/>
              <w:right w:val="single" w:color="000000" w:sz="4" w:space="0"/>
            </w:tcBorders>
            <w:vAlign w:val="center"/>
          </w:tcPr>
          <w:p w14:paraId="21385CEC">
            <w:pPr>
              <w:widowControl/>
              <w:jc w:val="center"/>
              <w:rPr>
                <w:rFonts w:eastAsia="仿宋_GB2312"/>
                <w:color w:val="000000"/>
                <w:kern w:val="0"/>
                <w:sz w:val="24"/>
              </w:rPr>
            </w:pPr>
            <w:r>
              <w:rPr>
                <w:rFonts w:eastAsia="仿宋_GB2312"/>
                <w:color w:val="000000"/>
                <w:kern w:val="0"/>
                <w:sz w:val="24"/>
              </w:rPr>
              <w:t>0</w:t>
            </w:r>
          </w:p>
        </w:tc>
        <w:tc>
          <w:tcPr>
            <w:tcW w:w="1298" w:type="dxa"/>
            <w:tcBorders>
              <w:top w:val="single" w:color="000000" w:sz="4" w:space="0"/>
              <w:left w:val="single" w:color="000000" w:sz="4" w:space="0"/>
              <w:bottom w:val="single" w:color="000000" w:sz="4" w:space="0"/>
              <w:right w:val="single" w:color="000000" w:sz="4" w:space="0"/>
            </w:tcBorders>
            <w:vAlign w:val="center"/>
          </w:tcPr>
          <w:p w14:paraId="57E8813B">
            <w:pPr>
              <w:widowControl/>
              <w:jc w:val="center"/>
              <w:rPr>
                <w:rFonts w:eastAsia="仿宋_GB2312"/>
                <w:color w:val="000000"/>
                <w:kern w:val="0"/>
                <w:sz w:val="24"/>
              </w:rPr>
            </w:pPr>
            <w:r>
              <w:rPr>
                <w:rFonts w:eastAsia="仿宋_GB2312"/>
                <w:color w:val="000000"/>
                <w:kern w:val="0"/>
                <w:sz w:val="24"/>
              </w:rPr>
              <w:t>—</w:t>
            </w:r>
          </w:p>
        </w:tc>
        <w:tc>
          <w:tcPr>
            <w:tcW w:w="1094" w:type="dxa"/>
            <w:tcBorders>
              <w:top w:val="single" w:color="000000" w:sz="4" w:space="0"/>
              <w:left w:val="single" w:color="000000" w:sz="4" w:space="0"/>
              <w:bottom w:val="single" w:color="000000" w:sz="4" w:space="0"/>
              <w:right w:val="single" w:color="000000" w:sz="4" w:space="0"/>
            </w:tcBorders>
            <w:vAlign w:val="center"/>
          </w:tcPr>
          <w:p w14:paraId="6F32DBE4">
            <w:pPr>
              <w:widowControl/>
              <w:jc w:val="center"/>
              <w:rPr>
                <w:rFonts w:eastAsia="仿宋_GB2312"/>
                <w:color w:val="000000"/>
                <w:kern w:val="0"/>
                <w:sz w:val="24"/>
              </w:rPr>
            </w:pPr>
            <w:r>
              <w:rPr>
                <w:rFonts w:eastAsia="仿宋_GB2312"/>
                <w:color w:val="000000"/>
                <w:kern w:val="0"/>
                <w:sz w:val="24"/>
              </w:rPr>
              <w:t>6</w:t>
            </w:r>
          </w:p>
        </w:tc>
        <w:tc>
          <w:tcPr>
            <w:tcW w:w="1271" w:type="dxa"/>
            <w:tcBorders>
              <w:top w:val="single" w:color="000000" w:sz="4" w:space="0"/>
              <w:left w:val="single" w:color="000000" w:sz="4" w:space="0"/>
              <w:bottom w:val="single" w:color="000000" w:sz="4" w:space="0"/>
              <w:right w:val="single" w:color="000000" w:sz="4" w:space="0"/>
            </w:tcBorders>
            <w:vAlign w:val="center"/>
          </w:tcPr>
          <w:p w14:paraId="1BA6E22A">
            <w:pPr>
              <w:widowControl/>
              <w:jc w:val="center"/>
              <w:rPr>
                <w:rFonts w:eastAsia="仿宋_GB2312"/>
                <w:color w:val="000000"/>
                <w:kern w:val="0"/>
                <w:sz w:val="24"/>
              </w:rPr>
            </w:pPr>
            <w:r>
              <w:rPr>
                <w:rFonts w:eastAsia="仿宋_GB2312"/>
                <w:color w:val="000000"/>
                <w:kern w:val="0"/>
                <w:sz w:val="24"/>
              </w:rPr>
              <w:t>约束性</w:t>
            </w:r>
          </w:p>
        </w:tc>
        <w:tc>
          <w:tcPr>
            <w:tcW w:w="1553" w:type="dxa"/>
            <w:tcBorders>
              <w:top w:val="single" w:color="000000" w:sz="4" w:space="0"/>
              <w:left w:val="single" w:color="000000" w:sz="4" w:space="0"/>
              <w:bottom w:val="single" w:color="000000" w:sz="4" w:space="0"/>
              <w:right w:val="single" w:color="000000" w:sz="4" w:space="0"/>
            </w:tcBorders>
            <w:vAlign w:val="center"/>
          </w:tcPr>
          <w:p w14:paraId="7A2A78FF">
            <w:pPr>
              <w:widowControl/>
              <w:jc w:val="center"/>
              <w:rPr>
                <w:rFonts w:eastAsia="仿宋_GB2312"/>
                <w:color w:val="000000"/>
                <w:kern w:val="0"/>
                <w:sz w:val="24"/>
              </w:rPr>
            </w:pPr>
            <w:r>
              <w:rPr>
                <w:rFonts w:eastAsia="仿宋_GB2312"/>
                <w:color w:val="000000"/>
                <w:kern w:val="0"/>
                <w:sz w:val="24"/>
              </w:rPr>
              <w:t>提前完成</w:t>
            </w:r>
          </w:p>
        </w:tc>
      </w:tr>
      <w:tr w14:paraId="7A7C6C4C">
        <w:tblPrEx>
          <w:tblCellMar>
            <w:top w:w="15" w:type="dxa"/>
            <w:left w:w="15" w:type="dxa"/>
            <w:bottom w:w="15" w:type="dxa"/>
            <w:right w:w="15" w:type="dxa"/>
          </w:tblCellMar>
        </w:tblPrEx>
        <w:trPr>
          <w:trHeight w:val="340" w:hRule="atLeast"/>
          <w:jc w:val="center"/>
        </w:trPr>
        <w:tc>
          <w:tcPr>
            <w:tcW w:w="604" w:type="dxa"/>
            <w:vMerge w:val="restart"/>
            <w:tcBorders>
              <w:top w:val="single" w:color="000000" w:sz="4" w:space="0"/>
              <w:left w:val="single" w:color="000000" w:sz="4" w:space="0"/>
              <w:bottom w:val="single" w:color="000000" w:sz="4" w:space="0"/>
              <w:right w:val="single" w:color="000000" w:sz="4" w:space="0"/>
            </w:tcBorders>
            <w:vAlign w:val="center"/>
          </w:tcPr>
          <w:p w14:paraId="68AF7745">
            <w:pPr>
              <w:widowControl/>
              <w:jc w:val="center"/>
              <w:rPr>
                <w:rFonts w:eastAsia="仿宋_GB2312"/>
                <w:color w:val="000000"/>
                <w:kern w:val="0"/>
                <w:sz w:val="24"/>
              </w:rPr>
            </w:pPr>
            <w:r>
              <w:rPr>
                <w:rFonts w:eastAsia="仿宋_GB2312"/>
                <w:color w:val="000000"/>
                <w:kern w:val="0"/>
                <w:sz w:val="24"/>
              </w:rPr>
              <w:t>28</w:t>
            </w:r>
          </w:p>
        </w:tc>
        <w:tc>
          <w:tcPr>
            <w:tcW w:w="632" w:type="dxa"/>
            <w:vMerge w:val="restart"/>
            <w:tcBorders>
              <w:top w:val="single" w:color="000000" w:sz="4" w:space="0"/>
              <w:left w:val="single" w:color="000000" w:sz="4" w:space="0"/>
              <w:bottom w:val="single" w:color="000000" w:sz="4" w:space="0"/>
              <w:right w:val="single" w:color="000000" w:sz="4" w:space="0"/>
            </w:tcBorders>
            <w:vAlign w:val="center"/>
          </w:tcPr>
          <w:p w14:paraId="37304C32">
            <w:pPr>
              <w:widowControl/>
              <w:jc w:val="center"/>
              <w:rPr>
                <w:rFonts w:eastAsia="仿宋_GB2312"/>
                <w:color w:val="000000"/>
                <w:kern w:val="0"/>
                <w:sz w:val="24"/>
              </w:rPr>
            </w:pPr>
            <w:r>
              <w:rPr>
                <w:rFonts w:eastAsia="仿宋_GB2312"/>
                <w:color w:val="000000"/>
                <w:kern w:val="0"/>
                <w:sz w:val="24"/>
              </w:rPr>
              <w:t>和谐共享指标</w:t>
            </w:r>
          </w:p>
        </w:tc>
        <w:tc>
          <w:tcPr>
            <w:tcW w:w="1684" w:type="dxa"/>
            <w:gridSpan w:val="2"/>
            <w:vMerge w:val="restart"/>
            <w:tcBorders>
              <w:top w:val="single" w:color="000000" w:sz="4" w:space="0"/>
              <w:left w:val="single" w:color="000000" w:sz="4" w:space="0"/>
              <w:bottom w:val="single" w:color="000000" w:sz="4" w:space="0"/>
              <w:right w:val="single" w:color="000000" w:sz="4" w:space="0"/>
            </w:tcBorders>
            <w:vAlign w:val="center"/>
          </w:tcPr>
          <w:p w14:paraId="7FD970D3">
            <w:pPr>
              <w:widowControl/>
              <w:jc w:val="center"/>
              <w:rPr>
                <w:rFonts w:eastAsia="仿宋_GB2312"/>
                <w:color w:val="000000"/>
                <w:kern w:val="0"/>
                <w:sz w:val="24"/>
              </w:rPr>
            </w:pPr>
            <w:r>
              <w:rPr>
                <w:rFonts w:eastAsia="仿宋_GB2312"/>
                <w:color w:val="000000"/>
                <w:kern w:val="0"/>
                <w:sz w:val="24"/>
              </w:rPr>
              <w:t>养老保险参保率（%）</w:t>
            </w:r>
          </w:p>
        </w:tc>
        <w:tc>
          <w:tcPr>
            <w:tcW w:w="2090" w:type="dxa"/>
            <w:gridSpan w:val="2"/>
            <w:tcBorders>
              <w:top w:val="single" w:color="000000" w:sz="4" w:space="0"/>
              <w:left w:val="single" w:color="000000" w:sz="4" w:space="0"/>
              <w:bottom w:val="single" w:color="000000" w:sz="4" w:space="0"/>
            </w:tcBorders>
            <w:vAlign w:val="center"/>
          </w:tcPr>
          <w:p w14:paraId="2E2D4956">
            <w:pPr>
              <w:widowControl/>
              <w:jc w:val="center"/>
              <w:rPr>
                <w:rFonts w:eastAsia="仿宋_GB2312"/>
                <w:color w:val="000000"/>
                <w:kern w:val="0"/>
                <w:sz w:val="24"/>
              </w:rPr>
            </w:pPr>
            <w:r>
              <w:rPr>
                <w:rFonts w:eastAsia="仿宋_GB2312"/>
                <w:color w:val="000000"/>
                <w:kern w:val="0"/>
                <w:sz w:val="24"/>
              </w:rPr>
              <w:t>城镇职工养老保险参保率（%）</w:t>
            </w:r>
          </w:p>
        </w:tc>
        <w:tc>
          <w:tcPr>
            <w:tcW w:w="801" w:type="dxa"/>
            <w:tcBorders>
              <w:top w:val="single" w:color="000000" w:sz="4" w:space="0"/>
              <w:left w:val="single" w:color="000000" w:sz="4" w:space="0"/>
              <w:bottom w:val="single" w:color="000000" w:sz="4" w:space="0"/>
              <w:right w:val="single" w:color="000000" w:sz="4" w:space="0"/>
            </w:tcBorders>
            <w:vAlign w:val="center"/>
          </w:tcPr>
          <w:p w14:paraId="069C43BB">
            <w:pPr>
              <w:widowControl/>
              <w:jc w:val="left"/>
              <w:rPr>
                <w:rFonts w:eastAsia="仿宋_GB2312"/>
                <w:color w:val="000000"/>
                <w:kern w:val="0"/>
                <w:sz w:val="24"/>
              </w:rPr>
            </w:pPr>
            <w:r>
              <w:rPr>
                <w:rFonts w:eastAsia="仿宋_GB2312"/>
                <w:color w:val="000000"/>
                <w:kern w:val="0"/>
                <w:sz w:val="24"/>
              </w:rPr>
              <w:t>—</w:t>
            </w:r>
          </w:p>
        </w:tc>
        <w:tc>
          <w:tcPr>
            <w:tcW w:w="1005" w:type="dxa"/>
            <w:tcBorders>
              <w:top w:val="single" w:color="000000" w:sz="4" w:space="0"/>
              <w:left w:val="single" w:color="000000" w:sz="4" w:space="0"/>
              <w:bottom w:val="single" w:color="000000" w:sz="4" w:space="0"/>
              <w:right w:val="single" w:color="000000" w:sz="4" w:space="0"/>
            </w:tcBorders>
            <w:vAlign w:val="center"/>
          </w:tcPr>
          <w:p w14:paraId="40F2F0AF">
            <w:pPr>
              <w:widowControl/>
              <w:jc w:val="center"/>
              <w:rPr>
                <w:rFonts w:eastAsia="仿宋_GB2312"/>
                <w:color w:val="000000"/>
                <w:kern w:val="0"/>
                <w:sz w:val="24"/>
              </w:rPr>
            </w:pPr>
            <w:r>
              <w:rPr>
                <w:rFonts w:eastAsia="仿宋_GB2312"/>
                <w:color w:val="000000"/>
                <w:kern w:val="0"/>
                <w:sz w:val="24"/>
              </w:rPr>
              <w:t>97.2</w:t>
            </w:r>
          </w:p>
        </w:tc>
        <w:tc>
          <w:tcPr>
            <w:tcW w:w="930" w:type="dxa"/>
            <w:tcBorders>
              <w:top w:val="single" w:color="000000" w:sz="4" w:space="0"/>
              <w:left w:val="single" w:color="000000" w:sz="4" w:space="0"/>
              <w:bottom w:val="single" w:color="000000" w:sz="4" w:space="0"/>
              <w:right w:val="single" w:color="000000" w:sz="4" w:space="0"/>
            </w:tcBorders>
            <w:vAlign w:val="center"/>
          </w:tcPr>
          <w:p w14:paraId="7F306919">
            <w:pPr>
              <w:widowControl/>
              <w:jc w:val="center"/>
              <w:rPr>
                <w:rFonts w:eastAsia="仿宋_GB2312"/>
                <w:color w:val="000000"/>
                <w:kern w:val="0"/>
                <w:sz w:val="24"/>
              </w:rPr>
            </w:pPr>
            <w:r>
              <w:rPr>
                <w:rFonts w:eastAsia="仿宋_GB2312"/>
                <w:color w:val="000000"/>
                <w:kern w:val="0"/>
                <w:sz w:val="24"/>
              </w:rPr>
              <w:t>96.6</w:t>
            </w:r>
          </w:p>
        </w:tc>
        <w:tc>
          <w:tcPr>
            <w:tcW w:w="907" w:type="dxa"/>
            <w:tcBorders>
              <w:top w:val="single" w:color="000000" w:sz="4" w:space="0"/>
              <w:left w:val="single" w:color="000000" w:sz="4" w:space="0"/>
              <w:bottom w:val="single" w:color="000000" w:sz="4" w:space="0"/>
              <w:right w:val="single" w:color="000000" w:sz="4" w:space="0"/>
            </w:tcBorders>
            <w:vAlign w:val="center"/>
          </w:tcPr>
          <w:p w14:paraId="6CC5B753">
            <w:pPr>
              <w:widowControl/>
              <w:jc w:val="center"/>
              <w:rPr>
                <w:rFonts w:eastAsia="仿宋_GB2312"/>
                <w:color w:val="000000"/>
                <w:kern w:val="0"/>
                <w:sz w:val="24"/>
              </w:rPr>
            </w:pPr>
            <w:r>
              <w:rPr>
                <w:rFonts w:eastAsia="仿宋_GB2312"/>
                <w:color w:val="000000"/>
                <w:kern w:val="0"/>
                <w:sz w:val="24"/>
              </w:rPr>
              <w:t>97.2</w:t>
            </w:r>
          </w:p>
        </w:tc>
        <w:tc>
          <w:tcPr>
            <w:tcW w:w="1163" w:type="dxa"/>
            <w:tcBorders>
              <w:top w:val="single" w:color="000000" w:sz="4" w:space="0"/>
              <w:left w:val="single" w:color="000000" w:sz="4" w:space="0"/>
              <w:bottom w:val="single" w:color="000000" w:sz="4" w:space="0"/>
              <w:right w:val="single" w:color="000000" w:sz="4" w:space="0"/>
            </w:tcBorders>
            <w:vAlign w:val="center"/>
          </w:tcPr>
          <w:p w14:paraId="7E790DD0">
            <w:pPr>
              <w:widowControl/>
              <w:jc w:val="center"/>
              <w:rPr>
                <w:rFonts w:eastAsia="仿宋_GB2312"/>
                <w:color w:val="000000"/>
                <w:kern w:val="0"/>
                <w:sz w:val="24"/>
              </w:rPr>
            </w:pPr>
            <w:r>
              <w:rPr>
                <w:rFonts w:eastAsia="仿宋_GB2312"/>
                <w:color w:val="000000"/>
                <w:kern w:val="0"/>
                <w:sz w:val="24"/>
              </w:rPr>
              <w:t>97.3</w:t>
            </w:r>
          </w:p>
        </w:tc>
        <w:tc>
          <w:tcPr>
            <w:tcW w:w="1298" w:type="dxa"/>
            <w:tcBorders>
              <w:top w:val="single" w:color="000000" w:sz="4" w:space="0"/>
              <w:left w:val="single" w:color="000000" w:sz="4" w:space="0"/>
              <w:bottom w:val="single" w:color="000000" w:sz="4" w:space="0"/>
              <w:right w:val="single" w:color="000000" w:sz="4" w:space="0"/>
            </w:tcBorders>
            <w:vAlign w:val="center"/>
          </w:tcPr>
          <w:p w14:paraId="06B7CDBF">
            <w:pPr>
              <w:widowControl/>
              <w:jc w:val="center"/>
              <w:rPr>
                <w:rFonts w:eastAsia="仿宋_GB2312"/>
                <w:color w:val="000000"/>
                <w:kern w:val="0"/>
                <w:sz w:val="24"/>
              </w:rPr>
            </w:pPr>
            <w:r>
              <w:rPr>
                <w:rFonts w:eastAsia="仿宋_GB2312"/>
                <w:color w:val="000000"/>
                <w:kern w:val="0"/>
                <w:sz w:val="24"/>
              </w:rPr>
              <w:t>97.3</w:t>
            </w:r>
          </w:p>
        </w:tc>
        <w:tc>
          <w:tcPr>
            <w:tcW w:w="1094" w:type="dxa"/>
            <w:tcBorders>
              <w:top w:val="single" w:color="000000" w:sz="4" w:space="0"/>
              <w:left w:val="single" w:color="000000" w:sz="4" w:space="0"/>
              <w:bottom w:val="single" w:color="000000" w:sz="4" w:space="0"/>
              <w:right w:val="single" w:color="000000" w:sz="4" w:space="0"/>
            </w:tcBorders>
            <w:vAlign w:val="center"/>
          </w:tcPr>
          <w:p w14:paraId="3EB087B6">
            <w:pPr>
              <w:widowControl/>
              <w:jc w:val="center"/>
              <w:rPr>
                <w:rFonts w:eastAsia="仿宋_GB2312"/>
                <w:color w:val="000000"/>
                <w:kern w:val="0"/>
                <w:sz w:val="24"/>
              </w:rPr>
            </w:pPr>
            <w:r>
              <w:rPr>
                <w:rFonts w:eastAsia="仿宋_GB2312"/>
                <w:color w:val="000000"/>
                <w:kern w:val="0"/>
                <w:sz w:val="24"/>
              </w:rPr>
              <w:t>98</w:t>
            </w:r>
          </w:p>
        </w:tc>
        <w:tc>
          <w:tcPr>
            <w:tcW w:w="1271" w:type="dxa"/>
            <w:tcBorders>
              <w:top w:val="single" w:color="000000" w:sz="4" w:space="0"/>
              <w:left w:val="single" w:color="000000" w:sz="4" w:space="0"/>
              <w:bottom w:val="single" w:color="000000" w:sz="4" w:space="0"/>
              <w:right w:val="single" w:color="000000" w:sz="4" w:space="0"/>
            </w:tcBorders>
            <w:vAlign w:val="center"/>
          </w:tcPr>
          <w:p w14:paraId="203E5D8C">
            <w:pPr>
              <w:widowControl/>
              <w:jc w:val="center"/>
              <w:rPr>
                <w:rFonts w:eastAsia="仿宋_GB2312"/>
                <w:color w:val="000000"/>
                <w:kern w:val="0"/>
                <w:sz w:val="24"/>
              </w:rPr>
            </w:pPr>
            <w:r>
              <w:rPr>
                <w:rFonts w:eastAsia="仿宋_GB2312"/>
                <w:color w:val="000000"/>
                <w:kern w:val="0"/>
                <w:sz w:val="24"/>
              </w:rPr>
              <w:t>约束性</w:t>
            </w:r>
          </w:p>
        </w:tc>
        <w:tc>
          <w:tcPr>
            <w:tcW w:w="1553" w:type="dxa"/>
            <w:tcBorders>
              <w:top w:val="single" w:color="000000" w:sz="4" w:space="0"/>
              <w:left w:val="single" w:color="000000" w:sz="4" w:space="0"/>
              <w:bottom w:val="single" w:color="000000" w:sz="4" w:space="0"/>
              <w:right w:val="single" w:color="000000" w:sz="4" w:space="0"/>
            </w:tcBorders>
            <w:vAlign w:val="center"/>
          </w:tcPr>
          <w:p w14:paraId="22461DBF">
            <w:pPr>
              <w:widowControl/>
              <w:jc w:val="center"/>
              <w:rPr>
                <w:rFonts w:eastAsia="仿宋_GB2312"/>
                <w:color w:val="000000"/>
                <w:kern w:val="0"/>
                <w:sz w:val="24"/>
              </w:rPr>
            </w:pPr>
            <w:r>
              <w:rPr>
                <w:rFonts w:eastAsia="仿宋_GB2312"/>
                <w:color w:val="000000"/>
                <w:kern w:val="0"/>
                <w:sz w:val="24"/>
              </w:rPr>
              <w:t>能够完成</w:t>
            </w:r>
          </w:p>
        </w:tc>
      </w:tr>
      <w:tr w14:paraId="6CAA934D">
        <w:tblPrEx>
          <w:tblCellMar>
            <w:top w:w="15" w:type="dxa"/>
            <w:left w:w="15" w:type="dxa"/>
            <w:bottom w:w="15" w:type="dxa"/>
            <w:right w:w="15" w:type="dxa"/>
          </w:tblCellMar>
        </w:tblPrEx>
        <w:trPr>
          <w:trHeight w:val="340" w:hRule="atLeast"/>
          <w:jc w:val="center"/>
        </w:trPr>
        <w:tc>
          <w:tcPr>
            <w:tcW w:w="604" w:type="dxa"/>
            <w:vMerge w:val="continue"/>
            <w:tcBorders>
              <w:top w:val="single" w:color="000000" w:sz="4" w:space="0"/>
              <w:left w:val="single" w:color="000000" w:sz="4" w:space="0"/>
              <w:bottom w:val="single" w:color="000000" w:sz="4" w:space="0"/>
              <w:right w:val="single" w:color="000000" w:sz="4" w:space="0"/>
            </w:tcBorders>
            <w:vAlign w:val="center"/>
          </w:tcPr>
          <w:p w14:paraId="42AA81E7">
            <w:pPr>
              <w:widowControl/>
              <w:jc w:val="left"/>
              <w:rPr>
                <w:rFonts w:eastAsia="仿宋_GB2312"/>
                <w:color w:val="000000"/>
                <w:kern w:val="0"/>
                <w:sz w:val="24"/>
              </w:rPr>
            </w:pPr>
          </w:p>
        </w:tc>
        <w:tc>
          <w:tcPr>
            <w:tcW w:w="632" w:type="dxa"/>
            <w:vMerge w:val="continue"/>
            <w:tcBorders>
              <w:top w:val="single" w:color="000000" w:sz="4" w:space="0"/>
              <w:left w:val="single" w:color="000000" w:sz="4" w:space="0"/>
              <w:bottom w:val="single" w:color="000000" w:sz="4" w:space="0"/>
              <w:right w:val="single" w:color="000000" w:sz="4" w:space="0"/>
            </w:tcBorders>
            <w:vAlign w:val="center"/>
          </w:tcPr>
          <w:p w14:paraId="5FDA69A5">
            <w:pPr>
              <w:widowControl/>
              <w:jc w:val="left"/>
              <w:rPr>
                <w:rFonts w:eastAsia="仿宋_GB2312"/>
                <w:color w:val="000000"/>
                <w:kern w:val="0"/>
                <w:sz w:val="24"/>
              </w:rPr>
            </w:pPr>
          </w:p>
        </w:tc>
        <w:tc>
          <w:tcPr>
            <w:tcW w:w="1684" w:type="dxa"/>
            <w:gridSpan w:val="2"/>
            <w:vMerge w:val="continue"/>
            <w:tcBorders>
              <w:top w:val="single" w:color="000000" w:sz="4" w:space="0"/>
              <w:left w:val="single" w:color="000000" w:sz="4" w:space="0"/>
              <w:bottom w:val="single" w:color="000000" w:sz="4" w:space="0"/>
              <w:right w:val="single" w:color="000000" w:sz="4" w:space="0"/>
            </w:tcBorders>
            <w:vAlign w:val="center"/>
          </w:tcPr>
          <w:p w14:paraId="4179D91A">
            <w:pPr>
              <w:widowControl/>
              <w:jc w:val="left"/>
              <w:rPr>
                <w:rFonts w:eastAsia="仿宋_GB2312"/>
                <w:color w:val="000000"/>
                <w:kern w:val="0"/>
                <w:sz w:val="24"/>
              </w:rPr>
            </w:pPr>
          </w:p>
        </w:tc>
        <w:tc>
          <w:tcPr>
            <w:tcW w:w="2090" w:type="dxa"/>
            <w:gridSpan w:val="2"/>
            <w:tcBorders>
              <w:top w:val="single" w:color="000000" w:sz="4" w:space="0"/>
              <w:left w:val="single" w:color="000000" w:sz="4" w:space="0"/>
              <w:bottom w:val="single" w:color="000000" w:sz="4" w:space="0"/>
            </w:tcBorders>
            <w:vAlign w:val="center"/>
          </w:tcPr>
          <w:p w14:paraId="5E8B33F1">
            <w:pPr>
              <w:widowControl/>
              <w:jc w:val="center"/>
              <w:rPr>
                <w:rFonts w:eastAsia="仿宋_GB2312"/>
                <w:color w:val="000000"/>
                <w:kern w:val="0"/>
                <w:sz w:val="24"/>
              </w:rPr>
            </w:pPr>
            <w:r>
              <w:rPr>
                <w:rFonts w:eastAsia="仿宋_GB2312"/>
                <w:color w:val="000000"/>
                <w:kern w:val="0"/>
                <w:sz w:val="24"/>
              </w:rPr>
              <w:t>城乡居民养老保险参保率（%）</w:t>
            </w:r>
          </w:p>
        </w:tc>
        <w:tc>
          <w:tcPr>
            <w:tcW w:w="801" w:type="dxa"/>
            <w:tcBorders>
              <w:top w:val="single" w:color="000000" w:sz="4" w:space="0"/>
              <w:left w:val="single" w:color="000000" w:sz="4" w:space="0"/>
              <w:bottom w:val="single" w:color="000000" w:sz="4" w:space="0"/>
              <w:right w:val="single" w:color="000000" w:sz="4" w:space="0"/>
            </w:tcBorders>
            <w:vAlign w:val="center"/>
          </w:tcPr>
          <w:p w14:paraId="50C1C746">
            <w:pPr>
              <w:widowControl/>
              <w:jc w:val="left"/>
              <w:rPr>
                <w:rFonts w:eastAsia="仿宋_GB2312"/>
                <w:color w:val="000000"/>
                <w:kern w:val="0"/>
                <w:sz w:val="24"/>
              </w:rPr>
            </w:pPr>
            <w:r>
              <w:rPr>
                <w:rFonts w:eastAsia="仿宋_GB2312"/>
                <w:color w:val="000000"/>
                <w:kern w:val="0"/>
                <w:sz w:val="24"/>
              </w:rPr>
              <w:t>—</w:t>
            </w:r>
          </w:p>
        </w:tc>
        <w:tc>
          <w:tcPr>
            <w:tcW w:w="1005" w:type="dxa"/>
            <w:tcBorders>
              <w:top w:val="single" w:color="000000" w:sz="4" w:space="0"/>
              <w:left w:val="single" w:color="000000" w:sz="4" w:space="0"/>
              <w:bottom w:val="single" w:color="000000" w:sz="4" w:space="0"/>
              <w:right w:val="single" w:color="000000" w:sz="4" w:space="0"/>
            </w:tcBorders>
            <w:vAlign w:val="center"/>
          </w:tcPr>
          <w:p w14:paraId="3951BEB4">
            <w:pPr>
              <w:widowControl/>
              <w:jc w:val="center"/>
              <w:rPr>
                <w:rFonts w:eastAsia="仿宋_GB2312"/>
                <w:color w:val="000000"/>
                <w:kern w:val="0"/>
                <w:sz w:val="24"/>
              </w:rPr>
            </w:pPr>
            <w:r>
              <w:rPr>
                <w:rFonts w:eastAsia="仿宋_GB2312"/>
                <w:color w:val="000000"/>
                <w:kern w:val="0"/>
                <w:sz w:val="24"/>
              </w:rPr>
              <w:t>96.5</w:t>
            </w:r>
          </w:p>
        </w:tc>
        <w:tc>
          <w:tcPr>
            <w:tcW w:w="930" w:type="dxa"/>
            <w:tcBorders>
              <w:top w:val="single" w:color="000000" w:sz="4" w:space="0"/>
              <w:left w:val="single" w:color="000000" w:sz="4" w:space="0"/>
              <w:bottom w:val="single" w:color="000000" w:sz="4" w:space="0"/>
              <w:right w:val="single" w:color="000000" w:sz="4" w:space="0"/>
            </w:tcBorders>
            <w:vAlign w:val="center"/>
          </w:tcPr>
          <w:p w14:paraId="6978BEAB">
            <w:pPr>
              <w:widowControl/>
              <w:jc w:val="center"/>
              <w:rPr>
                <w:rFonts w:eastAsia="仿宋_GB2312"/>
                <w:color w:val="000000"/>
                <w:kern w:val="0"/>
                <w:sz w:val="24"/>
              </w:rPr>
            </w:pPr>
            <w:r>
              <w:rPr>
                <w:rFonts w:eastAsia="仿宋_GB2312"/>
                <w:color w:val="000000"/>
                <w:kern w:val="0"/>
                <w:sz w:val="24"/>
              </w:rPr>
              <w:t>96.6</w:t>
            </w:r>
          </w:p>
        </w:tc>
        <w:tc>
          <w:tcPr>
            <w:tcW w:w="907" w:type="dxa"/>
            <w:tcBorders>
              <w:top w:val="single" w:color="000000" w:sz="4" w:space="0"/>
              <w:left w:val="single" w:color="000000" w:sz="4" w:space="0"/>
              <w:bottom w:val="single" w:color="000000" w:sz="4" w:space="0"/>
              <w:right w:val="single" w:color="000000" w:sz="4" w:space="0"/>
            </w:tcBorders>
            <w:vAlign w:val="center"/>
          </w:tcPr>
          <w:p w14:paraId="6265F008">
            <w:pPr>
              <w:widowControl/>
              <w:jc w:val="center"/>
              <w:rPr>
                <w:rFonts w:eastAsia="仿宋_GB2312"/>
                <w:color w:val="000000"/>
                <w:kern w:val="0"/>
                <w:sz w:val="24"/>
              </w:rPr>
            </w:pPr>
            <w:r>
              <w:rPr>
                <w:rFonts w:eastAsia="仿宋_GB2312"/>
                <w:color w:val="000000"/>
                <w:kern w:val="0"/>
                <w:sz w:val="24"/>
              </w:rPr>
              <w:t>97</w:t>
            </w:r>
          </w:p>
        </w:tc>
        <w:tc>
          <w:tcPr>
            <w:tcW w:w="1163" w:type="dxa"/>
            <w:tcBorders>
              <w:top w:val="single" w:color="000000" w:sz="4" w:space="0"/>
              <w:left w:val="single" w:color="000000" w:sz="4" w:space="0"/>
              <w:bottom w:val="single" w:color="000000" w:sz="4" w:space="0"/>
              <w:right w:val="single" w:color="000000" w:sz="4" w:space="0"/>
            </w:tcBorders>
            <w:vAlign w:val="center"/>
          </w:tcPr>
          <w:p w14:paraId="3C643511">
            <w:pPr>
              <w:widowControl/>
              <w:jc w:val="center"/>
              <w:rPr>
                <w:rFonts w:eastAsia="仿宋_GB2312"/>
                <w:color w:val="000000"/>
                <w:kern w:val="0"/>
                <w:sz w:val="24"/>
              </w:rPr>
            </w:pPr>
            <w:r>
              <w:rPr>
                <w:rFonts w:eastAsia="仿宋_GB2312"/>
                <w:color w:val="000000"/>
                <w:kern w:val="0"/>
                <w:sz w:val="24"/>
              </w:rPr>
              <w:t>97</w:t>
            </w:r>
          </w:p>
        </w:tc>
        <w:tc>
          <w:tcPr>
            <w:tcW w:w="1298" w:type="dxa"/>
            <w:tcBorders>
              <w:top w:val="single" w:color="000000" w:sz="4" w:space="0"/>
              <w:left w:val="single" w:color="000000" w:sz="4" w:space="0"/>
              <w:bottom w:val="single" w:color="000000" w:sz="4" w:space="0"/>
              <w:right w:val="single" w:color="000000" w:sz="4" w:space="0"/>
            </w:tcBorders>
            <w:vAlign w:val="center"/>
          </w:tcPr>
          <w:p w14:paraId="7A3AF898">
            <w:pPr>
              <w:widowControl/>
              <w:jc w:val="center"/>
              <w:rPr>
                <w:rFonts w:eastAsia="仿宋_GB2312"/>
                <w:color w:val="000000"/>
                <w:kern w:val="0"/>
                <w:sz w:val="24"/>
              </w:rPr>
            </w:pPr>
            <w:r>
              <w:rPr>
                <w:rFonts w:eastAsia="仿宋_GB2312"/>
                <w:color w:val="000000"/>
                <w:kern w:val="0"/>
                <w:sz w:val="24"/>
              </w:rPr>
              <w:t>97.3</w:t>
            </w:r>
          </w:p>
        </w:tc>
        <w:tc>
          <w:tcPr>
            <w:tcW w:w="1094" w:type="dxa"/>
            <w:tcBorders>
              <w:top w:val="single" w:color="000000" w:sz="4" w:space="0"/>
              <w:left w:val="single" w:color="000000" w:sz="4" w:space="0"/>
              <w:bottom w:val="single" w:color="000000" w:sz="4" w:space="0"/>
              <w:right w:val="single" w:color="000000" w:sz="4" w:space="0"/>
            </w:tcBorders>
            <w:vAlign w:val="center"/>
          </w:tcPr>
          <w:p w14:paraId="62E215FA">
            <w:pPr>
              <w:widowControl/>
              <w:jc w:val="center"/>
              <w:rPr>
                <w:rFonts w:eastAsia="仿宋_GB2312"/>
                <w:color w:val="000000"/>
                <w:kern w:val="0"/>
                <w:sz w:val="24"/>
              </w:rPr>
            </w:pPr>
            <w:r>
              <w:rPr>
                <w:rFonts w:eastAsia="仿宋_GB2312"/>
                <w:color w:val="000000"/>
                <w:kern w:val="0"/>
                <w:sz w:val="24"/>
              </w:rPr>
              <w:t>97.3</w:t>
            </w:r>
          </w:p>
        </w:tc>
        <w:tc>
          <w:tcPr>
            <w:tcW w:w="1271" w:type="dxa"/>
            <w:tcBorders>
              <w:top w:val="single" w:color="000000" w:sz="4" w:space="0"/>
              <w:left w:val="single" w:color="000000" w:sz="4" w:space="0"/>
              <w:bottom w:val="single" w:color="000000" w:sz="4" w:space="0"/>
              <w:right w:val="single" w:color="000000" w:sz="4" w:space="0"/>
            </w:tcBorders>
            <w:vAlign w:val="center"/>
          </w:tcPr>
          <w:p w14:paraId="5D04A1D0">
            <w:pPr>
              <w:widowControl/>
              <w:jc w:val="center"/>
              <w:rPr>
                <w:rFonts w:eastAsia="仿宋_GB2312"/>
                <w:color w:val="000000"/>
                <w:kern w:val="0"/>
                <w:sz w:val="24"/>
              </w:rPr>
            </w:pPr>
            <w:r>
              <w:rPr>
                <w:rFonts w:eastAsia="仿宋_GB2312"/>
                <w:color w:val="000000"/>
                <w:kern w:val="0"/>
                <w:sz w:val="24"/>
              </w:rPr>
              <w:t>约束性</w:t>
            </w:r>
          </w:p>
        </w:tc>
        <w:tc>
          <w:tcPr>
            <w:tcW w:w="1553" w:type="dxa"/>
            <w:tcBorders>
              <w:top w:val="single" w:color="000000" w:sz="4" w:space="0"/>
              <w:left w:val="single" w:color="000000" w:sz="4" w:space="0"/>
              <w:bottom w:val="single" w:color="000000" w:sz="4" w:space="0"/>
              <w:right w:val="single" w:color="000000" w:sz="4" w:space="0"/>
            </w:tcBorders>
            <w:vAlign w:val="center"/>
          </w:tcPr>
          <w:p w14:paraId="1D5E7215">
            <w:pPr>
              <w:widowControl/>
              <w:jc w:val="center"/>
              <w:rPr>
                <w:rFonts w:eastAsia="仿宋_GB2312"/>
                <w:color w:val="000000"/>
                <w:kern w:val="0"/>
                <w:sz w:val="24"/>
              </w:rPr>
            </w:pPr>
            <w:r>
              <w:rPr>
                <w:rFonts w:eastAsia="仿宋_GB2312"/>
                <w:color w:val="000000"/>
                <w:kern w:val="0"/>
                <w:sz w:val="24"/>
              </w:rPr>
              <w:t>能够完成</w:t>
            </w:r>
          </w:p>
        </w:tc>
      </w:tr>
      <w:tr w14:paraId="04AE3931">
        <w:tblPrEx>
          <w:tblCellMar>
            <w:top w:w="15" w:type="dxa"/>
            <w:left w:w="15" w:type="dxa"/>
            <w:bottom w:w="15" w:type="dxa"/>
            <w:right w:w="15" w:type="dxa"/>
          </w:tblCellMar>
        </w:tblPrEx>
        <w:trPr>
          <w:trHeight w:val="340" w:hRule="atLeast"/>
          <w:jc w:val="center"/>
        </w:trPr>
        <w:tc>
          <w:tcPr>
            <w:tcW w:w="604" w:type="dxa"/>
            <w:tcBorders>
              <w:top w:val="single" w:color="000000" w:sz="4" w:space="0"/>
              <w:left w:val="single" w:color="000000" w:sz="4" w:space="0"/>
              <w:bottom w:val="single" w:color="000000" w:sz="4" w:space="0"/>
              <w:right w:val="single" w:color="000000" w:sz="4" w:space="0"/>
            </w:tcBorders>
            <w:vAlign w:val="center"/>
          </w:tcPr>
          <w:p w14:paraId="36EB7505">
            <w:pPr>
              <w:widowControl/>
              <w:jc w:val="center"/>
              <w:rPr>
                <w:rFonts w:eastAsia="仿宋_GB2312"/>
                <w:color w:val="000000"/>
                <w:kern w:val="0"/>
                <w:sz w:val="24"/>
              </w:rPr>
            </w:pPr>
            <w:r>
              <w:rPr>
                <w:rFonts w:eastAsia="仿宋_GB2312"/>
                <w:color w:val="000000"/>
                <w:kern w:val="0"/>
                <w:sz w:val="24"/>
              </w:rPr>
              <w:t>29</w:t>
            </w:r>
          </w:p>
        </w:tc>
        <w:tc>
          <w:tcPr>
            <w:tcW w:w="632" w:type="dxa"/>
            <w:vMerge w:val="continue"/>
            <w:tcBorders>
              <w:top w:val="single" w:color="000000" w:sz="4" w:space="0"/>
              <w:left w:val="single" w:color="000000" w:sz="4" w:space="0"/>
              <w:bottom w:val="single" w:color="000000" w:sz="4" w:space="0"/>
              <w:right w:val="single" w:color="000000" w:sz="4" w:space="0"/>
            </w:tcBorders>
            <w:vAlign w:val="center"/>
          </w:tcPr>
          <w:p w14:paraId="0F2126E6">
            <w:pPr>
              <w:widowControl/>
              <w:jc w:val="left"/>
              <w:rPr>
                <w:rFonts w:eastAsia="仿宋_GB2312"/>
                <w:color w:val="000000"/>
                <w:kern w:val="0"/>
                <w:sz w:val="24"/>
              </w:rPr>
            </w:pPr>
          </w:p>
        </w:tc>
        <w:tc>
          <w:tcPr>
            <w:tcW w:w="1684" w:type="dxa"/>
            <w:gridSpan w:val="2"/>
            <w:tcBorders>
              <w:top w:val="single" w:color="000000" w:sz="4" w:space="0"/>
              <w:left w:val="single" w:color="000000" w:sz="4" w:space="0"/>
              <w:bottom w:val="single" w:color="000000" w:sz="4" w:space="0"/>
              <w:right w:val="single" w:color="000000" w:sz="4" w:space="0"/>
            </w:tcBorders>
            <w:vAlign w:val="center"/>
          </w:tcPr>
          <w:p w14:paraId="7497C1A2">
            <w:pPr>
              <w:widowControl/>
              <w:jc w:val="center"/>
              <w:rPr>
                <w:rFonts w:eastAsia="仿宋_GB2312"/>
                <w:color w:val="000000"/>
                <w:kern w:val="0"/>
                <w:sz w:val="24"/>
              </w:rPr>
            </w:pPr>
            <w:r>
              <w:rPr>
                <w:rFonts w:eastAsia="仿宋_GB2312"/>
                <w:color w:val="000000"/>
                <w:kern w:val="0"/>
                <w:sz w:val="24"/>
              </w:rPr>
              <w:t>城镇每年新增就业人数（万人）</w:t>
            </w:r>
          </w:p>
        </w:tc>
        <w:tc>
          <w:tcPr>
            <w:tcW w:w="3896" w:type="dxa"/>
            <w:gridSpan w:val="4"/>
            <w:tcBorders>
              <w:top w:val="single" w:color="000000" w:sz="4" w:space="0"/>
              <w:left w:val="single" w:color="000000" w:sz="4" w:space="0"/>
              <w:bottom w:val="single" w:color="000000" w:sz="4" w:space="0"/>
              <w:right w:val="single" w:color="000000" w:sz="4" w:space="0"/>
            </w:tcBorders>
            <w:vAlign w:val="center"/>
          </w:tcPr>
          <w:p w14:paraId="50BAE171">
            <w:pPr>
              <w:widowControl/>
              <w:jc w:val="center"/>
              <w:rPr>
                <w:rFonts w:eastAsia="仿宋_GB2312"/>
                <w:color w:val="000000"/>
                <w:kern w:val="0"/>
                <w:sz w:val="24"/>
              </w:rPr>
            </w:pPr>
            <w:r>
              <w:rPr>
                <w:rFonts w:eastAsia="仿宋_GB2312"/>
                <w:color w:val="000000"/>
                <w:kern w:val="0"/>
                <w:sz w:val="24"/>
              </w:rPr>
              <w:t>1.96</w:t>
            </w:r>
          </w:p>
        </w:tc>
        <w:tc>
          <w:tcPr>
            <w:tcW w:w="930" w:type="dxa"/>
            <w:tcBorders>
              <w:top w:val="single" w:color="000000" w:sz="4" w:space="0"/>
              <w:left w:val="single" w:color="000000" w:sz="4" w:space="0"/>
              <w:bottom w:val="single" w:color="000000" w:sz="4" w:space="0"/>
              <w:right w:val="single" w:color="000000" w:sz="4" w:space="0"/>
            </w:tcBorders>
            <w:vAlign w:val="center"/>
          </w:tcPr>
          <w:p w14:paraId="477A0114">
            <w:pPr>
              <w:widowControl/>
              <w:jc w:val="center"/>
              <w:rPr>
                <w:rFonts w:eastAsia="仿宋_GB2312"/>
                <w:color w:val="000000"/>
                <w:kern w:val="0"/>
                <w:sz w:val="24"/>
              </w:rPr>
            </w:pPr>
            <w:r>
              <w:rPr>
                <w:rFonts w:eastAsia="仿宋_GB2312"/>
                <w:color w:val="000000"/>
                <w:kern w:val="0"/>
                <w:sz w:val="24"/>
              </w:rPr>
              <w:t>—</w:t>
            </w:r>
          </w:p>
        </w:tc>
        <w:tc>
          <w:tcPr>
            <w:tcW w:w="907" w:type="dxa"/>
            <w:tcBorders>
              <w:top w:val="single" w:color="000000" w:sz="4" w:space="0"/>
              <w:left w:val="single" w:color="000000" w:sz="4" w:space="0"/>
              <w:bottom w:val="single" w:color="000000" w:sz="4" w:space="0"/>
              <w:right w:val="single" w:color="000000" w:sz="4" w:space="0"/>
            </w:tcBorders>
            <w:vAlign w:val="center"/>
          </w:tcPr>
          <w:p w14:paraId="13E48ECE">
            <w:pPr>
              <w:widowControl/>
              <w:jc w:val="center"/>
              <w:rPr>
                <w:rFonts w:eastAsia="仿宋_GB2312"/>
                <w:color w:val="000000"/>
                <w:kern w:val="0"/>
                <w:sz w:val="24"/>
              </w:rPr>
            </w:pPr>
            <w:r>
              <w:rPr>
                <w:rFonts w:eastAsia="仿宋_GB2312"/>
                <w:color w:val="000000"/>
                <w:kern w:val="0"/>
                <w:sz w:val="24"/>
              </w:rPr>
              <w:t>2.25</w:t>
            </w:r>
          </w:p>
        </w:tc>
        <w:tc>
          <w:tcPr>
            <w:tcW w:w="1163" w:type="dxa"/>
            <w:tcBorders>
              <w:top w:val="single" w:color="000000" w:sz="4" w:space="0"/>
              <w:left w:val="single" w:color="000000" w:sz="4" w:space="0"/>
              <w:bottom w:val="single" w:color="000000" w:sz="4" w:space="0"/>
              <w:right w:val="single" w:color="000000" w:sz="4" w:space="0"/>
            </w:tcBorders>
            <w:vAlign w:val="center"/>
          </w:tcPr>
          <w:p w14:paraId="65EF8321">
            <w:pPr>
              <w:widowControl/>
              <w:jc w:val="center"/>
              <w:rPr>
                <w:rFonts w:eastAsia="仿宋_GB2312"/>
                <w:color w:val="000000"/>
                <w:kern w:val="0"/>
                <w:sz w:val="24"/>
              </w:rPr>
            </w:pPr>
            <w:r>
              <w:rPr>
                <w:rFonts w:eastAsia="仿宋_GB2312"/>
                <w:color w:val="000000"/>
                <w:kern w:val="0"/>
                <w:sz w:val="24"/>
              </w:rPr>
              <w:t>2.46</w:t>
            </w:r>
          </w:p>
        </w:tc>
        <w:tc>
          <w:tcPr>
            <w:tcW w:w="1298" w:type="dxa"/>
            <w:tcBorders>
              <w:top w:val="single" w:color="000000" w:sz="4" w:space="0"/>
              <w:left w:val="single" w:color="000000" w:sz="4" w:space="0"/>
              <w:bottom w:val="single" w:color="000000" w:sz="4" w:space="0"/>
              <w:right w:val="single" w:color="000000" w:sz="4" w:space="0"/>
            </w:tcBorders>
            <w:vAlign w:val="center"/>
          </w:tcPr>
          <w:p w14:paraId="4DD9C16A">
            <w:pPr>
              <w:widowControl/>
              <w:jc w:val="center"/>
              <w:rPr>
                <w:rFonts w:eastAsia="仿宋_GB2312"/>
                <w:color w:val="000000"/>
                <w:kern w:val="0"/>
                <w:sz w:val="24"/>
              </w:rPr>
            </w:pPr>
            <w:r>
              <w:rPr>
                <w:rFonts w:eastAsia="仿宋_GB2312"/>
                <w:color w:val="000000"/>
                <w:kern w:val="0"/>
                <w:sz w:val="24"/>
              </w:rPr>
              <w:t>2.9</w:t>
            </w:r>
          </w:p>
        </w:tc>
        <w:tc>
          <w:tcPr>
            <w:tcW w:w="1094" w:type="dxa"/>
            <w:tcBorders>
              <w:top w:val="single" w:color="000000" w:sz="4" w:space="0"/>
              <w:left w:val="single" w:color="000000" w:sz="4" w:space="0"/>
              <w:bottom w:val="single" w:color="000000" w:sz="4" w:space="0"/>
              <w:right w:val="single" w:color="000000" w:sz="4" w:space="0"/>
            </w:tcBorders>
            <w:vAlign w:val="center"/>
          </w:tcPr>
          <w:p w14:paraId="40B1EE39">
            <w:pPr>
              <w:widowControl/>
              <w:jc w:val="center"/>
              <w:rPr>
                <w:rFonts w:eastAsia="仿宋_GB2312"/>
                <w:color w:val="000000"/>
                <w:kern w:val="0"/>
                <w:sz w:val="24"/>
              </w:rPr>
            </w:pPr>
            <w:r>
              <w:rPr>
                <w:rFonts w:eastAsia="仿宋_GB2312"/>
                <w:color w:val="000000"/>
                <w:kern w:val="0"/>
                <w:sz w:val="24"/>
              </w:rPr>
              <w:t>3.42</w:t>
            </w:r>
          </w:p>
        </w:tc>
        <w:tc>
          <w:tcPr>
            <w:tcW w:w="1271" w:type="dxa"/>
            <w:tcBorders>
              <w:top w:val="single" w:color="000000" w:sz="4" w:space="0"/>
              <w:left w:val="single" w:color="000000" w:sz="4" w:space="0"/>
              <w:bottom w:val="single" w:color="000000" w:sz="4" w:space="0"/>
              <w:right w:val="single" w:color="000000" w:sz="4" w:space="0"/>
            </w:tcBorders>
            <w:vAlign w:val="center"/>
          </w:tcPr>
          <w:p w14:paraId="470BBD50">
            <w:pPr>
              <w:widowControl/>
              <w:jc w:val="center"/>
              <w:rPr>
                <w:rFonts w:eastAsia="仿宋_GB2312"/>
                <w:color w:val="000000"/>
                <w:kern w:val="0"/>
                <w:sz w:val="24"/>
              </w:rPr>
            </w:pPr>
            <w:r>
              <w:rPr>
                <w:rFonts w:eastAsia="仿宋_GB2312"/>
                <w:color w:val="000000"/>
                <w:kern w:val="0"/>
                <w:sz w:val="24"/>
              </w:rPr>
              <w:t>约束性</w:t>
            </w:r>
          </w:p>
        </w:tc>
        <w:tc>
          <w:tcPr>
            <w:tcW w:w="1553" w:type="dxa"/>
            <w:tcBorders>
              <w:top w:val="single" w:color="000000" w:sz="4" w:space="0"/>
              <w:left w:val="single" w:color="000000" w:sz="4" w:space="0"/>
              <w:bottom w:val="single" w:color="000000" w:sz="4" w:space="0"/>
              <w:right w:val="single" w:color="000000" w:sz="4" w:space="0"/>
            </w:tcBorders>
            <w:vAlign w:val="center"/>
          </w:tcPr>
          <w:p w14:paraId="720D7747">
            <w:pPr>
              <w:widowControl/>
              <w:jc w:val="center"/>
              <w:rPr>
                <w:rFonts w:eastAsia="仿宋_GB2312"/>
                <w:color w:val="000000"/>
                <w:kern w:val="0"/>
                <w:sz w:val="24"/>
              </w:rPr>
            </w:pPr>
            <w:r>
              <w:rPr>
                <w:rFonts w:eastAsia="仿宋_GB2312"/>
                <w:color w:val="000000"/>
                <w:kern w:val="0"/>
                <w:sz w:val="24"/>
              </w:rPr>
              <w:t>能够完成</w:t>
            </w:r>
          </w:p>
        </w:tc>
      </w:tr>
    </w:tbl>
    <w:p w14:paraId="0306DB0D">
      <w:pPr>
        <w:topLinePunct/>
        <w:spacing w:line="600" w:lineRule="exact"/>
        <w:ind w:firstLine="640"/>
        <w:rPr>
          <w:bCs/>
          <w:color w:val="000000" w:themeColor="text1"/>
          <w:szCs w:val="32"/>
          <w14:textFill>
            <w14:solidFill>
              <w14:schemeClr w14:val="tx1"/>
            </w14:solidFill>
          </w14:textFill>
        </w:rPr>
      </w:pPr>
    </w:p>
    <w:p w14:paraId="3DD400B8">
      <w:pPr>
        <w:pStyle w:val="3"/>
        <w:spacing w:before="120"/>
        <w:rPr>
          <w:rFonts w:ascii="Times New Roman" w:hAnsi="Times New Roman"/>
        </w:rPr>
        <w:sectPr>
          <w:footerReference r:id="rId8" w:type="default"/>
          <w:footerReference r:id="rId9" w:type="even"/>
          <w:pgSz w:w="16840" w:h="11900" w:orient="landscape"/>
          <w:pgMar w:top="1531" w:right="1928" w:bottom="1531" w:left="1871" w:header="1418" w:footer="1418" w:gutter="0"/>
          <w:cols w:space="720" w:num="1"/>
          <w:docGrid w:linePitch="312" w:charSpace="0"/>
        </w:sectPr>
      </w:pPr>
    </w:p>
    <w:p w14:paraId="18A0F426">
      <w:pPr>
        <w:spacing w:line="560" w:lineRule="exact"/>
        <w:rPr>
          <w:rFonts w:eastAsia="黑体"/>
          <w:sz w:val="32"/>
          <w:szCs w:val="32"/>
        </w:rPr>
      </w:pPr>
      <w:bookmarkStart w:id="619" w:name="_Toc61644851"/>
      <w:r>
        <w:rPr>
          <w:rFonts w:eastAsia="黑体"/>
          <w:sz w:val="32"/>
          <w:szCs w:val="32"/>
        </w:rPr>
        <w:t>附件2</w:t>
      </w:r>
      <w:bookmarkEnd w:id="619"/>
    </w:p>
    <w:p w14:paraId="0BA2AA9E">
      <w:pPr>
        <w:spacing w:line="560" w:lineRule="exact"/>
        <w:ind w:firstLine="880"/>
        <w:jc w:val="center"/>
        <w:rPr>
          <w:rFonts w:eastAsia="方正小标宋_GBK"/>
          <w:sz w:val="44"/>
          <w:szCs w:val="44"/>
        </w:rPr>
      </w:pPr>
    </w:p>
    <w:p w14:paraId="5C713C2B">
      <w:pPr>
        <w:spacing w:line="560" w:lineRule="exact"/>
        <w:jc w:val="center"/>
        <w:rPr>
          <w:rFonts w:eastAsia="方正小标宋简体"/>
          <w:sz w:val="44"/>
          <w:szCs w:val="44"/>
        </w:rPr>
      </w:pPr>
      <w:r>
        <w:rPr>
          <w:rFonts w:eastAsia="方正小标宋简体"/>
          <w:sz w:val="44"/>
          <w:szCs w:val="44"/>
        </w:rPr>
        <w:t>西山区“十三五”基本建设投资项目</w:t>
      </w:r>
    </w:p>
    <w:p w14:paraId="53FC3D41">
      <w:pPr>
        <w:spacing w:line="560" w:lineRule="exact"/>
        <w:jc w:val="center"/>
        <w:rPr>
          <w:rFonts w:eastAsia="方正小标宋简体"/>
          <w:sz w:val="44"/>
          <w:szCs w:val="44"/>
        </w:rPr>
      </w:pPr>
      <w:r>
        <w:rPr>
          <w:rFonts w:eastAsia="方正小标宋简体"/>
          <w:sz w:val="44"/>
          <w:szCs w:val="44"/>
        </w:rPr>
        <w:t>执行情况报告</w:t>
      </w:r>
    </w:p>
    <w:p w14:paraId="463240F5">
      <w:pPr>
        <w:adjustRightInd w:val="0"/>
        <w:snapToGrid w:val="0"/>
        <w:spacing w:line="560" w:lineRule="exact"/>
        <w:ind w:firstLine="640"/>
        <w:rPr>
          <w:rFonts w:eastAsia="仿宋_GB2312"/>
          <w:szCs w:val="32"/>
        </w:rPr>
      </w:pPr>
    </w:p>
    <w:p w14:paraId="513B7165">
      <w:pPr>
        <w:adjustRightInd w:val="0"/>
        <w:snapToGrid w:val="0"/>
        <w:spacing w:line="560" w:lineRule="exact"/>
        <w:ind w:firstLine="640"/>
        <w:rPr>
          <w:rFonts w:eastAsia="黑体"/>
          <w:sz w:val="32"/>
          <w:szCs w:val="32"/>
        </w:rPr>
      </w:pPr>
      <w:r>
        <w:rPr>
          <w:rFonts w:eastAsia="黑体"/>
          <w:sz w:val="32"/>
          <w:szCs w:val="32"/>
        </w:rPr>
        <w:t>一、区级建设项目执行情况</w:t>
      </w:r>
    </w:p>
    <w:p w14:paraId="1010B399">
      <w:pPr>
        <w:adjustRightInd w:val="0"/>
        <w:snapToGrid w:val="0"/>
        <w:spacing w:line="560" w:lineRule="exact"/>
        <w:ind w:firstLine="640"/>
        <w:rPr>
          <w:rFonts w:eastAsia="仿宋_GB2312"/>
          <w:sz w:val="32"/>
          <w:szCs w:val="32"/>
        </w:rPr>
      </w:pPr>
      <w:r>
        <w:rPr>
          <w:rFonts w:eastAsia="仿宋_GB2312"/>
          <w:sz w:val="32"/>
          <w:szCs w:val="32"/>
        </w:rPr>
        <w:t>西山区“十三五”期间区级规划建设项目共272个，“十三五”期间计划投资276.71亿元，涵盖了农业及农村基础设施、生态保护工程、综合交通工程、城镇基础设施、社会项目、园区项目六大方面。“十三五”期间实际完成投资88.24亿元，已完工119项，完工率为43.75%，在建22项，正在开展前期工作的55项，因“十三五”期间暂不具备建设条件需暂缓实施的55项，因受资金、政策、规划、建设任务调整、不具备建设条件等因素影响取消建设的21项。</w:t>
      </w:r>
    </w:p>
    <w:p w14:paraId="46A9D39C">
      <w:pPr>
        <w:adjustRightInd w:val="0"/>
        <w:snapToGrid w:val="0"/>
        <w:spacing w:line="560" w:lineRule="exact"/>
        <w:ind w:firstLine="640"/>
        <w:rPr>
          <w:rFonts w:eastAsia="黑体"/>
          <w:sz w:val="32"/>
          <w:szCs w:val="32"/>
        </w:rPr>
      </w:pPr>
      <w:r>
        <w:rPr>
          <w:rFonts w:eastAsia="黑体"/>
          <w:sz w:val="32"/>
          <w:szCs w:val="32"/>
        </w:rPr>
        <w:t>二、省市主导建设项目执行情况</w:t>
      </w:r>
    </w:p>
    <w:p w14:paraId="4B81C1FB">
      <w:pPr>
        <w:spacing w:line="560" w:lineRule="exact"/>
        <w:ind w:firstLine="640"/>
        <w:rPr>
          <w:rFonts w:eastAsia="仿宋_GB2312"/>
          <w:sz w:val="32"/>
          <w:szCs w:val="32"/>
        </w:rPr>
      </w:pPr>
      <w:r>
        <w:rPr>
          <w:rFonts w:eastAsia="仿宋_GB2312"/>
          <w:sz w:val="32"/>
          <w:szCs w:val="32"/>
        </w:rPr>
        <w:t>“十三五”期间省市计划在西山区主导建设的项目13项，“十三五”计划投资196.17亿元，实际完成投资138亿元。其中：已完工7项（昆明主城西部污水处理厂增量扩建工程、昆明主城西片调蓄池工程（二环路外）、昆明主城西片排水管网完善工程（二环路外西山区）、昆明主城南片排水管网完善工程（二环路外西山区）、正大河周边污水管网整治工程、海口河（下段）水环境综合整治工程、地铁3号线）；在建2项（昆楚第二高速公路连接线（西山段）、地铁5号线）；取消建设的1项（长广高速（西山段）；正在开展前期工作的3项（安宁—册峨公路改扩建项目、污水处理厂联动提效及收集管网改造工程（三污厂—五污厂、地铁7号线）。</w:t>
      </w:r>
    </w:p>
    <w:p w14:paraId="72BD2238">
      <w:pPr>
        <w:adjustRightInd w:val="0"/>
        <w:snapToGrid w:val="0"/>
        <w:spacing w:line="560" w:lineRule="exact"/>
        <w:ind w:firstLine="640"/>
        <w:rPr>
          <w:rFonts w:eastAsia="仿宋_GB2312"/>
          <w:sz w:val="32"/>
          <w:szCs w:val="32"/>
        </w:rPr>
      </w:pPr>
      <w:r>
        <w:rPr>
          <w:rFonts w:eastAsia="仿宋_GB2312"/>
          <w:sz w:val="32"/>
          <w:szCs w:val="32"/>
        </w:rPr>
        <w:t>综上，西山区“十三五”期间规划建设项目共285项，“十三五”期间计划投资472.88亿元，实际完成投资226.24亿元，已完工126项，在建24项，正在开展前期工作的58项，暂缓实施的55项，取消建设的22项。</w:t>
      </w:r>
    </w:p>
    <w:p w14:paraId="12059AB7">
      <w:pPr>
        <w:adjustRightInd w:val="0"/>
        <w:snapToGrid w:val="0"/>
        <w:spacing w:line="580" w:lineRule="exact"/>
        <w:jc w:val="center"/>
        <w:rPr>
          <w:rFonts w:eastAsia="方正小标宋简体"/>
          <w:szCs w:val="32"/>
        </w:rPr>
      </w:pPr>
      <w:r>
        <w:rPr>
          <w:rFonts w:eastAsia="方正小标宋简体"/>
          <w:szCs w:val="32"/>
        </w:rPr>
        <w:t>西山区“十三五”基本建设投资项目执行情况总表</w:t>
      </w:r>
    </w:p>
    <w:tbl>
      <w:tblPr>
        <w:tblStyle w:val="42"/>
        <w:tblW w:w="8868" w:type="dxa"/>
        <w:jc w:val="center"/>
        <w:tblLayout w:type="fixed"/>
        <w:tblCellMar>
          <w:top w:w="0" w:type="dxa"/>
          <w:left w:w="0" w:type="dxa"/>
          <w:bottom w:w="0" w:type="dxa"/>
          <w:right w:w="0" w:type="dxa"/>
        </w:tblCellMar>
      </w:tblPr>
      <w:tblGrid>
        <w:gridCol w:w="660"/>
        <w:gridCol w:w="986"/>
        <w:gridCol w:w="577"/>
        <w:gridCol w:w="586"/>
        <w:gridCol w:w="468"/>
        <w:gridCol w:w="975"/>
        <w:gridCol w:w="479"/>
        <w:gridCol w:w="778"/>
        <w:gridCol w:w="486"/>
        <w:gridCol w:w="532"/>
        <w:gridCol w:w="523"/>
        <w:gridCol w:w="568"/>
        <w:gridCol w:w="1250"/>
      </w:tblGrid>
      <w:tr w14:paraId="59A8C1E7">
        <w:tblPrEx>
          <w:tblCellMar>
            <w:top w:w="0" w:type="dxa"/>
            <w:left w:w="0" w:type="dxa"/>
            <w:bottom w:w="0" w:type="dxa"/>
            <w:right w:w="0" w:type="dxa"/>
          </w:tblCellMar>
        </w:tblPrEx>
        <w:trPr>
          <w:trHeight w:val="454" w:hRule="atLeast"/>
          <w:jc w:val="center"/>
        </w:trPr>
        <w:tc>
          <w:tcPr>
            <w:tcW w:w="660"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81AB88">
            <w:pPr>
              <w:widowControl/>
              <w:jc w:val="center"/>
              <w:textAlignment w:val="center"/>
              <w:rPr>
                <w:rFonts w:eastAsia="黑体"/>
                <w:color w:val="000000"/>
                <w:sz w:val="24"/>
              </w:rPr>
            </w:pPr>
            <w:r>
              <w:rPr>
                <w:rFonts w:eastAsia="黑体"/>
                <w:color w:val="000000"/>
                <w:kern w:val="0"/>
                <w:sz w:val="24"/>
              </w:rPr>
              <w:t>序号</w:t>
            </w:r>
          </w:p>
        </w:tc>
        <w:tc>
          <w:tcPr>
            <w:tcW w:w="986"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1D31C6">
            <w:pPr>
              <w:widowControl/>
              <w:jc w:val="center"/>
              <w:textAlignment w:val="center"/>
              <w:rPr>
                <w:rFonts w:eastAsia="黑体"/>
                <w:color w:val="000000"/>
                <w:kern w:val="0"/>
                <w:sz w:val="24"/>
              </w:rPr>
            </w:pPr>
            <w:r>
              <w:rPr>
                <w:rFonts w:eastAsia="黑体"/>
                <w:color w:val="000000"/>
                <w:kern w:val="0"/>
                <w:sz w:val="24"/>
              </w:rPr>
              <w:t>项目</w:t>
            </w:r>
          </w:p>
          <w:p w14:paraId="1FC6544C">
            <w:pPr>
              <w:widowControl/>
              <w:jc w:val="center"/>
              <w:textAlignment w:val="center"/>
              <w:rPr>
                <w:rFonts w:eastAsia="黑体"/>
                <w:color w:val="000000"/>
                <w:sz w:val="24"/>
              </w:rPr>
            </w:pPr>
            <w:r>
              <w:rPr>
                <w:rFonts w:eastAsia="黑体"/>
                <w:color w:val="000000"/>
                <w:kern w:val="0"/>
                <w:sz w:val="24"/>
              </w:rPr>
              <w:t>类型</w:t>
            </w:r>
          </w:p>
        </w:tc>
        <w:tc>
          <w:tcPr>
            <w:tcW w:w="2606"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E27E7B">
            <w:pPr>
              <w:widowControl/>
              <w:jc w:val="center"/>
              <w:textAlignment w:val="center"/>
              <w:rPr>
                <w:rFonts w:eastAsia="黑体"/>
                <w:color w:val="000000"/>
                <w:sz w:val="24"/>
              </w:rPr>
            </w:pPr>
            <w:r>
              <w:rPr>
                <w:rFonts w:eastAsia="黑体"/>
                <w:color w:val="000000"/>
                <w:kern w:val="0"/>
                <w:sz w:val="24"/>
              </w:rPr>
              <w:t>“十三五”规划情况</w:t>
            </w:r>
          </w:p>
        </w:tc>
        <w:tc>
          <w:tcPr>
            <w:tcW w:w="4616" w:type="dxa"/>
            <w:gridSpan w:val="7"/>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D21FB6">
            <w:pPr>
              <w:widowControl/>
              <w:jc w:val="center"/>
              <w:textAlignment w:val="center"/>
              <w:rPr>
                <w:rFonts w:eastAsia="黑体"/>
                <w:color w:val="000000"/>
                <w:sz w:val="24"/>
              </w:rPr>
            </w:pPr>
            <w:r>
              <w:rPr>
                <w:rFonts w:eastAsia="黑体"/>
                <w:color w:val="000000"/>
                <w:kern w:val="0"/>
                <w:sz w:val="24"/>
              </w:rPr>
              <w:t>“十三五”</w:t>
            </w:r>
            <w:r>
              <w:rPr>
                <w:rFonts w:eastAsia="黑体"/>
                <w:color w:val="000000"/>
                <w:sz w:val="24"/>
              </w:rPr>
              <w:t>执行</w:t>
            </w:r>
            <w:r>
              <w:rPr>
                <w:rFonts w:eastAsia="黑体"/>
                <w:color w:val="000000"/>
                <w:kern w:val="0"/>
                <w:sz w:val="24"/>
              </w:rPr>
              <w:t>情况</w:t>
            </w:r>
          </w:p>
        </w:tc>
      </w:tr>
      <w:tr w14:paraId="08FCB1E3">
        <w:tblPrEx>
          <w:tblCellMar>
            <w:top w:w="0" w:type="dxa"/>
            <w:left w:w="0" w:type="dxa"/>
            <w:bottom w:w="0" w:type="dxa"/>
            <w:right w:w="0" w:type="dxa"/>
          </w:tblCellMar>
        </w:tblPrEx>
        <w:trPr>
          <w:trHeight w:val="454" w:hRule="atLeast"/>
          <w:jc w:val="center"/>
        </w:trPr>
        <w:tc>
          <w:tcPr>
            <w:tcW w:w="66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E8EF21">
            <w:pPr>
              <w:jc w:val="center"/>
              <w:rPr>
                <w:rFonts w:eastAsia="黑体"/>
                <w:color w:val="000000"/>
                <w:sz w:val="24"/>
              </w:rPr>
            </w:pPr>
          </w:p>
        </w:tc>
        <w:tc>
          <w:tcPr>
            <w:tcW w:w="986"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88E57E">
            <w:pPr>
              <w:jc w:val="center"/>
              <w:rPr>
                <w:rFonts w:eastAsia="黑体"/>
                <w:color w:val="000000"/>
                <w:sz w:val="24"/>
              </w:rPr>
            </w:pPr>
          </w:p>
        </w:tc>
        <w:tc>
          <w:tcPr>
            <w:tcW w:w="5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647608">
            <w:pPr>
              <w:widowControl/>
              <w:jc w:val="center"/>
              <w:textAlignment w:val="center"/>
              <w:rPr>
                <w:rFonts w:eastAsia="黑体"/>
                <w:color w:val="000000"/>
                <w:sz w:val="24"/>
              </w:rPr>
            </w:pPr>
            <w:r>
              <w:rPr>
                <w:rFonts w:eastAsia="黑体"/>
                <w:color w:val="000000"/>
                <w:kern w:val="0"/>
                <w:sz w:val="24"/>
              </w:rPr>
              <w:t>项目合计</w:t>
            </w:r>
          </w:p>
        </w:tc>
        <w:tc>
          <w:tcPr>
            <w:tcW w:w="58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9EFA30">
            <w:pPr>
              <w:widowControl/>
              <w:jc w:val="center"/>
              <w:textAlignment w:val="center"/>
              <w:rPr>
                <w:rFonts w:eastAsia="黑体"/>
                <w:color w:val="000000"/>
                <w:sz w:val="24"/>
              </w:rPr>
            </w:pPr>
            <w:r>
              <w:rPr>
                <w:rFonts w:eastAsia="黑体"/>
                <w:color w:val="000000"/>
                <w:kern w:val="0"/>
                <w:sz w:val="24"/>
              </w:rPr>
              <w:t>续建</w:t>
            </w:r>
          </w:p>
        </w:tc>
        <w:tc>
          <w:tcPr>
            <w:tcW w:w="46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9E7AF56">
            <w:pPr>
              <w:widowControl/>
              <w:jc w:val="center"/>
              <w:textAlignment w:val="center"/>
              <w:rPr>
                <w:rFonts w:eastAsia="黑体"/>
                <w:color w:val="000000"/>
                <w:sz w:val="24"/>
              </w:rPr>
            </w:pPr>
            <w:r>
              <w:rPr>
                <w:rFonts w:eastAsia="黑体"/>
                <w:color w:val="000000"/>
                <w:kern w:val="0"/>
                <w:sz w:val="24"/>
              </w:rPr>
              <w:t>新建</w:t>
            </w:r>
          </w:p>
        </w:tc>
        <w:tc>
          <w:tcPr>
            <w:tcW w:w="97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0500BF5">
            <w:pPr>
              <w:widowControl/>
              <w:jc w:val="center"/>
              <w:textAlignment w:val="center"/>
              <w:rPr>
                <w:rFonts w:eastAsia="黑体"/>
                <w:color w:val="000000"/>
                <w:kern w:val="0"/>
                <w:sz w:val="24"/>
              </w:rPr>
            </w:pPr>
            <w:r>
              <w:rPr>
                <w:rFonts w:eastAsia="黑体"/>
                <w:color w:val="000000"/>
                <w:kern w:val="0"/>
                <w:sz w:val="24"/>
              </w:rPr>
              <w:t>“十三五”期间计划</w:t>
            </w:r>
          </w:p>
          <w:p w14:paraId="5D0B7CDA">
            <w:pPr>
              <w:widowControl/>
              <w:jc w:val="center"/>
              <w:textAlignment w:val="center"/>
              <w:rPr>
                <w:rFonts w:eastAsia="黑体"/>
                <w:color w:val="000000"/>
                <w:sz w:val="24"/>
              </w:rPr>
            </w:pPr>
            <w:r>
              <w:rPr>
                <w:rFonts w:eastAsia="黑体"/>
                <w:color w:val="000000"/>
                <w:kern w:val="0"/>
                <w:sz w:val="24"/>
              </w:rPr>
              <w:t>投资     （亿元）</w:t>
            </w:r>
          </w:p>
        </w:tc>
        <w:tc>
          <w:tcPr>
            <w:tcW w:w="47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E2F23E">
            <w:pPr>
              <w:widowControl/>
              <w:jc w:val="center"/>
              <w:textAlignment w:val="center"/>
              <w:rPr>
                <w:rFonts w:eastAsia="黑体"/>
                <w:color w:val="000000"/>
                <w:sz w:val="24"/>
              </w:rPr>
            </w:pPr>
            <w:r>
              <w:rPr>
                <w:rFonts w:eastAsia="黑体"/>
                <w:color w:val="000000"/>
                <w:kern w:val="0"/>
                <w:sz w:val="24"/>
              </w:rPr>
              <w:t>完工</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FE47FF5">
            <w:pPr>
              <w:widowControl/>
              <w:jc w:val="center"/>
              <w:textAlignment w:val="center"/>
              <w:rPr>
                <w:rFonts w:eastAsia="黑体"/>
                <w:color w:val="000000"/>
                <w:kern w:val="0"/>
                <w:sz w:val="24"/>
              </w:rPr>
            </w:pPr>
            <w:r>
              <w:rPr>
                <w:rFonts w:eastAsia="黑体"/>
                <w:color w:val="000000"/>
                <w:kern w:val="0"/>
                <w:sz w:val="24"/>
              </w:rPr>
              <w:t>项目</w:t>
            </w:r>
          </w:p>
          <w:p w14:paraId="2E19AD6E">
            <w:pPr>
              <w:widowControl/>
              <w:jc w:val="center"/>
              <w:textAlignment w:val="center"/>
              <w:rPr>
                <w:rFonts w:eastAsia="黑体"/>
                <w:color w:val="000000"/>
                <w:sz w:val="24"/>
              </w:rPr>
            </w:pPr>
            <w:r>
              <w:rPr>
                <w:rFonts w:eastAsia="黑体"/>
                <w:color w:val="000000"/>
                <w:kern w:val="0"/>
                <w:sz w:val="24"/>
              </w:rPr>
              <w:t>完工率</w:t>
            </w:r>
          </w:p>
        </w:tc>
        <w:tc>
          <w:tcPr>
            <w:tcW w:w="48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2D86A3">
            <w:pPr>
              <w:widowControl/>
              <w:jc w:val="center"/>
              <w:textAlignment w:val="center"/>
              <w:rPr>
                <w:rFonts w:eastAsia="黑体"/>
                <w:color w:val="000000"/>
                <w:sz w:val="24"/>
              </w:rPr>
            </w:pPr>
            <w:r>
              <w:rPr>
                <w:rFonts w:eastAsia="黑体"/>
                <w:color w:val="000000"/>
                <w:kern w:val="0"/>
                <w:sz w:val="24"/>
              </w:rPr>
              <w:t>在建</w:t>
            </w:r>
          </w:p>
        </w:tc>
        <w:tc>
          <w:tcPr>
            <w:tcW w:w="53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CB16AF">
            <w:pPr>
              <w:widowControl/>
              <w:jc w:val="center"/>
              <w:textAlignment w:val="center"/>
              <w:rPr>
                <w:rFonts w:eastAsia="黑体"/>
                <w:color w:val="000000"/>
                <w:sz w:val="24"/>
              </w:rPr>
            </w:pPr>
            <w:r>
              <w:rPr>
                <w:rFonts w:eastAsia="黑体"/>
                <w:color w:val="000000"/>
                <w:kern w:val="0"/>
                <w:sz w:val="24"/>
              </w:rPr>
              <w:t>前期</w:t>
            </w:r>
          </w:p>
        </w:tc>
        <w:tc>
          <w:tcPr>
            <w:tcW w:w="5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DCDC03E">
            <w:pPr>
              <w:widowControl/>
              <w:jc w:val="center"/>
              <w:textAlignment w:val="center"/>
              <w:rPr>
                <w:rFonts w:eastAsia="黑体"/>
                <w:color w:val="000000"/>
                <w:sz w:val="24"/>
              </w:rPr>
            </w:pPr>
            <w:r>
              <w:rPr>
                <w:rFonts w:eastAsia="黑体"/>
                <w:color w:val="000000"/>
                <w:kern w:val="0"/>
                <w:sz w:val="24"/>
              </w:rPr>
              <w:t>暂缓实施</w:t>
            </w:r>
          </w:p>
        </w:tc>
        <w:tc>
          <w:tcPr>
            <w:tcW w:w="56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FE14872">
            <w:pPr>
              <w:widowControl/>
              <w:jc w:val="center"/>
              <w:textAlignment w:val="center"/>
              <w:rPr>
                <w:rFonts w:eastAsia="黑体"/>
                <w:color w:val="000000"/>
                <w:sz w:val="24"/>
              </w:rPr>
            </w:pPr>
            <w:r>
              <w:rPr>
                <w:rFonts w:eastAsia="黑体"/>
                <w:color w:val="000000"/>
                <w:kern w:val="0"/>
                <w:sz w:val="24"/>
              </w:rPr>
              <w:t>取消建设</w:t>
            </w:r>
          </w:p>
        </w:tc>
        <w:tc>
          <w:tcPr>
            <w:tcW w:w="12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B02C29">
            <w:pPr>
              <w:widowControl/>
              <w:jc w:val="center"/>
              <w:textAlignment w:val="center"/>
              <w:rPr>
                <w:rFonts w:eastAsia="黑体"/>
                <w:color w:val="000000"/>
                <w:kern w:val="0"/>
                <w:sz w:val="24"/>
              </w:rPr>
            </w:pPr>
            <w:r>
              <w:rPr>
                <w:rFonts w:eastAsia="黑体"/>
                <w:color w:val="000000"/>
                <w:kern w:val="0"/>
                <w:sz w:val="24"/>
              </w:rPr>
              <w:t>“十三五”期间累计</w:t>
            </w:r>
          </w:p>
          <w:p w14:paraId="11F68137">
            <w:pPr>
              <w:widowControl/>
              <w:jc w:val="center"/>
              <w:textAlignment w:val="center"/>
              <w:rPr>
                <w:rFonts w:eastAsia="黑体"/>
                <w:color w:val="000000"/>
                <w:kern w:val="0"/>
                <w:sz w:val="24"/>
              </w:rPr>
            </w:pPr>
            <w:r>
              <w:rPr>
                <w:rFonts w:eastAsia="黑体"/>
                <w:color w:val="000000"/>
                <w:kern w:val="0"/>
                <w:sz w:val="24"/>
              </w:rPr>
              <w:t>完成投资</w:t>
            </w:r>
          </w:p>
          <w:p w14:paraId="757FAA72">
            <w:pPr>
              <w:widowControl/>
              <w:jc w:val="center"/>
              <w:textAlignment w:val="center"/>
              <w:rPr>
                <w:rFonts w:eastAsia="黑体"/>
                <w:color w:val="000000"/>
                <w:sz w:val="24"/>
              </w:rPr>
            </w:pPr>
            <w:r>
              <w:rPr>
                <w:rFonts w:eastAsia="黑体"/>
                <w:color w:val="000000"/>
                <w:kern w:val="0"/>
                <w:sz w:val="24"/>
              </w:rPr>
              <w:t>（亿元）</w:t>
            </w:r>
          </w:p>
        </w:tc>
      </w:tr>
      <w:tr w14:paraId="1A97578E">
        <w:tblPrEx>
          <w:tblCellMar>
            <w:top w:w="0" w:type="dxa"/>
            <w:left w:w="0" w:type="dxa"/>
            <w:bottom w:w="0" w:type="dxa"/>
            <w:right w:w="0" w:type="dxa"/>
          </w:tblCellMar>
        </w:tblPrEx>
        <w:trPr>
          <w:trHeight w:val="454" w:hRule="atLeast"/>
          <w:jc w:val="center"/>
        </w:trPr>
        <w:tc>
          <w:tcPr>
            <w:tcW w:w="1646"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520432">
            <w:pPr>
              <w:widowControl/>
              <w:jc w:val="center"/>
              <w:textAlignment w:val="center"/>
              <w:rPr>
                <w:rFonts w:eastAsia="仿宋_GB2312"/>
                <w:b/>
                <w:color w:val="000000"/>
                <w:sz w:val="20"/>
                <w:szCs w:val="20"/>
              </w:rPr>
            </w:pPr>
            <w:r>
              <w:rPr>
                <w:rFonts w:eastAsia="仿宋_GB2312"/>
                <w:b/>
                <w:color w:val="000000"/>
                <w:kern w:val="0"/>
                <w:sz w:val="20"/>
                <w:szCs w:val="20"/>
              </w:rPr>
              <w:t>合计</w:t>
            </w:r>
          </w:p>
        </w:tc>
        <w:tc>
          <w:tcPr>
            <w:tcW w:w="5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8B7BEE">
            <w:pPr>
              <w:widowControl/>
              <w:jc w:val="center"/>
              <w:textAlignment w:val="center"/>
              <w:rPr>
                <w:b/>
                <w:color w:val="000000"/>
                <w:sz w:val="20"/>
                <w:szCs w:val="20"/>
              </w:rPr>
            </w:pPr>
            <w:r>
              <w:rPr>
                <w:b/>
                <w:color w:val="000000"/>
                <w:kern w:val="0"/>
                <w:sz w:val="20"/>
                <w:szCs w:val="20"/>
              </w:rPr>
              <w:t>285</w:t>
            </w:r>
          </w:p>
        </w:tc>
        <w:tc>
          <w:tcPr>
            <w:tcW w:w="58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2D7C87">
            <w:pPr>
              <w:widowControl/>
              <w:jc w:val="center"/>
              <w:textAlignment w:val="center"/>
              <w:rPr>
                <w:b/>
                <w:color w:val="000000"/>
                <w:sz w:val="20"/>
                <w:szCs w:val="20"/>
              </w:rPr>
            </w:pPr>
            <w:r>
              <w:rPr>
                <w:b/>
                <w:color w:val="000000"/>
                <w:kern w:val="0"/>
                <w:sz w:val="20"/>
                <w:szCs w:val="20"/>
              </w:rPr>
              <w:t>20</w:t>
            </w:r>
          </w:p>
        </w:tc>
        <w:tc>
          <w:tcPr>
            <w:tcW w:w="46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F131B4">
            <w:pPr>
              <w:widowControl/>
              <w:jc w:val="center"/>
              <w:textAlignment w:val="center"/>
              <w:rPr>
                <w:b/>
                <w:color w:val="000000"/>
                <w:sz w:val="20"/>
                <w:szCs w:val="20"/>
              </w:rPr>
            </w:pPr>
            <w:r>
              <w:rPr>
                <w:b/>
                <w:color w:val="000000"/>
                <w:kern w:val="0"/>
                <w:sz w:val="20"/>
                <w:szCs w:val="20"/>
              </w:rPr>
              <w:t>265</w:t>
            </w:r>
          </w:p>
        </w:tc>
        <w:tc>
          <w:tcPr>
            <w:tcW w:w="97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486903">
            <w:pPr>
              <w:widowControl/>
              <w:jc w:val="center"/>
              <w:textAlignment w:val="center"/>
              <w:rPr>
                <w:b/>
                <w:color w:val="000000"/>
                <w:sz w:val="20"/>
                <w:szCs w:val="20"/>
              </w:rPr>
            </w:pPr>
            <w:r>
              <w:rPr>
                <w:b/>
                <w:color w:val="000000"/>
                <w:kern w:val="0"/>
                <w:sz w:val="20"/>
                <w:szCs w:val="20"/>
              </w:rPr>
              <w:t xml:space="preserve">472.88 </w:t>
            </w:r>
          </w:p>
        </w:tc>
        <w:tc>
          <w:tcPr>
            <w:tcW w:w="47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129791">
            <w:pPr>
              <w:widowControl/>
              <w:jc w:val="center"/>
              <w:textAlignment w:val="center"/>
              <w:rPr>
                <w:b/>
                <w:color w:val="000000"/>
                <w:sz w:val="20"/>
                <w:szCs w:val="20"/>
              </w:rPr>
            </w:pPr>
            <w:r>
              <w:rPr>
                <w:b/>
                <w:color w:val="000000"/>
                <w:kern w:val="0"/>
                <w:sz w:val="20"/>
                <w:szCs w:val="20"/>
              </w:rPr>
              <w:t>126</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2FABD8">
            <w:pPr>
              <w:widowControl/>
              <w:jc w:val="center"/>
              <w:textAlignment w:val="center"/>
              <w:rPr>
                <w:b/>
                <w:color w:val="000000"/>
                <w:sz w:val="20"/>
                <w:szCs w:val="20"/>
              </w:rPr>
            </w:pPr>
            <w:r>
              <w:rPr>
                <w:b/>
                <w:color w:val="000000"/>
                <w:kern w:val="0"/>
                <w:sz w:val="20"/>
                <w:szCs w:val="20"/>
              </w:rPr>
              <w:t>44.21%</w:t>
            </w:r>
          </w:p>
        </w:tc>
        <w:tc>
          <w:tcPr>
            <w:tcW w:w="48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342BD2">
            <w:pPr>
              <w:widowControl/>
              <w:jc w:val="center"/>
              <w:textAlignment w:val="center"/>
              <w:rPr>
                <w:b/>
                <w:color w:val="000000"/>
                <w:sz w:val="20"/>
                <w:szCs w:val="20"/>
              </w:rPr>
            </w:pPr>
            <w:r>
              <w:rPr>
                <w:b/>
                <w:color w:val="000000"/>
                <w:kern w:val="0"/>
                <w:sz w:val="20"/>
                <w:szCs w:val="20"/>
              </w:rPr>
              <w:t>24</w:t>
            </w:r>
          </w:p>
        </w:tc>
        <w:tc>
          <w:tcPr>
            <w:tcW w:w="53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505EBA">
            <w:pPr>
              <w:widowControl/>
              <w:jc w:val="center"/>
              <w:textAlignment w:val="center"/>
              <w:rPr>
                <w:b/>
                <w:color w:val="000000"/>
                <w:sz w:val="20"/>
                <w:szCs w:val="20"/>
              </w:rPr>
            </w:pPr>
            <w:r>
              <w:rPr>
                <w:b/>
                <w:color w:val="000000"/>
                <w:kern w:val="0"/>
                <w:sz w:val="20"/>
                <w:szCs w:val="20"/>
              </w:rPr>
              <w:t>58</w:t>
            </w:r>
          </w:p>
        </w:tc>
        <w:tc>
          <w:tcPr>
            <w:tcW w:w="5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FE32C3">
            <w:pPr>
              <w:widowControl/>
              <w:jc w:val="center"/>
              <w:textAlignment w:val="center"/>
              <w:rPr>
                <w:b/>
                <w:color w:val="000000"/>
                <w:sz w:val="20"/>
                <w:szCs w:val="20"/>
              </w:rPr>
            </w:pPr>
            <w:r>
              <w:rPr>
                <w:b/>
                <w:color w:val="000000"/>
                <w:kern w:val="0"/>
                <w:sz w:val="20"/>
                <w:szCs w:val="20"/>
              </w:rPr>
              <w:t>55</w:t>
            </w:r>
          </w:p>
        </w:tc>
        <w:tc>
          <w:tcPr>
            <w:tcW w:w="56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34B084">
            <w:pPr>
              <w:widowControl/>
              <w:jc w:val="center"/>
              <w:textAlignment w:val="center"/>
              <w:rPr>
                <w:b/>
                <w:color w:val="000000"/>
                <w:sz w:val="20"/>
                <w:szCs w:val="20"/>
              </w:rPr>
            </w:pPr>
            <w:r>
              <w:rPr>
                <w:b/>
                <w:color w:val="000000"/>
                <w:kern w:val="0"/>
                <w:sz w:val="20"/>
                <w:szCs w:val="20"/>
              </w:rPr>
              <w:t>22</w:t>
            </w:r>
          </w:p>
        </w:tc>
        <w:tc>
          <w:tcPr>
            <w:tcW w:w="12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5DCBAC">
            <w:pPr>
              <w:widowControl/>
              <w:jc w:val="center"/>
              <w:textAlignment w:val="center"/>
              <w:rPr>
                <w:b/>
                <w:color w:val="000000"/>
                <w:sz w:val="20"/>
                <w:szCs w:val="20"/>
              </w:rPr>
            </w:pPr>
            <w:r>
              <w:rPr>
                <w:b/>
                <w:color w:val="000000"/>
                <w:kern w:val="0"/>
                <w:sz w:val="20"/>
                <w:szCs w:val="20"/>
              </w:rPr>
              <w:t>226.24</w:t>
            </w:r>
          </w:p>
        </w:tc>
      </w:tr>
      <w:tr w14:paraId="34928822">
        <w:tblPrEx>
          <w:tblCellMar>
            <w:top w:w="0" w:type="dxa"/>
            <w:left w:w="0" w:type="dxa"/>
            <w:bottom w:w="0" w:type="dxa"/>
            <w:right w:w="0" w:type="dxa"/>
          </w:tblCellMar>
        </w:tblPrEx>
        <w:trPr>
          <w:trHeight w:val="454" w:hRule="atLeast"/>
          <w:jc w:val="center"/>
        </w:trPr>
        <w:tc>
          <w:tcPr>
            <w:tcW w:w="1646"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DC437B">
            <w:pPr>
              <w:widowControl/>
              <w:jc w:val="center"/>
              <w:textAlignment w:val="center"/>
              <w:rPr>
                <w:rFonts w:eastAsia="仿宋_GB2312"/>
                <w:b/>
                <w:color w:val="000000"/>
                <w:sz w:val="20"/>
                <w:szCs w:val="20"/>
              </w:rPr>
            </w:pPr>
            <w:r>
              <w:rPr>
                <w:rFonts w:eastAsia="仿宋_GB2312"/>
                <w:b/>
                <w:color w:val="000000"/>
                <w:kern w:val="0"/>
                <w:sz w:val="20"/>
                <w:szCs w:val="20"/>
              </w:rPr>
              <w:t>一、区级建设项目</w:t>
            </w:r>
          </w:p>
        </w:tc>
        <w:tc>
          <w:tcPr>
            <w:tcW w:w="5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251DB8">
            <w:pPr>
              <w:widowControl/>
              <w:jc w:val="center"/>
              <w:textAlignment w:val="center"/>
              <w:rPr>
                <w:b/>
                <w:color w:val="000000"/>
                <w:sz w:val="20"/>
                <w:szCs w:val="20"/>
              </w:rPr>
            </w:pPr>
            <w:r>
              <w:rPr>
                <w:b/>
                <w:color w:val="000000"/>
                <w:kern w:val="0"/>
                <w:sz w:val="20"/>
                <w:szCs w:val="20"/>
              </w:rPr>
              <w:t>272</w:t>
            </w:r>
          </w:p>
        </w:tc>
        <w:tc>
          <w:tcPr>
            <w:tcW w:w="58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8FB09B">
            <w:pPr>
              <w:widowControl/>
              <w:jc w:val="center"/>
              <w:textAlignment w:val="center"/>
              <w:rPr>
                <w:b/>
                <w:color w:val="000000"/>
                <w:sz w:val="20"/>
                <w:szCs w:val="20"/>
              </w:rPr>
            </w:pPr>
            <w:r>
              <w:rPr>
                <w:b/>
                <w:color w:val="000000"/>
                <w:kern w:val="0"/>
                <w:sz w:val="20"/>
                <w:szCs w:val="20"/>
              </w:rPr>
              <w:t>20</w:t>
            </w:r>
          </w:p>
        </w:tc>
        <w:tc>
          <w:tcPr>
            <w:tcW w:w="46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AD7809">
            <w:pPr>
              <w:widowControl/>
              <w:jc w:val="center"/>
              <w:textAlignment w:val="center"/>
              <w:rPr>
                <w:b/>
                <w:color w:val="000000"/>
                <w:sz w:val="20"/>
                <w:szCs w:val="20"/>
              </w:rPr>
            </w:pPr>
            <w:r>
              <w:rPr>
                <w:b/>
                <w:color w:val="000000"/>
                <w:kern w:val="0"/>
                <w:sz w:val="20"/>
                <w:szCs w:val="20"/>
              </w:rPr>
              <w:t>252</w:t>
            </w:r>
          </w:p>
        </w:tc>
        <w:tc>
          <w:tcPr>
            <w:tcW w:w="97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5AA86B">
            <w:pPr>
              <w:widowControl/>
              <w:jc w:val="center"/>
              <w:textAlignment w:val="center"/>
              <w:rPr>
                <w:b/>
                <w:color w:val="000000"/>
                <w:sz w:val="20"/>
                <w:szCs w:val="20"/>
              </w:rPr>
            </w:pPr>
            <w:r>
              <w:rPr>
                <w:b/>
                <w:color w:val="000000"/>
                <w:kern w:val="0"/>
                <w:sz w:val="20"/>
                <w:szCs w:val="20"/>
              </w:rPr>
              <w:t xml:space="preserve">276.71 </w:t>
            </w:r>
          </w:p>
        </w:tc>
        <w:tc>
          <w:tcPr>
            <w:tcW w:w="47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F72ACB">
            <w:pPr>
              <w:widowControl/>
              <w:jc w:val="center"/>
              <w:textAlignment w:val="center"/>
              <w:rPr>
                <w:b/>
                <w:color w:val="000000"/>
                <w:sz w:val="20"/>
                <w:szCs w:val="20"/>
              </w:rPr>
            </w:pPr>
            <w:r>
              <w:rPr>
                <w:b/>
                <w:color w:val="000000"/>
                <w:kern w:val="0"/>
                <w:sz w:val="20"/>
                <w:szCs w:val="20"/>
              </w:rPr>
              <w:t>119</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937854">
            <w:pPr>
              <w:widowControl/>
              <w:jc w:val="center"/>
              <w:textAlignment w:val="center"/>
              <w:rPr>
                <w:b/>
                <w:color w:val="000000"/>
                <w:sz w:val="20"/>
                <w:szCs w:val="20"/>
              </w:rPr>
            </w:pPr>
            <w:r>
              <w:rPr>
                <w:b/>
                <w:color w:val="000000"/>
                <w:kern w:val="0"/>
                <w:sz w:val="20"/>
                <w:szCs w:val="20"/>
              </w:rPr>
              <w:t>43.75%</w:t>
            </w:r>
          </w:p>
        </w:tc>
        <w:tc>
          <w:tcPr>
            <w:tcW w:w="48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B60B28">
            <w:pPr>
              <w:widowControl/>
              <w:jc w:val="center"/>
              <w:textAlignment w:val="center"/>
              <w:rPr>
                <w:b/>
                <w:color w:val="000000"/>
                <w:sz w:val="20"/>
                <w:szCs w:val="20"/>
              </w:rPr>
            </w:pPr>
            <w:r>
              <w:rPr>
                <w:b/>
                <w:color w:val="000000"/>
                <w:kern w:val="0"/>
                <w:sz w:val="20"/>
                <w:szCs w:val="20"/>
              </w:rPr>
              <w:t>22</w:t>
            </w:r>
          </w:p>
        </w:tc>
        <w:tc>
          <w:tcPr>
            <w:tcW w:w="53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B03104">
            <w:pPr>
              <w:widowControl/>
              <w:jc w:val="center"/>
              <w:textAlignment w:val="center"/>
              <w:rPr>
                <w:b/>
                <w:color w:val="000000"/>
                <w:sz w:val="20"/>
                <w:szCs w:val="20"/>
              </w:rPr>
            </w:pPr>
            <w:r>
              <w:rPr>
                <w:b/>
                <w:color w:val="000000"/>
                <w:kern w:val="0"/>
                <w:sz w:val="20"/>
                <w:szCs w:val="20"/>
              </w:rPr>
              <w:t>55</w:t>
            </w:r>
          </w:p>
        </w:tc>
        <w:tc>
          <w:tcPr>
            <w:tcW w:w="5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826941">
            <w:pPr>
              <w:widowControl/>
              <w:jc w:val="center"/>
              <w:textAlignment w:val="center"/>
              <w:rPr>
                <w:b/>
                <w:color w:val="000000"/>
                <w:sz w:val="20"/>
                <w:szCs w:val="20"/>
              </w:rPr>
            </w:pPr>
            <w:r>
              <w:rPr>
                <w:b/>
                <w:color w:val="000000"/>
                <w:kern w:val="0"/>
                <w:sz w:val="20"/>
                <w:szCs w:val="20"/>
              </w:rPr>
              <w:t>55</w:t>
            </w:r>
          </w:p>
        </w:tc>
        <w:tc>
          <w:tcPr>
            <w:tcW w:w="56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392C65">
            <w:pPr>
              <w:widowControl/>
              <w:jc w:val="center"/>
              <w:textAlignment w:val="center"/>
              <w:rPr>
                <w:b/>
                <w:color w:val="000000"/>
                <w:sz w:val="20"/>
                <w:szCs w:val="20"/>
              </w:rPr>
            </w:pPr>
            <w:r>
              <w:rPr>
                <w:b/>
                <w:color w:val="000000"/>
                <w:kern w:val="0"/>
                <w:sz w:val="20"/>
                <w:szCs w:val="20"/>
              </w:rPr>
              <w:t>21</w:t>
            </w:r>
          </w:p>
        </w:tc>
        <w:tc>
          <w:tcPr>
            <w:tcW w:w="12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DF94E5">
            <w:pPr>
              <w:widowControl/>
              <w:jc w:val="center"/>
              <w:textAlignment w:val="center"/>
              <w:rPr>
                <w:b/>
                <w:color w:val="000000"/>
                <w:sz w:val="20"/>
                <w:szCs w:val="20"/>
              </w:rPr>
            </w:pPr>
            <w:r>
              <w:rPr>
                <w:b/>
                <w:color w:val="000000"/>
                <w:kern w:val="0"/>
                <w:sz w:val="20"/>
                <w:szCs w:val="20"/>
              </w:rPr>
              <w:t>88.24</w:t>
            </w:r>
          </w:p>
        </w:tc>
      </w:tr>
      <w:tr w14:paraId="0108B1CF">
        <w:tblPrEx>
          <w:tblCellMar>
            <w:top w:w="0" w:type="dxa"/>
            <w:left w:w="0" w:type="dxa"/>
            <w:bottom w:w="0" w:type="dxa"/>
            <w:right w:w="0" w:type="dxa"/>
          </w:tblCellMar>
        </w:tblPrEx>
        <w:trPr>
          <w:trHeight w:val="454" w:hRule="atLeast"/>
          <w:jc w:val="center"/>
        </w:trPr>
        <w:tc>
          <w:tcPr>
            <w:tcW w:w="66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B0C85F">
            <w:pPr>
              <w:widowControl/>
              <w:jc w:val="center"/>
              <w:textAlignment w:val="center"/>
              <w:rPr>
                <w:color w:val="000000"/>
                <w:sz w:val="20"/>
                <w:szCs w:val="20"/>
              </w:rPr>
            </w:pPr>
            <w:r>
              <w:rPr>
                <w:color w:val="000000"/>
                <w:kern w:val="0"/>
                <w:sz w:val="20"/>
                <w:szCs w:val="20"/>
              </w:rPr>
              <w:t>1</w:t>
            </w:r>
          </w:p>
        </w:tc>
        <w:tc>
          <w:tcPr>
            <w:tcW w:w="98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9BA4F4">
            <w:pPr>
              <w:widowControl/>
              <w:jc w:val="left"/>
              <w:textAlignment w:val="center"/>
              <w:rPr>
                <w:color w:val="000000"/>
                <w:sz w:val="20"/>
                <w:szCs w:val="20"/>
              </w:rPr>
            </w:pPr>
            <w:r>
              <w:rPr>
                <w:rFonts w:eastAsia="仿宋_GB2312"/>
                <w:color w:val="000000"/>
                <w:kern w:val="0"/>
                <w:sz w:val="20"/>
                <w:szCs w:val="20"/>
              </w:rPr>
              <w:t>农业及农村基础设施</w:t>
            </w:r>
          </w:p>
        </w:tc>
        <w:tc>
          <w:tcPr>
            <w:tcW w:w="5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EB8DE8">
            <w:pPr>
              <w:widowControl/>
              <w:jc w:val="center"/>
              <w:textAlignment w:val="center"/>
              <w:rPr>
                <w:color w:val="000000"/>
                <w:sz w:val="20"/>
                <w:szCs w:val="20"/>
              </w:rPr>
            </w:pPr>
            <w:r>
              <w:rPr>
                <w:color w:val="000000"/>
                <w:kern w:val="0"/>
                <w:sz w:val="20"/>
                <w:szCs w:val="20"/>
              </w:rPr>
              <w:t>43</w:t>
            </w:r>
          </w:p>
        </w:tc>
        <w:tc>
          <w:tcPr>
            <w:tcW w:w="58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3BDE57">
            <w:pPr>
              <w:widowControl/>
              <w:jc w:val="center"/>
              <w:textAlignment w:val="center"/>
              <w:rPr>
                <w:color w:val="000000"/>
                <w:sz w:val="20"/>
                <w:szCs w:val="20"/>
              </w:rPr>
            </w:pPr>
            <w:r>
              <w:rPr>
                <w:color w:val="000000"/>
                <w:kern w:val="0"/>
                <w:sz w:val="20"/>
                <w:szCs w:val="20"/>
              </w:rPr>
              <w:t>3</w:t>
            </w:r>
          </w:p>
        </w:tc>
        <w:tc>
          <w:tcPr>
            <w:tcW w:w="46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94FEFD">
            <w:pPr>
              <w:widowControl/>
              <w:jc w:val="center"/>
              <w:textAlignment w:val="center"/>
              <w:rPr>
                <w:color w:val="000000"/>
                <w:sz w:val="20"/>
                <w:szCs w:val="20"/>
              </w:rPr>
            </w:pPr>
            <w:r>
              <w:rPr>
                <w:color w:val="000000"/>
                <w:kern w:val="0"/>
                <w:sz w:val="20"/>
                <w:szCs w:val="20"/>
              </w:rPr>
              <w:t>40</w:t>
            </w:r>
          </w:p>
        </w:tc>
        <w:tc>
          <w:tcPr>
            <w:tcW w:w="97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142B5C">
            <w:pPr>
              <w:widowControl/>
              <w:jc w:val="center"/>
              <w:textAlignment w:val="center"/>
              <w:rPr>
                <w:color w:val="000000"/>
                <w:sz w:val="20"/>
                <w:szCs w:val="20"/>
              </w:rPr>
            </w:pPr>
            <w:r>
              <w:rPr>
                <w:color w:val="000000"/>
                <w:kern w:val="0"/>
                <w:sz w:val="20"/>
                <w:szCs w:val="20"/>
              </w:rPr>
              <w:t xml:space="preserve">35.64 </w:t>
            </w:r>
          </w:p>
        </w:tc>
        <w:tc>
          <w:tcPr>
            <w:tcW w:w="47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D59DE3">
            <w:pPr>
              <w:widowControl/>
              <w:jc w:val="center"/>
              <w:textAlignment w:val="center"/>
              <w:rPr>
                <w:color w:val="000000"/>
                <w:sz w:val="20"/>
                <w:szCs w:val="20"/>
              </w:rPr>
            </w:pPr>
            <w:r>
              <w:rPr>
                <w:color w:val="000000"/>
                <w:kern w:val="0"/>
                <w:sz w:val="20"/>
                <w:szCs w:val="20"/>
              </w:rPr>
              <w:t>33</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266EE5">
            <w:pPr>
              <w:widowControl/>
              <w:jc w:val="center"/>
              <w:textAlignment w:val="center"/>
              <w:rPr>
                <w:color w:val="000000"/>
                <w:sz w:val="20"/>
                <w:szCs w:val="20"/>
              </w:rPr>
            </w:pPr>
            <w:r>
              <w:rPr>
                <w:color w:val="000000"/>
                <w:kern w:val="0"/>
                <w:sz w:val="20"/>
                <w:szCs w:val="20"/>
              </w:rPr>
              <w:t>76.74%</w:t>
            </w:r>
          </w:p>
        </w:tc>
        <w:tc>
          <w:tcPr>
            <w:tcW w:w="48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F14939">
            <w:pPr>
              <w:widowControl/>
              <w:jc w:val="center"/>
              <w:textAlignment w:val="center"/>
              <w:rPr>
                <w:color w:val="000000"/>
                <w:sz w:val="20"/>
                <w:szCs w:val="20"/>
              </w:rPr>
            </w:pPr>
            <w:r>
              <w:rPr>
                <w:color w:val="000000"/>
                <w:kern w:val="0"/>
                <w:sz w:val="20"/>
                <w:szCs w:val="20"/>
              </w:rPr>
              <w:t>4</w:t>
            </w:r>
          </w:p>
        </w:tc>
        <w:tc>
          <w:tcPr>
            <w:tcW w:w="53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1CEA65">
            <w:pPr>
              <w:widowControl/>
              <w:jc w:val="center"/>
              <w:textAlignment w:val="center"/>
              <w:rPr>
                <w:color w:val="000000"/>
                <w:sz w:val="20"/>
                <w:szCs w:val="20"/>
              </w:rPr>
            </w:pPr>
            <w:r>
              <w:rPr>
                <w:color w:val="000000"/>
                <w:kern w:val="0"/>
                <w:sz w:val="20"/>
                <w:szCs w:val="20"/>
              </w:rPr>
              <w:t>—</w:t>
            </w:r>
          </w:p>
        </w:tc>
        <w:tc>
          <w:tcPr>
            <w:tcW w:w="5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923E15">
            <w:pPr>
              <w:widowControl/>
              <w:jc w:val="center"/>
              <w:textAlignment w:val="center"/>
              <w:rPr>
                <w:color w:val="000000"/>
                <w:sz w:val="20"/>
                <w:szCs w:val="20"/>
              </w:rPr>
            </w:pPr>
            <w:r>
              <w:rPr>
                <w:color w:val="000000"/>
                <w:kern w:val="0"/>
                <w:sz w:val="20"/>
                <w:szCs w:val="20"/>
              </w:rPr>
              <w:t>1</w:t>
            </w:r>
          </w:p>
        </w:tc>
        <w:tc>
          <w:tcPr>
            <w:tcW w:w="56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93010E">
            <w:pPr>
              <w:widowControl/>
              <w:jc w:val="center"/>
              <w:textAlignment w:val="center"/>
              <w:rPr>
                <w:color w:val="000000"/>
                <w:sz w:val="20"/>
                <w:szCs w:val="20"/>
              </w:rPr>
            </w:pPr>
            <w:r>
              <w:rPr>
                <w:color w:val="000000"/>
                <w:kern w:val="0"/>
                <w:sz w:val="20"/>
                <w:szCs w:val="20"/>
              </w:rPr>
              <w:t>5</w:t>
            </w:r>
          </w:p>
        </w:tc>
        <w:tc>
          <w:tcPr>
            <w:tcW w:w="12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1746A3">
            <w:pPr>
              <w:widowControl/>
              <w:jc w:val="center"/>
              <w:textAlignment w:val="center"/>
              <w:rPr>
                <w:color w:val="000000"/>
                <w:sz w:val="20"/>
                <w:szCs w:val="20"/>
              </w:rPr>
            </w:pPr>
            <w:r>
              <w:rPr>
                <w:color w:val="000000"/>
                <w:kern w:val="0"/>
                <w:sz w:val="20"/>
                <w:szCs w:val="20"/>
              </w:rPr>
              <w:t>13.32</w:t>
            </w:r>
          </w:p>
        </w:tc>
      </w:tr>
      <w:tr w14:paraId="6B4EF768">
        <w:tblPrEx>
          <w:tblCellMar>
            <w:top w:w="0" w:type="dxa"/>
            <w:left w:w="0" w:type="dxa"/>
            <w:bottom w:w="0" w:type="dxa"/>
            <w:right w:w="0" w:type="dxa"/>
          </w:tblCellMar>
        </w:tblPrEx>
        <w:trPr>
          <w:trHeight w:val="454" w:hRule="atLeast"/>
          <w:jc w:val="center"/>
        </w:trPr>
        <w:tc>
          <w:tcPr>
            <w:tcW w:w="66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429FAD">
            <w:pPr>
              <w:widowControl/>
              <w:jc w:val="center"/>
              <w:textAlignment w:val="center"/>
              <w:rPr>
                <w:color w:val="000000"/>
                <w:sz w:val="20"/>
                <w:szCs w:val="20"/>
              </w:rPr>
            </w:pPr>
            <w:r>
              <w:rPr>
                <w:color w:val="000000"/>
                <w:kern w:val="0"/>
                <w:sz w:val="20"/>
                <w:szCs w:val="20"/>
              </w:rPr>
              <w:t>2</w:t>
            </w:r>
          </w:p>
        </w:tc>
        <w:tc>
          <w:tcPr>
            <w:tcW w:w="98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011A73">
            <w:pPr>
              <w:widowControl/>
              <w:jc w:val="left"/>
              <w:textAlignment w:val="center"/>
              <w:rPr>
                <w:color w:val="000000"/>
                <w:sz w:val="20"/>
                <w:szCs w:val="20"/>
              </w:rPr>
            </w:pPr>
            <w:r>
              <w:rPr>
                <w:rFonts w:eastAsia="仿宋_GB2312"/>
                <w:color w:val="000000"/>
                <w:kern w:val="0"/>
                <w:sz w:val="20"/>
                <w:szCs w:val="20"/>
              </w:rPr>
              <w:t>生态保护工程</w:t>
            </w:r>
          </w:p>
        </w:tc>
        <w:tc>
          <w:tcPr>
            <w:tcW w:w="5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82CE93">
            <w:pPr>
              <w:widowControl/>
              <w:jc w:val="center"/>
              <w:textAlignment w:val="center"/>
              <w:rPr>
                <w:color w:val="000000"/>
                <w:sz w:val="20"/>
                <w:szCs w:val="20"/>
              </w:rPr>
            </w:pPr>
            <w:r>
              <w:rPr>
                <w:color w:val="000000"/>
                <w:kern w:val="0"/>
                <w:sz w:val="20"/>
                <w:szCs w:val="20"/>
              </w:rPr>
              <w:t>6</w:t>
            </w:r>
          </w:p>
        </w:tc>
        <w:tc>
          <w:tcPr>
            <w:tcW w:w="58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F7DFB6">
            <w:pPr>
              <w:widowControl/>
              <w:jc w:val="center"/>
              <w:textAlignment w:val="center"/>
              <w:rPr>
                <w:color w:val="000000"/>
                <w:sz w:val="20"/>
                <w:szCs w:val="20"/>
              </w:rPr>
            </w:pPr>
            <w:r>
              <w:rPr>
                <w:color w:val="000000"/>
                <w:kern w:val="0"/>
                <w:sz w:val="20"/>
                <w:szCs w:val="20"/>
              </w:rPr>
              <w:t>4</w:t>
            </w:r>
          </w:p>
        </w:tc>
        <w:tc>
          <w:tcPr>
            <w:tcW w:w="46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718BB8">
            <w:pPr>
              <w:widowControl/>
              <w:jc w:val="center"/>
              <w:textAlignment w:val="center"/>
              <w:rPr>
                <w:color w:val="000000"/>
                <w:sz w:val="20"/>
                <w:szCs w:val="20"/>
              </w:rPr>
            </w:pPr>
            <w:r>
              <w:rPr>
                <w:color w:val="000000"/>
                <w:kern w:val="0"/>
                <w:sz w:val="20"/>
                <w:szCs w:val="20"/>
              </w:rPr>
              <w:t>2</w:t>
            </w:r>
          </w:p>
        </w:tc>
        <w:tc>
          <w:tcPr>
            <w:tcW w:w="97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A00A0D">
            <w:pPr>
              <w:widowControl/>
              <w:jc w:val="center"/>
              <w:textAlignment w:val="center"/>
              <w:rPr>
                <w:color w:val="000000"/>
                <w:sz w:val="20"/>
                <w:szCs w:val="20"/>
              </w:rPr>
            </w:pPr>
            <w:r>
              <w:rPr>
                <w:color w:val="000000"/>
                <w:kern w:val="0"/>
                <w:sz w:val="20"/>
                <w:szCs w:val="20"/>
              </w:rPr>
              <w:t xml:space="preserve">6.12 </w:t>
            </w:r>
          </w:p>
        </w:tc>
        <w:tc>
          <w:tcPr>
            <w:tcW w:w="47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131C6F">
            <w:pPr>
              <w:widowControl/>
              <w:jc w:val="center"/>
              <w:textAlignment w:val="center"/>
              <w:rPr>
                <w:color w:val="000000"/>
                <w:sz w:val="20"/>
                <w:szCs w:val="20"/>
              </w:rPr>
            </w:pPr>
            <w:r>
              <w:rPr>
                <w:color w:val="000000"/>
                <w:kern w:val="0"/>
                <w:sz w:val="20"/>
                <w:szCs w:val="20"/>
              </w:rPr>
              <w:t>6</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BC9C52">
            <w:pPr>
              <w:widowControl/>
              <w:jc w:val="center"/>
              <w:textAlignment w:val="center"/>
              <w:rPr>
                <w:color w:val="000000"/>
                <w:sz w:val="20"/>
                <w:szCs w:val="20"/>
              </w:rPr>
            </w:pPr>
            <w:r>
              <w:rPr>
                <w:color w:val="000000"/>
                <w:kern w:val="0"/>
                <w:sz w:val="20"/>
                <w:szCs w:val="20"/>
              </w:rPr>
              <w:t>100.00%</w:t>
            </w:r>
          </w:p>
        </w:tc>
        <w:tc>
          <w:tcPr>
            <w:tcW w:w="48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E1F73A">
            <w:pPr>
              <w:widowControl/>
              <w:jc w:val="center"/>
              <w:textAlignment w:val="center"/>
              <w:rPr>
                <w:color w:val="000000"/>
                <w:sz w:val="20"/>
                <w:szCs w:val="20"/>
              </w:rPr>
            </w:pPr>
            <w:r>
              <w:rPr>
                <w:color w:val="000000"/>
                <w:kern w:val="0"/>
                <w:sz w:val="20"/>
                <w:szCs w:val="20"/>
              </w:rPr>
              <w:t>—</w:t>
            </w:r>
          </w:p>
        </w:tc>
        <w:tc>
          <w:tcPr>
            <w:tcW w:w="53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BEC534">
            <w:pPr>
              <w:widowControl/>
              <w:jc w:val="center"/>
              <w:textAlignment w:val="center"/>
              <w:rPr>
                <w:color w:val="000000"/>
                <w:sz w:val="20"/>
                <w:szCs w:val="20"/>
              </w:rPr>
            </w:pPr>
            <w:r>
              <w:rPr>
                <w:color w:val="000000"/>
                <w:kern w:val="0"/>
                <w:sz w:val="20"/>
                <w:szCs w:val="20"/>
              </w:rPr>
              <w:t>—</w:t>
            </w:r>
          </w:p>
        </w:tc>
        <w:tc>
          <w:tcPr>
            <w:tcW w:w="5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3EE63B">
            <w:pPr>
              <w:widowControl/>
              <w:jc w:val="center"/>
              <w:textAlignment w:val="center"/>
              <w:rPr>
                <w:color w:val="000000"/>
                <w:sz w:val="20"/>
                <w:szCs w:val="20"/>
              </w:rPr>
            </w:pPr>
            <w:r>
              <w:rPr>
                <w:color w:val="000000"/>
                <w:kern w:val="0"/>
                <w:sz w:val="20"/>
                <w:szCs w:val="20"/>
              </w:rPr>
              <w:t>—</w:t>
            </w:r>
          </w:p>
        </w:tc>
        <w:tc>
          <w:tcPr>
            <w:tcW w:w="56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ADFB19">
            <w:pPr>
              <w:widowControl/>
              <w:jc w:val="center"/>
              <w:textAlignment w:val="center"/>
              <w:rPr>
                <w:color w:val="000000"/>
                <w:sz w:val="20"/>
                <w:szCs w:val="20"/>
              </w:rPr>
            </w:pPr>
            <w:r>
              <w:rPr>
                <w:color w:val="000000"/>
                <w:kern w:val="0"/>
                <w:sz w:val="20"/>
                <w:szCs w:val="20"/>
              </w:rPr>
              <w:t>—</w:t>
            </w:r>
          </w:p>
        </w:tc>
        <w:tc>
          <w:tcPr>
            <w:tcW w:w="12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1EB968">
            <w:pPr>
              <w:widowControl/>
              <w:jc w:val="center"/>
              <w:textAlignment w:val="center"/>
              <w:rPr>
                <w:color w:val="000000"/>
                <w:sz w:val="20"/>
                <w:szCs w:val="20"/>
              </w:rPr>
            </w:pPr>
            <w:r>
              <w:rPr>
                <w:color w:val="000000"/>
                <w:kern w:val="0"/>
                <w:sz w:val="20"/>
                <w:szCs w:val="20"/>
              </w:rPr>
              <w:t>1.59</w:t>
            </w:r>
          </w:p>
        </w:tc>
      </w:tr>
      <w:tr w14:paraId="0A61D782">
        <w:tblPrEx>
          <w:tblCellMar>
            <w:top w:w="0" w:type="dxa"/>
            <w:left w:w="0" w:type="dxa"/>
            <w:bottom w:w="0" w:type="dxa"/>
            <w:right w:w="0" w:type="dxa"/>
          </w:tblCellMar>
        </w:tblPrEx>
        <w:trPr>
          <w:trHeight w:val="454" w:hRule="atLeast"/>
          <w:jc w:val="center"/>
        </w:trPr>
        <w:tc>
          <w:tcPr>
            <w:tcW w:w="66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73F972">
            <w:pPr>
              <w:widowControl/>
              <w:jc w:val="center"/>
              <w:textAlignment w:val="center"/>
              <w:rPr>
                <w:color w:val="000000"/>
                <w:sz w:val="20"/>
                <w:szCs w:val="20"/>
              </w:rPr>
            </w:pPr>
            <w:r>
              <w:rPr>
                <w:color w:val="000000"/>
                <w:kern w:val="0"/>
                <w:sz w:val="20"/>
                <w:szCs w:val="20"/>
              </w:rPr>
              <w:t>3</w:t>
            </w:r>
          </w:p>
        </w:tc>
        <w:tc>
          <w:tcPr>
            <w:tcW w:w="98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6B84453">
            <w:pPr>
              <w:widowControl/>
              <w:jc w:val="left"/>
              <w:textAlignment w:val="center"/>
              <w:rPr>
                <w:color w:val="000000"/>
                <w:sz w:val="20"/>
                <w:szCs w:val="20"/>
              </w:rPr>
            </w:pPr>
            <w:r>
              <w:rPr>
                <w:rFonts w:eastAsia="仿宋_GB2312"/>
                <w:color w:val="000000"/>
                <w:kern w:val="0"/>
                <w:sz w:val="20"/>
                <w:szCs w:val="20"/>
              </w:rPr>
              <w:t>综合交通工程</w:t>
            </w:r>
          </w:p>
        </w:tc>
        <w:tc>
          <w:tcPr>
            <w:tcW w:w="5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78E2E2">
            <w:pPr>
              <w:widowControl/>
              <w:jc w:val="center"/>
              <w:textAlignment w:val="center"/>
              <w:rPr>
                <w:color w:val="000000"/>
                <w:sz w:val="20"/>
                <w:szCs w:val="20"/>
              </w:rPr>
            </w:pPr>
            <w:r>
              <w:rPr>
                <w:color w:val="000000"/>
                <w:kern w:val="0"/>
                <w:sz w:val="20"/>
                <w:szCs w:val="20"/>
              </w:rPr>
              <w:t>76</w:t>
            </w:r>
          </w:p>
        </w:tc>
        <w:tc>
          <w:tcPr>
            <w:tcW w:w="58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C6756D">
            <w:pPr>
              <w:widowControl/>
              <w:jc w:val="center"/>
              <w:textAlignment w:val="center"/>
              <w:rPr>
                <w:color w:val="000000"/>
                <w:sz w:val="20"/>
                <w:szCs w:val="20"/>
              </w:rPr>
            </w:pPr>
            <w:r>
              <w:rPr>
                <w:color w:val="000000"/>
                <w:kern w:val="0"/>
                <w:sz w:val="20"/>
                <w:szCs w:val="20"/>
              </w:rPr>
              <w:t>1</w:t>
            </w:r>
          </w:p>
        </w:tc>
        <w:tc>
          <w:tcPr>
            <w:tcW w:w="46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D0A4D7">
            <w:pPr>
              <w:widowControl/>
              <w:jc w:val="center"/>
              <w:textAlignment w:val="center"/>
              <w:rPr>
                <w:color w:val="000000"/>
                <w:sz w:val="20"/>
                <w:szCs w:val="20"/>
              </w:rPr>
            </w:pPr>
            <w:r>
              <w:rPr>
                <w:color w:val="000000"/>
                <w:kern w:val="0"/>
                <w:sz w:val="20"/>
                <w:szCs w:val="20"/>
              </w:rPr>
              <w:t>75</w:t>
            </w:r>
          </w:p>
        </w:tc>
        <w:tc>
          <w:tcPr>
            <w:tcW w:w="97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43D4C0">
            <w:pPr>
              <w:widowControl/>
              <w:jc w:val="center"/>
              <w:textAlignment w:val="center"/>
              <w:rPr>
                <w:color w:val="000000"/>
                <w:sz w:val="20"/>
                <w:szCs w:val="20"/>
              </w:rPr>
            </w:pPr>
            <w:r>
              <w:rPr>
                <w:color w:val="000000"/>
                <w:kern w:val="0"/>
                <w:sz w:val="20"/>
                <w:szCs w:val="20"/>
              </w:rPr>
              <w:t xml:space="preserve">71.45 </w:t>
            </w:r>
          </w:p>
        </w:tc>
        <w:tc>
          <w:tcPr>
            <w:tcW w:w="47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4CF7EC">
            <w:pPr>
              <w:widowControl/>
              <w:jc w:val="center"/>
              <w:textAlignment w:val="center"/>
              <w:rPr>
                <w:color w:val="000000"/>
                <w:sz w:val="20"/>
                <w:szCs w:val="20"/>
              </w:rPr>
            </w:pPr>
            <w:r>
              <w:rPr>
                <w:color w:val="000000"/>
                <w:kern w:val="0"/>
                <w:sz w:val="20"/>
                <w:szCs w:val="20"/>
              </w:rPr>
              <w:t>22</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1CB911">
            <w:pPr>
              <w:widowControl/>
              <w:jc w:val="center"/>
              <w:textAlignment w:val="center"/>
              <w:rPr>
                <w:color w:val="000000"/>
                <w:sz w:val="20"/>
                <w:szCs w:val="20"/>
              </w:rPr>
            </w:pPr>
            <w:r>
              <w:rPr>
                <w:color w:val="000000"/>
                <w:kern w:val="0"/>
                <w:sz w:val="20"/>
                <w:szCs w:val="20"/>
              </w:rPr>
              <w:t>28.95%</w:t>
            </w:r>
          </w:p>
        </w:tc>
        <w:tc>
          <w:tcPr>
            <w:tcW w:w="48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59A45C">
            <w:pPr>
              <w:widowControl/>
              <w:jc w:val="center"/>
              <w:textAlignment w:val="center"/>
              <w:rPr>
                <w:color w:val="000000"/>
                <w:sz w:val="20"/>
                <w:szCs w:val="20"/>
              </w:rPr>
            </w:pPr>
            <w:r>
              <w:rPr>
                <w:color w:val="000000"/>
                <w:kern w:val="0"/>
                <w:sz w:val="20"/>
                <w:szCs w:val="20"/>
              </w:rPr>
              <w:t>4</w:t>
            </w:r>
          </w:p>
        </w:tc>
        <w:tc>
          <w:tcPr>
            <w:tcW w:w="53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CBF8B1">
            <w:pPr>
              <w:widowControl/>
              <w:jc w:val="center"/>
              <w:textAlignment w:val="center"/>
              <w:rPr>
                <w:color w:val="000000"/>
                <w:sz w:val="20"/>
                <w:szCs w:val="20"/>
              </w:rPr>
            </w:pPr>
            <w:r>
              <w:rPr>
                <w:color w:val="000000"/>
                <w:kern w:val="0"/>
                <w:sz w:val="20"/>
                <w:szCs w:val="20"/>
              </w:rPr>
              <w:t>31</w:t>
            </w:r>
          </w:p>
        </w:tc>
        <w:tc>
          <w:tcPr>
            <w:tcW w:w="5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7093EA">
            <w:pPr>
              <w:widowControl/>
              <w:jc w:val="center"/>
              <w:textAlignment w:val="center"/>
              <w:rPr>
                <w:color w:val="000000"/>
                <w:sz w:val="20"/>
                <w:szCs w:val="20"/>
              </w:rPr>
            </w:pPr>
            <w:r>
              <w:rPr>
                <w:color w:val="000000"/>
                <w:kern w:val="0"/>
                <w:sz w:val="20"/>
                <w:szCs w:val="20"/>
              </w:rPr>
              <w:t>9</w:t>
            </w:r>
          </w:p>
        </w:tc>
        <w:tc>
          <w:tcPr>
            <w:tcW w:w="56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25B6DA">
            <w:pPr>
              <w:widowControl/>
              <w:jc w:val="center"/>
              <w:textAlignment w:val="center"/>
              <w:rPr>
                <w:color w:val="000000"/>
                <w:sz w:val="20"/>
                <w:szCs w:val="20"/>
              </w:rPr>
            </w:pPr>
            <w:r>
              <w:rPr>
                <w:color w:val="000000"/>
                <w:kern w:val="0"/>
                <w:sz w:val="20"/>
                <w:szCs w:val="20"/>
              </w:rPr>
              <w:t>10</w:t>
            </w:r>
          </w:p>
        </w:tc>
        <w:tc>
          <w:tcPr>
            <w:tcW w:w="12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A79C1E">
            <w:pPr>
              <w:widowControl/>
              <w:jc w:val="center"/>
              <w:textAlignment w:val="center"/>
              <w:rPr>
                <w:color w:val="000000"/>
                <w:sz w:val="20"/>
                <w:szCs w:val="20"/>
              </w:rPr>
            </w:pPr>
            <w:r>
              <w:rPr>
                <w:color w:val="000000"/>
                <w:kern w:val="0"/>
                <w:sz w:val="20"/>
                <w:szCs w:val="20"/>
              </w:rPr>
              <w:t>36.33</w:t>
            </w:r>
          </w:p>
        </w:tc>
      </w:tr>
      <w:tr w14:paraId="0B1CCBDF">
        <w:tblPrEx>
          <w:tblCellMar>
            <w:top w:w="0" w:type="dxa"/>
            <w:left w:w="0" w:type="dxa"/>
            <w:bottom w:w="0" w:type="dxa"/>
            <w:right w:w="0" w:type="dxa"/>
          </w:tblCellMar>
        </w:tblPrEx>
        <w:trPr>
          <w:trHeight w:val="454" w:hRule="atLeast"/>
          <w:jc w:val="center"/>
        </w:trPr>
        <w:tc>
          <w:tcPr>
            <w:tcW w:w="66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97E1FB">
            <w:pPr>
              <w:widowControl/>
              <w:jc w:val="center"/>
              <w:textAlignment w:val="center"/>
              <w:rPr>
                <w:color w:val="000000"/>
                <w:sz w:val="20"/>
                <w:szCs w:val="20"/>
              </w:rPr>
            </w:pPr>
            <w:r>
              <w:rPr>
                <w:color w:val="000000"/>
                <w:kern w:val="0"/>
                <w:sz w:val="20"/>
                <w:szCs w:val="20"/>
              </w:rPr>
              <w:t>4</w:t>
            </w:r>
          </w:p>
        </w:tc>
        <w:tc>
          <w:tcPr>
            <w:tcW w:w="98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828CC30">
            <w:pPr>
              <w:widowControl/>
              <w:jc w:val="left"/>
              <w:textAlignment w:val="center"/>
              <w:rPr>
                <w:color w:val="000000"/>
                <w:sz w:val="20"/>
                <w:szCs w:val="20"/>
              </w:rPr>
            </w:pPr>
            <w:r>
              <w:rPr>
                <w:rFonts w:eastAsia="仿宋_GB2312"/>
                <w:color w:val="000000"/>
                <w:kern w:val="0"/>
                <w:sz w:val="20"/>
                <w:szCs w:val="20"/>
              </w:rPr>
              <w:t>城镇基础设施</w:t>
            </w:r>
          </w:p>
        </w:tc>
        <w:tc>
          <w:tcPr>
            <w:tcW w:w="5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B5127B">
            <w:pPr>
              <w:widowControl/>
              <w:jc w:val="center"/>
              <w:textAlignment w:val="center"/>
              <w:rPr>
                <w:color w:val="000000"/>
                <w:sz w:val="20"/>
                <w:szCs w:val="20"/>
              </w:rPr>
            </w:pPr>
            <w:r>
              <w:rPr>
                <w:color w:val="000000"/>
                <w:kern w:val="0"/>
                <w:sz w:val="20"/>
                <w:szCs w:val="20"/>
              </w:rPr>
              <w:t>11</w:t>
            </w:r>
          </w:p>
        </w:tc>
        <w:tc>
          <w:tcPr>
            <w:tcW w:w="58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DBD162">
            <w:pPr>
              <w:widowControl/>
              <w:jc w:val="center"/>
              <w:textAlignment w:val="center"/>
              <w:rPr>
                <w:color w:val="000000"/>
                <w:sz w:val="20"/>
                <w:szCs w:val="20"/>
              </w:rPr>
            </w:pPr>
            <w:r>
              <w:rPr>
                <w:color w:val="000000"/>
                <w:kern w:val="0"/>
                <w:sz w:val="20"/>
                <w:szCs w:val="20"/>
              </w:rPr>
              <w:t>2</w:t>
            </w:r>
          </w:p>
        </w:tc>
        <w:tc>
          <w:tcPr>
            <w:tcW w:w="46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81ADA5">
            <w:pPr>
              <w:widowControl/>
              <w:jc w:val="center"/>
              <w:textAlignment w:val="center"/>
              <w:rPr>
                <w:color w:val="000000"/>
                <w:sz w:val="20"/>
                <w:szCs w:val="20"/>
              </w:rPr>
            </w:pPr>
            <w:r>
              <w:rPr>
                <w:color w:val="000000"/>
                <w:kern w:val="0"/>
                <w:sz w:val="20"/>
                <w:szCs w:val="20"/>
              </w:rPr>
              <w:t>9</w:t>
            </w:r>
          </w:p>
        </w:tc>
        <w:tc>
          <w:tcPr>
            <w:tcW w:w="97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9AA43D">
            <w:pPr>
              <w:widowControl/>
              <w:jc w:val="center"/>
              <w:textAlignment w:val="center"/>
              <w:rPr>
                <w:color w:val="000000"/>
                <w:sz w:val="20"/>
                <w:szCs w:val="20"/>
              </w:rPr>
            </w:pPr>
            <w:r>
              <w:rPr>
                <w:color w:val="000000"/>
                <w:kern w:val="0"/>
                <w:sz w:val="20"/>
                <w:szCs w:val="20"/>
              </w:rPr>
              <w:t xml:space="preserve">8.21 </w:t>
            </w:r>
          </w:p>
        </w:tc>
        <w:tc>
          <w:tcPr>
            <w:tcW w:w="47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BE7322">
            <w:pPr>
              <w:widowControl/>
              <w:jc w:val="center"/>
              <w:textAlignment w:val="center"/>
              <w:rPr>
                <w:color w:val="000000"/>
                <w:sz w:val="20"/>
                <w:szCs w:val="20"/>
              </w:rPr>
            </w:pPr>
            <w:r>
              <w:rPr>
                <w:color w:val="000000"/>
                <w:kern w:val="0"/>
                <w:sz w:val="20"/>
                <w:szCs w:val="20"/>
              </w:rPr>
              <w:t>5</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4CE7B8">
            <w:pPr>
              <w:widowControl/>
              <w:jc w:val="center"/>
              <w:textAlignment w:val="center"/>
              <w:rPr>
                <w:color w:val="000000"/>
                <w:sz w:val="20"/>
                <w:szCs w:val="20"/>
              </w:rPr>
            </w:pPr>
            <w:r>
              <w:rPr>
                <w:color w:val="000000"/>
                <w:kern w:val="0"/>
                <w:sz w:val="20"/>
                <w:szCs w:val="20"/>
              </w:rPr>
              <w:t>45.45%</w:t>
            </w:r>
          </w:p>
        </w:tc>
        <w:tc>
          <w:tcPr>
            <w:tcW w:w="48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9BA7C6">
            <w:pPr>
              <w:widowControl/>
              <w:jc w:val="center"/>
              <w:textAlignment w:val="center"/>
              <w:rPr>
                <w:color w:val="000000"/>
                <w:sz w:val="20"/>
                <w:szCs w:val="20"/>
              </w:rPr>
            </w:pPr>
            <w:r>
              <w:rPr>
                <w:color w:val="000000"/>
                <w:kern w:val="0"/>
                <w:sz w:val="20"/>
                <w:szCs w:val="20"/>
              </w:rPr>
              <w:t>1</w:t>
            </w:r>
          </w:p>
        </w:tc>
        <w:tc>
          <w:tcPr>
            <w:tcW w:w="53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279A76">
            <w:pPr>
              <w:widowControl/>
              <w:jc w:val="center"/>
              <w:textAlignment w:val="center"/>
              <w:rPr>
                <w:color w:val="000000"/>
                <w:sz w:val="20"/>
                <w:szCs w:val="20"/>
              </w:rPr>
            </w:pPr>
            <w:r>
              <w:rPr>
                <w:color w:val="000000"/>
                <w:kern w:val="0"/>
                <w:sz w:val="20"/>
                <w:szCs w:val="20"/>
              </w:rPr>
              <w:t>2</w:t>
            </w:r>
          </w:p>
        </w:tc>
        <w:tc>
          <w:tcPr>
            <w:tcW w:w="5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59F154">
            <w:pPr>
              <w:widowControl/>
              <w:jc w:val="center"/>
              <w:textAlignment w:val="center"/>
              <w:rPr>
                <w:color w:val="000000"/>
                <w:sz w:val="20"/>
                <w:szCs w:val="20"/>
              </w:rPr>
            </w:pPr>
            <w:r>
              <w:rPr>
                <w:color w:val="000000"/>
                <w:kern w:val="0"/>
                <w:sz w:val="20"/>
                <w:szCs w:val="20"/>
              </w:rPr>
              <w:t>—</w:t>
            </w:r>
          </w:p>
        </w:tc>
        <w:tc>
          <w:tcPr>
            <w:tcW w:w="56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A6CB15">
            <w:pPr>
              <w:widowControl/>
              <w:jc w:val="center"/>
              <w:textAlignment w:val="center"/>
              <w:rPr>
                <w:color w:val="000000"/>
                <w:sz w:val="20"/>
                <w:szCs w:val="20"/>
              </w:rPr>
            </w:pPr>
            <w:r>
              <w:rPr>
                <w:color w:val="000000"/>
                <w:kern w:val="0"/>
                <w:sz w:val="20"/>
                <w:szCs w:val="20"/>
              </w:rPr>
              <w:t>3</w:t>
            </w:r>
          </w:p>
        </w:tc>
        <w:tc>
          <w:tcPr>
            <w:tcW w:w="12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70A1C7">
            <w:pPr>
              <w:widowControl/>
              <w:jc w:val="center"/>
              <w:textAlignment w:val="center"/>
              <w:rPr>
                <w:color w:val="000000"/>
                <w:sz w:val="20"/>
                <w:szCs w:val="20"/>
              </w:rPr>
            </w:pPr>
            <w:r>
              <w:rPr>
                <w:color w:val="000000"/>
                <w:kern w:val="0"/>
                <w:sz w:val="20"/>
                <w:szCs w:val="20"/>
              </w:rPr>
              <w:t>10.53</w:t>
            </w:r>
          </w:p>
        </w:tc>
      </w:tr>
      <w:tr w14:paraId="0E8E3518">
        <w:tblPrEx>
          <w:tblCellMar>
            <w:top w:w="0" w:type="dxa"/>
            <w:left w:w="0" w:type="dxa"/>
            <w:bottom w:w="0" w:type="dxa"/>
            <w:right w:w="0" w:type="dxa"/>
          </w:tblCellMar>
        </w:tblPrEx>
        <w:trPr>
          <w:trHeight w:val="454" w:hRule="atLeast"/>
          <w:jc w:val="center"/>
        </w:trPr>
        <w:tc>
          <w:tcPr>
            <w:tcW w:w="66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8D40E6">
            <w:pPr>
              <w:widowControl/>
              <w:jc w:val="center"/>
              <w:textAlignment w:val="center"/>
              <w:rPr>
                <w:color w:val="000000"/>
                <w:sz w:val="20"/>
                <w:szCs w:val="20"/>
              </w:rPr>
            </w:pPr>
            <w:r>
              <w:rPr>
                <w:color w:val="000000"/>
                <w:kern w:val="0"/>
                <w:sz w:val="20"/>
                <w:szCs w:val="20"/>
              </w:rPr>
              <w:t>5</w:t>
            </w:r>
          </w:p>
        </w:tc>
        <w:tc>
          <w:tcPr>
            <w:tcW w:w="98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AD78078">
            <w:pPr>
              <w:widowControl/>
              <w:jc w:val="left"/>
              <w:textAlignment w:val="center"/>
              <w:rPr>
                <w:color w:val="000000"/>
                <w:sz w:val="20"/>
                <w:szCs w:val="20"/>
              </w:rPr>
            </w:pPr>
            <w:r>
              <w:rPr>
                <w:rFonts w:eastAsia="仿宋_GB2312"/>
                <w:color w:val="000000"/>
                <w:kern w:val="0"/>
                <w:sz w:val="20"/>
                <w:szCs w:val="20"/>
              </w:rPr>
              <w:t>社会项目</w:t>
            </w:r>
          </w:p>
        </w:tc>
        <w:tc>
          <w:tcPr>
            <w:tcW w:w="5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394270">
            <w:pPr>
              <w:widowControl/>
              <w:jc w:val="center"/>
              <w:textAlignment w:val="center"/>
              <w:rPr>
                <w:color w:val="000000"/>
                <w:sz w:val="20"/>
                <w:szCs w:val="20"/>
              </w:rPr>
            </w:pPr>
            <w:r>
              <w:rPr>
                <w:color w:val="000000"/>
                <w:kern w:val="0"/>
                <w:sz w:val="20"/>
                <w:szCs w:val="20"/>
              </w:rPr>
              <w:t>123</w:t>
            </w:r>
          </w:p>
        </w:tc>
        <w:tc>
          <w:tcPr>
            <w:tcW w:w="58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D48159">
            <w:pPr>
              <w:widowControl/>
              <w:jc w:val="center"/>
              <w:textAlignment w:val="center"/>
              <w:rPr>
                <w:color w:val="000000"/>
                <w:sz w:val="20"/>
                <w:szCs w:val="20"/>
              </w:rPr>
            </w:pPr>
            <w:r>
              <w:rPr>
                <w:color w:val="000000"/>
                <w:kern w:val="0"/>
                <w:sz w:val="20"/>
                <w:szCs w:val="20"/>
              </w:rPr>
              <w:t>10</w:t>
            </w:r>
          </w:p>
        </w:tc>
        <w:tc>
          <w:tcPr>
            <w:tcW w:w="46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7F4225">
            <w:pPr>
              <w:widowControl/>
              <w:jc w:val="center"/>
              <w:textAlignment w:val="center"/>
              <w:rPr>
                <w:color w:val="000000"/>
                <w:sz w:val="20"/>
                <w:szCs w:val="20"/>
              </w:rPr>
            </w:pPr>
            <w:r>
              <w:rPr>
                <w:color w:val="000000"/>
                <w:kern w:val="0"/>
                <w:sz w:val="20"/>
                <w:szCs w:val="20"/>
              </w:rPr>
              <w:t>113</w:t>
            </w:r>
          </w:p>
        </w:tc>
        <w:tc>
          <w:tcPr>
            <w:tcW w:w="97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182F96">
            <w:pPr>
              <w:widowControl/>
              <w:jc w:val="center"/>
              <w:textAlignment w:val="center"/>
              <w:rPr>
                <w:color w:val="000000"/>
                <w:sz w:val="20"/>
                <w:szCs w:val="20"/>
              </w:rPr>
            </w:pPr>
            <w:r>
              <w:rPr>
                <w:color w:val="000000"/>
                <w:kern w:val="0"/>
                <w:sz w:val="20"/>
                <w:szCs w:val="20"/>
              </w:rPr>
              <w:t xml:space="preserve">152.88 </w:t>
            </w:r>
          </w:p>
        </w:tc>
        <w:tc>
          <w:tcPr>
            <w:tcW w:w="47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878911">
            <w:pPr>
              <w:widowControl/>
              <w:jc w:val="center"/>
              <w:textAlignment w:val="center"/>
              <w:rPr>
                <w:color w:val="000000"/>
                <w:sz w:val="20"/>
                <w:szCs w:val="20"/>
              </w:rPr>
            </w:pPr>
            <w:r>
              <w:rPr>
                <w:color w:val="000000"/>
                <w:kern w:val="0"/>
                <w:sz w:val="20"/>
                <w:szCs w:val="20"/>
              </w:rPr>
              <w:t>50</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FE526A">
            <w:pPr>
              <w:widowControl/>
              <w:jc w:val="center"/>
              <w:textAlignment w:val="center"/>
              <w:rPr>
                <w:color w:val="000000"/>
                <w:sz w:val="20"/>
                <w:szCs w:val="20"/>
              </w:rPr>
            </w:pPr>
            <w:r>
              <w:rPr>
                <w:color w:val="000000"/>
                <w:kern w:val="0"/>
                <w:sz w:val="20"/>
                <w:szCs w:val="20"/>
              </w:rPr>
              <w:t>40.65%</w:t>
            </w:r>
          </w:p>
        </w:tc>
        <w:tc>
          <w:tcPr>
            <w:tcW w:w="48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94A29E">
            <w:pPr>
              <w:widowControl/>
              <w:jc w:val="center"/>
              <w:textAlignment w:val="center"/>
              <w:rPr>
                <w:color w:val="000000"/>
                <w:sz w:val="20"/>
                <w:szCs w:val="20"/>
              </w:rPr>
            </w:pPr>
            <w:r>
              <w:rPr>
                <w:color w:val="000000"/>
                <w:kern w:val="0"/>
                <w:sz w:val="20"/>
                <w:szCs w:val="20"/>
              </w:rPr>
              <w:t>9</w:t>
            </w:r>
          </w:p>
        </w:tc>
        <w:tc>
          <w:tcPr>
            <w:tcW w:w="53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CADACE">
            <w:pPr>
              <w:widowControl/>
              <w:jc w:val="center"/>
              <w:textAlignment w:val="center"/>
              <w:rPr>
                <w:color w:val="000000"/>
                <w:sz w:val="20"/>
                <w:szCs w:val="20"/>
              </w:rPr>
            </w:pPr>
            <w:r>
              <w:rPr>
                <w:color w:val="000000"/>
                <w:kern w:val="0"/>
                <w:sz w:val="20"/>
                <w:szCs w:val="20"/>
              </w:rPr>
              <w:t>16</w:t>
            </w:r>
          </w:p>
        </w:tc>
        <w:tc>
          <w:tcPr>
            <w:tcW w:w="5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523C35">
            <w:pPr>
              <w:widowControl/>
              <w:jc w:val="center"/>
              <w:textAlignment w:val="center"/>
              <w:rPr>
                <w:color w:val="000000"/>
                <w:sz w:val="20"/>
                <w:szCs w:val="20"/>
              </w:rPr>
            </w:pPr>
            <w:r>
              <w:rPr>
                <w:color w:val="000000"/>
                <w:kern w:val="0"/>
                <w:sz w:val="20"/>
                <w:szCs w:val="20"/>
              </w:rPr>
              <w:t>45</w:t>
            </w:r>
          </w:p>
        </w:tc>
        <w:tc>
          <w:tcPr>
            <w:tcW w:w="56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991268">
            <w:pPr>
              <w:widowControl/>
              <w:jc w:val="center"/>
              <w:textAlignment w:val="center"/>
              <w:rPr>
                <w:color w:val="000000"/>
                <w:sz w:val="20"/>
                <w:szCs w:val="20"/>
              </w:rPr>
            </w:pPr>
            <w:r>
              <w:rPr>
                <w:color w:val="000000"/>
                <w:kern w:val="0"/>
                <w:sz w:val="20"/>
                <w:szCs w:val="20"/>
              </w:rPr>
              <w:t>3</w:t>
            </w:r>
          </w:p>
        </w:tc>
        <w:tc>
          <w:tcPr>
            <w:tcW w:w="12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12FF36">
            <w:pPr>
              <w:widowControl/>
              <w:jc w:val="center"/>
              <w:textAlignment w:val="center"/>
              <w:rPr>
                <w:color w:val="000000"/>
                <w:sz w:val="20"/>
                <w:szCs w:val="20"/>
              </w:rPr>
            </w:pPr>
            <w:r>
              <w:rPr>
                <w:color w:val="000000"/>
                <w:kern w:val="0"/>
                <w:sz w:val="20"/>
                <w:szCs w:val="20"/>
              </w:rPr>
              <w:t>25.84</w:t>
            </w:r>
          </w:p>
        </w:tc>
      </w:tr>
      <w:tr w14:paraId="6EDB2055">
        <w:tblPrEx>
          <w:tblCellMar>
            <w:top w:w="0" w:type="dxa"/>
            <w:left w:w="0" w:type="dxa"/>
            <w:bottom w:w="0" w:type="dxa"/>
            <w:right w:w="0" w:type="dxa"/>
          </w:tblCellMar>
        </w:tblPrEx>
        <w:trPr>
          <w:trHeight w:val="454" w:hRule="atLeast"/>
          <w:jc w:val="center"/>
        </w:trPr>
        <w:tc>
          <w:tcPr>
            <w:tcW w:w="66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F81065">
            <w:pPr>
              <w:widowControl/>
              <w:jc w:val="center"/>
              <w:textAlignment w:val="center"/>
              <w:rPr>
                <w:color w:val="000000"/>
                <w:sz w:val="20"/>
                <w:szCs w:val="20"/>
              </w:rPr>
            </w:pPr>
            <w:r>
              <w:rPr>
                <w:color w:val="000000"/>
                <w:kern w:val="0"/>
                <w:sz w:val="20"/>
                <w:szCs w:val="20"/>
              </w:rPr>
              <w:t>6</w:t>
            </w:r>
          </w:p>
        </w:tc>
        <w:tc>
          <w:tcPr>
            <w:tcW w:w="98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80CBE9">
            <w:pPr>
              <w:widowControl/>
              <w:jc w:val="left"/>
              <w:textAlignment w:val="center"/>
              <w:rPr>
                <w:color w:val="000000"/>
                <w:sz w:val="20"/>
                <w:szCs w:val="20"/>
              </w:rPr>
            </w:pPr>
            <w:r>
              <w:rPr>
                <w:rFonts w:eastAsia="仿宋_GB2312"/>
                <w:color w:val="000000"/>
                <w:kern w:val="0"/>
                <w:sz w:val="20"/>
                <w:szCs w:val="20"/>
              </w:rPr>
              <w:t>园区项目</w:t>
            </w:r>
          </w:p>
        </w:tc>
        <w:tc>
          <w:tcPr>
            <w:tcW w:w="5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AE42D3">
            <w:pPr>
              <w:widowControl/>
              <w:jc w:val="center"/>
              <w:textAlignment w:val="center"/>
              <w:rPr>
                <w:color w:val="000000"/>
                <w:sz w:val="20"/>
                <w:szCs w:val="20"/>
              </w:rPr>
            </w:pPr>
            <w:r>
              <w:rPr>
                <w:color w:val="000000"/>
                <w:kern w:val="0"/>
                <w:sz w:val="20"/>
                <w:szCs w:val="20"/>
              </w:rPr>
              <w:t>13</w:t>
            </w:r>
          </w:p>
        </w:tc>
        <w:tc>
          <w:tcPr>
            <w:tcW w:w="58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12A07C">
            <w:pPr>
              <w:widowControl/>
              <w:jc w:val="center"/>
              <w:textAlignment w:val="center"/>
              <w:rPr>
                <w:color w:val="000000"/>
                <w:sz w:val="20"/>
                <w:szCs w:val="20"/>
              </w:rPr>
            </w:pPr>
            <w:r>
              <w:rPr>
                <w:color w:val="000000"/>
                <w:kern w:val="0"/>
                <w:sz w:val="20"/>
                <w:szCs w:val="20"/>
              </w:rPr>
              <w:t>—</w:t>
            </w:r>
          </w:p>
        </w:tc>
        <w:tc>
          <w:tcPr>
            <w:tcW w:w="46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C7BD66">
            <w:pPr>
              <w:widowControl/>
              <w:jc w:val="center"/>
              <w:textAlignment w:val="center"/>
              <w:rPr>
                <w:color w:val="000000"/>
                <w:sz w:val="20"/>
                <w:szCs w:val="20"/>
              </w:rPr>
            </w:pPr>
            <w:r>
              <w:rPr>
                <w:color w:val="000000"/>
                <w:kern w:val="0"/>
                <w:sz w:val="20"/>
                <w:szCs w:val="20"/>
              </w:rPr>
              <w:t>13</w:t>
            </w:r>
          </w:p>
        </w:tc>
        <w:tc>
          <w:tcPr>
            <w:tcW w:w="97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EFCAE5">
            <w:pPr>
              <w:widowControl/>
              <w:jc w:val="center"/>
              <w:textAlignment w:val="center"/>
              <w:rPr>
                <w:color w:val="000000"/>
                <w:sz w:val="20"/>
                <w:szCs w:val="20"/>
              </w:rPr>
            </w:pPr>
            <w:r>
              <w:rPr>
                <w:color w:val="000000"/>
                <w:kern w:val="0"/>
                <w:sz w:val="20"/>
                <w:szCs w:val="20"/>
              </w:rPr>
              <w:t xml:space="preserve">2.40 </w:t>
            </w:r>
          </w:p>
        </w:tc>
        <w:tc>
          <w:tcPr>
            <w:tcW w:w="47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71B89C">
            <w:pPr>
              <w:widowControl/>
              <w:jc w:val="center"/>
              <w:textAlignment w:val="center"/>
              <w:rPr>
                <w:color w:val="000000"/>
                <w:sz w:val="20"/>
                <w:szCs w:val="20"/>
              </w:rPr>
            </w:pPr>
            <w:r>
              <w:rPr>
                <w:color w:val="000000"/>
                <w:kern w:val="0"/>
                <w:sz w:val="20"/>
                <w:szCs w:val="20"/>
              </w:rPr>
              <w:t>3</w:t>
            </w:r>
          </w:p>
        </w:tc>
        <w:tc>
          <w:tcPr>
            <w:tcW w:w="77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42839E">
            <w:pPr>
              <w:widowControl/>
              <w:jc w:val="center"/>
              <w:textAlignment w:val="center"/>
              <w:rPr>
                <w:color w:val="000000"/>
                <w:sz w:val="20"/>
                <w:szCs w:val="20"/>
              </w:rPr>
            </w:pPr>
            <w:r>
              <w:rPr>
                <w:color w:val="000000"/>
                <w:kern w:val="0"/>
                <w:sz w:val="20"/>
                <w:szCs w:val="20"/>
              </w:rPr>
              <w:t>23.08%</w:t>
            </w:r>
          </w:p>
        </w:tc>
        <w:tc>
          <w:tcPr>
            <w:tcW w:w="48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4BA2FF">
            <w:pPr>
              <w:widowControl/>
              <w:jc w:val="center"/>
              <w:textAlignment w:val="center"/>
              <w:rPr>
                <w:color w:val="000000"/>
                <w:sz w:val="20"/>
                <w:szCs w:val="20"/>
              </w:rPr>
            </w:pPr>
            <w:r>
              <w:rPr>
                <w:color w:val="000000"/>
                <w:kern w:val="0"/>
                <w:sz w:val="20"/>
                <w:szCs w:val="20"/>
              </w:rPr>
              <w:t>4</w:t>
            </w:r>
          </w:p>
        </w:tc>
        <w:tc>
          <w:tcPr>
            <w:tcW w:w="53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26A85C5">
            <w:pPr>
              <w:widowControl/>
              <w:jc w:val="center"/>
              <w:textAlignment w:val="center"/>
              <w:rPr>
                <w:color w:val="000000"/>
                <w:sz w:val="20"/>
                <w:szCs w:val="20"/>
              </w:rPr>
            </w:pPr>
            <w:r>
              <w:rPr>
                <w:color w:val="000000"/>
                <w:kern w:val="0"/>
                <w:sz w:val="20"/>
                <w:szCs w:val="20"/>
              </w:rPr>
              <w:t>6</w:t>
            </w:r>
          </w:p>
        </w:tc>
        <w:tc>
          <w:tcPr>
            <w:tcW w:w="5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8222BF">
            <w:pPr>
              <w:widowControl/>
              <w:jc w:val="center"/>
              <w:textAlignment w:val="center"/>
              <w:rPr>
                <w:color w:val="000000"/>
                <w:sz w:val="20"/>
                <w:szCs w:val="20"/>
              </w:rPr>
            </w:pPr>
            <w:r>
              <w:rPr>
                <w:color w:val="000000"/>
                <w:kern w:val="0"/>
                <w:sz w:val="20"/>
                <w:szCs w:val="20"/>
              </w:rPr>
              <w:t>—</w:t>
            </w:r>
          </w:p>
        </w:tc>
        <w:tc>
          <w:tcPr>
            <w:tcW w:w="56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EC1D78">
            <w:pPr>
              <w:widowControl/>
              <w:jc w:val="center"/>
              <w:textAlignment w:val="center"/>
              <w:rPr>
                <w:color w:val="000000"/>
                <w:sz w:val="20"/>
                <w:szCs w:val="20"/>
              </w:rPr>
            </w:pPr>
            <w:r>
              <w:rPr>
                <w:color w:val="000000"/>
                <w:kern w:val="0"/>
                <w:sz w:val="20"/>
                <w:szCs w:val="20"/>
              </w:rPr>
              <w:t>—</w:t>
            </w:r>
          </w:p>
        </w:tc>
        <w:tc>
          <w:tcPr>
            <w:tcW w:w="12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05C6A2">
            <w:pPr>
              <w:widowControl/>
              <w:jc w:val="center"/>
              <w:textAlignment w:val="center"/>
              <w:rPr>
                <w:color w:val="000000"/>
                <w:sz w:val="20"/>
                <w:szCs w:val="20"/>
              </w:rPr>
            </w:pPr>
            <w:r>
              <w:rPr>
                <w:color w:val="000000"/>
                <w:kern w:val="0"/>
                <w:sz w:val="20"/>
                <w:szCs w:val="20"/>
              </w:rPr>
              <w:t>0.63</w:t>
            </w:r>
          </w:p>
        </w:tc>
      </w:tr>
      <w:tr w14:paraId="6730ED1D">
        <w:tblPrEx>
          <w:tblCellMar>
            <w:top w:w="0" w:type="dxa"/>
            <w:left w:w="0" w:type="dxa"/>
            <w:bottom w:w="0" w:type="dxa"/>
            <w:right w:w="0" w:type="dxa"/>
          </w:tblCellMar>
        </w:tblPrEx>
        <w:trPr>
          <w:trHeight w:val="454" w:hRule="atLeast"/>
          <w:jc w:val="center"/>
        </w:trPr>
        <w:tc>
          <w:tcPr>
            <w:tcW w:w="1646"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2372663">
            <w:pPr>
              <w:widowControl/>
              <w:jc w:val="center"/>
              <w:textAlignment w:val="center"/>
              <w:rPr>
                <w:rFonts w:eastAsia="仿宋_GB2312"/>
                <w:b/>
                <w:color w:val="000000"/>
                <w:kern w:val="0"/>
                <w:sz w:val="20"/>
                <w:szCs w:val="20"/>
              </w:rPr>
            </w:pPr>
            <w:r>
              <w:rPr>
                <w:rFonts w:eastAsia="仿宋_GB2312"/>
                <w:b/>
                <w:color w:val="000000"/>
                <w:kern w:val="0"/>
                <w:sz w:val="20"/>
                <w:szCs w:val="20"/>
              </w:rPr>
              <w:t>二、省市主导</w:t>
            </w:r>
          </w:p>
          <w:p w14:paraId="2BC8834C">
            <w:pPr>
              <w:widowControl/>
              <w:jc w:val="center"/>
              <w:textAlignment w:val="center"/>
              <w:rPr>
                <w:rFonts w:eastAsia="仿宋_GB2312"/>
                <w:b/>
                <w:color w:val="000000"/>
                <w:sz w:val="20"/>
                <w:szCs w:val="20"/>
              </w:rPr>
            </w:pPr>
            <w:r>
              <w:rPr>
                <w:rFonts w:eastAsia="仿宋_GB2312"/>
                <w:b/>
                <w:color w:val="000000"/>
                <w:kern w:val="0"/>
                <w:sz w:val="20"/>
                <w:szCs w:val="20"/>
              </w:rPr>
              <w:t>建设项目</w:t>
            </w:r>
          </w:p>
        </w:tc>
        <w:tc>
          <w:tcPr>
            <w:tcW w:w="5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AFCCB0D">
            <w:pPr>
              <w:widowControl/>
              <w:jc w:val="center"/>
              <w:textAlignment w:val="center"/>
              <w:rPr>
                <w:b/>
                <w:color w:val="000000"/>
                <w:sz w:val="20"/>
                <w:szCs w:val="20"/>
              </w:rPr>
            </w:pPr>
            <w:r>
              <w:rPr>
                <w:b/>
                <w:color w:val="000000"/>
                <w:kern w:val="0"/>
                <w:sz w:val="20"/>
                <w:szCs w:val="20"/>
              </w:rPr>
              <w:t>13</w:t>
            </w:r>
          </w:p>
        </w:tc>
        <w:tc>
          <w:tcPr>
            <w:tcW w:w="58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B83AC67">
            <w:pPr>
              <w:widowControl/>
              <w:jc w:val="center"/>
              <w:textAlignment w:val="center"/>
              <w:rPr>
                <w:b/>
                <w:color w:val="000000"/>
                <w:sz w:val="20"/>
                <w:szCs w:val="20"/>
              </w:rPr>
            </w:pPr>
            <w:r>
              <w:rPr>
                <w:color w:val="000000"/>
                <w:kern w:val="0"/>
                <w:sz w:val="20"/>
                <w:szCs w:val="20"/>
              </w:rPr>
              <w:t>—</w:t>
            </w:r>
          </w:p>
        </w:tc>
        <w:tc>
          <w:tcPr>
            <w:tcW w:w="46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A5B53A7">
            <w:pPr>
              <w:widowControl/>
              <w:jc w:val="center"/>
              <w:textAlignment w:val="center"/>
              <w:rPr>
                <w:b/>
                <w:color w:val="000000"/>
                <w:sz w:val="20"/>
                <w:szCs w:val="20"/>
              </w:rPr>
            </w:pPr>
            <w:r>
              <w:rPr>
                <w:b/>
                <w:color w:val="000000"/>
                <w:kern w:val="0"/>
                <w:sz w:val="20"/>
                <w:szCs w:val="20"/>
              </w:rPr>
              <w:t>13</w:t>
            </w:r>
          </w:p>
        </w:tc>
        <w:tc>
          <w:tcPr>
            <w:tcW w:w="97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366645F">
            <w:pPr>
              <w:widowControl/>
              <w:jc w:val="center"/>
              <w:textAlignment w:val="center"/>
              <w:rPr>
                <w:b/>
                <w:color w:val="000000"/>
                <w:sz w:val="20"/>
                <w:szCs w:val="20"/>
              </w:rPr>
            </w:pPr>
            <w:r>
              <w:rPr>
                <w:b/>
                <w:color w:val="000000"/>
                <w:kern w:val="0"/>
                <w:sz w:val="20"/>
                <w:szCs w:val="20"/>
              </w:rPr>
              <w:t xml:space="preserve">196.17 </w:t>
            </w:r>
          </w:p>
        </w:tc>
        <w:tc>
          <w:tcPr>
            <w:tcW w:w="47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E3BA022">
            <w:pPr>
              <w:widowControl/>
              <w:jc w:val="center"/>
              <w:textAlignment w:val="center"/>
              <w:rPr>
                <w:b/>
                <w:color w:val="000000"/>
                <w:sz w:val="20"/>
                <w:szCs w:val="20"/>
              </w:rPr>
            </w:pPr>
            <w:r>
              <w:rPr>
                <w:b/>
                <w:color w:val="000000"/>
                <w:kern w:val="0"/>
                <w:sz w:val="20"/>
                <w:szCs w:val="20"/>
              </w:rPr>
              <w:t>7</w:t>
            </w:r>
          </w:p>
        </w:tc>
        <w:tc>
          <w:tcPr>
            <w:tcW w:w="77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4BD7296">
            <w:pPr>
              <w:widowControl/>
              <w:jc w:val="center"/>
              <w:textAlignment w:val="center"/>
              <w:rPr>
                <w:b/>
                <w:color w:val="000000"/>
                <w:sz w:val="20"/>
                <w:szCs w:val="20"/>
              </w:rPr>
            </w:pPr>
            <w:r>
              <w:rPr>
                <w:b/>
                <w:color w:val="000000"/>
                <w:kern w:val="0"/>
                <w:sz w:val="20"/>
                <w:szCs w:val="20"/>
              </w:rPr>
              <w:t>53.85%</w:t>
            </w:r>
          </w:p>
        </w:tc>
        <w:tc>
          <w:tcPr>
            <w:tcW w:w="48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8D46891">
            <w:pPr>
              <w:widowControl/>
              <w:jc w:val="center"/>
              <w:textAlignment w:val="center"/>
              <w:rPr>
                <w:b/>
                <w:color w:val="000000"/>
                <w:sz w:val="20"/>
                <w:szCs w:val="20"/>
              </w:rPr>
            </w:pPr>
            <w:r>
              <w:rPr>
                <w:b/>
                <w:color w:val="000000"/>
                <w:kern w:val="0"/>
                <w:sz w:val="20"/>
                <w:szCs w:val="20"/>
              </w:rPr>
              <w:t>2</w:t>
            </w:r>
          </w:p>
        </w:tc>
        <w:tc>
          <w:tcPr>
            <w:tcW w:w="53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A0DBD8B">
            <w:pPr>
              <w:widowControl/>
              <w:jc w:val="center"/>
              <w:textAlignment w:val="center"/>
              <w:rPr>
                <w:b/>
                <w:color w:val="000000"/>
                <w:sz w:val="20"/>
                <w:szCs w:val="20"/>
              </w:rPr>
            </w:pPr>
            <w:r>
              <w:rPr>
                <w:b/>
                <w:color w:val="000000"/>
                <w:kern w:val="0"/>
                <w:sz w:val="20"/>
                <w:szCs w:val="20"/>
              </w:rPr>
              <w:t>3</w:t>
            </w:r>
          </w:p>
        </w:tc>
        <w:tc>
          <w:tcPr>
            <w:tcW w:w="52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4B60FC">
            <w:pPr>
              <w:widowControl/>
              <w:jc w:val="center"/>
              <w:textAlignment w:val="center"/>
              <w:rPr>
                <w:b/>
                <w:color w:val="000000"/>
                <w:sz w:val="20"/>
                <w:szCs w:val="20"/>
              </w:rPr>
            </w:pPr>
            <w:r>
              <w:rPr>
                <w:color w:val="000000"/>
                <w:kern w:val="0"/>
                <w:sz w:val="20"/>
                <w:szCs w:val="20"/>
              </w:rPr>
              <w:t>—</w:t>
            </w:r>
          </w:p>
        </w:tc>
        <w:tc>
          <w:tcPr>
            <w:tcW w:w="56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F90040">
            <w:pPr>
              <w:widowControl/>
              <w:jc w:val="center"/>
              <w:textAlignment w:val="center"/>
              <w:rPr>
                <w:b/>
                <w:color w:val="000000"/>
                <w:sz w:val="20"/>
                <w:szCs w:val="20"/>
              </w:rPr>
            </w:pPr>
            <w:r>
              <w:rPr>
                <w:b/>
                <w:color w:val="000000"/>
                <w:kern w:val="0"/>
                <w:sz w:val="20"/>
                <w:szCs w:val="20"/>
              </w:rPr>
              <w:t>1</w:t>
            </w:r>
          </w:p>
        </w:tc>
        <w:tc>
          <w:tcPr>
            <w:tcW w:w="12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7674F25">
            <w:pPr>
              <w:widowControl/>
              <w:jc w:val="center"/>
              <w:textAlignment w:val="center"/>
              <w:rPr>
                <w:b/>
                <w:color w:val="000000"/>
                <w:sz w:val="20"/>
                <w:szCs w:val="20"/>
              </w:rPr>
            </w:pPr>
            <w:r>
              <w:rPr>
                <w:b/>
                <w:color w:val="000000"/>
                <w:kern w:val="0"/>
                <w:sz w:val="20"/>
                <w:szCs w:val="20"/>
              </w:rPr>
              <w:t>138</w:t>
            </w:r>
          </w:p>
        </w:tc>
      </w:tr>
    </w:tbl>
    <w:p w14:paraId="3D41DF11">
      <w:pPr>
        <w:spacing w:line="560" w:lineRule="exact"/>
        <w:rPr>
          <w:rFonts w:eastAsia="黑体"/>
          <w:sz w:val="32"/>
          <w:szCs w:val="32"/>
        </w:rPr>
      </w:pPr>
      <w:bookmarkStart w:id="620" w:name="_Toc61644852"/>
    </w:p>
    <w:p w14:paraId="1FCE4584">
      <w:pPr>
        <w:spacing w:line="560" w:lineRule="exact"/>
        <w:rPr>
          <w:rFonts w:eastAsia="黑体"/>
          <w:sz w:val="32"/>
          <w:szCs w:val="32"/>
        </w:rPr>
      </w:pPr>
      <w:r>
        <w:rPr>
          <w:rFonts w:eastAsia="黑体"/>
          <w:sz w:val="32"/>
          <w:szCs w:val="32"/>
        </w:rPr>
        <w:t>附件3</w:t>
      </w:r>
      <w:bookmarkEnd w:id="620"/>
    </w:p>
    <w:p w14:paraId="0940867E">
      <w:pPr>
        <w:spacing w:line="560" w:lineRule="exact"/>
      </w:pPr>
    </w:p>
    <w:p w14:paraId="7EDFA2DB">
      <w:pPr>
        <w:spacing w:line="560" w:lineRule="exact"/>
        <w:jc w:val="center"/>
        <w:rPr>
          <w:rFonts w:eastAsia="方正小标宋简体"/>
          <w:b/>
          <w:bCs/>
          <w:sz w:val="44"/>
          <w:szCs w:val="44"/>
        </w:rPr>
      </w:pPr>
      <w:r>
        <w:rPr>
          <w:rFonts w:eastAsia="方正小标宋简体"/>
          <w:sz w:val="44"/>
          <w:szCs w:val="44"/>
        </w:rPr>
        <w:t>名 词 解 释</w:t>
      </w:r>
    </w:p>
    <w:p w14:paraId="00AC3088">
      <w:pPr>
        <w:spacing w:line="560" w:lineRule="exact"/>
        <w:ind w:firstLine="643"/>
        <w:rPr>
          <w:rFonts w:eastAsia="仿宋_GB2312"/>
          <w:b/>
          <w:bCs/>
          <w:sz w:val="32"/>
          <w:szCs w:val="32"/>
        </w:rPr>
      </w:pPr>
    </w:p>
    <w:p w14:paraId="36B6F75A">
      <w:pPr>
        <w:spacing w:line="560" w:lineRule="exact"/>
        <w:ind w:firstLine="640"/>
        <w:rPr>
          <w:rFonts w:eastAsia="仿宋_GB2312"/>
          <w:sz w:val="32"/>
          <w:szCs w:val="32"/>
        </w:rPr>
      </w:pPr>
      <w:r>
        <w:rPr>
          <w:rFonts w:eastAsia="仿宋_GB2312"/>
          <w:color w:val="000000"/>
          <w:sz w:val="32"/>
          <w:szCs w:val="32"/>
        </w:rPr>
        <w:t>1.城市双修：</w:t>
      </w:r>
      <w:r>
        <w:rPr>
          <w:rFonts w:eastAsia="仿宋_GB2312"/>
          <w:sz w:val="32"/>
          <w:szCs w:val="32"/>
        </w:rPr>
        <w:t>生态修复、城市</w:t>
      </w:r>
      <w:r>
        <w:fldChar w:fldCharType="begin"/>
      </w:r>
      <w:r>
        <w:instrText xml:space="preserve"> HYPERLINK "https://baike.so.com/doc/5350275-10454881.html" \t "/home/user/Documentsx/_blank" </w:instrText>
      </w:r>
      <w:r>
        <w:fldChar w:fldCharType="separate"/>
      </w:r>
      <w:r>
        <w:rPr>
          <w:rFonts w:eastAsia="仿宋_GB2312"/>
          <w:sz w:val="32"/>
          <w:szCs w:val="32"/>
        </w:rPr>
        <w:t>修补</w:t>
      </w:r>
      <w:r>
        <w:rPr>
          <w:rFonts w:eastAsia="仿宋_GB2312"/>
          <w:sz w:val="32"/>
          <w:szCs w:val="32"/>
        </w:rPr>
        <w:fldChar w:fldCharType="end"/>
      </w:r>
      <w:r>
        <w:rPr>
          <w:rFonts w:eastAsia="仿宋_GB2312"/>
          <w:sz w:val="32"/>
          <w:szCs w:val="32"/>
        </w:rPr>
        <w:t>，有计划有步骤地修复被破坏的山体、河流、湿地、植被，是</w:t>
      </w:r>
      <w:r>
        <w:fldChar w:fldCharType="begin"/>
      </w:r>
      <w:r>
        <w:instrText xml:space="preserve"> HYPERLINK "https://baike.so.com/doc/6767705-6982819.html" \t "/home/user/Documentsx/_blank" </w:instrText>
      </w:r>
      <w:r>
        <w:fldChar w:fldCharType="separate"/>
      </w:r>
      <w:r>
        <w:rPr>
          <w:rFonts w:eastAsia="仿宋_GB2312"/>
          <w:sz w:val="32"/>
          <w:szCs w:val="32"/>
        </w:rPr>
        <w:t>治理</w:t>
      </w:r>
      <w:r>
        <w:rPr>
          <w:rFonts w:eastAsia="仿宋_GB2312"/>
          <w:sz w:val="32"/>
          <w:szCs w:val="32"/>
        </w:rPr>
        <w:fldChar w:fldCharType="end"/>
      </w:r>
      <w:r>
        <w:rPr>
          <w:rFonts w:eastAsia="仿宋_GB2312"/>
          <w:sz w:val="32"/>
          <w:szCs w:val="32"/>
        </w:rPr>
        <w:t>“</w:t>
      </w:r>
      <w:r>
        <w:fldChar w:fldCharType="begin"/>
      </w:r>
      <w:r>
        <w:instrText xml:space="preserve"> HYPERLINK "https://baike.so.com/doc/3524871-3707674.html" \t "/home/user/Documentsx/_blank" </w:instrText>
      </w:r>
      <w:r>
        <w:fldChar w:fldCharType="separate"/>
      </w:r>
      <w:r>
        <w:rPr>
          <w:rFonts w:eastAsia="仿宋_GB2312"/>
          <w:sz w:val="32"/>
          <w:szCs w:val="32"/>
        </w:rPr>
        <w:t>城市病</w:t>
      </w:r>
      <w:r>
        <w:rPr>
          <w:rFonts w:eastAsia="仿宋_GB2312"/>
          <w:sz w:val="32"/>
          <w:szCs w:val="32"/>
        </w:rPr>
        <w:fldChar w:fldCharType="end"/>
      </w:r>
      <w:r>
        <w:rPr>
          <w:rFonts w:eastAsia="仿宋_GB2312"/>
          <w:sz w:val="32"/>
          <w:szCs w:val="32"/>
        </w:rPr>
        <w:t>”、改善人居环境、转变城市发展方式的有效手段。</w:t>
      </w:r>
    </w:p>
    <w:p w14:paraId="01FC5439">
      <w:pPr>
        <w:spacing w:line="560" w:lineRule="exact"/>
        <w:ind w:firstLine="640"/>
        <w:rPr>
          <w:rFonts w:eastAsia="仿宋_GB2312"/>
          <w:sz w:val="32"/>
          <w:szCs w:val="32"/>
        </w:rPr>
      </w:pPr>
      <w:r>
        <w:rPr>
          <w:rFonts w:eastAsia="仿宋_GB2312"/>
          <w:color w:val="000000"/>
          <w:sz w:val="32"/>
          <w:szCs w:val="32"/>
        </w:rPr>
        <w:t>2.四治三改一拆一增：</w:t>
      </w:r>
      <w:r>
        <w:rPr>
          <w:rFonts w:eastAsia="仿宋_GB2312"/>
          <w:sz w:val="32"/>
          <w:szCs w:val="32"/>
        </w:rPr>
        <w:t>治乱—治理市容环境乱象，治脏—治理重点区域脏迹，治污—治理城市环境污染，治堵—治理城市交通拥堵；改造旧住宅区、改造旧厂区、改造城中村；拆除违法违规建筑；增加绿化提升品质。</w:t>
      </w:r>
    </w:p>
    <w:p w14:paraId="1CE62868">
      <w:pPr>
        <w:spacing w:line="560" w:lineRule="exact"/>
        <w:ind w:firstLine="640"/>
        <w:rPr>
          <w:rFonts w:eastAsia="仿宋_GB2312"/>
          <w:sz w:val="32"/>
          <w:szCs w:val="32"/>
        </w:rPr>
      </w:pPr>
      <w:r>
        <w:rPr>
          <w:rFonts w:eastAsia="仿宋_GB2312"/>
          <w:sz w:val="32"/>
          <w:szCs w:val="32"/>
        </w:rPr>
        <w:t>3.</w:t>
      </w:r>
      <w:r>
        <w:rPr>
          <w:rFonts w:eastAsia="仿宋_GB2312"/>
          <w:color w:val="000000"/>
          <w:sz w:val="32"/>
          <w:szCs w:val="32"/>
        </w:rPr>
        <w:t>厕所革命：</w:t>
      </w:r>
      <w:r>
        <w:rPr>
          <w:rFonts w:eastAsia="仿宋_GB2312"/>
          <w:sz w:val="32"/>
          <w:szCs w:val="32"/>
        </w:rPr>
        <w:t>联合国儿童基金会提出的对发展中国家的厕所进行改造的一项举措，厕所是衡量文明的重要标志，改善厕所卫生状况直接关系到这些国家的环境和人民的健康状况。</w:t>
      </w:r>
    </w:p>
    <w:p w14:paraId="7AF80CAD">
      <w:pPr>
        <w:spacing w:line="560" w:lineRule="exact"/>
        <w:ind w:firstLine="640"/>
        <w:rPr>
          <w:rFonts w:eastAsia="仿宋_GB2312"/>
          <w:b/>
          <w:bCs/>
          <w:color w:val="000000"/>
          <w:sz w:val="32"/>
          <w:szCs w:val="32"/>
        </w:rPr>
      </w:pPr>
      <w:r>
        <w:rPr>
          <w:rFonts w:eastAsia="仿宋_GB2312"/>
          <w:color w:val="000000"/>
          <w:sz w:val="32"/>
          <w:szCs w:val="32"/>
        </w:rPr>
        <w:t>4.枫桥经验：</w:t>
      </w:r>
      <w:r>
        <w:rPr>
          <w:rFonts w:eastAsia="仿宋_GB2312"/>
          <w:sz w:val="32"/>
          <w:szCs w:val="32"/>
        </w:rPr>
        <w:t>20世纪60年代初，浙江省绍兴市诸暨县枫桥镇干部群众创造了“发动和依靠群众，坚持矛盾不上交，就地解决。实现捕人少，治安好”的“枫桥经验”，经过不断发展，形成了当前的“党政动手，依靠群众，预防纠纷，化解矛盾，维护稳定，促进发展”的枫桥新经验，成为新时期把党的群众路线坚持好，贯彻好的典范。</w:t>
      </w:r>
    </w:p>
    <w:p w14:paraId="02BADC91">
      <w:pPr>
        <w:spacing w:line="560" w:lineRule="exact"/>
        <w:ind w:firstLine="640"/>
        <w:rPr>
          <w:rFonts w:eastAsia="仿宋_GB2312"/>
          <w:sz w:val="32"/>
          <w:szCs w:val="32"/>
        </w:rPr>
      </w:pPr>
      <w:r>
        <w:rPr>
          <w:rFonts w:eastAsia="仿宋_GB2312"/>
          <w:color w:val="000000"/>
          <w:sz w:val="32"/>
          <w:szCs w:val="32"/>
        </w:rPr>
        <w:t>5.雪亮工程：</w:t>
      </w:r>
      <w:r>
        <w:rPr>
          <w:rFonts w:eastAsia="仿宋_GB2312"/>
          <w:kern w:val="0"/>
          <w:sz w:val="32"/>
          <w:szCs w:val="32"/>
        </w:rPr>
        <w:t>以“全域覆盖、全网共享、全时可用、全程可控”为总目标，加强治安保卫重点单位、重点公共区域、重点行业和领域的视频监控系统建设，推动公共安全视频监控系统联网，深化视频图像信息在治安防控、城乡社会治理、智能交通、服务民生、生态建设与保护等领域的运用。</w:t>
      </w:r>
    </w:p>
    <w:p w14:paraId="42503DDB">
      <w:pPr>
        <w:spacing w:line="560" w:lineRule="exact"/>
        <w:ind w:firstLine="640"/>
        <w:rPr>
          <w:rFonts w:eastAsia="仿宋_GB2312"/>
          <w:sz w:val="32"/>
          <w:szCs w:val="32"/>
        </w:rPr>
      </w:pPr>
      <w:r>
        <w:rPr>
          <w:rFonts w:eastAsia="仿宋_GB2312"/>
          <w:color w:val="000000"/>
          <w:sz w:val="32"/>
          <w:szCs w:val="32"/>
        </w:rPr>
        <w:t>6.三大保卫战：</w:t>
      </w:r>
      <w:r>
        <w:rPr>
          <w:rFonts w:eastAsia="仿宋_GB2312"/>
          <w:sz w:val="32"/>
          <w:szCs w:val="32"/>
        </w:rPr>
        <w:t>2018年，中共中央、国务院印发《关于全面加强生态环境保护坚决打好污染防治攻坚战的意见》，提出坚决打赢蓝天保卫战、碧水保卫战、净土保卫战三大保卫战。</w:t>
      </w:r>
    </w:p>
    <w:p w14:paraId="2AC149EF">
      <w:pPr>
        <w:spacing w:line="560" w:lineRule="exact"/>
        <w:ind w:firstLine="640"/>
        <w:rPr>
          <w:rFonts w:eastAsia="仿宋_GB2312"/>
          <w:color w:val="000000"/>
          <w:sz w:val="32"/>
          <w:szCs w:val="32"/>
        </w:rPr>
      </w:pPr>
      <w:r>
        <w:rPr>
          <w:rFonts w:eastAsia="仿宋_GB2312"/>
          <w:sz w:val="32"/>
          <w:szCs w:val="32"/>
        </w:rPr>
        <w:t>7.</w:t>
      </w:r>
      <w:r>
        <w:rPr>
          <w:rFonts w:eastAsia="仿宋_GB2312"/>
          <w:color w:val="000000"/>
          <w:sz w:val="32"/>
          <w:szCs w:val="32"/>
        </w:rPr>
        <w:t>八五普法：中央宣传部、司法部关于在公民中开展法治宣传教育的第八个五年规划（2021—2025年）。</w:t>
      </w:r>
    </w:p>
    <w:p w14:paraId="428F8045">
      <w:pPr>
        <w:spacing w:line="560" w:lineRule="exact"/>
        <w:ind w:firstLine="640"/>
        <w:rPr>
          <w:rFonts w:eastAsia="仿宋_GB2312"/>
          <w:color w:val="000000"/>
          <w:sz w:val="32"/>
          <w:szCs w:val="32"/>
        </w:rPr>
      </w:pPr>
      <w:r>
        <w:rPr>
          <w:rFonts w:eastAsia="仿宋_GB2312"/>
          <w:color w:val="000000"/>
          <w:sz w:val="32"/>
          <w:szCs w:val="32"/>
        </w:rPr>
        <w:t>8.四种形态：</w:t>
      </w:r>
      <w:r>
        <w:rPr>
          <w:rFonts w:eastAsia="仿宋_GB2312"/>
          <w:bCs/>
          <w:color w:val="000000"/>
          <w:sz w:val="32"/>
          <w:szCs w:val="32"/>
        </w:rPr>
        <w:t>一是</w:t>
      </w:r>
      <w:r>
        <w:rPr>
          <w:rFonts w:eastAsia="仿宋_GB2312"/>
          <w:color w:val="000000"/>
          <w:sz w:val="32"/>
          <w:szCs w:val="32"/>
        </w:rPr>
        <w:t>党内关系要正常化，批评和自我批评要经常开展，让咬耳扯袖、红脸出汗成为常态。</w:t>
      </w:r>
      <w:r>
        <w:rPr>
          <w:rFonts w:eastAsia="仿宋_GB2312"/>
          <w:bCs/>
          <w:color w:val="000000"/>
          <w:sz w:val="32"/>
          <w:szCs w:val="32"/>
        </w:rPr>
        <w:t>二是</w:t>
      </w:r>
      <w:r>
        <w:rPr>
          <w:rFonts w:eastAsia="仿宋_GB2312"/>
          <w:color w:val="000000"/>
          <w:sz w:val="32"/>
          <w:szCs w:val="32"/>
        </w:rPr>
        <w:t>党纪轻处分和组织处理要成为大多数。</w:t>
      </w:r>
      <w:r>
        <w:rPr>
          <w:rFonts w:eastAsia="仿宋_GB2312"/>
          <w:bCs/>
          <w:color w:val="000000"/>
          <w:sz w:val="32"/>
          <w:szCs w:val="32"/>
        </w:rPr>
        <w:t>三是</w:t>
      </w:r>
      <w:r>
        <w:rPr>
          <w:rFonts w:eastAsia="仿宋_GB2312"/>
          <w:color w:val="000000"/>
          <w:sz w:val="32"/>
          <w:szCs w:val="32"/>
        </w:rPr>
        <w:t>对严重违纪的重处分、作出重大职务调整应当是少数。</w:t>
      </w:r>
      <w:r>
        <w:rPr>
          <w:rFonts w:eastAsia="仿宋_GB2312"/>
          <w:bCs/>
          <w:color w:val="000000"/>
          <w:sz w:val="32"/>
          <w:szCs w:val="32"/>
        </w:rPr>
        <w:t>四是</w:t>
      </w:r>
      <w:r>
        <w:rPr>
          <w:rFonts w:eastAsia="仿宋_GB2312"/>
          <w:color w:val="000000"/>
          <w:sz w:val="32"/>
          <w:szCs w:val="32"/>
        </w:rPr>
        <w:t>严重违纪涉嫌违法立案审查的只能是极少数。</w:t>
      </w:r>
    </w:p>
    <w:p w14:paraId="334F25C2">
      <w:pPr>
        <w:spacing w:line="560" w:lineRule="exact"/>
        <w:ind w:firstLine="640"/>
        <w:rPr>
          <w:rFonts w:eastAsia="仿宋_GB2312"/>
          <w:color w:val="000000"/>
          <w:sz w:val="32"/>
          <w:szCs w:val="32"/>
        </w:rPr>
      </w:pPr>
      <w:r>
        <w:rPr>
          <w:rFonts w:eastAsia="仿宋_GB2312"/>
          <w:color w:val="000000"/>
          <w:sz w:val="32"/>
          <w:szCs w:val="32"/>
        </w:rPr>
        <w:t>9.四风：形式主义、官僚主义、享乐主义、奢靡之风。</w:t>
      </w:r>
    </w:p>
    <w:p w14:paraId="08BB6F84">
      <w:pPr>
        <w:spacing w:line="560" w:lineRule="exact"/>
        <w:ind w:firstLine="640"/>
        <w:rPr>
          <w:rFonts w:eastAsia="仿宋_GB2312"/>
          <w:color w:val="000000"/>
          <w:sz w:val="32"/>
          <w:szCs w:val="32"/>
        </w:rPr>
      </w:pPr>
      <w:r>
        <w:rPr>
          <w:rFonts w:eastAsia="仿宋_GB2312"/>
          <w:sz w:val="32"/>
          <w:szCs w:val="32"/>
        </w:rPr>
        <w:t>10.</w:t>
      </w:r>
      <w:r>
        <w:rPr>
          <w:rFonts w:eastAsia="仿宋_GB2312"/>
          <w:color w:val="000000"/>
          <w:sz w:val="32"/>
          <w:szCs w:val="32"/>
        </w:rPr>
        <w:t>放管服改革“六个一”行动：</w:t>
      </w:r>
      <w:r>
        <w:rPr>
          <w:rFonts w:eastAsia="仿宋_GB2312"/>
          <w:sz w:val="32"/>
          <w:szCs w:val="32"/>
        </w:rPr>
        <w:t>2018年，国务院提出“企业开办时间再减一半、项目审批时间再砍一半、政务服务一网办通、企业和群众办事力争只进一扇门、“最多跑一次”、凡是没有法律法规依据的证明一律取消”等“六个一”行动。</w:t>
      </w:r>
    </w:p>
    <w:p w14:paraId="48733DC1">
      <w:pPr>
        <w:widowControl/>
        <w:spacing w:line="560" w:lineRule="exact"/>
        <w:ind w:firstLine="640"/>
        <w:jc w:val="left"/>
        <w:rPr>
          <w:rFonts w:eastAsia="仿宋_GB2312"/>
          <w:sz w:val="32"/>
          <w:szCs w:val="32"/>
        </w:rPr>
      </w:pPr>
      <w:r>
        <w:rPr>
          <w:rFonts w:eastAsia="仿宋_GB2312"/>
          <w:sz w:val="32"/>
          <w:szCs w:val="32"/>
        </w:rPr>
        <w:t>11.</w:t>
      </w:r>
      <w:r>
        <w:rPr>
          <w:rFonts w:eastAsia="仿宋_GB2312"/>
          <w:color w:val="000000"/>
          <w:sz w:val="32"/>
          <w:szCs w:val="32"/>
        </w:rPr>
        <w:t>军民融合：</w:t>
      </w:r>
      <w:r>
        <w:rPr>
          <w:rFonts w:eastAsia="仿宋_GB2312"/>
          <w:sz w:val="32"/>
          <w:szCs w:val="32"/>
        </w:rPr>
        <w:t>军民融合主要分为两层含义，一方面是“军转民”，就是军事技术在民间的使用；另一方面是“民参军”，即民营主体参与军工市场。同时还包括基础设施预留军用接口等。</w:t>
      </w:r>
    </w:p>
    <w:p w14:paraId="540C3507">
      <w:pPr>
        <w:spacing w:line="560" w:lineRule="exact"/>
        <w:ind w:firstLine="640"/>
        <w:rPr>
          <w:rFonts w:eastAsia="仿宋_GB2312"/>
          <w:b/>
          <w:bCs/>
          <w:sz w:val="32"/>
          <w:szCs w:val="32"/>
        </w:rPr>
      </w:pPr>
      <w:r>
        <w:rPr>
          <w:rFonts w:eastAsia="仿宋_GB2312"/>
          <w:sz w:val="32"/>
          <w:szCs w:val="32"/>
        </w:rPr>
        <w:t>12.</w:t>
      </w:r>
      <w:r>
        <w:rPr>
          <w:rFonts w:eastAsia="仿宋_GB2312"/>
          <w:color w:val="000000"/>
          <w:sz w:val="32"/>
          <w:szCs w:val="32"/>
        </w:rPr>
        <w:t>三社联动：</w:t>
      </w:r>
      <w:r>
        <w:rPr>
          <w:rFonts w:eastAsia="仿宋_GB2312"/>
          <w:sz w:val="32"/>
          <w:szCs w:val="32"/>
        </w:rPr>
        <w:t>在政府主导下，在社区治理中，以社区为平台、社会组织为载体、社会工作专业人才为支撑，推动社区居委会与社工机构形成优势互补，共推基层社区治理改革。</w:t>
      </w:r>
    </w:p>
    <w:p w14:paraId="7A1C4CC8">
      <w:pPr>
        <w:spacing w:line="560" w:lineRule="exact"/>
        <w:ind w:firstLine="640"/>
        <w:rPr>
          <w:rFonts w:eastAsia="仿宋_GB2312"/>
          <w:sz w:val="32"/>
          <w:szCs w:val="32"/>
        </w:rPr>
      </w:pPr>
      <w:r>
        <w:rPr>
          <w:rFonts w:eastAsia="仿宋_GB2312"/>
          <w:sz w:val="32"/>
          <w:szCs w:val="32"/>
        </w:rPr>
        <w:t>13.</w:t>
      </w:r>
      <w:r>
        <w:rPr>
          <w:rFonts w:eastAsia="仿宋_GB2312"/>
          <w:color w:val="000000"/>
          <w:sz w:val="32"/>
          <w:szCs w:val="32"/>
        </w:rPr>
        <w:t>昆明都市圈：</w:t>
      </w:r>
      <w:r>
        <w:rPr>
          <w:rFonts w:eastAsia="仿宋_GB2312"/>
          <w:sz w:val="32"/>
          <w:szCs w:val="32"/>
        </w:rPr>
        <w:t>以昆明中心城市（五华区、盘龙区、官渡区、西山区、呈贡区）为中心，覆盖晋宁区、安宁区、嵩明县、富民县、宜良县、寻甸县、石林县、弥勒市、红塔区、澄江市，形成1小时通勤的昆明都市圈。</w:t>
      </w:r>
    </w:p>
    <w:p w14:paraId="30ECA61D">
      <w:pPr>
        <w:pStyle w:val="7"/>
        <w:spacing w:line="560" w:lineRule="exact"/>
        <w:ind w:firstLine="640" w:firstLineChars="200"/>
        <w:rPr>
          <w:rFonts w:eastAsia="仿宋_GB2312"/>
          <w:sz w:val="32"/>
          <w:szCs w:val="32"/>
          <w:shd w:val="clear" w:color="auto" w:fill="FFFFFF"/>
        </w:rPr>
      </w:pPr>
      <w:r>
        <w:rPr>
          <w:rFonts w:eastAsia="仿宋_GB2312"/>
          <w:sz w:val="32"/>
          <w:szCs w:val="32"/>
          <w:shd w:val="clear" w:color="auto" w:fill="FFFFFF"/>
        </w:rPr>
        <w:t>14.</w:t>
      </w:r>
      <w:r>
        <w:rPr>
          <w:rFonts w:eastAsia="仿宋_GB2312"/>
          <w:color w:val="000000"/>
          <w:sz w:val="32"/>
          <w:szCs w:val="32"/>
        </w:rPr>
        <w:t>“五馆”建设：</w:t>
      </w:r>
      <w:r>
        <w:rPr>
          <w:rFonts w:eastAsia="仿宋_GB2312"/>
          <w:sz w:val="32"/>
          <w:szCs w:val="32"/>
          <w:shd w:val="clear" w:color="auto" w:fill="FFFFFF"/>
        </w:rPr>
        <w:t>文化馆、图书馆、博物馆、科技馆、体育馆“五馆”建设。</w:t>
      </w:r>
    </w:p>
    <w:p w14:paraId="4A1ACE84">
      <w:pPr>
        <w:pStyle w:val="7"/>
        <w:spacing w:line="560" w:lineRule="exact"/>
        <w:ind w:firstLine="640" w:firstLineChars="200"/>
        <w:rPr>
          <w:rFonts w:eastAsia="仿宋_GB2312"/>
          <w:sz w:val="32"/>
          <w:szCs w:val="32"/>
          <w:shd w:val="clear" w:color="auto" w:fill="FFFFFF"/>
        </w:rPr>
      </w:pPr>
      <w:r>
        <w:rPr>
          <w:rFonts w:eastAsia="仿宋_GB2312"/>
          <w:sz w:val="32"/>
          <w:szCs w:val="32"/>
          <w:shd w:val="clear" w:color="auto" w:fill="FFFFFF"/>
        </w:rPr>
        <w:t>15.</w:t>
      </w:r>
      <w:r>
        <w:rPr>
          <w:rFonts w:eastAsia="仿宋_GB2312"/>
          <w:color w:val="000000"/>
          <w:sz w:val="32"/>
          <w:szCs w:val="32"/>
        </w:rPr>
        <w:t>“四退三还一护”工程：</w:t>
      </w:r>
      <w:r>
        <w:rPr>
          <w:rFonts w:eastAsia="仿宋_GB2312"/>
          <w:sz w:val="32"/>
          <w:szCs w:val="32"/>
          <w:shd w:val="clear" w:color="auto" w:fill="FFFFFF"/>
        </w:rPr>
        <w:t>即通过退塘、退田、退人、退房，实现还湖、还林、还湿地，护水。</w:t>
      </w:r>
    </w:p>
    <w:p w14:paraId="3878AA09">
      <w:pPr>
        <w:pStyle w:val="7"/>
        <w:spacing w:line="560" w:lineRule="exact"/>
        <w:ind w:firstLine="640" w:firstLineChars="200"/>
        <w:rPr>
          <w:rFonts w:eastAsia="仿宋_GB2312"/>
          <w:sz w:val="32"/>
          <w:szCs w:val="32"/>
          <w:shd w:val="clear" w:color="auto" w:fill="FFFFFF"/>
        </w:rPr>
      </w:pPr>
      <w:r>
        <w:rPr>
          <w:rFonts w:eastAsia="仿宋_GB2312"/>
          <w:sz w:val="32"/>
          <w:szCs w:val="32"/>
          <w:shd w:val="clear" w:color="auto" w:fill="FFFFFF"/>
        </w:rPr>
        <w:t>16.</w:t>
      </w:r>
      <w:r>
        <w:rPr>
          <w:rFonts w:eastAsia="仿宋_GB2312"/>
          <w:color w:val="000000"/>
          <w:sz w:val="32"/>
          <w:szCs w:val="32"/>
        </w:rPr>
        <w:t>“五水共治”：</w:t>
      </w:r>
      <w:r>
        <w:rPr>
          <w:rFonts w:eastAsia="仿宋_GB2312"/>
          <w:sz w:val="32"/>
          <w:szCs w:val="32"/>
          <w:shd w:val="clear" w:color="auto" w:fill="FFFFFF"/>
        </w:rPr>
        <w:t>治污水、防洪水、排涝水、保供水、抓节水五项措施共同治理。</w:t>
      </w:r>
    </w:p>
    <w:p w14:paraId="1A1C71AA">
      <w:pPr>
        <w:pStyle w:val="7"/>
        <w:spacing w:line="560" w:lineRule="exact"/>
        <w:ind w:firstLine="640" w:firstLineChars="200"/>
        <w:rPr>
          <w:rFonts w:eastAsia="仿宋_GB2312"/>
          <w:sz w:val="32"/>
          <w:szCs w:val="32"/>
          <w:shd w:val="clear" w:color="auto" w:fill="FFFFFF"/>
        </w:rPr>
      </w:pPr>
      <w:r>
        <w:rPr>
          <w:rFonts w:eastAsia="仿宋_GB2312"/>
          <w:sz w:val="32"/>
          <w:szCs w:val="32"/>
          <w:shd w:val="clear" w:color="auto" w:fill="FFFFFF"/>
        </w:rPr>
        <w:t>17.</w:t>
      </w:r>
      <w:r>
        <w:rPr>
          <w:rFonts w:eastAsia="仿宋_GB2312"/>
          <w:color w:val="000000"/>
          <w:sz w:val="32"/>
          <w:szCs w:val="32"/>
        </w:rPr>
        <w:t>“三线一单”：</w:t>
      </w:r>
      <w:r>
        <w:rPr>
          <w:rFonts w:eastAsia="仿宋_GB2312"/>
          <w:sz w:val="32"/>
          <w:szCs w:val="32"/>
          <w:shd w:val="clear" w:color="auto" w:fill="FFFFFF"/>
        </w:rPr>
        <w:t>生态保护红线、环境质量底线、资源利用上线和生态环境准入清单。</w:t>
      </w:r>
    </w:p>
    <w:p w14:paraId="0A6BCE85">
      <w:pPr>
        <w:pStyle w:val="7"/>
        <w:spacing w:line="560" w:lineRule="exact"/>
        <w:ind w:firstLine="640" w:firstLineChars="200"/>
        <w:rPr>
          <w:rFonts w:eastAsia="仿宋_GB2312"/>
          <w:sz w:val="32"/>
          <w:szCs w:val="32"/>
          <w:shd w:val="clear" w:color="auto" w:fill="FFFFFF"/>
        </w:rPr>
      </w:pPr>
      <w:r>
        <w:rPr>
          <w:rFonts w:eastAsia="仿宋_GB2312"/>
          <w:sz w:val="32"/>
          <w:szCs w:val="32"/>
          <w:shd w:val="clear" w:color="auto" w:fill="FFFFFF"/>
        </w:rPr>
        <w:t>18.</w:t>
      </w:r>
      <w:r>
        <w:rPr>
          <w:rFonts w:eastAsia="仿宋_GB2312"/>
          <w:color w:val="000000"/>
          <w:sz w:val="32"/>
          <w:szCs w:val="32"/>
        </w:rPr>
        <w:t>职业院校“1+X”证书制度：</w:t>
      </w:r>
      <w:r>
        <w:rPr>
          <w:rFonts w:eastAsia="仿宋_GB2312"/>
          <w:sz w:val="32"/>
          <w:szCs w:val="32"/>
          <w:shd w:val="clear" w:color="auto" w:fill="FFFFFF"/>
        </w:rPr>
        <w:t>“学历证书+若干职业技能等级证书”制度。</w:t>
      </w:r>
    </w:p>
    <w:p w14:paraId="246E38E6">
      <w:pPr>
        <w:pStyle w:val="7"/>
        <w:spacing w:line="560" w:lineRule="exact"/>
        <w:ind w:firstLine="640" w:firstLineChars="200"/>
        <w:rPr>
          <w:rFonts w:eastAsia="仿宋_GB2312"/>
          <w:sz w:val="32"/>
          <w:szCs w:val="32"/>
        </w:rPr>
      </w:pPr>
      <w:r>
        <w:rPr>
          <w:rFonts w:eastAsia="仿宋_GB2312"/>
          <w:sz w:val="32"/>
          <w:szCs w:val="32"/>
          <w:shd w:val="clear" w:color="auto" w:fill="FFFFFF"/>
        </w:rPr>
        <w:t>19.</w:t>
      </w:r>
      <w:r>
        <w:rPr>
          <w:rFonts w:eastAsia="仿宋_GB2312"/>
          <w:color w:val="000000"/>
          <w:sz w:val="32"/>
          <w:szCs w:val="32"/>
        </w:rPr>
        <w:t>“社治四策”：</w:t>
      </w:r>
      <w:r>
        <w:rPr>
          <w:rFonts w:eastAsia="仿宋_GB2312"/>
          <w:sz w:val="32"/>
          <w:szCs w:val="32"/>
          <w:shd w:val="clear" w:color="auto" w:fill="FFFFFF"/>
        </w:rPr>
        <w:t>以法制为保障、以网格为基础、以管理求实效、以动员增合力的“社治四策”。</w:t>
      </w:r>
    </w:p>
    <w:p w14:paraId="4AAF521F">
      <w:pPr>
        <w:spacing w:line="560" w:lineRule="exact"/>
        <w:ind w:firstLine="640"/>
        <w:rPr>
          <w:rFonts w:eastAsia="仿宋_GB2312"/>
          <w:sz w:val="32"/>
          <w:szCs w:val="32"/>
        </w:rPr>
      </w:pPr>
      <w:r>
        <w:rPr>
          <w:rFonts w:eastAsia="仿宋_GB2312"/>
          <w:color w:val="000000"/>
          <w:sz w:val="32"/>
          <w:szCs w:val="32"/>
        </w:rPr>
        <w:t>20.教育“三名”工程：</w:t>
      </w:r>
      <w:r>
        <w:rPr>
          <w:rFonts w:eastAsia="仿宋_GB2312"/>
          <w:sz w:val="32"/>
          <w:szCs w:val="32"/>
        </w:rPr>
        <w:t>2017年，昆明市印发《昆明市实施名校名师名长工程的意见》，提出以实施“三名”工程为载体，培养、引进、评选名校、名师、名长，着力提升教育品质。</w:t>
      </w:r>
    </w:p>
    <w:p w14:paraId="7921521D">
      <w:pPr>
        <w:spacing w:line="560" w:lineRule="exact"/>
        <w:ind w:firstLine="640"/>
        <w:rPr>
          <w:rFonts w:eastAsia="仿宋_GB2312"/>
          <w:sz w:val="32"/>
          <w:szCs w:val="32"/>
        </w:rPr>
      </w:pPr>
      <w:r>
        <w:rPr>
          <w:rFonts w:eastAsia="仿宋_GB2312"/>
          <w:sz w:val="32"/>
          <w:szCs w:val="32"/>
        </w:rPr>
        <w:t>21.</w:t>
      </w:r>
      <w:r>
        <w:rPr>
          <w:rFonts w:eastAsia="仿宋_GB2312"/>
          <w:color w:val="000000"/>
          <w:sz w:val="32"/>
          <w:szCs w:val="32"/>
        </w:rPr>
        <w:t>“1+9+X”：</w:t>
      </w:r>
      <w:r>
        <w:rPr>
          <w:rFonts w:eastAsia="仿宋_GB2312"/>
          <w:sz w:val="32"/>
          <w:szCs w:val="32"/>
        </w:rPr>
        <w:t>“1”即每个四级网格配备一名网格长；“9”即党建指导员、社区工作人员、案件巡查监督员、城管执法人员、片区警务人员、卫生防疫人员、环卫工作人员、出租房和流动人口专职协管员、纪律作风督查员；“X”即充分发挥区级包保部门、驻区单位、党建联盟单位联动作用，广泛发动社会组织、志愿服务队、物业公司（业委会）、“两代表一委员”、楼栋长、党员群众等多元社会力量入网入格，开展网格治理工作。</w:t>
      </w:r>
    </w:p>
    <w:p w14:paraId="0D1E8F91">
      <w:pPr>
        <w:spacing w:line="560" w:lineRule="exact"/>
        <w:ind w:firstLine="640"/>
        <w:rPr>
          <w:rFonts w:eastAsia="仿宋_GB2312"/>
          <w:sz w:val="32"/>
          <w:szCs w:val="32"/>
        </w:rPr>
      </w:pPr>
      <w:r>
        <w:rPr>
          <w:rFonts w:eastAsia="仿宋_GB2312"/>
          <w:sz w:val="32"/>
          <w:szCs w:val="32"/>
        </w:rPr>
        <w:t>22.</w:t>
      </w:r>
      <w:r>
        <w:rPr>
          <w:rFonts w:eastAsia="仿宋_GB2312"/>
          <w:color w:val="000000"/>
          <w:sz w:val="32"/>
          <w:szCs w:val="32"/>
        </w:rPr>
        <w:t>一枢纽、四中心、三品牌：</w:t>
      </w:r>
      <w:r>
        <w:rPr>
          <w:rFonts w:eastAsia="仿宋_GB2312"/>
          <w:sz w:val="32"/>
          <w:szCs w:val="32"/>
        </w:rPr>
        <w:t>昆明以“一枢纽、四中心、三品牌”为重点，推进区域性国际中心城市建设，“一枢纽”指打造区域性国际综合枢纽，“四中心”指经济贸易中心、科技创新中心、金融服务中心、人文交流中心，“三品牌”指</w:t>
      </w:r>
      <w:r>
        <w:rPr>
          <w:rFonts w:eastAsia="仿宋_GB2312"/>
          <w:color w:val="333333"/>
          <w:sz w:val="32"/>
          <w:szCs w:val="32"/>
          <w:shd w:val="clear" w:color="auto" w:fill="FFFFFF"/>
        </w:rPr>
        <w:t>中国春城</w:t>
      </w:r>
      <w:r>
        <w:rPr>
          <w:rFonts w:eastAsia="仿宋_GB2312"/>
          <w:sz w:val="32"/>
          <w:szCs w:val="32"/>
        </w:rPr>
        <w:t>、历史文化名城、</w:t>
      </w:r>
      <w:r>
        <w:rPr>
          <w:rFonts w:eastAsia="仿宋_GB2312"/>
          <w:color w:val="333333"/>
          <w:sz w:val="32"/>
          <w:szCs w:val="32"/>
          <w:shd w:val="clear" w:color="auto" w:fill="FFFFFF"/>
        </w:rPr>
        <w:t>国际大健康名城</w:t>
      </w:r>
      <w:r>
        <w:rPr>
          <w:rFonts w:eastAsia="仿宋_GB2312"/>
          <w:sz w:val="32"/>
          <w:szCs w:val="32"/>
        </w:rPr>
        <w:t>。</w:t>
      </w:r>
    </w:p>
    <w:p w14:paraId="28D6465A">
      <w:pPr>
        <w:spacing w:line="560" w:lineRule="exact"/>
        <w:ind w:firstLine="640"/>
        <w:rPr>
          <w:rFonts w:eastAsia="仿宋_GB2312"/>
          <w:color w:val="000000"/>
          <w:sz w:val="32"/>
          <w:szCs w:val="32"/>
        </w:rPr>
      </w:pPr>
      <w:r>
        <w:rPr>
          <w:rFonts w:eastAsia="仿宋_GB2312"/>
          <w:color w:val="000000"/>
          <w:sz w:val="32"/>
          <w:szCs w:val="32"/>
        </w:rPr>
        <w:t>23.营商环境提升“十大行动”：2019年云南省、昆明市分别印发《营商环境提升十大行动》，包括：</w:t>
      </w:r>
      <w:r>
        <w:rPr>
          <w:rFonts w:eastAsia="仿宋_GB2312"/>
          <w:b/>
          <w:bCs/>
          <w:color w:val="000000"/>
          <w:sz w:val="32"/>
          <w:szCs w:val="32"/>
        </w:rPr>
        <w:t>政府服务“六张清单”行动</w:t>
      </w:r>
      <w:r>
        <w:rPr>
          <w:rFonts w:eastAsia="仿宋_GB2312"/>
          <w:color w:val="000000"/>
          <w:sz w:val="32"/>
          <w:szCs w:val="32"/>
        </w:rPr>
        <w:t>（完善权力清单、完善责任清单、落实市场准入负面清单、建立政策清单、建立收费清单、建立政府机构失信清单）、</w:t>
      </w:r>
      <w:r>
        <w:rPr>
          <w:rFonts w:eastAsia="仿宋_GB2312"/>
          <w:b/>
          <w:bCs/>
          <w:color w:val="000000"/>
          <w:sz w:val="32"/>
          <w:szCs w:val="32"/>
        </w:rPr>
        <w:t>“放管服”改革“六个一”提升行动</w:t>
      </w:r>
      <w:r>
        <w:rPr>
          <w:rFonts w:eastAsia="仿宋_GB2312"/>
          <w:color w:val="000000"/>
          <w:sz w:val="32"/>
          <w:szCs w:val="32"/>
        </w:rPr>
        <w:t>（“企业开办时间再减一半”提升行动、“项目审批时间再砍一半”提升行动、“政务服务一网通办”和“一部手机办事通”提升行动、“企业和群众办事力争只进一扇门”提升行动、“最多跑一次”提升行动、“凡是没有法律法规依据的证明一律取消”提升行动），保障企业地位</w:t>
      </w:r>
      <w:r>
        <w:rPr>
          <w:rFonts w:eastAsia="仿宋_GB2312"/>
          <w:b/>
          <w:bCs/>
          <w:color w:val="000000"/>
          <w:sz w:val="32"/>
          <w:szCs w:val="32"/>
        </w:rPr>
        <w:t>“五个平等”行动</w:t>
      </w:r>
      <w:r>
        <w:rPr>
          <w:rFonts w:eastAsia="仿宋_GB2312"/>
          <w:color w:val="000000"/>
          <w:sz w:val="32"/>
          <w:szCs w:val="32"/>
        </w:rPr>
        <w:t>（平等对待各类市场主体、平等享受政府扶持、平等参与政府投资项目建设、平等参与政府采购和工程招投标、平等保护企业合法权益），企业水电气接入、纳税和不动产登记</w:t>
      </w:r>
      <w:r>
        <w:rPr>
          <w:rFonts w:eastAsia="仿宋_GB2312"/>
          <w:b/>
          <w:bCs/>
          <w:color w:val="000000"/>
          <w:sz w:val="32"/>
          <w:szCs w:val="32"/>
        </w:rPr>
        <w:t>“五个优化”行动</w:t>
      </w:r>
      <w:r>
        <w:rPr>
          <w:rFonts w:eastAsia="仿宋_GB2312"/>
          <w:color w:val="000000"/>
          <w:sz w:val="32"/>
          <w:szCs w:val="32"/>
        </w:rPr>
        <w:t>（优化企业用水、用电、用气接入，优化企业纳税服务，优化不动产登记），投资贸易</w:t>
      </w:r>
      <w:r>
        <w:rPr>
          <w:rFonts w:eastAsia="仿宋_GB2312"/>
          <w:b/>
          <w:bCs/>
          <w:color w:val="000000"/>
          <w:sz w:val="32"/>
          <w:szCs w:val="32"/>
        </w:rPr>
        <w:t>“五个加快”行动</w:t>
      </w:r>
      <w:r>
        <w:rPr>
          <w:rFonts w:eastAsia="仿宋_GB2312"/>
          <w:color w:val="000000"/>
          <w:sz w:val="32"/>
          <w:szCs w:val="32"/>
        </w:rPr>
        <w:t>（加快政银合作共促小微企业发展、加快推进政府性融资担保体系和贷款风险补偿机制建设、加快外商投资项目落地、加快口岸通关便利化、加快出口退税进度），优化企业服务</w:t>
      </w:r>
      <w:r>
        <w:rPr>
          <w:rFonts w:eastAsia="仿宋_GB2312"/>
          <w:b/>
          <w:bCs/>
          <w:color w:val="000000"/>
          <w:sz w:val="32"/>
          <w:szCs w:val="32"/>
        </w:rPr>
        <w:t>“四个零”行动</w:t>
      </w:r>
      <w:r>
        <w:rPr>
          <w:rFonts w:eastAsia="仿宋_GB2312"/>
          <w:color w:val="000000"/>
          <w:sz w:val="32"/>
          <w:szCs w:val="32"/>
        </w:rPr>
        <w:t>（负面清单之外零门槛、收费清单之外零收费、对企业服务零距离、对侵权行为零容忍），扶持企业发展</w:t>
      </w:r>
      <w:r>
        <w:rPr>
          <w:rFonts w:eastAsia="仿宋_GB2312"/>
          <w:b/>
          <w:bCs/>
          <w:color w:val="000000"/>
          <w:sz w:val="32"/>
          <w:szCs w:val="32"/>
        </w:rPr>
        <w:t>“四公开”行动</w:t>
      </w:r>
      <w:r>
        <w:rPr>
          <w:rFonts w:eastAsia="仿宋_GB2312"/>
          <w:color w:val="000000"/>
          <w:sz w:val="32"/>
          <w:szCs w:val="32"/>
        </w:rPr>
        <w:t>（扶持政策网上公开、扶持项目网上公开、办理过程网上公开、办理结果网上公开），维护企业权益“</w:t>
      </w:r>
      <w:r>
        <w:rPr>
          <w:rFonts w:eastAsia="仿宋_GB2312"/>
          <w:b/>
          <w:bCs/>
          <w:color w:val="000000"/>
          <w:sz w:val="32"/>
          <w:szCs w:val="32"/>
        </w:rPr>
        <w:t>四个便利”行动</w:t>
      </w:r>
      <w:r>
        <w:rPr>
          <w:rFonts w:eastAsia="仿宋_GB2312"/>
          <w:color w:val="000000"/>
          <w:sz w:val="32"/>
          <w:szCs w:val="32"/>
        </w:rPr>
        <w:t>（便利企业投诉、便利企业纠纷调解、便利企业注销、便利企业退出），事中事后</w:t>
      </w:r>
      <w:r>
        <w:rPr>
          <w:rFonts w:eastAsia="仿宋_GB2312"/>
          <w:b/>
          <w:bCs/>
          <w:color w:val="000000"/>
          <w:sz w:val="32"/>
          <w:szCs w:val="32"/>
        </w:rPr>
        <w:t>“四个监管”行动</w:t>
      </w:r>
      <w:r>
        <w:rPr>
          <w:rFonts w:eastAsia="仿宋_GB2312"/>
          <w:color w:val="000000"/>
          <w:sz w:val="32"/>
          <w:szCs w:val="32"/>
        </w:rPr>
        <w:t>（协同监管、智慧监管、信用监管、依法监管），落实政策措施</w:t>
      </w:r>
      <w:r>
        <w:rPr>
          <w:rFonts w:eastAsia="仿宋_GB2312"/>
          <w:b/>
          <w:bCs/>
          <w:color w:val="000000"/>
          <w:sz w:val="32"/>
          <w:szCs w:val="32"/>
        </w:rPr>
        <w:t>“三个机制”行动</w:t>
      </w:r>
      <w:r>
        <w:rPr>
          <w:rFonts w:eastAsia="仿宋_GB2312"/>
          <w:color w:val="000000"/>
          <w:sz w:val="32"/>
          <w:szCs w:val="32"/>
        </w:rPr>
        <w:t>（督查机制、评价机制、责任追究机制）。</w:t>
      </w:r>
    </w:p>
    <w:p w14:paraId="4E11A4D8">
      <w:pPr>
        <w:pStyle w:val="7"/>
        <w:spacing w:line="560" w:lineRule="exact"/>
        <w:ind w:firstLine="640" w:firstLineChars="200"/>
        <w:rPr>
          <w:rFonts w:eastAsia="仿宋_GB2312"/>
          <w:color w:val="000000"/>
          <w:sz w:val="32"/>
          <w:szCs w:val="32"/>
        </w:rPr>
      </w:pPr>
      <w:r>
        <w:rPr>
          <w:rFonts w:eastAsia="仿宋_GB2312"/>
          <w:sz w:val="32"/>
          <w:szCs w:val="32"/>
        </w:rPr>
        <w:t>24.</w:t>
      </w:r>
      <w:r>
        <w:rPr>
          <w:rFonts w:eastAsia="仿宋_GB2312"/>
          <w:color w:val="000000"/>
          <w:sz w:val="32"/>
          <w:szCs w:val="32"/>
        </w:rPr>
        <w:t>三张牌：</w:t>
      </w:r>
      <w:r>
        <w:rPr>
          <w:rFonts w:eastAsia="仿宋_GB2312"/>
          <w:sz w:val="32"/>
          <w:szCs w:val="32"/>
        </w:rPr>
        <w:t>云南省全面贯彻习近平生态文明思想，立足省情、发挥优势，坚持绿色发展，打造世界一流的绿色能源、绿色食品、健康生活目的地三张牌，让绿色成为云南产业转型升级</w:t>
      </w:r>
      <w:r>
        <w:rPr>
          <w:rFonts w:eastAsia="仿宋_GB2312"/>
          <w:color w:val="000000"/>
          <w:sz w:val="32"/>
          <w:szCs w:val="32"/>
        </w:rPr>
        <w:t>、</w:t>
      </w:r>
      <w:r>
        <w:rPr>
          <w:rFonts w:eastAsia="仿宋_GB2312"/>
          <w:sz w:val="32"/>
          <w:szCs w:val="32"/>
        </w:rPr>
        <w:t>经济高质量发展的鲜明底色。</w:t>
      </w:r>
    </w:p>
    <w:p w14:paraId="101E2078">
      <w:pPr>
        <w:pStyle w:val="7"/>
        <w:spacing w:line="560" w:lineRule="exact"/>
        <w:ind w:firstLine="640" w:firstLineChars="200"/>
        <w:rPr>
          <w:rFonts w:eastAsia="仿宋_GB2312"/>
          <w:sz w:val="32"/>
          <w:szCs w:val="32"/>
          <w:shd w:val="clear" w:color="auto" w:fill="FFFFFF"/>
        </w:rPr>
      </w:pPr>
      <w:r>
        <w:rPr>
          <w:rFonts w:eastAsia="仿宋_GB2312"/>
          <w:color w:val="000000"/>
          <w:sz w:val="32"/>
          <w:szCs w:val="32"/>
        </w:rPr>
        <w:t>25.“一村一幼”“一乡两公办”：</w:t>
      </w:r>
      <w:r>
        <w:rPr>
          <w:rFonts w:eastAsia="仿宋_GB2312"/>
          <w:sz w:val="32"/>
          <w:szCs w:val="32"/>
          <w:shd w:val="clear" w:color="auto" w:fill="FFFFFF"/>
        </w:rPr>
        <w:t>一个行政村至少建有一所村级幼儿园，一个乡镇至少建有两所公办幼儿园。</w:t>
      </w:r>
    </w:p>
    <w:p w14:paraId="6B1C50FE">
      <w:pPr>
        <w:pStyle w:val="7"/>
        <w:spacing w:line="560" w:lineRule="exact"/>
        <w:ind w:firstLine="640" w:firstLineChars="200"/>
        <w:rPr>
          <w:rFonts w:eastAsia="仿宋_GB2312"/>
          <w:b/>
          <w:bCs/>
          <w:sz w:val="32"/>
          <w:szCs w:val="32"/>
        </w:rPr>
      </w:pPr>
      <w:r>
        <w:rPr>
          <w:rFonts w:eastAsia="仿宋_GB2312"/>
          <w:sz w:val="32"/>
          <w:szCs w:val="32"/>
          <w:shd w:val="clear" w:color="auto" w:fill="FFFFFF"/>
        </w:rPr>
        <w:t>26.</w:t>
      </w:r>
      <w:r>
        <w:rPr>
          <w:rFonts w:eastAsia="仿宋_GB2312"/>
          <w:color w:val="000000"/>
          <w:sz w:val="32"/>
          <w:szCs w:val="32"/>
        </w:rPr>
        <w:t>“双线十人制”：为强化控辍保学工作，实施两条线，</w:t>
      </w:r>
      <w:r>
        <w:rPr>
          <w:rFonts w:eastAsia="仿宋_GB2312"/>
          <w:b/>
          <w:bCs/>
          <w:color w:val="000000"/>
          <w:sz w:val="32"/>
          <w:szCs w:val="32"/>
        </w:rPr>
        <w:t>一是</w:t>
      </w:r>
      <w:r>
        <w:rPr>
          <w:rFonts w:eastAsia="仿宋_GB2312"/>
          <w:color w:val="000000"/>
          <w:sz w:val="32"/>
          <w:szCs w:val="32"/>
        </w:rPr>
        <w:t>“政府线”：县长、乡镇长、村长、组长、家长主要履行政府“控辍保学”法定职责、完善行政督促复学机制和义务教育入学联控联保工作机制，包保适龄儿童少年全入学、辍学生全复学；</w:t>
      </w:r>
      <w:r>
        <w:rPr>
          <w:rFonts w:eastAsia="仿宋_GB2312"/>
          <w:b/>
          <w:bCs/>
          <w:color w:val="000000"/>
          <w:sz w:val="32"/>
          <w:szCs w:val="32"/>
        </w:rPr>
        <w:t>二是</w:t>
      </w:r>
      <w:r>
        <w:rPr>
          <w:rFonts w:eastAsia="仿宋_GB2312"/>
          <w:color w:val="000000"/>
          <w:sz w:val="32"/>
          <w:szCs w:val="32"/>
        </w:rPr>
        <w:t>“教育线”：教育局长、中心学校（含初级中学）校长、村小学校长、班主任、教师，主要加强学校管理，增强教学吸引力，落实各项补助政策，包保学生留得住、学得好。</w:t>
      </w:r>
    </w:p>
    <w:p w14:paraId="0C8E0AAC">
      <w:pPr>
        <w:spacing w:line="560" w:lineRule="exact"/>
        <w:ind w:firstLine="640"/>
        <w:rPr>
          <w:rFonts w:eastAsia="仿宋_GB2312"/>
          <w:sz w:val="32"/>
          <w:szCs w:val="32"/>
        </w:rPr>
      </w:pPr>
      <w:r>
        <w:rPr>
          <w:rFonts w:eastAsia="仿宋_GB2312"/>
          <w:color w:val="000000"/>
          <w:sz w:val="32"/>
          <w:szCs w:val="32"/>
        </w:rPr>
        <w:t>27.“三个1小时”交通圈：</w:t>
      </w:r>
      <w:r>
        <w:rPr>
          <w:rFonts w:eastAsia="仿宋_GB2312"/>
          <w:sz w:val="32"/>
          <w:szCs w:val="32"/>
        </w:rPr>
        <w:t>从最远的山区社区居民小组到居委会、从最远的山区居委会到街道办事处、从最远的山区街道办事处到区政府，都可以在一小时之内到达。</w:t>
      </w:r>
    </w:p>
    <w:p w14:paraId="68FE06FD">
      <w:pPr>
        <w:spacing w:line="560" w:lineRule="exact"/>
        <w:ind w:firstLine="640"/>
        <w:rPr>
          <w:rFonts w:eastAsia="仿宋_GB2312"/>
          <w:sz w:val="32"/>
          <w:szCs w:val="32"/>
        </w:rPr>
      </w:pPr>
      <w:r>
        <w:rPr>
          <w:rFonts w:eastAsia="仿宋_GB2312"/>
          <w:sz w:val="32"/>
          <w:szCs w:val="32"/>
        </w:rPr>
        <w:t>28.</w:t>
      </w:r>
      <w:r>
        <w:rPr>
          <w:rFonts w:eastAsia="仿宋_GB2312"/>
          <w:color w:val="000000"/>
          <w:sz w:val="32"/>
          <w:szCs w:val="32"/>
        </w:rPr>
        <w:t>三生承载（三生互动）：</w:t>
      </w:r>
      <w:r>
        <w:rPr>
          <w:rFonts w:eastAsia="仿宋_GB2312"/>
          <w:sz w:val="32"/>
          <w:szCs w:val="32"/>
        </w:rPr>
        <w:t>三生指生产、生活、生态。依托西山得天独厚的自然资源，提升新产业场景，营造新生活场景，打造国际国内知名的健康新生活体验区。</w:t>
      </w:r>
    </w:p>
    <w:p w14:paraId="7ED233A9">
      <w:pPr>
        <w:spacing w:line="560" w:lineRule="exact"/>
        <w:ind w:firstLine="640"/>
        <w:rPr>
          <w:rFonts w:eastAsia="仿宋_GB2312"/>
          <w:sz w:val="32"/>
          <w:szCs w:val="32"/>
        </w:rPr>
      </w:pPr>
      <w:r>
        <w:rPr>
          <w:rFonts w:eastAsia="仿宋_GB2312"/>
          <w:sz w:val="32"/>
          <w:szCs w:val="32"/>
        </w:rPr>
        <w:t>29.</w:t>
      </w:r>
      <w:r>
        <w:rPr>
          <w:rFonts w:eastAsia="仿宋_GB2312"/>
          <w:color w:val="000000"/>
          <w:sz w:val="32"/>
          <w:szCs w:val="32"/>
        </w:rPr>
        <w:t>三创驱动：</w:t>
      </w:r>
      <w:r>
        <w:rPr>
          <w:rFonts w:eastAsia="仿宋_GB2312"/>
          <w:sz w:val="32"/>
          <w:szCs w:val="32"/>
        </w:rPr>
        <w:t>三创指科创、文创、绿创。促进科技创新与实体经济的深度融合，构建特色产业数字生态；促进文化创意与生产生活的交汇融合，打造知名地区特色IP；促进生态禀赋与绿色经济协调发展，建设全省绿色创新高地。</w:t>
      </w:r>
    </w:p>
    <w:p w14:paraId="249C3FAB">
      <w:pPr>
        <w:spacing w:line="560" w:lineRule="exact"/>
        <w:ind w:firstLine="640"/>
        <w:rPr>
          <w:rFonts w:eastAsia="仿宋_GB2312"/>
          <w:color w:val="000000"/>
          <w:sz w:val="32"/>
          <w:szCs w:val="32"/>
        </w:rPr>
      </w:pPr>
      <w:r>
        <w:rPr>
          <w:rFonts w:eastAsia="仿宋_GB2312"/>
          <w:sz w:val="32"/>
          <w:szCs w:val="32"/>
        </w:rPr>
        <w:t>30.</w:t>
      </w:r>
      <w:r>
        <w:rPr>
          <w:rFonts w:eastAsia="仿宋_GB2312"/>
          <w:color w:val="000000"/>
          <w:sz w:val="32"/>
          <w:szCs w:val="32"/>
        </w:rPr>
        <w:t>三元联动：</w:t>
      </w:r>
      <w:r>
        <w:rPr>
          <w:rFonts w:eastAsia="仿宋_GB2312"/>
          <w:sz w:val="32"/>
          <w:szCs w:val="32"/>
        </w:rPr>
        <w:t>三元指城市、城镇、乡村。西山区承载昆明市建设区域性国际中心战略，打造区域性国际服务贸易高地，优化“轴、带、组团”三大空间布局，理顺都市经济、县域经济、镇域经济、乡村经济四层结构机理。</w:t>
      </w:r>
    </w:p>
    <w:p w14:paraId="09F0240D">
      <w:pPr>
        <w:spacing w:line="560" w:lineRule="exact"/>
        <w:ind w:firstLine="640"/>
        <w:rPr>
          <w:rFonts w:eastAsia="仿宋_GB2312"/>
          <w:sz w:val="32"/>
          <w:szCs w:val="32"/>
        </w:rPr>
      </w:pPr>
      <w:r>
        <w:rPr>
          <w:rFonts w:eastAsia="仿宋_GB2312"/>
          <w:color w:val="000000"/>
          <w:sz w:val="32"/>
          <w:szCs w:val="32"/>
        </w:rPr>
        <w:t>31.三资重构：</w:t>
      </w:r>
      <w:r>
        <w:rPr>
          <w:rFonts w:eastAsia="仿宋_GB2312"/>
          <w:sz w:val="32"/>
          <w:szCs w:val="32"/>
        </w:rPr>
        <w:t>三资指资源、资产、资本。发现和创造资源的新价值，促进资源的价值重构；发挥资产的转化和放大功能，推动体系重构；发挥资本的引导和带动作用，以结构性金融创新培育多元经济发展主体。</w:t>
      </w:r>
    </w:p>
    <w:p w14:paraId="063E25D6">
      <w:pPr>
        <w:spacing w:line="560" w:lineRule="exact"/>
        <w:ind w:firstLine="640"/>
        <w:rPr>
          <w:rFonts w:eastAsia="仿宋_GB2312"/>
          <w:sz w:val="32"/>
          <w:szCs w:val="32"/>
        </w:rPr>
      </w:pPr>
      <w:r>
        <w:rPr>
          <w:rFonts w:eastAsia="仿宋_GB2312"/>
          <w:sz w:val="32"/>
          <w:szCs w:val="32"/>
        </w:rPr>
        <w:t>32.</w:t>
      </w:r>
      <w:r>
        <w:rPr>
          <w:rFonts w:eastAsia="仿宋_GB2312"/>
          <w:color w:val="000000"/>
          <w:sz w:val="32"/>
          <w:szCs w:val="32"/>
        </w:rPr>
        <w:t>三心赋能：</w:t>
      </w:r>
      <w:r>
        <w:rPr>
          <w:rFonts w:eastAsia="仿宋_GB2312"/>
          <w:sz w:val="32"/>
          <w:szCs w:val="32"/>
        </w:rPr>
        <w:t>三心指科创中心、人才中心、结算中心。通过科创中心赋能创新、人才中心聚能提升、结算中心扩能辐射，系统推动西山区新旧能动转换、供给侧改革和生态文明建设。</w:t>
      </w:r>
    </w:p>
    <w:p w14:paraId="7408EBB7">
      <w:pPr>
        <w:spacing w:line="560" w:lineRule="exact"/>
        <w:ind w:firstLine="640"/>
        <w:rPr>
          <w:rFonts w:eastAsia="仿宋_GB2312"/>
          <w:sz w:val="32"/>
          <w:szCs w:val="32"/>
        </w:rPr>
      </w:pPr>
      <w:r>
        <w:rPr>
          <w:rFonts w:eastAsia="仿宋_GB2312"/>
          <w:sz w:val="32"/>
          <w:szCs w:val="32"/>
        </w:rPr>
        <w:t>33.</w:t>
      </w:r>
      <w:r>
        <w:rPr>
          <w:rFonts w:eastAsia="仿宋_GB2312"/>
          <w:color w:val="000000"/>
          <w:sz w:val="32"/>
          <w:szCs w:val="32"/>
        </w:rPr>
        <w:t>西山区“666”发展战略：</w:t>
      </w:r>
      <w:r>
        <w:rPr>
          <w:rFonts w:eastAsia="仿宋_GB2312"/>
          <w:sz w:val="32"/>
          <w:szCs w:val="32"/>
        </w:rPr>
        <w:t>突显六大中枢功能、擦亮六大地区名片、强化六大核心能力，系统打造更具活力的区域性国际中心城市中枢门户区。</w:t>
      </w:r>
    </w:p>
    <w:p w14:paraId="1EEA4600">
      <w:pPr>
        <w:pStyle w:val="7"/>
        <w:spacing w:line="560" w:lineRule="exact"/>
        <w:ind w:firstLine="640" w:firstLineChars="200"/>
        <w:rPr>
          <w:rFonts w:eastAsia="仿宋_GB2312"/>
          <w:sz w:val="32"/>
          <w:szCs w:val="32"/>
        </w:rPr>
      </w:pPr>
      <w:r>
        <w:rPr>
          <w:rFonts w:eastAsia="仿宋_GB2312"/>
          <w:sz w:val="32"/>
          <w:szCs w:val="32"/>
          <w:shd w:val="clear" w:color="auto" w:fill="FFFFFF"/>
        </w:rPr>
        <w:t>34.</w:t>
      </w:r>
      <w:r>
        <w:rPr>
          <w:rFonts w:eastAsia="仿宋_GB2312"/>
          <w:color w:val="000000"/>
          <w:sz w:val="32"/>
          <w:szCs w:val="32"/>
        </w:rPr>
        <w:t>“4×3”现代产业体系：</w:t>
      </w:r>
      <w:r>
        <w:rPr>
          <w:rFonts w:eastAsia="仿宋_GB2312"/>
          <w:sz w:val="32"/>
          <w:szCs w:val="32"/>
          <w:shd w:val="clear" w:color="auto" w:fill="FFFFFF"/>
        </w:rPr>
        <w:t>以大健康、数字经济、服务贸易为三个主导产业，房地产、新型化工、装备智造为三个基础产业，生态农业、金融结算、军民融合为三个机会产业，商贸物流、文化创意、主题旅游为三个配套产业，打造“主导产业+基础产业+配套产业+机会产业”的“4×3”现代产业体系。</w:t>
      </w:r>
    </w:p>
    <w:p w14:paraId="70311661">
      <w:pPr>
        <w:spacing w:line="560" w:lineRule="exact"/>
        <w:ind w:firstLine="640"/>
        <w:rPr>
          <w:rFonts w:eastAsia="仿宋_GB2312"/>
          <w:color w:val="000000"/>
          <w:sz w:val="32"/>
          <w:szCs w:val="32"/>
        </w:rPr>
      </w:pPr>
      <w:r>
        <w:rPr>
          <w:rFonts w:eastAsia="仿宋_GB2312"/>
          <w:color w:val="000000"/>
          <w:sz w:val="32"/>
          <w:szCs w:val="32"/>
        </w:rPr>
        <w:t>35.“医联体”“医共体”：“医联体”，即区域医疗联合体，将同一个区域内的医疗资源整合在一起。“医共体”，即优化区域医疗资源，组建区级医院协作单位以及区级医院和镇街卫生院（社区卫生服务中心）医共体，提升区级医院和基层医疗卫生机构服务能力。</w:t>
      </w:r>
    </w:p>
    <w:p w14:paraId="20968A31">
      <w:pPr>
        <w:spacing w:line="560" w:lineRule="exact"/>
        <w:ind w:firstLine="640"/>
        <w:rPr>
          <w:rFonts w:eastAsia="仿宋_GB2312"/>
          <w:sz w:val="32"/>
          <w:szCs w:val="32"/>
        </w:rPr>
      </w:pPr>
      <w:r>
        <w:rPr>
          <w:rFonts w:eastAsia="仿宋_GB2312"/>
          <w:color w:val="000000"/>
          <w:sz w:val="32"/>
          <w:szCs w:val="32"/>
        </w:rPr>
        <w:t>36.“十大融合”示范工程：</w:t>
      </w:r>
      <w:r>
        <w:rPr>
          <w:rFonts w:eastAsia="仿宋_GB2312"/>
          <w:sz w:val="32"/>
          <w:szCs w:val="32"/>
        </w:rPr>
        <w:t>城乡融合、产城融合、产镇融合、生命生产生活生态融合（四生融合）、文创绿创科创融合（三创融合）、工业与信息化融合、商贸与服贸融合、金融与结算融合、军民融合、产教融合。</w:t>
      </w:r>
    </w:p>
    <w:p w14:paraId="32A00E16">
      <w:pPr>
        <w:spacing w:line="560" w:lineRule="exact"/>
        <w:ind w:firstLine="640"/>
        <w:rPr>
          <w:rFonts w:eastAsia="仿宋_GB2312"/>
          <w:b/>
          <w:bCs/>
          <w:color w:val="000000"/>
          <w:sz w:val="32"/>
          <w:szCs w:val="32"/>
        </w:rPr>
      </w:pPr>
      <w:r>
        <w:rPr>
          <w:rFonts w:eastAsia="仿宋_GB2312"/>
          <w:color w:val="000000"/>
          <w:sz w:val="32"/>
          <w:szCs w:val="32"/>
        </w:rPr>
        <w:t>37.“双轴三带六组团”项目布局：</w:t>
      </w:r>
      <w:r>
        <w:rPr>
          <w:rFonts w:eastAsia="仿宋_GB2312"/>
          <w:sz w:val="32"/>
          <w:szCs w:val="32"/>
        </w:rPr>
        <w:t>“双轴”，</w:t>
      </w:r>
      <w:r>
        <w:rPr>
          <w:rFonts w:eastAsia="仿宋_GB2312"/>
          <w:color w:val="000000"/>
          <w:sz w:val="32"/>
          <w:szCs w:val="32"/>
        </w:rPr>
        <w:t>即</w:t>
      </w:r>
      <w:r>
        <w:rPr>
          <w:rFonts w:eastAsia="仿宋_GB2312"/>
          <w:sz w:val="32"/>
          <w:szCs w:val="32"/>
        </w:rPr>
        <w:t>科创文创绿创融合发展轴、数字与结算引领服务贸易发展轴；“三带”，</w:t>
      </w:r>
      <w:r>
        <w:rPr>
          <w:rFonts w:eastAsia="仿宋_GB2312"/>
          <w:color w:val="000000"/>
          <w:sz w:val="32"/>
          <w:szCs w:val="32"/>
        </w:rPr>
        <w:t>即</w:t>
      </w:r>
      <w:r>
        <w:rPr>
          <w:rFonts w:eastAsia="仿宋_GB2312"/>
          <w:sz w:val="32"/>
          <w:szCs w:val="32"/>
        </w:rPr>
        <w:t>沿滇新经济新生活体验带、生态康旅特色小镇体验带、特色民族风情乡村体验带。“六组团”，</w:t>
      </w:r>
      <w:r>
        <w:rPr>
          <w:rFonts w:eastAsia="仿宋_GB2312"/>
          <w:color w:val="000000"/>
          <w:sz w:val="32"/>
          <w:szCs w:val="32"/>
        </w:rPr>
        <w:t>即主城</w:t>
      </w:r>
      <w:r>
        <w:rPr>
          <w:rFonts w:eastAsia="仿宋_GB2312"/>
          <w:sz w:val="32"/>
          <w:szCs w:val="32"/>
        </w:rPr>
        <w:t>核心区组团、会客厅组团、西门户组团、卫星城组团、风情镇组团、后花园组团。</w:t>
      </w:r>
    </w:p>
    <w:p w14:paraId="56C3CB37">
      <w:pPr>
        <w:spacing w:line="560" w:lineRule="exact"/>
        <w:ind w:firstLine="640"/>
        <w:rPr>
          <w:rFonts w:eastAsia="仿宋_GB2312"/>
          <w:color w:val="000000"/>
          <w:sz w:val="32"/>
          <w:szCs w:val="32"/>
        </w:rPr>
      </w:pPr>
      <w:r>
        <w:rPr>
          <w:rFonts w:eastAsia="仿宋_GB2312"/>
          <w:color w:val="000000"/>
          <w:sz w:val="32"/>
          <w:szCs w:val="32"/>
        </w:rPr>
        <w:t>38.六大发展平台：城建投、健康投、文旅投、教育投、绿发投、创发投六大发展平台。</w:t>
      </w:r>
    </w:p>
    <w:p w14:paraId="38986EAB">
      <w:pPr>
        <w:spacing w:line="560" w:lineRule="exact"/>
        <w:ind w:firstLine="640"/>
        <w:rPr>
          <w:rFonts w:eastAsia="仿宋_GB2312"/>
          <w:color w:val="000000"/>
          <w:sz w:val="32"/>
          <w:szCs w:val="32"/>
        </w:rPr>
      </w:pPr>
      <w:r>
        <w:rPr>
          <w:rFonts w:eastAsia="仿宋_GB2312"/>
          <w:color w:val="000000"/>
          <w:sz w:val="32"/>
          <w:szCs w:val="32"/>
        </w:rPr>
        <w:t>39.六大赋能平台：搭建数字、创意设计、产业教育、资本、科创、人才六大赋能平台。</w:t>
      </w:r>
    </w:p>
    <w:p w14:paraId="1D2A5D64">
      <w:pPr>
        <w:spacing w:line="560" w:lineRule="exact"/>
        <w:ind w:firstLine="640"/>
        <w:rPr>
          <w:rFonts w:eastAsia="仿宋_GB2312"/>
          <w:b/>
          <w:bCs/>
          <w:sz w:val="32"/>
          <w:szCs w:val="32"/>
        </w:rPr>
      </w:pPr>
      <w:r>
        <w:rPr>
          <w:rFonts w:eastAsia="仿宋_GB2312"/>
          <w:color w:val="000000"/>
          <w:sz w:val="32"/>
          <w:szCs w:val="32"/>
        </w:rPr>
        <w:t>40.营商环境“红黑榜”：为落实省、市优化营商环境的安排部署，对标先进正视不足，转变观念优化服务，推动优化营商环境各项工作整改落实，西山区对各部门优化提升营商环境工作进行评价，前3名进入营商环境“红榜”，后3名进入“黑榜”。</w:t>
      </w:r>
    </w:p>
    <w:p w14:paraId="10C479A6">
      <w:pPr>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41.“123456”空间战略布局：一核驱动、双轴传导、两翼辐射、三带示范、四区统筹、五极增长、六组团发展。</w:t>
      </w:r>
      <w:r>
        <w:rPr>
          <w:rFonts w:eastAsia="仿宋_GB2312"/>
          <w:b/>
          <w:bCs/>
          <w:color w:val="000000" w:themeColor="text1"/>
          <w:sz w:val="32"/>
          <w:szCs w:val="32"/>
          <w14:textFill>
            <w14:solidFill>
              <w14:schemeClr w14:val="tx1"/>
            </w14:solidFill>
          </w14:textFill>
        </w:rPr>
        <w:t>“一核”</w:t>
      </w:r>
      <w:r>
        <w:rPr>
          <w:rFonts w:eastAsia="仿宋_GB2312"/>
          <w:color w:val="000000" w:themeColor="text1"/>
          <w:sz w:val="32"/>
          <w:szCs w:val="32"/>
          <w14:textFill>
            <w14:solidFill>
              <w14:schemeClr w14:val="tx1"/>
            </w14:solidFill>
          </w14:textFill>
        </w:rPr>
        <w:t>是区域性国际中心城市活力主城核心区；</w:t>
      </w:r>
      <w:r>
        <w:rPr>
          <w:rFonts w:eastAsia="仿宋_GB2312"/>
          <w:b/>
          <w:bCs/>
          <w:color w:val="000000" w:themeColor="text1"/>
          <w:sz w:val="32"/>
          <w:szCs w:val="32"/>
          <w14:textFill>
            <w14:solidFill>
              <w14:schemeClr w14:val="tx1"/>
            </w14:solidFill>
          </w14:textFill>
        </w:rPr>
        <w:t>“双轴”</w:t>
      </w:r>
      <w:r>
        <w:rPr>
          <w:rFonts w:eastAsia="仿宋_GB2312"/>
          <w:color w:val="000000" w:themeColor="text1"/>
          <w:sz w:val="32"/>
          <w:szCs w:val="32"/>
          <w14:textFill>
            <w14:solidFill>
              <w14:schemeClr w14:val="tx1"/>
            </w14:solidFill>
          </w14:textFill>
        </w:rPr>
        <w:t>数字与结算引领服务贸易发展轴和科创文创绿创融合发展轴；</w:t>
      </w:r>
      <w:r>
        <w:rPr>
          <w:rFonts w:eastAsia="仿宋_GB2312"/>
          <w:b/>
          <w:bCs/>
          <w:color w:val="000000" w:themeColor="text1"/>
          <w:sz w:val="32"/>
          <w:szCs w:val="32"/>
          <w14:textFill>
            <w14:solidFill>
              <w14:schemeClr w14:val="tx1"/>
            </w14:solidFill>
          </w14:textFill>
        </w:rPr>
        <w:t>“两翼”</w:t>
      </w:r>
      <w:r>
        <w:rPr>
          <w:rFonts w:eastAsia="仿宋_GB2312"/>
          <w:color w:val="000000" w:themeColor="text1"/>
          <w:sz w:val="32"/>
          <w:szCs w:val="32"/>
          <w14:textFill>
            <w14:solidFill>
              <w14:schemeClr w14:val="tx1"/>
            </w14:solidFill>
          </w14:textFill>
        </w:rPr>
        <w:t>向西南的碧鸡海口翼和向西北的团结翼；</w:t>
      </w:r>
      <w:r>
        <w:rPr>
          <w:rFonts w:eastAsia="仿宋_GB2312"/>
          <w:b/>
          <w:bCs/>
          <w:color w:val="000000" w:themeColor="text1"/>
          <w:sz w:val="32"/>
          <w:szCs w:val="32"/>
          <w14:textFill>
            <w14:solidFill>
              <w14:schemeClr w14:val="tx1"/>
            </w14:solidFill>
          </w14:textFill>
        </w:rPr>
        <w:t>“三带”</w:t>
      </w:r>
      <w:r>
        <w:rPr>
          <w:rFonts w:eastAsia="仿宋_GB2312"/>
          <w:color w:val="000000" w:themeColor="text1"/>
          <w:sz w:val="32"/>
          <w:szCs w:val="32"/>
          <w14:textFill>
            <w14:solidFill>
              <w14:schemeClr w14:val="tx1"/>
            </w14:solidFill>
          </w14:textFill>
        </w:rPr>
        <w:t>沿滇新经济新生活体验带、生态康旅特色小镇体验带、特色民族风情乡村体验带；</w:t>
      </w:r>
      <w:r>
        <w:rPr>
          <w:rFonts w:eastAsia="仿宋_GB2312"/>
          <w:b/>
          <w:bCs/>
          <w:color w:val="000000" w:themeColor="text1"/>
          <w:sz w:val="32"/>
          <w:szCs w:val="32"/>
          <w14:textFill>
            <w14:solidFill>
              <w14:schemeClr w14:val="tx1"/>
            </w14:solidFill>
          </w14:textFill>
        </w:rPr>
        <w:t>“四区”</w:t>
      </w:r>
      <w:r>
        <w:rPr>
          <w:rFonts w:eastAsia="仿宋_GB2312"/>
          <w:color w:val="000000" w:themeColor="text1"/>
          <w:sz w:val="32"/>
          <w:szCs w:val="32"/>
          <w14:textFill>
            <w14:solidFill>
              <w14:schemeClr w14:val="tx1"/>
            </w14:solidFill>
          </w14:textFill>
        </w:rPr>
        <w:t>城区、园区、景区、农区；</w:t>
      </w:r>
      <w:r>
        <w:rPr>
          <w:rFonts w:eastAsia="仿宋_GB2312"/>
          <w:b/>
          <w:bCs/>
          <w:color w:val="000000" w:themeColor="text1"/>
          <w:sz w:val="32"/>
          <w:szCs w:val="32"/>
          <w14:textFill>
            <w14:solidFill>
              <w14:schemeClr w14:val="tx1"/>
            </w14:solidFill>
          </w14:textFill>
        </w:rPr>
        <w:t>“五极”</w:t>
      </w:r>
      <w:r>
        <w:rPr>
          <w:rFonts w:eastAsia="仿宋_GB2312"/>
          <w:color w:val="000000" w:themeColor="text1"/>
          <w:sz w:val="32"/>
          <w:szCs w:val="32"/>
          <w14:textFill>
            <w14:solidFill>
              <w14:schemeClr w14:val="tx1"/>
            </w14:solidFill>
          </w14:textFill>
        </w:rPr>
        <w:t>服务贸易增长极、大健康增长极、数字经济增长极、绿色经济增长极、金融结算增长极；</w:t>
      </w:r>
      <w:r>
        <w:rPr>
          <w:rFonts w:eastAsia="仿宋_GB2312"/>
          <w:b/>
          <w:bCs/>
          <w:color w:val="000000" w:themeColor="text1"/>
          <w:sz w:val="32"/>
          <w:szCs w:val="32"/>
          <w14:textFill>
            <w14:solidFill>
              <w14:schemeClr w14:val="tx1"/>
            </w14:solidFill>
          </w14:textFill>
        </w:rPr>
        <w:t>“六组团”</w:t>
      </w:r>
      <w:r>
        <w:rPr>
          <w:rFonts w:eastAsia="仿宋_GB2312"/>
          <w:color w:val="000000" w:themeColor="text1"/>
          <w:sz w:val="32"/>
          <w:szCs w:val="32"/>
          <w14:textFill>
            <w14:solidFill>
              <w14:schemeClr w14:val="tx1"/>
            </w14:solidFill>
          </w14:textFill>
        </w:rPr>
        <w:t>主城核心区组团、会客厅组团、西门户组团、卫星城组团、风情镇组团、后花园组团。</w:t>
      </w:r>
    </w:p>
    <w:p w14:paraId="3ACB04C9">
      <w:pPr>
        <w:pStyle w:val="7"/>
        <w:spacing w:line="560" w:lineRule="exact"/>
        <w:ind w:firstLine="640" w:firstLineChars="200"/>
        <w:rPr>
          <w:rFonts w:eastAsia="仿宋_GB2312"/>
          <w:sz w:val="32"/>
          <w:szCs w:val="32"/>
          <w:shd w:val="clear" w:color="auto" w:fill="FFFFFF"/>
        </w:rPr>
      </w:pPr>
      <w:r>
        <w:rPr>
          <w:rFonts w:eastAsia="仿宋_GB2312"/>
          <w:sz w:val="32"/>
          <w:szCs w:val="32"/>
          <w:shd w:val="clear" w:color="auto" w:fill="FFFFFF"/>
        </w:rPr>
        <w:t>42.</w:t>
      </w:r>
      <w:r>
        <w:rPr>
          <w:rFonts w:eastAsia="仿宋_GB2312"/>
          <w:color w:val="000000"/>
          <w:sz w:val="32"/>
          <w:szCs w:val="32"/>
        </w:rPr>
        <w:t>八大商圈：</w:t>
      </w:r>
      <w:r>
        <w:rPr>
          <w:rFonts w:eastAsia="仿宋_GB2312"/>
          <w:sz w:val="32"/>
          <w:szCs w:val="32"/>
        </w:rPr>
        <w:t>滇池时代商圈、广福路爱琴海购物公园商圈、昆明大悦城商圈、南亚风情第壹城商圈、昆明西山万达广场商圈、云投中心商圈、润城商圈、金地兰亭广场商圈。</w:t>
      </w:r>
    </w:p>
    <w:p w14:paraId="5FB08865">
      <w:pPr>
        <w:pStyle w:val="7"/>
        <w:spacing w:line="560" w:lineRule="exact"/>
        <w:ind w:firstLine="640" w:firstLineChars="200"/>
        <w:rPr>
          <w:rFonts w:eastAsia="仿宋_GB2312"/>
          <w:sz w:val="32"/>
          <w:szCs w:val="32"/>
          <w:shd w:val="clear" w:color="auto" w:fill="FFFFFF"/>
        </w:rPr>
      </w:pPr>
      <w:r>
        <w:rPr>
          <w:rFonts w:eastAsia="仿宋_GB2312"/>
          <w:sz w:val="32"/>
          <w:szCs w:val="32"/>
        </w:rPr>
        <w:t>43.</w:t>
      </w:r>
      <w:r>
        <w:rPr>
          <w:rFonts w:eastAsia="仿宋_GB2312"/>
          <w:color w:val="000000"/>
          <w:sz w:val="32"/>
          <w:szCs w:val="32"/>
        </w:rPr>
        <w:t>“1244”产业空间布局：</w:t>
      </w:r>
      <w:r>
        <w:rPr>
          <w:rFonts w:eastAsia="仿宋_GB2312"/>
          <w:sz w:val="32"/>
          <w:szCs w:val="32"/>
          <w:shd w:val="clear" w:color="auto" w:fill="FFFFFF"/>
        </w:rPr>
        <w:t>“十四五”期间西山区文化创意产业发展“一核集聚、两廊驱动、四区协调、四向拓展”的空间布局。</w:t>
      </w:r>
    </w:p>
    <w:p w14:paraId="1B172F3C">
      <w:pPr>
        <w:pStyle w:val="7"/>
        <w:spacing w:line="560" w:lineRule="exact"/>
        <w:ind w:firstLine="640" w:firstLineChars="200"/>
        <w:rPr>
          <w:rFonts w:eastAsia="仿宋_GB2312"/>
          <w:snapToGrid w:val="0"/>
          <w:color w:val="000000"/>
          <w:sz w:val="32"/>
          <w:szCs w:val="32"/>
        </w:rPr>
      </w:pPr>
      <w:r>
        <w:rPr>
          <w:rFonts w:eastAsia="仿宋_GB2312"/>
          <w:sz w:val="32"/>
          <w:szCs w:val="32"/>
        </w:rPr>
        <w:t>44.</w:t>
      </w:r>
      <w:r>
        <w:rPr>
          <w:rFonts w:eastAsia="仿宋_GB2312"/>
          <w:color w:val="000000"/>
          <w:sz w:val="32"/>
          <w:szCs w:val="32"/>
        </w:rPr>
        <w:t>云上教育“1+N”：</w:t>
      </w:r>
      <w:r>
        <w:rPr>
          <w:rFonts w:eastAsia="仿宋_GB2312"/>
          <w:sz w:val="32"/>
          <w:szCs w:val="32"/>
        </w:rPr>
        <w:t>借助信息化教育手段，一所城区或优质教育资源学校，带动几所农村或薄弱学校课堂教学，从而实现优质资源共享。</w:t>
      </w:r>
    </w:p>
    <w:p w14:paraId="5F884379">
      <w:pPr>
        <w:spacing w:line="560" w:lineRule="exact"/>
        <w:ind w:firstLine="640"/>
        <w:rPr>
          <w:rFonts w:eastAsia="仿宋_GB2312"/>
          <w:sz w:val="32"/>
          <w:szCs w:val="32"/>
        </w:rPr>
      </w:pPr>
      <w:r>
        <w:rPr>
          <w:rFonts w:eastAsia="仿宋_GB2312"/>
          <w:sz w:val="32"/>
          <w:szCs w:val="32"/>
        </w:rPr>
        <w:t>45.</w:t>
      </w:r>
      <w:r>
        <w:rPr>
          <w:rFonts w:eastAsia="仿宋_GB2312"/>
          <w:color w:val="000000"/>
          <w:sz w:val="32"/>
          <w:szCs w:val="32"/>
        </w:rPr>
        <w:t>四好农村公路：</w:t>
      </w:r>
      <w:r>
        <w:rPr>
          <w:rFonts w:eastAsia="仿宋_GB2312"/>
          <w:sz w:val="32"/>
          <w:szCs w:val="32"/>
        </w:rPr>
        <w:t>建好、管好、护好、运营好农村公路。</w:t>
      </w:r>
    </w:p>
    <w:p w14:paraId="7624C8D8">
      <w:pPr>
        <w:pStyle w:val="7"/>
        <w:spacing w:line="560" w:lineRule="exact"/>
        <w:ind w:firstLine="640" w:firstLineChars="200"/>
        <w:rPr>
          <w:rFonts w:eastAsia="仿宋_GB2312"/>
          <w:sz w:val="32"/>
          <w:szCs w:val="32"/>
        </w:rPr>
      </w:pPr>
      <w:r>
        <w:rPr>
          <w:rFonts w:eastAsia="仿宋_GB2312"/>
          <w:sz w:val="32"/>
          <w:szCs w:val="32"/>
        </w:rPr>
        <w:t>46.</w:t>
      </w:r>
      <w:r>
        <w:rPr>
          <w:rFonts w:eastAsia="仿宋_GB2312"/>
          <w:color w:val="000000"/>
          <w:sz w:val="32"/>
          <w:szCs w:val="32"/>
        </w:rPr>
        <w:t>分色管理机制：</w:t>
      </w:r>
      <w:r>
        <w:rPr>
          <w:rFonts w:eastAsia="仿宋_GB2312"/>
          <w:snapToGrid w:val="0"/>
          <w:sz w:val="32"/>
          <w:szCs w:val="32"/>
        </w:rPr>
        <w:t>通过对每个网格中最基础的每栋建筑物内相对应的住户、场所、单位，按照常住人口、流动人口、单位办公场所、从业场所、关注人员对应5种颜色直观标记，专职协管员根据分色管理直观分清工作侧重，避免重复、无序工作，提高服务管理效率。</w:t>
      </w:r>
    </w:p>
    <w:p w14:paraId="0857CC27">
      <w:pPr>
        <w:spacing w:line="560" w:lineRule="exact"/>
        <w:ind w:firstLine="640"/>
        <w:rPr>
          <w:rFonts w:eastAsia="仿宋_GB2312"/>
          <w:sz w:val="32"/>
          <w:szCs w:val="32"/>
        </w:rPr>
      </w:pPr>
      <w:r>
        <w:rPr>
          <w:rFonts w:eastAsia="仿宋_GB2312"/>
          <w:sz w:val="32"/>
          <w:szCs w:val="32"/>
        </w:rPr>
        <w:t>47.</w:t>
      </w:r>
      <w:r>
        <w:rPr>
          <w:rFonts w:eastAsia="仿宋_GB2312"/>
          <w:color w:val="000000"/>
          <w:sz w:val="32"/>
          <w:szCs w:val="32"/>
        </w:rPr>
        <w:t>全省社区治理现代化“36+X”试点社区：</w:t>
      </w:r>
      <w:r>
        <w:rPr>
          <w:rFonts w:eastAsia="仿宋_GB2312"/>
          <w:sz w:val="32"/>
          <w:szCs w:val="32"/>
        </w:rPr>
        <w:t>“36”是全省确定了36个治理成效明显、通过创新社区治理试点能取得较好示范效应的社区，“X”是选取具有一定创建基础，通过创新社区治理试点能大幅提升社区治理水平的社区。</w:t>
      </w:r>
    </w:p>
    <w:p w14:paraId="47F39A47">
      <w:pPr>
        <w:spacing w:line="560" w:lineRule="exact"/>
        <w:ind w:firstLine="640"/>
        <w:rPr>
          <w:rFonts w:eastAsia="仿宋_GB2312"/>
          <w:sz w:val="32"/>
          <w:szCs w:val="32"/>
        </w:rPr>
      </w:pPr>
      <w:r>
        <w:rPr>
          <w:rFonts w:eastAsia="仿宋_GB2312"/>
          <w:sz w:val="32"/>
          <w:szCs w:val="32"/>
        </w:rPr>
        <w:t>48.</w:t>
      </w:r>
      <w:r>
        <w:rPr>
          <w:rFonts w:eastAsia="仿宋_GB2312"/>
          <w:color w:val="000000"/>
          <w:sz w:val="32"/>
          <w:szCs w:val="32"/>
        </w:rPr>
        <w:t>产城融合：</w:t>
      </w:r>
      <w:r>
        <w:rPr>
          <w:rFonts w:eastAsia="仿宋_GB2312"/>
          <w:sz w:val="32"/>
          <w:szCs w:val="32"/>
        </w:rPr>
        <w:t>产业与城市融合发展，以城市为</w:t>
      </w:r>
      <w:r>
        <w:fldChar w:fldCharType="begin"/>
      </w:r>
      <w:r>
        <w:instrText xml:space="preserve"> HYPERLINK "https://baike.so.com/doc/442812-468974.html" \t "https://baike.so.com/doc/_blank" </w:instrText>
      </w:r>
      <w:r>
        <w:fldChar w:fldCharType="separate"/>
      </w:r>
      <w:r>
        <w:rPr>
          <w:rFonts w:eastAsia="仿宋_GB2312"/>
          <w:sz w:val="32"/>
          <w:szCs w:val="32"/>
        </w:rPr>
        <w:t>基础</w:t>
      </w:r>
      <w:r>
        <w:rPr>
          <w:rFonts w:eastAsia="仿宋_GB2312"/>
          <w:sz w:val="32"/>
          <w:szCs w:val="32"/>
        </w:rPr>
        <w:fldChar w:fldCharType="end"/>
      </w:r>
      <w:r>
        <w:rPr>
          <w:rFonts w:eastAsia="仿宋_GB2312"/>
          <w:sz w:val="32"/>
          <w:szCs w:val="32"/>
        </w:rPr>
        <w:t>，承载产业空间和发展产业经济，以产业为保障，驱动城市更新和完善服务配套，进一步提升土地价值，以达到产业、城市、人三者间有活力、持续向上发展的模式。</w:t>
      </w:r>
    </w:p>
    <w:p w14:paraId="4580083E">
      <w:pPr>
        <w:spacing w:line="560" w:lineRule="exact"/>
        <w:ind w:firstLine="640"/>
        <w:rPr>
          <w:rFonts w:eastAsia="仿宋_GB2312"/>
          <w:sz w:val="32"/>
          <w:szCs w:val="32"/>
        </w:rPr>
      </w:pPr>
      <w:r>
        <w:rPr>
          <w:rFonts w:eastAsia="仿宋_GB2312"/>
          <w:sz w:val="32"/>
          <w:szCs w:val="32"/>
        </w:rPr>
        <w:t>49.</w:t>
      </w:r>
      <w:r>
        <w:rPr>
          <w:rFonts w:eastAsia="仿宋_GB2312"/>
          <w:color w:val="000000"/>
          <w:sz w:val="32"/>
          <w:szCs w:val="32"/>
        </w:rPr>
        <w:t>首店经济：</w:t>
      </w:r>
      <w:r>
        <w:rPr>
          <w:rFonts w:eastAsia="仿宋_GB2312"/>
          <w:sz w:val="32"/>
          <w:szCs w:val="32"/>
        </w:rPr>
        <w:t>一个区域利用特有的资源优势，吸引国内外品牌在区域首次开设门店，使品牌价值与区域资源实现最优耦合，以及由此对该区域经济发展产生积极影响的一种经济形态。</w:t>
      </w:r>
    </w:p>
    <w:p w14:paraId="5ED975D0">
      <w:pPr>
        <w:spacing w:line="560" w:lineRule="exact"/>
        <w:ind w:firstLine="640"/>
        <w:rPr>
          <w:rFonts w:eastAsia="仿宋_GB2312"/>
          <w:snapToGrid w:val="0"/>
          <w:color w:val="000000" w:themeColor="text1"/>
          <w:sz w:val="32"/>
          <w:szCs w:val="32"/>
          <w14:textFill>
            <w14:solidFill>
              <w14:schemeClr w14:val="tx1"/>
            </w14:solidFill>
          </w14:textFill>
        </w:rPr>
      </w:pPr>
      <w:r>
        <w:rPr>
          <w:rFonts w:eastAsia="仿宋_GB2312"/>
          <w:snapToGrid w:val="0"/>
          <w:color w:val="000000" w:themeColor="text1"/>
          <w:sz w:val="32"/>
          <w:szCs w:val="32"/>
          <w14:textFill>
            <w14:solidFill>
              <w14:schemeClr w14:val="tx1"/>
            </w14:solidFill>
          </w14:textFill>
        </w:rPr>
        <w:t>50.</w:t>
      </w:r>
      <w:r>
        <w:rPr>
          <w:rFonts w:eastAsia="仿宋_GB2312"/>
          <w:color w:val="000000" w:themeColor="text1"/>
          <w:sz w:val="32"/>
          <w:szCs w:val="32"/>
          <w14:textFill>
            <w14:solidFill>
              <w14:schemeClr w14:val="tx1"/>
            </w14:solidFill>
          </w14:textFill>
        </w:rPr>
        <w:t>“4+X”家庭医生签约：</w:t>
      </w:r>
      <w:r>
        <w:rPr>
          <w:rFonts w:eastAsia="仿宋_GB2312"/>
          <w:snapToGrid w:val="0"/>
          <w:color w:val="000000" w:themeColor="text1"/>
          <w:sz w:val="32"/>
          <w:szCs w:val="32"/>
          <w14:textFill>
            <w14:solidFill>
              <w14:schemeClr w14:val="tx1"/>
            </w14:solidFill>
          </w14:textFill>
        </w:rPr>
        <w:t>“4+X”家庭健康责任团队是以全科医生为主体，执业医师、专科医师、省级医院医师资源及社会各方人力资源为支撑，以社区居民“互联网+健康管理”模式为服务内容，以契约式服务为形式的新型医疗服务模式。“4”是由1个全科医生为主+1个省级医院执业医师+1个专科医师或行政人员+1支医护人员参与的基础团队；“X”是协同上级医院、街道办事处、居委会及热心社区卫生服务的志愿者等为签约家庭服务的各方社会资源。</w:t>
      </w:r>
    </w:p>
    <w:p w14:paraId="72FFD4B6">
      <w:pPr>
        <w:spacing w:line="560" w:lineRule="exact"/>
        <w:ind w:firstLine="640"/>
        <w:rPr>
          <w:rFonts w:eastAsia="仿宋_GB2312"/>
          <w:color w:val="000000" w:themeColor="text1"/>
          <w:sz w:val="32"/>
          <w:szCs w:val="32"/>
          <w14:textFill>
            <w14:solidFill>
              <w14:schemeClr w14:val="tx1"/>
            </w14:solidFill>
          </w14:textFill>
        </w:rPr>
      </w:pPr>
      <w:r>
        <w:rPr>
          <w:rFonts w:eastAsia="仿宋_GB2312"/>
          <w:color w:val="000000" w:themeColor="text1"/>
          <w:sz w:val="32"/>
          <w:szCs w:val="32"/>
          <w14:textFill>
            <w14:solidFill>
              <w14:schemeClr w14:val="tx1"/>
            </w14:solidFill>
          </w14:textFill>
        </w:rPr>
        <w:t>51.产才融合：产业与人才融合发展，人才是现代经济发展的动力，产业是经济发展的关键，产业与人才相互依赖、互相促进，以产引才、以才促产，形成“产业发展—人才支撑—成果转化”的良性格局。</w:t>
      </w:r>
    </w:p>
    <w:p w14:paraId="1AB54816">
      <w:pPr>
        <w:spacing w:line="560" w:lineRule="exact"/>
        <w:ind w:firstLine="640"/>
        <w:rPr>
          <w:rFonts w:eastAsia="仿宋_GB2312"/>
          <w:sz w:val="32"/>
          <w:szCs w:val="32"/>
        </w:rPr>
      </w:pPr>
      <w:r>
        <w:rPr>
          <w:rFonts w:eastAsia="仿宋_GB2312"/>
          <w:sz w:val="32"/>
          <w:szCs w:val="32"/>
        </w:rPr>
        <w:t>52.</w:t>
      </w:r>
      <w:r>
        <w:rPr>
          <w:rFonts w:eastAsia="仿宋_GB2312"/>
          <w:color w:val="000000"/>
          <w:sz w:val="32"/>
          <w:szCs w:val="32"/>
        </w:rPr>
        <w:t>“隐形冠军”、专精新特“小巨人”企业：</w:t>
      </w:r>
      <w:r>
        <w:rPr>
          <w:rFonts w:eastAsia="仿宋_GB2312"/>
          <w:sz w:val="32"/>
          <w:szCs w:val="32"/>
        </w:rPr>
        <w:t>“隐形冠军”，指企业长期专注并深耕于某一细分行业的产品研发和生产，具有显著竞争优势和创新能力。专精特新“小巨人”企业，是具有“专业化、精细化、特色化、新颖化”特征，专注于细分市场、创新能力强、市场占有率高、掌握关键核心技术、质量效益优的排头兵企业。</w:t>
      </w:r>
    </w:p>
    <w:p w14:paraId="3CB36902">
      <w:pPr>
        <w:spacing w:line="560" w:lineRule="exact"/>
        <w:ind w:firstLine="640"/>
        <w:rPr>
          <w:rFonts w:eastAsia="仿宋_GB2312"/>
          <w:sz w:val="32"/>
          <w:szCs w:val="32"/>
        </w:rPr>
      </w:pPr>
      <w:r>
        <w:rPr>
          <w:rFonts w:eastAsia="仿宋_GB2312"/>
          <w:sz w:val="32"/>
          <w:szCs w:val="32"/>
        </w:rPr>
        <w:t>53.</w:t>
      </w:r>
      <w:r>
        <w:rPr>
          <w:rFonts w:eastAsia="仿宋_GB2312"/>
          <w:color w:val="000000"/>
          <w:sz w:val="32"/>
          <w:szCs w:val="32"/>
        </w:rPr>
        <w:t>人才工作“五、十、百”工程：</w:t>
      </w:r>
      <w:r>
        <w:rPr>
          <w:rFonts w:eastAsia="仿宋_GB2312"/>
          <w:sz w:val="32"/>
          <w:szCs w:val="32"/>
        </w:rPr>
        <w:t>西山区以筹建人才信息库、筹办人才月系列活动、建设西山人才主题公园、开展技能竞赛等五项重点人才工作，打造十大人才精品、引进培养百名百家，全面强化“人才+产业+事业”的关联性。</w:t>
      </w:r>
    </w:p>
    <w:p w14:paraId="122B40D3">
      <w:pPr>
        <w:spacing w:line="560" w:lineRule="exact"/>
        <w:ind w:firstLine="640"/>
        <w:rPr>
          <w:rFonts w:eastAsia="仿宋_GB2312"/>
          <w:spacing w:val="-4"/>
          <w:sz w:val="32"/>
          <w:szCs w:val="32"/>
        </w:rPr>
      </w:pPr>
      <w:r>
        <w:rPr>
          <w:rFonts w:eastAsia="仿宋_GB2312"/>
          <w:sz w:val="32"/>
          <w:szCs w:val="32"/>
        </w:rPr>
        <w:t>54.</w:t>
      </w:r>
      <w:r>
        <w:rPr>
          <w:rFonts w:eastAsia="仿宋_GB2312"/>
          <w:color w:val="000000"/>
          <w:sz w:val="32"/>
          <w:szCs w:val="32"/>
        </w:rPr>
        <w:t>创客育成中心、ODM设计中心：</w:t>
      </w:r>
      <w:r>
        <w:rPr>
          <w:rFonts w:eastAsia="仿宋_GB2312"/>
          <w:sz w:val="32"/>
          <w:szCs w:val="32"/>
        </w:rPr>
        <w:t>创客育成中心是为具有创新理念、自主创业的人提供一个技术创新活动开展和交流、技</w:t>
      </w:r>
      <w:r>
        <w:rPr>
          <w:rFonts w:eastAsia="仿宋_GB2312"/>
          <w:spacing w:val="-4"/>
          <w:sz w:val="32"/>
          <w:szCs w:val="32"/>
        </w:rPr>
        <w:t>术积累、创意产生和实现以及交易的场所；“ODM”是Original Design Manufacturer的缩写，主要从事“设计服务+贴牌加工”。</w:t>
      </w:r>
    </w:p>
    <w:p w14:paraId="68A387CE">
      <w:pPr>
        <w:spacing w:line="560" w:lineRule="exact"/>
        <w:ind w:firstLine="640"/>
        <w:rPr>
          <w:rFonts w:eastAsia="仿宋_GB2312"/>
          <w:snapToGrid w:val="0"/>
          <w:sz w:val="32"/>
          <w:szCs w:val="32"/>
        </w:rPr>
      </w:pPr>
      <w:r>
        <w:rPr>
          <w:rFonts w:eastAsia="仿宋_GB2312"/>
          <w:snapToGrid w:val="0"/>
          <w:sz w:val="32"/>
          <w:szCs w:val="32"/>
        </w:rPr>
        <w:t>55.</w:t>
      </w:r>
      <w:r>
        <w:rPr>
          <w:rFonts w:eastAsia="仿宋_GB2312"/>
          <w:color w:val="000000"/>
          <w:sz w:val="32"/>
          <w:szCs w:val="32"/>
        </w:rPr>
        <w:t>“三磷”：</w:t>
      </w:r>
      <w:r>
        <w:rPr>
          <w:rFonts w:eastAsia="仿宋_GB2312"/>
          <w:snapToGrid w:val="0"/>
          <w:sz w:val="32"/>
          <w:szCs w:val="32"/>
        </w:rPr>
        <w:t>磷矿、磷石膏库、磷化工企业。</w:t>
      </w:r>
    </w:p>
    <w:p w14:paraId="74CC2415">
      <w:pPr>
        <w:spacing w:line="560" w:lineRule="exact"/>
        <w:ind w:firstLine="640"/>
        <w:rPr>
          <w:rFonts w:eastAsia="仿宋_GB2312"/>
          <w:sz w:val="32"/>
          <w:szCs w:val="32"/>
        </w:rPr>
      </w:pPr>
      <w:r>
        <w:rPr>
          <w:rFonts w:eastAsia="仿宋_GB2312"/>
          <w:snapToGrid w:val="0"/>
          <w:sz w:val="32"/>
          <w:szCs w:val="32"/>
        </w:rPr>
        <w:t>56.林相改造：</w:t>
      </w:r>
      <w:r>
        <w:rPr>
          <w:rFonts w:eastAsia="仿宋_GB2312"/>
          <w:sz w:val="32"/>
          <w:szCs w:val="32"/>
        </w:rPr>
        <w:t>即林地相貌改造，对林木的形态、种类进行调整、更换，以达到美观、经济、适用的目的。</w:t>
      </w:r>
    </w:p>
    <w:p w14:paraId="70466EB2">
      <w:pPr>
        <w:rPr>
          <w:rFonts w:eastAsia="黑体"/>
          <w:sz w:val="32"/>
          <w:szCs w:val="32"/>
        </w:rPr>
      </w:pPr>
      <w:bookmarkStart w:id="621" w:name="_Toc61644853"/>
      <w:r>
        <w:rPr>
          <w:rFonts w:eastAsia="黑体"/>
          <w:sz w:val="32"/>
          <w:szCs w:val="32"/>
        </w:rPr>
        <w:drawing>
          <wp:anchor distT="0" distB="0" distL="114300" distR="114300" simplePos="0" relativeHeight="251667456" behindDoc="0" locked="0" layoutInCell="1" allowOverlap="1">
            <wp:simplePos x="0" y="0"/>
            <wp:positionH relativeFrom="column">
              <wp:posOffset>-11430</wp:posOffset>
            </wp:positionH>
            <wp:positionV relativeFrom="paragraph">
              <wp:posOffset>413385</wp:posOffset>
            </wp:positionV>
            <wp:extent cx="5626100" cy="7799705"/>
            <wp:effectExtent l="0" t="0" r="12700" b="10795"/>
            <wp:wrapSquare wrapText="bothSides"/>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626100" cy="7799705"/>
                    </a:xfrm>
                    <a:prstGeom prst="rect">
                      <a:avLst/>
                    </a:prstGeom>
                  </pic:spPr>
                </pic:pic>
              </a:graphicData>
            </a:graphic>
          </wp:anchor>
        </w:drawing>
      </w:r>
      <w:r>
        <w:rPr>
          <w:rFonts w:eastAsia="黑体"/>
          <w:sz w:val="32"/>
          <w:szCs w:val="32"/>
        </w:rPr>
        <w:t>附件4</w:t>
      </w:r>
      <w:bookmarkEnd w:id="621"/>
    </w:p>
    <w:p w14:paraId="5F9B9901">
      <w:pPr>
        <w:widowControl/>
        <w:jc w:val="left"/>
        <w:rPr>
          <w:bCs/>
          <w:color w:val="000000" w:themeColor="text1"/>
          <w:szCs w:val="32"/>
          <w14:textFill>
            <w14:solidFill>
              <w14:schemeClr w14:val="tx1"/>
            </w14:solidFill>
          </w14:textFill>
        </w:rPr>
      </w:pPr>
      <w:r>
        <w:rPr>
          <w:bCs/>
          <w:color w:val="000000" w:themeColor="text1"/>
          <w:szCs w:val="32"/>
          <w14:textFill>
            <w14:solidFill>
              <w14:schemeClr w14:val="tx1"/>
            </w14:solidFill>
          </w14:textFill>
        </w:rPr>
        <w:drawing>
          <wp:inline distT="0" distB="0" distL="0" distR="0">
            <wp:extent cx="5612130" cy="7945755"/>
            <wp:effectExtent l="0" t="0" r="7620" b="17145"/>
            <wp:docPr id="2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7"/>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612130" cy="7945755"/>
                    </a:xfrm>
                    <a:prstGeom prst="rect">
                      <a:avLst/>
                    </a:prstGeom>
                  </pic:spPr>
                </pic:pic>
              </a:graphicData>
            </a:graphic>
          </wp:inline>
        </w:drawing>
      </w:r>
    </w:p>
    <w:p w14:paraId="51D65E1F">
      <w:pPr>
        <w:widowControl/>
        <w:jc w:val="left"/>
        <w:rPr>
          <w:bCs/>
          <w:color w:val="000000" w:themeColor="text1"/>
          <w:szCs w:val="32"/>
          <w14:textFill>
            <w14:solidFill>
              <w14:schemeClr w14:val="tx1"/>
            </w14:solidFill>
          </w14:textFill>
        </w:rPr>
      </w:pPr>
      <w:r>
        <w:rPr>
          <w:bCs/>
          <w:color w:val="000000" w:themeColor="text1"/>
          <w:szCs w:val="32"/>
          <w14:textFill>
            <w14:solidFill>
              <w14:schemeClr w14:val="tx1"/>
            </w14:solidFill>
          </w14:textFill>
        </w:rPr>
        <w:br w:type="page"/>
      </w:r>
      <w:r>
        <w:rPr>
          <w:bCs/>
          <w:color w:val="000000" w:themeColor="text1"/>
          <w:szCs w:val="32"/>
          <w14:textFill>
            <w14:solidFill>
              <w14:schemeClr w14:val="tx1"/>
            </w14:solidFill>
          </w14:textFill>
        </w:rPr>
        <w:drawing>
          <wp:inline distT="0" distB="0" distL="0" distR="0">
            <wp:extent cx="5612130" cy="7933055"/>
            <wp:effectExtent l="0" t="0" r="7620" b="10795"/>
            <wp:docPr id="23" name="图片 8" descr="C:\Users\Administrator\Desktop\西山纲要修改\修改图片\QQ20210531-1.jpgQQ202105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8" descr="C:\Users\Administrator\Desktop\西山纲要修改\修改图片\QQ20210531-1.jpgQQ20210531-1"/>
                    <pic:cNvPicPr>
                      <a:picLocks noChangeAspect="1"/>
                    </pic:cNvPicPr>
                  </pic:nvPicPr>
                  <pic:blipFill>
                    <a:blip r:embed="rId26"/>
                    <a:srcRect/>
                    <a:stretch>
                      <a:fillRect/>
                    </a:stretch>
                  </pic:blipFill>
                  <pic:spPr>
                    <a:xfrm>
                      <a:off x="0" y="0"/>
                      <a:ext cx="5612130" cy="7933055"/>
                    </a:xfrm>
                    <a:prstGeom prst="rect">
                      <a:avLst/>
                    </a:prstGeom>
                  </pic:spPr>
                </pic:pic>
              </a:graphicData>
            </a:graphic>
          </wp:inline>
        </w:drawing>
      </w:r>
    </w:p>
    <w:p w14:paraId="691A4C4E">
      <w:pPr>
        <w:widowControl/>
        <w:jc w:val="left"/>
        <w:rPr>
          <w:bCs/>
          <w:color w:val="000000" w:themeColor="text1"/>
          <w:szCs w:val="32"/>
          <w14:textFill>
            <w14:solidFill>
              <w14:schemeClr w14:val="tx1"/>
            </w14:solidFill>
          </w14:textFill>
        </w:rPr>
      </w:pPr>
      <w:r>
        <w:rPr>
          <w:bCs/>
          <w:color w:val="000000" w:themeColor="text1"/>
          <w:szCs w:val="32"/>
          <w14:textFill>
            <w14:solidFill>
              <w14:schemeClr w14:val="tx1"/>
            </w14:solidFill>
          </w14:textFill>
        </w:rPr>
        <w:drawing>
          <wp:inline distT="0" distB="0" distL="0" distR="0">
            <wp:extent cx="5611495" cy="7932420"/>
            <wp:effectExtent l="0" t="0" r="8255" b="11430"/>
            <wp:docPr id="10" name="图片 10" descr="C:\Users\Administrator\Desktop\西山纲要修改\修改图片\QQ20210531-0.jpgQQ202105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dministrator\Desktop\西山纲要修改\修改图片\QQ20210531-0.jpgQQ20210531-0"/>
                    <pic:cNvPicPr>
                      <a:picLocks noChangeAspect="1"/>
                    </pic:cNvPicPr>
                  </pic:nvPicPr>
                  <pic:blipFill>
                    <a:blip r:embed="rId27"/>
                    <a:srcRect/>
                    <a:stretch>
                      <a:fillRect/>
                    </a:stretch>
                  </pic:blipFill>
                  <pic:spPr>
                    <a:xfrm>
                      <a:off x="0" y="0"/>
                      <a:ext cx="5611495" cy="7932420"/>
                    </a:xfrm>
                    <a:prstGeom prst="rect">
                      <a:avLst/>
                    </a:prstGeom>
                  </pic:spPr>
                </pic:pic>
              </a:graphicData>
            </a:graphic>
          </wp:inline>
        </w:drawing>
      </w:r>
    </w:p>
    <w:p w14:paraId="55EA472D">
      <w:pPr>
        <w:widowControl/>
        <w:jc w:val="left"/>
        <w:rPr>
          <w:bCs/>
          <w:color w:val="000000" w:themeColor="text1"/>
          <w:szCs w:val="32"/>
          <w14:textFill>
            <w14:solidFill>
              <w14:schemeClr w14:val="tx1"/>
            </w14:solidFill>
          </w14:textFill>
        </w:rPr>
      </w:pPr>
      <w:r>
        <w:rPr>
          <w:bCs/>
          <w:color w:val="000000" w:themeColor="text1"/>
          <w:szCs w:val="32"/>
          <w14:textFill>
            <w14:solidFill>
              <w14:schemeClr w14:val="tx1"/>
            </w14:solidFill>
          </w14:textFill>
        </w:rPr>
        <w:drawing>
          <wp:inline distT="0" distB="0" distL="0" distR="0">
            <wp:extent cx="5612130" cy="7933690"/>
            <wp:effectExtent l="0" t="0" r="7620" b="1016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612130" cy="7933690"/>
                    </a:xfrm>
                    <a:prstGeom prst="rect">
                      <a:avLst/>
                    </a:prstGeom>
                  </pic:spPr>
                </pic:pic>
              </a:graphicData>
            </a:graphic>
          </wp:inline>
        </w:drawing>
      </w:r>
      <w:r>
        <w:rPr>
          <w:bCs/>
          <w:color w:val="000000" w:themeColor="text1"/>
          <w:szCs w:val="32"/>
          <w14:textFill>
            <w14:solidFill>
              <w14:schemeClr w14:val="tx1"/>
            </w14:solidFill>
          </w14:textFill>
        </w:rPr>
        <w:br w:type="page"/>
      </w:r>
    </w:p>
    <w:p w14:paraId="3960D696">
      <w:pPr>
        <w:widowControl/>
        <w:jc w:val="left"/>
        <w:rPr>
          <w:bCs/>
          <w:color w:val="000000" w:themeColor="text1"/>
          <w:szCs w:val="32"/>
          <w14:textFill>
            <w14:solidFill>
              <w14:schemeClr w14:val="tx1"/>
            </w14:solidFill>
          </w14:textFill>
        </w:rPr>
      </w:pPr>
      <w:r>
        <w:rPr>
          <w:bCs/>
          <w:color w:val="000000" w:themeColor="text1"/>
          <w:szCs w:val="32"/>
          <w14:textFill>
            <w14:solidFill>
              <w14:schemeClr w14:val="tx1"/>
            </w14:solidFill>
          </w14:textFill>
        </w:rPr>
        <w:drawing>
          <wp:inline distT="0" distB="0" distL="0" distR="0">
            <wp:extent cx="5612130" cy="7933690"/>
            <wp:effectExtent l="0" t="0" r="7620" b="1016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612130" cy="7933690"/>
                    </a:xfrm>
                    <a:prstGeom prst="rect">
                      <a:avLst/>
                    </a:prstGeom>
                  </pic:spPr>
                </pic:pic>
              </a:graphicData>
            </a:graphic>
          </wp:inline>
        </w:drawing>
      </w:r>
      <w:r>
        <w:rPr>
          <w:bCs/>
          <w:color w:val="000000" w:themeColor="text1"/>
          <w:szCs w:val="32"/>
          <w14:textFill>
            <w14:solidFill>
              <w14:schemeClr w14:val="tx1"/>
            </w14:solidFill>
          </w14:textFill>
        </w:rPr>
        <w:br w:type="page"/>
      </w:r>
    </w:p>
    <w:p w14:paraId="41952D82">
      <w:pPr>
        <w:widowControl/>
        <w:jc w:val="left"/>
        <w:rPr>
          <w:bCs/>
          <w:color w:val="000000" w:themeColor="text1"/>
          <w:szCs w:val="32"/>
          <w14:textFill>
            <w14:solidFill>
              <w14:schemeClr w14:val="tx1"/>
            </w14:solidFill>
          </w14:textFill>
        </w:rPr>
      </w:pPr>
      <w:r>
        <w:rPr>
          <w:bCs/>
          <w:color w:val="000000" w:themeColor="text1"/>
          <w:szCs w:val="32"/>
          <w14:textFill>
            <w14:solidFill>
              <w14:schemeClr w14:val="tx1"/>
            </w14:solidFill>
          </w14:textFill>
        </w:rPr>
        <w:drawing>
          <wp:inline distT="0" distB="0" distL="0" distR="0">
            <wp:extent cx="5612130" cy="7933690"/>
            <wp:effectExtent l="0" t="0" r="7620" b="1016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12130" cy="7933690"/>
                    </a:xfrm>
                    <a:prstGeom prst="rect">
                      <a:avLst/>
                    </a:prstGeom>
                  </pic:spPr>
                </pic:pic>
              </a:graphicData>
            </a:graphic>
          </wp:inline>
        </w:drawing>
      </w:r>
      <w:r>
        <w:rPr>
          <w:bCs/>
          <w:color w:val="000000" w:themeColor="text1"/>
          <w:szCs w:val="32"/>
          <w14:textFill>
            <w14:solidFill>
              <w14:schemeClr w14:val="tx1"/>
            </w14:solidFill>
          </w14:textFill>
        </w:rPr>
        <w:br w:type="page"/>
      </w:r>
    </w:p>
    <w:p w14:paraId="2A960019">
      <w:pPr>
        <w:widowControl/>
        <w:jc w:val="left"/>
        <w:rPr>
          <w:bCs/>
          <w:color w:val="000000" w:themeColor="text1"/>
          <w:szCs w:val="32"/>
          <w14:textFill>
            <w14:solidFill>
              <w14:schemeClr w14:val="tx1"/>
            </w14:solidFill>
          </w14:textFill>
        </w:rPr>
      </w:pPr>
      <w:r>
        <w:rPr>
          <w:bCs/>
          <w:color w:val="000000" w:themeColor="text1"/>
          <w:szCs w:val="32"/>
          <w14:textFill>
            <w14:solidFill>
              <w14:schemeClr w14:val="tx1"/>
            </w14:solidFill>
          </w14:textFill>
        </w:rPr>
        <w:drawing>
          <wp:inline distT="0" distB="0" distL="0" distR="0">
            <wp:extent cx="5612130" cy="7933690"/>
            <wp:effectExtent l="0" t="0" r="7620" b="1016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612130" cy="7933690"/>
                    </a:xfrm>
                    <a:prstGeom prst="rect">
                      <a:avLst/>
                    </a:prstGeom>
                  </pic:spPr>
                </pic:pic>
              </a:graphicData>
            </a:graphic>
          </wp:inline>
        </w:drawing>
      </w:r>
      <w:r>
        <w:rPr>
          <w:bCs/>
          <w:color w:val="000000" w:themeColor="text1"/>
          <w:szCs w:val="32"/>
          <w14:textFill>
            <w14:solidFill>
              <w14:schemeClr w14:val="tx1"/>
            </w14:solidFill>
          </w14:textFill>
        </w:rPr>
        <w:br w:type="page"/>
      </w:r>
    </w:p>
    <w:p w14:paraId="74C0EF0B">
      <w:pPr>
        <w:widowControl/>
        <w:jc w:val="left"/>
      </w:pPr>
      <w:r>
        <w:rPr>
          <w:bCs/>
          <w:color w:val="000000" w:themeColor="text1"/>
          <w:szCs w:val="32"/>
          <w14:textFill>
            <w14:solidFill>
              <w14:schemeClr w14:val="tx1"/>
            </w14:solidFill>
          </w14:textFill>
        </w:rPr>
        <w:drawing>
          <wp:inline distT="0" distB="0" distL="0" distR="0">
            <wp:extent cx="5612130" cy="7933055"/>
            <wp:effectExtent l="0" t="0" r="7620" b="10795"/>
            <wp:docPr id="21" name="图片 21" descr="C:\Users\Administrator\Desktop\西山纲要修改\修改图片\QQ20210531-2.jpgQQ202105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Administrator\Desktop\西山纲要修改\修改图片\QQ20210531-2.jpgQQ20210531-2"/>
                    <pic:cNvPicPr>
                      <a:picLocks noChangeAspect="1"/>
                    </pic:cNvPicPr>
                  </pic:nvPicPr>
                  <pic:blipFill>
                    <a:blip r:embed="rId32"/>
                    <a:srcRect/>
                    <a:stretch>
                      <a:fillRect/>
                    </a:stretch>
                  </pic:blipFill>
                  <pic:spPr>
                    <a:xfrm>
                      <a:off x="0" y="0"/>
                      <a:ext cx="5612130" cy="7933055"/>
                    </a:xfrm>
                    <a:prstGeom prst="rect">
                      <a:avLst/>
                    </a:prstGeom>
                  </pic:spPr>
                </pic:pic>
              </a:graphicData>
            </a:graphic>
          </wp:inline>
        </w:drawing>
      </w:r>
    </w:p>
    <w:p w14:paraId="5297D015">
      <w:pPr>
        <w:widowControl/>
        <w:jc w:val="left"/>
      </w:pPr>
    </w:p>
    <w:tbl>
      <w:tblPr>
        <w:tblStyle w:val="42"/>
        <w:tblpPr w:leftFromText="180" w:rightFromText="180" w:vertAnchor="text" w:horzAnchor="margin" w:tblpXSpec="center" w:tblpY="11630"/>
        <w:tblW w:w="9039" w:type="dxa"/>
        <w:tblInd w:w="0" w:type="dxa"/>
        <w:tblLayout w:type="autofit"/>
        <w:tblCellMar>
          <w:top w:w="0" w:type="dxa"/>
          <w:left w:w="108" w:type="dxa"/>
          <w:bottom w:w="0" w:type="dxa"/>
          <w:right w:w="108" w:type="dxa"/>
        </w:tblCellMar>
      </w:tblPr>
      <w:tblGrid>
        <w:gridCol w:w="9039"/>
      </w:tblGrid>
      <w:tr w14:paraId="34EBB833">
        <w:tblPrEx>
          <w:tblCellMar>
            <w:top w:w="0" w:type="dxa"/>
            <w:left w:w="108" w:type="dxa"/>
            <w:bottom w:w="0" w:type="dxa"/>
            <w:right w:w="108" w:type="dxa"/>
          </w:tblCellMar>
        </w:tblPrEx>
        <w:trPr>
          <w:trHeight w:val="406" w:hRule="atLeast"/>
        </w:trPr>
        <w:tc>
          <w:tcPr>
            <w:tcW w:w="9039" w:type="dxa"/>
            <w:tcBorders>
              <w:top w:val="single" w:color="auto" w:sz="8" w:space="0"/>
              <w:left w:val="nil"/>
              <w:bottom w:val="single" w:color="auto" w:sz="6" w:space="0"/>
              <w:right w:val="nil"/>
            </w:tcBorders>
            <w:vAlign w:val="bottom"/>
          </w:tcPr>
          <w:p w14:paraId="02A77CD4">
            <w:pPr>
              <w:spacing w:line="560" w:lineRule="exact"/>
              <w:ind w:firstLine="280" w:firstLineChars="100"/>
              <w:rPr>
                <w:rFonts w:eastAsia="仿宋_GB2312"/>
                <w:sz w:val="28"/>
                <w:szCs w:val="28"/>
              </w:rPr>
            </w:pPr>
            <w:r>
              <w:rPr>
                <w:rFonts w:eastAsia="仿宋_GB2312"/>
                <w:sz w:val="28"/>
                <w:szCs w:val="28"/>
              </w:rPr>
              <w:t>抄送：</w:t>
            </w:r>
            <w:r>
              <w:rPr>
                <w:rFonts w:eastAsia="仿宋_GB2312"/>
                <w:spacing w:val="-6"/>
                <w:sz w:val="28"/>
                <w:szCs w:val="28"/>
              </w:rPr>
              <w:t>区委办公室，区人大常委会办公室，区政协办公室，区纪委办公室。</w:t>
            </w:r>
          </w:p>
        </w:tc>
      </w:tr>
      <w:tr w14:paraId="2BFF6211">
        <w:tblPrEx>
          <w:tblCellMar>
            <w:top w:w="0" w:type="dxa"/>
            <w:left w:w="108" w:type="dxa"/>
            <w:bottom w:w="0" w:type="dxa"/>
            <w:right w:w="108" w:type="dxa"/>
          </w:tblCellMar>
        </w:tblPrEx>
        <w:trPr>
          <w:trHeight w:val="406" w:hRule="atLeast"/>
        </w:trPr>
        <w:tc>
          <w:tcPr>
            <w:tcW w:w="9039" w:type="dxa"/>
            <w:tcBorders>
              <w:top w:val="single" w:color="auto" w:sz="6" w:space="0"/>
              <w:left w:val="nil"/>
              <w:bottom w:val="single" w:color="auto" w:sz="8" w:space="0"/>
              <w:right w:val="nil"/>
            </w:tcBorders>
            <w:vAlign w:val="bottom"/>
          </w:tcPr>
          <w:p w14:paraId="3FE0B0FF">
            <w:pPr>
              <w:spacing w:line="560" w:lineRule="exact"/>
              <w:ind w:firstLine="280" w:firstLineChars="100"/>
              <w:rPr>
                <w:rFonts w:eastAsia="仿宋_GB2312"/>
                <w:sz w:val="28"/>
                <w:szCs w:val="28"/>
              </w:rPr>
            </w:pPr>
            <w:r>
              <w:rPr>
                <w:rFonts w:eastAsia="仿宋_GB2312"/>
                <w:sz w:val="28"/>
                <w:szCs w:val="28"/>
              </w:rPr>
              <w:t>昆明市西山区人民政府办公室               2021年6月</w:t>
            </w:r>
            <w:r>
              <w:rPr>
                <w:rFonts w:hint="eastAsia" w:eastAsia="仿宋_GB2312"/>
                <w:sz w:val="28"/>
                <w:szCs w:val="28"/>
              </w:rPr>
              <w:t>11</w:t>
            </w:r>
            <w:r>
              <w:rPr>
                <w:rFonts w:eastAsia="仿宋_GB2312"/>
                <w:sz w:val="28"/>
                <w:szCs w:val="28"/>
              </w:rPr>
              <w:t>日印发</w:t>
            </w:r>
          </w:p>
        </w:tc>
      </w:tr>
    </w:tbl>
    <w:p w14:paraId="542EE5B5">
      <w:pPr>
        <w:spacing w:line="20" w:lineRule="exact"/>
        <w:ind w:right="-99" w:rightChars="-47"/>
        <w:jc w:val="left"/>
        <w:rPr>
          <w:rFonts w:eastAsia="方正仿宋_GBK"/>
          <w:snapToGrid w:val="0"/>
          <w:kern w:val="0"/>
          <w:sz w:val="32"/>
          <w:szCs w:val="32"/>
        </w:rPr>
      </w:pPr>
    </w:p>
    <w:p w14:paraId="6212FA0C"/>
    <w:sectPr>
      <w:footerReference r:id="rId10" w:type="default"/>
      <w:footerReference r:id="rId11" w:type="even"/>
      <w:pgSz w:w="11907" w:h="16840"/>
      <w:pgMar w:top="2041" w:right="1474" w:bottom="1928" w:left="1588" w:header="851" w:footer="1474" w:gutter="0"/>
      <w:cols w:space="425" w:num="1"/>
      <w:docGrid w:linePitch="317" w:charSpace="41444"/>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panose1 w:val="02010609030101010101"/>
    <w:charset w:val="86"/>
    <w:family w:val="modern"/>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Verdana">
    <w:panose1 w:val="020B0604030504040204"/>
    <w:charset w:val="00"/>
    <w:family w:val="swiss"/>
    <w:pitch w:val="default"/>
    <w:sig w:usb0="A00006FF" w:usb1="4000205B" w:usb2="00000010" w:usb3="00000000" w:csb0="2000019F" w:csb1="00000000"/>
  </w:font>
  <w:font w:name="oúì.">
    <w:altName w:val="仿宋_GB2312"/>
    <w:panose1 w:val="00000000000000000000"/>
    <w:charset w:val="86"/>
    <w:family w:val="modern"/>
    <w:pitch w:val="default"/>
    <w:sig w:usb0="00000000" w:usb1="00000000" w:usb2="00000010" w:usb3="00000000" w:csb0="00040000" w:csb1="00000000"/>
  </w:font>
  <w:font w:name="楷体_GB2312">
    <w:panose1 w:val="02010609030101010101"/>
    <w:charset w:val="86"/>
    <w:family w:val="modern"/>
    <w:pitch w:val="default"/>
    <w:sig w:usb0="00000001" w:usb1="080E0000" w:usb2="00000000" w:usb3="00000000" w:csb0="00040000" w:csb1="00000000"/>
  </w:font>
  <w:font w:name="ˎ̥">
    <w:altName w:val="Times New Roman"/>
    <w:panose1 w:val="00000000000000000000"/>
    <w:charset w:val="00"/>
    <w:family w:val="roman"/>
    <w:pitch w:val="default"/>
    <w:sig w:usb0="00000000" w:usb1="00000000" w:usb2="00000000" w:usb3="00000000" w:csb0="00000000" w:csb1="00000000"/>
  </w:font>
  <w:font w:name="金山简标宋">
    <w:altName w:val="宋体"/>
    <w:panose1 w:val="00000000000000000000"/>
    <w:charset w:val="86"/>
    <w:family w:val="modern"/>
    <w:pitch w:val="default"/>
    <w:sig w:usb0="00000000" w:usb1="00000000" w:usb2="00000010" w:usb3="00000000" w:csb0="00040000" w:csb1="00000000"/>
  </w:font>
  <w:font w:name="方正仿宋_GBK">
    <w:panose1 w:val="03000509000000000000"/>
    <w:charset w:val="86"/>
    <w:family w:val="script"/>
    <w:pitch w:val="default"/>
    <w:sig w:usb0="00000001" w:usb1="080E0000" w:usb2="00000000" w:usb3="00000000" w:csb0="00040000" w:csb1="00000000"/>
  </w:font>
  <w:font w:name="方正仿宋简体">
    <w:altName w:val="微软雅黑"/>
    <w:panose1 w:val="00000000000000000000"/>
    <w:charset w:val="86"/>
    <w:family w:val="auto"/>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Calibri Light">
    <w:panose1 w:val="020F0302020204030204"/>
    <w:charset w:val="00"/>
    <w:family w:val="auto"/>
    <w:pitch w:val="default"/>
    <w:sig w:usb0="E4002EFF" w:usb1="C000247B" w:usb2="00000009" w:usb3="00000000" w:csb0="200001FF" w:csb1="00000000"/>
  </w:font>
  <w:font w:name="方正小标宋简体">
    <w:panose1 w:val="03000509000000000000"/>
    <w:charset w:val="86"/>
    <w:family w:val="auto"/>
    <w:pitch w:val="default"/>
    <w:sig w:usb0="00000001" w:usb1="080E0000" w:usb2="00000000" w:usb3="00000000" w:csb0="00040000" w:csb1="00000000"/>
  </w:font>
  <w:font w:name="方正小标宋_GBK">
    <w:panose1 w:val="03000509000000000000"/>
    <w:charset w:val="86"/>
    <w:family w:val="script"/>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4C6C21">
    <w:pPr>
      <w:pStyle w:val="25"/>
      <w:framePr w:wrap="around" w:vAnchor="text" w:hAnchor="page" w:x="8670" w:y="56"/>
      <w:rPr>
        <w:rStyle w:val="46"/>
        <w:rFonts w:ascii="宋体" w:hAnsi="宋体"/>
        <w:sz w:val="28"/>
        <w:szCs w:val="28"/>
      </w:rPr>
    </w:pPr>
    <w:r>
      <w:rPr>
        <w:rStyle w:val="46"/>
        <w:rFonts w:hint="eastAsia" w:ascii="宋体" w:hAnsi="宋体"/>
        <w:color w:val="FFFFFF"/>
        <w:sz w:val="28"/>
        <w:szCs w:val="28"/>
      </w:rPr>
      <w:t>—</w:t>
    </w:r>
    <w:r>
      <w:rPr>
        <w:rStyle w:val="46"/>
        <w:rFonts w:hint="eastAsia" w:ascii="宋体" w:hAnsi="宋体"/>
        <w:sz w:val="28"/>
        <w:szCs w:val="28"/>
      </w:rPr>
      <w:t xml:space="preserve">— </w:t>
    </w:r>
    <w:r>
      <w:rPr>
        <w:rFonts w:hint="eastAsia" w:ascii="宋体" w:hAnsi="宋体"/>
        <w:sz w:val="28"/>
        <w:szCs w:val="28"/>
      </w:rPr>
      <w:fldChar w:fldCharType="begin"/>
    </w:r>
    <w:r>
      <w:rPr>
        <w:rStyle w:val="46"/>
        <w:rFonts w:hint="eastAsia" w:ascii="宋体" w:hAnsi="宋体"/>
        <w:sz w:val="28"/>
        <w:szCs w:val="28"/>
      </w:rPr>
      <w:instrText xml:space="preserve">PAGE  </w:instrText>
    </w:r>
    <w:r>
      <w:rPr>
        <w:rFonts w:hint="eastAsia" w:ascii="宋体" w:hAnsi="宋体"/>
        <w:sz w:val="28"/>
        <w:szCs w:val="28"/>
      </w:rPr>
      <w:fldChar w:fldCharType="separate"/>
    </w:r>
    <w:r>
      <w:rPr>
        <w:rStyle w:val="46"/>
        <w:rFonts w:ascii="宋体" w:hAnsi="宋体"/>
        <w:sz w:val="28"/>
        <w:szCs w:val="28"/>
      </w:rPr>
      <w:t>49</w:t>
    </w:r>
    <w:r>
      <w:rPr>
        <w:rFonts w:hint="eastAsia" w:ascii="宋体" w:hAnsi="宋体"/>
        <w:sz w:val="28"/>
        <w:szCs w:val="28"/>
      </w:rPr>
      <w:fldChar w:fldCharType="end"/>
    </w:r>
    <w:r>
      <w:rPr>
        <w:rStyle w:val="46"/>
        <w:rFonts w:hint="eastAsia" w:ascii="宋体" w:hAnsi="宋体"/>
        <w:sz w:val="28"/>
        <w:szCs w:val="28"/>
      </w:rPr>
      <w:t xml:space="preserve"> —</w:t>
    </w:r>
    <w:r>
      <w:rPr>
        <w:rStyle w:val="46"/>
        <w:rFonts w:hint="eastAsia" w:ascii="宋体" w:hAnsi="宋体"/>
        <w:color w:val="FFFFFF"/>
        <w:sz w:val="28"/>
        <w:szCs w:val="28"/>
      </w:rPr>
      <w:t>—</w:t>
    </w:r>
  </w:p>
  <w:p w14:paraId="2543B538">
    <w:pPr>
      <w:pStyle w:val="2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32D349">
    <w:pPr>
      <w:pStyle w:val="25"/>
      <w:framePr w:wrap="around" w:vAnchor="text" w:hAnchor="page" w:x="1598" w:y="41"/>
      <w:rPr>
        <w:rStyle w:val="46"/>
        <w:rFonts w:ascii="宋体" w:hAnsi="宋体"/>
        <w:sz w:val="28"/>
        <w:szCs w:val="28"/>
      </w:rPr>
    </w:pPr>
    <w:r>
      <w:rPr>
        <w:rStyle w:val="46"/>
        <w:rFonts w:hint="eastAsia" w:ascii="宋体" w:hAnsi="宋体"/>
        <w:color w:val="FFFFFF"/>
        <w:sz w:val="28"/>
        <w:szCs w:val="28"/>
      </w:rPr>
      <w:t>—</w:t>
    </w:r>
    <w:r>
      <w:rPr>
        <w:rStyle w:val="46"/>
        <w:rFonts w:hint="eastAsia" w:ascii="宋体" w:hAnsi="宋体"/>
        <w:sz w:val="28"/>
        <w:szCs w:val="28"/>
      </w:rPr>
      <w:t xml:space="preserve">— </w:t>
    </w:r>
    <w:r>
      <w:rPr>
        <w:rFonts w:hint="eastAsia" w:ascii="宋体" w:hAnsi="宋体"/>
        <w:sz w:val="28"/>
        <w:szCs w:val="28"/>
      </w:rPr>
      <w:fldChar w:fldCharType="begin"/>
    </w:r>
    <w:r>
      <w:rPr>
        <w:rStyle w:val="46"/>
        <w:rFonts w:hint="eastAsia" w:ascii="宋体" w:hAnsi="宋体"/>
        <w:sz w:val="28"/>
        <w:szCs w:val="28"/>
      </w:rPr>
      <w:instrText xml:space="preserve">PAGE  </w:instrText>
    </w:r>
    <w:r>
      <w:rPr>
        <w:rFonts w:hint="eastAsia" w:ascii="宋体" w:hAnsi="宋体"/>
        <w:sz w:val="28"/>
        <w:szCs w:val="28"/>
      </w:rPr>
      <w:fldChar w:fldCharType="separate"/>
    </w:r>
    <w:r>
      <w:rPr>
        <w:rStyle w:val="46"/>
        <w:rFonts w:ascii="宋体" w:hAnsi="宋体"/>
        <w:sz w:val="28"/>
        <w:szCs w:val="28"/>
      </w:rPr>
      <w:t>50</w:t>
    </w:r>
    <w:r>
      <w:rPr>
        <w:rFonts w:hint="eastAsia" w:ascii="宋体" w:hAnsi="宋体"/>
        <w:sz w:val="28"/>
        <w:szCs w:val="28"/>
      </w:rPr>
      <w:fldChar w:fldCharType="end"/>
    </w:r>
    <w:r>
      <w:rPr>
        <w:rStyle w:val="46"/>
        <w:rFonts w:hint="eastAsia" w:ascii="宋体" w:hAnsi="宋体"/>
        <w:sz w:val="28"/>
        <w:szCs w:val="28"/>
      </w:rPr>
      <w:t xml:space="preserve"> —</w:t>
    </w:r>
    <w:r>
      <w:rPr>
        <w:rStyle w:val="46"/>
        <w:rFonts w:hint="eastAsia" w:ascii="宋体" w:hAnsi="宋体"/>
        <w:color w:val="FFFFFF"/>
        <w:sz w:val="28"/>
        <w:szCs w:val="28"/>
      </w:rPr>
      <w:t>—</w:t>
    </w:r>
  </w:p>
  <w:p w14:paraId="43F6E011">
    <w:pPr>
      <w:pStyle w:val="25"/>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58D7DF">
    <w:pPr>
      <w:pStyle w:val="25"/>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3DCD55">
    <w:pPr>
      <w:pStyle w:val="25"/>
      <w:framePr w:wrap="around" w:vAnchor="text" w:hAnchor="page" w:x="13044" w:y="509"/>
      <w:rPr>
        <w:rStyle w:val="46"/>
        <w:rFonts w:ascii="宋体" w:hAnsi="宋体"/>
        <w:sz w:val="28"/>
        <w:szCs w:val="28"/>
      </w:rPr>
    </w:pPr>
    <w:r>
      <w:rPr>
        <w:rStyle w:val="46"/>
        <w:rFonts w:hint="eastAsia" w:ascii="宋体" w:hAnsi="宋体"/>
        <w:color w:val="FFFFFF"/>
        <w:sz w:val="28"/>
        <w:szCs w:val="28"/>
      </w:rPr>
      <w:t>—</w:t>
    </w:r>
    <w:r>
      <w:rPr>
        <w:rStyle w:val="46"/>
        <w:rFonts w:hint="eastAsia" w:ascii="宋体" w:hAnsi="宋体"/>
        <w:sz w:val="28"/>
        <w:szCs w:val="28"/>
      </w:rPr>
      <w:t xml:space="preserve">— </w:t>
    </w:r>
    <w:r>
      <w:rPr>
        <w:rFonts w:hint="eastAsia" w:ascii="宋体" w:hAnsi="宋体"/>
        <w:sz w:val="28"/>
        <w:szCs w:val="28"/>
      </w:rPr>
      <w:fldChar w:fldCharType="begin"/>
    </w:r>
    <w:r>
      <w:rPr>
        <w:rStyle w:val="46"/>
        <w:rFonts w:hint="eastAsia" w:ascii="宋体" w:hAnsi="宋体"/>
        <w:sz w:val="28"/>
        <w:szCs w:val="28"/>
      </w:rPr>
      <w:instrText xml:space="preserve">PAGE  </w:instrText>
    </w:r>
    <w:r>
      <w:rPr>
        <w:rFonts w:hint="eastAsia" w:ascii="宋体" w:hAnsi="宋体"/>
        <w:sz w:val="28"/>
        <w:szCs w:val="28"/>
      </w:rPr>
      <w:fldChar w:fldCharType="separate"/>
    </w:r>
    <w:r>
      <w:rPr>
        <w:rStyle w:val="46"/>
        <w:rFonts w:ascii="宋体" w:hAnsi="宋体"/>
        <w:sz w:val="28"/>
        <w:szCs w:val="28"/>
      </w:rPr>
      <w:t>153</w:t>
    </w:r>
    <w:r>
      <w:rPr>
        <w:rFonts w:hint="eastAsia" w:ascii="宋体" w:hAnsi="宋体"/>
        <w:sz w:val="28"/>
        <w:szCs w:val="28"/>
      </w:rPr>
      <w:fldChar w:fldCharType="end"/>
    </w:r>
    <w:r>
      <w:rPr>
        <w:rStyle w:val="46"/>
        <w:rFonts w:hint="eastAsia" w:ascii="宋体" w:hAnsi="宋体"/>
        <w:sz w:val="28"/>
        <w:szCs w:val="28"/>
      </w:rPr>
      <w:t xml:space="preserve"> —</w:t>
    </w:r>
    <w:r>
      <w:rPr>
        <w:rStyle w:val="46"/>
        <w:rFonts w:hint="eastAsia" w:ascii="宋体" w:hAnsi="宋体"/>
        <w:color w:val="FFFFFF"/>
        <w:sz w:val="28"/>
        <w:szCs w:val="28"/>
      </w:rPr>
      <w:t>—</w:t>
    </w:r>
  </w:p>
  <w:p w14:paraId="152575E0">
    <w:pPr>
      <w:pStyle w:val="25"/>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E0A4CF">
    <w:pPr>
      <w:pStyle w:val="25"/>
      <w:framePr w:wrap="around" w:vAnchor="text" w:hAnchor="page" w:x="1927" w:y="543"/>
      <w:rPr>
        <w:rStyle w:val="46"/>
        <w:rFonts w:ascii="宋体" w:hAnsi="宋体"/>
        <w:sz w:val="28"/>
        <w:szCs w:val="28"/>
      </w:rPr>
    </w:pPr>
    <w:r>
      <w:rPr>
        <w:rStyle w:val="46"/>
        <w:rFonts w:hint="eastAsia" w:ascii="宋体" w:hAnsi="宋体"/>
        <w:color w:val="FFFFFF"/>
        <w:sz w:val="28"/>
        <w:szCs w:val="28"/>
      </w:rPr>
      <w:t>—</w:t>
    </w:r>
    <w:r>
      <w:rPr>
        <w:rStyle w:val="46"/>
        <w:rFonts w:hint="eastAsia" w:ascii="宋体" w:hAnsi="宋体"/>
        <w:sz w:val="28"/>
        <w:szCs w:val="28"/>
      </w:rPr>
      <w:t xml:space="preserve">— </w:t>
    </w:r>
    <w:r>
      <w:rPr>
        <w:rFonts w:hint="eastAsia" w:ascii="宋体" w:hAnsi="宋体"/>
        <w:sz w:val="28"/>
        <w:szCs w:val="28"/>
      </w:rPr>
      <w:fldChar w:fldCharType="begin"/>
    </w:r>
    <w:r>
      <w:rPr>
        <w:rStyle w:val="46"/>
        <w:rFonts w:hint="eastAsia" w:ascii="宋体" w:hAnsi="宋体"/>
        <w:sz w:val="28"/>
        <w:szCs w:val="28"/>
      </w:rPr>
      <w:instrText xml:space="preserve">PAGE  </w:instrText>
    </w:r>
    <w:r>
      <w:rPr>
        <w:rFonts w:hint="eastAsia" w:ascii="宋体" w:hAnsi="宋体"/>
        <w:sz w:val="28"/>
        <w:szCs w:val="28"/>
      </w:rPr>
      <w:fldChar w:fldCharType="separate"/>
    </w:r>
    <w:r>
      <w:rPr>
        <w:rStyle w:val="46"/>
        <w:rFonts w:ascii="宋体" w:hAnsi="宋体"/>
        <w:sz w:val="28"/>
        <w:szCs w:val="28"/>
      </w:rPr>
      <w:t>152</w:t>
    </w:r>
    <w:r>
      <w:rPr>
        <w:rFonts w:hint="eastAsia" w:ascii="宋体" w:hAnsi="宋体"/>
        <w:sz w:val="28"/>
        <w:szCs w:val="28"/>
      </w:rPr>
      <w:fldChar w:fldCharType="end"/>
    </w:r>
    <w:r>
      <w:rPr>
        <w:rStyle w:val="46"/>
        <w:rFonts w:hint="eastAsia" w:ascii="宋体" w:hAnsi="宋体"/>
        <w:sz w:val="28"/>
        <w:szCs w:val="28"/>
      </w:rPr>
      <w:t xml:space="preserve"> —</w:t>
    </w:r>
    <w:r>
      <w:rPr>
        <w:rStyle w:val="46"/>
        <w:rFonts w:hint="eastAsia" w:ascii="宋体" w:hAnsi="宋体"/>
        <w:color w:val="FFFFFF"/>
        <w:sz w:val="28"/>
        <w:szCs w:val="28"/>
      </w:rPr>
      <w:t>—</w:t>
    </w:r>
  </w:p>
  <w:p w14:paraId="4FFF1C93">
    <w:pPr>
      <w:pStyle w:val="25"/>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EE0F35">
    <w:pPr>
      <w:pStyle w:val="25"/>
      <w:framePr w:wrap="around" w:vAnchor="text" w:hAnchor="margin" w:xAlign="outside" w:y="1"/>
      <w:rPr>
        <w:rStyle w:val="46"/>
        <w:sz w:val="28"/>
        <w:szCs w:val="28"/>
      </w:rPr>
    </w:pPr>
    <w:r>
      <w:rPr>
        <w:rStyle w:val="46"/>
        <w:rFonts w:hint="eastAsia"/>
        <w:color w:val="FFFFFF"/>
        <w:sz w:val="28"/>
        <w:szCs w:val="28"/>
      </w:rPr>
      <w:t>—</w:t>
    </w:r>
    <w:r>
      <w:rPr>
        <w:rStyle w:val="46"/>
        <w:rFonts w:hint="eastAsia"/>
        <w:sz w:val="28"/>
        <w:szCs w:val="28"/>
      </w:rPr>
      <w:t xml:space="preserve">— </w:t>
    </w:r>
    <w:r>
      <w:rPr>
        <w:rStyle w:val="46"/>
        <w:sz w:val="28"/>
        <w:szCs w:val="28"/>
      </w:rPr>
      <w:fldChar w:fldCharType="begin"/>
    </w:r>
    <w:r>
      <w:rPr>
        <w:rStyle w:val="46"/>
        <w:sz w:val="28"/>
        <w:szCs w:val="28"/>
      </w:rPr>
      <w:instrText xml:space="preserve">PAGE  </w:instrText>
    </w:r>
    <w:r>
      <w:rPr>
        <w:rStyle w:val="46"/>
        <w:sz w:val="28"/>
        <w:szCs w:val="28"/>
      </w:rPr>
      <w:fldChar w:fldCharType="separate"/>
    </w:r>
    <w:r>
      <w:rPr>
        <w:rStyle w:val="46"/>
        <w:sz w:val="28"/>
        <w:szCs w:val="28"/>
      </w:rPr>
      <w:t>175</w:t>
    </w:r>
    <w:r>
      <w:rPr>
        <w:rStyle w:val="46"/>
        <w:sz w:val="28"/>
        <w:szCs w:val="28"/>
      </w:rPr>
      <w:fldChar w:fldCharType="end"/>
    </w:r>
    <w:r>
      <w:rPr>
        <w:rStyle w:val="46"/>
        <w:rFonts w:hint="eastAsia"/>
        <w:sz w:val="28"/>
        <w:szCs w:val="28"/>
      </w:rPr>
      <w:t xml:space="preserve"> —</w:t>
    </w:r>
    <w:r>
      <w:rPr>
        <w:rStyle w:val="46"/>
        <w:rFonts w:hint="eastAsia"/>
        <w:color w:val="FFFFFF"/>
        <w:sz w:val="28"/>
        <w:szCs w:val="28"/>
      </w:rPr>
      <w:t>—</w:t>
    </w:r>
  </w:p>
  <w:p w14:paraId="331D2995">
    <w:pPr>
      <w:pStyle w:val="25"/>
      <w:ind w:right="360"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05D87B">
    <w:pPr>
      <w:pStyle w:val="25"/>
      <w:framePr w:wrap="around" w:vAnchor="text" w:hAnchor="page" w:x="1625" w:y="62"/>
      <w:rPr>
        <w:rStyle w:val="46"/>
        <w:rFonts w:ascii="宋体" w:hAnsi="宋体"/>
        <w:sz w:val="28"/>
        <w:szCs w:val="28"/>
      </w:rPr>
    </w:pPr>
    <w:r>
      <w:rPr>
        <w:rStyle w:val="46"/>
        <w:rFonts w:hint="eastAsia" w:ascii="宋体" w:hAnsi="宋体"/>
        <w:color w:val="FFFFFF"/>
        <w:sz w:val="28"/>
        <w:szCs w:val="28"/>
      </w:rPr>
      <w:t>—</w:t>
    </w:r>
    <w:r>
      <w:rPr>
        <w:rStyle w:val="46"/>
        <w:rFonts w:hint="eastAsia" w:ascii="宋体" w:hAnsi="宋体"/>
        <w:sz w:val="28"/>
        <w:szCs w:val="28"/>
      </w:rPr>
      <w:t xml:space="preserve">— </w:t>
    </w:r>
    <w:r>
      <w:rPr>
        <w:rFonts w:hint="eastAsia" w:ascii="宋体" w:hAnsi="宋体"/>
        <w:sz w:val="28"/>
        <w:szCs w:val="28"/>
      </w:rPr>
      <w:fldChar w:fldCharType="begin"/>
    </w:r>
    <w:r>
      <w:rPr>
        <w:rStyle w:val="46"/>
        <w:rFonts w:hint="eastAsia" w:ascii="宋体" w:hAnsi="宋体"/>
        <w:sz w:val="28"/>
        <w:szCs w:val="28"/>
      </w:rPr>
      <w:instrText xml:space="preserve">PAGE  </w:instrText>
    </w:r>
    <w:r>
      <w:rPr>
        <w:rFonts w:hint="eastAsia" w:ascii="宋体" w:hAnsi="宋体"/>
        <w:sz w:val="28"/>
        <w:szCs w:val="28"/>
      </w:rPr>
      <w:fldChar w:fldCharType="separate"/>
    </w:r>
    <w:r>
      <w:rPr>
        <w:rStyle w:val="46"/>
        <w:rFonts w:ascii="宋体" w:hAnsi="宋体"/>
        <w:sz w:val="28"/>
        <w:szCs w:val="28"/>
      </w:rPr>
      <w:t>176</w:t>
    </w:r>
    <w:r>
      <w:rPr>
        <w:rFonts w:hint="eastAsia" w:ascii="宋体" w:hAnsi="宋体"/>
        <w:sz w:val="28"/>
        <w:szCs w:val="28"/>
      </w:rPr>
      <w:fldChar w:fldCharType="end"/>
    </w:r>
    <w:r>
      <w:rPr>
        <w:rStyle w:val="46"/>
        <w:rFonts w:hint="eastAsia" w:ascii="宋体" w:hAnsi="宋体"/>
        <w:sz w:val="28"/>
        <w:szCs w:val="28"/>
      </w:rPr>
      <w:t xml:space="preserve"> —</w:t>
    </w:r>
    <w:r>
      <w:rPr>
        <w:rStyle w:val="46"/>
        <w:rFonts w:hint="eastAsia" w:ascii="宋体" w:hAnsi="宋体"/>
        <w:color w:val="FFFFFF"/>
        <w:sz w:val="28"/>
        <w:szCs w:val="28"/>
      </w:rPr>
      <w:t>—</w:t>
    </w:r>
  </w:p>
  <w:p w14:paraId="0580849D">
    <w:pPr>
      <w:pStyle w:val="25"/>
      <w:ind w:right="360" w:firstLine="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66D21B">
    <w:pPr>
      <w:pStyle w:val="26"/>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D0A215"/>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WJkZDc2MzZhYzQ3YTc3NTgzYThiNWMxY2U2NmQwNTIifQ=="/>
  </w:docVars>
  <w:rsids>
    <w:rsidRoot w:val="6EA423CA"/>
    <w:rsid w:val="01394992"/>
    <w:rsid w:val="19936AC3"/>
    <w:rsid w:val="1D770B22"/>
    <w:rsid w:val="417A3501"/>
    <w:rsid w:val="68B712F5"/>
    <w:rsid w:val="6EA423C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0" w:semiHidden="0" w:name="heading 3"/>
    <w:lsdException w:qFormat="1" w:uiPriority="0" w:name="heading 4"/>
    <w:lsdException w:qFormat="1" w:uiPriority="0" w:name="heading 5"/>
    <w:lsdException w:qFormat="1"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nhideWhenUsed="0" w:uiPriority="35"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qFormat="1"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semiHidden="0" w:name="Body Text"/>
    <w:lsdException w:qFormat="1" w:unhideWhenUsed="0" w:uiPriority="99" w:semiHidden="0" w:name="Body Text Indent"/>
    <w:lsdException w:qFormat="1"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semiHidden="0"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39" w:semiHidden="0" w:name="Table Grid"/>
    <w:lsdException w:unhideWhenUsed="0" w:uiPriority="0" w:semiHidden="0" w:name="Table Theme"/>
    <w:lsdException w:qFormat="1"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9"/>
    <w:pPr>
      <w:keepNext/>
      <w:keepLines/>
      <w:topLinePunct/>
      <w:spacing w:line="360" w:lineRule="auto"/>
      <w:jc w:val="center"/>
      <w:outlineLvl w:val="0"/>
    </w:pPr>
    <w:rPr>
      <w:rFonts w:hAnsi="黑体" w:eastAsia="黑体"/>
      <w:color w:val="000000" w:themeColor="text1"/>
      <w:kern w:val="44"/>
      <w:sz w:val="32"/>
      <w:szCs w:val="32"/>
      <w14:textFill>
        <w14:solidFill>
          <w14:schemeClr w14:val="tx1"/>
        </w14:solidFill>
      </w14:textFill>
    </w:rPr>
  </w:style>
  <w:style w:type="paragraph" w:styleId="3">
    <w:name w:val="heading 2"/>
    <w:basedOn w:val="1"/>
    <w:next w:val="1"/>
    <w:link w:val="188"/>
    <w:qFormat/>
    <w:uiPriority w:val="9"/>
    <w:pPr>
      <w:keepNext/>
      <w:keepLines/>
      <w:spacing w:beforeLines="50" w:line="360" w:lineRule="auto"/>
      <w:ind w:firstLine="450" w:firstLineChars="150"/>
      <w:outlineLvl w:val="1"/>
    </w:pPr>
    <w:rPr>
      <w:rFonts w:ascii="Arial" w:hAnsi="Arial" w:eastAsia="黑体"/>
      <w:bCs/>
      <w:sz w:val="30"/>
      <w:szCs w:val="30"/>
    </w:rPr>
  </w:style>
  <w:style w:type="paragraph" w:styleId="4">
    <w:name w:val="heading 3"/>
    <w:basedOn w:val="1"/>
    <w:next w:val="1"/>
    <w:link w:val="189"/>
    <w:qFormat/>
    <w:uiPriority w:val="0"/>
    <w:pPr>
      <w:keepNext/>
      <w:keepLines/>
      <w:spacing w:before="260" w:after="260" w:line="416" w:lineRule="auto"/>
      <w:outlineLvl w:val="2"/>
    </w:pPr>
    <w:rPr>
      <w:b/>
      <w:bCs/>
      <w:sz w:val="32"/>
      <w:szCs w:val="32"/>
    </w:rPr>
  </w:style>
  <w:style w:type="paragraph" w:styleId="5">
    <w:name w:val="heading 6"/>
    <w:basedOn w:val="1"/>
    <w:next w:val="1"/>
    <w:qFormat/>
    <w:uiPriority w:val="0"/>
    <w:pPr>
      <w:keepNext/>
      <w:keepLines/>
      <w:spacing w:before="240" w:after="64" w:line="320" w:lineRule="auto"/>
      <w:outlineLvl w:val="5"/>
    </w:pPr>
    <w:rPr>
      <w:rFonts w:ascii="Arial" w:hAnsi="Arial" w:eastAsia="黑体"/>
      <w:b/>
      <w:bCs/>
      <w:sz w:val="24"/>
    </w:rPr>
  </w:style>
  <w:style w:type="character" w:default="1" w:styleId="44">
    <w:name w:val="Default Paragraph Font"/>
    <w:qFormat/>
    <w:uiPriority w:val="0"/>
  </w:style>
  <w:style w:type="table" w:default="1" w:styleId="42">
    <w:name w:val="Normal Table"/>
    <w:uiPriority w:val="0"/>
    <w:tblPr>
      <w:tblCellMar>
        <w:top w:w="0" w:type="dxa"/>
        <w:left w:w="108" w:type="dxa"/>
        <w:bottom w:w="0" w:type="dxa"/>
        <w:right w:w="108" w:type="dxa"/>
      </w:tblCellMar>
    </w:tblPr>
  </w:style>
  <w:style w:type="paragraph" w:styleId="6">
    <w:name w:val="toc 7"/>
    <w:basedOn w:val="1"/>
    <w:next w:val="1"/>
    <w:unhideWhenUsed/>
    <w:qFormat/>
    <w:uiPriority w:val="39"/>
    <w:pPr>
      <w:ind w:left="2520" w:leftChars="1200"/>
    </w:pPr>
    <w:rPr>
      <w:rFonts w:ascii="Calibri" w:hAnsi="Calibri"/>
      <w:sz w:val="32"/>
      <w:szCs w:val="22"/>
    </w:rPr>
  </w:style>
  <w:style w:type="paragraph" w:styleId="7">
    <w:name w:val="Normal Indent"/>
    <w:basedOn w:val="1"/>
    <w:qFormat/>
    <w:uiPriority w:val="0"/>
    <w:pPr>
      <w:ind w:firstLine="420"/>
    </w:pPr>
    <w:rPr>
      <w:szCs w:val="20"/>
    </w:rPr>
  </w:style>
  <w:style w:type="paragraph" w:styleId="8">
    <w:name w:val="caption"/>
    <w:basedOn w:val="1"/>
    <w:next w:val="1"/>
    <w:qFormat/>
    <w:uiPriority w:val="35"/>
    <w:pPr>
      <w:widowControl/>
      <w:jc w:val="left"/>
    </w:pPr>
    <w:rPr>
      <w:rFonts w:ascii="Cambria" w:hAnsi="Cambria" w:eastAsia="黑体"/>
      <w:kern w:val="0"/>
      <w:sz w:val="20"/>
      <w:szCs w:val="20"/>
    </w:rPr>
  </w:style>
  <w:style w:type="paragraph" w:styleId="9">
    <w:name w:val="Document Map"/>
    <w:basedOn w:val="1"/>
    <w:link w:val="187"/>
    <w:qFormat/>
    <w:uiPriority w:val="0"/>
    <w:pPr>
      <w:shd w:val="clear" w:color="auto" w:fill="000080"/>
    </w:pPr>
  </w:style>
  <w:style w:type="paragraph" w:styleId="10">
    <w:name w:val="toa heading"/>
    <w:basedOn w:val="1"/>
    <w:next w:val="1"/>
    <w:qFormat/>
    <w:uiPriority w:val="0"/>
    <w:rPr>
      <w:rFonts w:ascii="Arial" w:hAnsi="Arial" w:cs="Arial"/>
      <w:sz w:val="24"/>
    </w:rPr>
  </w:style>
  <w:style w:type="paragraph" w:styleId="11">
    <w:name w:val="annotation text"/>
    <w:basedOn w:val="1"/>
    <w:link w:val="146"/>
    <w:qFormat/>
    <w:uiPriority w:val="0"/>
    <w:pPr>
      <w:jc w:val="left"/>
    </w:pPr>
  </w:style>
  <w:style w:type="paragraph" w:styleId="12">
    <w:name w:val="Salutation"/>
    <w:basedOn w:val="1"/>
    <w:next w:val="1"/>
    <w:link w:val="169"/>
    <w:qFormat/>
    <w:uiPriority w:val="0"/>
    <w:rPr>
      <w:rFonts w:eastAsia="仿宋_GB2312"/>
      <w:color w:val="000000"/>
      <w:kern w:val="0"/>
      <w:sz w:val="32"/>
      <w:szCs w:val="32"/>
    </w:rPr>
  </w:style>
  <w:style w:type="paragraph" w:styleId="13">
    <w:name w:val="Body Text"/>
    <w:basedOn w:val="1"/>
    <w:link w:val="103"/>
    <w:qFormat/>
    <w:uiPriority w:val="0"/>
    <w:pPr>
      <w:spacing w:after="120"/>
    </w:pPr>
  </w:style>
  <w:style w:type="paragraph" w:styleId="14">
    <w:name w:val="Body Text Indent"/>
    <w:basedOn w:val="1"/>
    <w:link w:val="134"/>
    <w:qFormat/>
    <w:uiPriority w:val="99"/>
    <w:pPr>
      <w:spacing w:line="600" w:lineRule="exact"/>
      <w:ind w:firstLine="640" w:firstLineChars="200"/>
    </w:pPr>
    <w:rPr>
      <w:rFonts w:eastAsia="仿宋_GB2312"/>
      <w:sz w:val="32"/>
    </w:rPr>
  </w:style>
  <w:style w:type="paragraph" w:styleId="15">
    <w:name w:val="List 2"/>
    <w:basedOn w:val="1"/>
    <w:qFormat/>
    <w:uiPriority w:val="0"/>
    <w:pPr>
      <w:ind w:left="100" w:leftChars="200" w:hanging="200" w:hangingChars="200"/>
    </w:pPr>
  </w:style>
  <w:style w:type="paragraph" w:styleId="16">
    <w:name w:val="List Continue"/>
    <w:basedOn w:val="1"/>
    <w:qFormat/>
    <w:uiPriority w:val="0"/>
    <w:pPr>
      <w:spacing w:after="120"/>
      <w:ind w:left="420" w:leftChars="200"/>
    </w:pPr>
  </w:style>
  <w:style w:type="paragraph" w:styleId="17">
    <w:name w:val="Block Text"/>
    <w:basedOn w:val="1"/>
    <w:qFormat/>
    <w:uiPriority w:val="0"/>
    <w:pPr>
      <w:spacing w:line="480" w:lineRule="exact"/>
      <w:ind w:left="124" w:leftChars="59" w:right="143" w:rightChars="68"/>
    </w:pPr>
    <w:rPr>
      <w:rFonts w:eastAsia="仿宋_GB2312"/>
      <w:sz w:val="32"/>
      <w:szCs w:val="20"/>
    </w:rPr>
  </w:style>
  <w:style w:type="paragraph" w:styleId="18">
    <w:name w:val="toc 5"/>
    <w:basedOn w:val="1"/>
    <w:next w:val="1"/>
    <w:unhideWhenUsed/>
    <w:qFormat/>
    <w:uiPriority w:val="39"/>
    <w:pPr>
      <w:ind w:left="1680" w:leftChars="800"/>
    </w:pPr>
    <w:rPr>
      <w:rFonts w:ascii="Calibri" w:hAnsi="Calibri"/>
      <w:sz w:val="32"/>
      <w:szCs w:val="22"/>
    </w:rPr>
  </w:style>
  <w:style w:type="paragraph" w:styleId="19">
    <w:name w:val="toc 3"/>
    <w:basedOn w:val="1"/>
    <w:next w:val="1"/>
    <w:unhideWhenUsed/>
    <w:qFormat/>
    <w:uiPriority w:val="39"/>
    <w:pPr>
      <w:ind w:left="840" w:leftChars="400"/>
    </w:pPr>
    <w:rPr>
      <w:rFonts w:ascii="Calibri" w:hAnsi="Calibri" w:eastAsia="仿宋"/>
      <w:szCs w:val="22"/>
    </w:rPr>
  </w:style>
  <w:style w:type="paragraph" w:styleId="20">
    <w:name w:val="Plain Text"/>
    <w:basedOn w:val="1"/>
    <w:link w:val="97"/>
    <w:qFormat/>
    <w:uiPriority w:val="0"/>
    <w:pPr>
      <w:widowControl/>
      <w:spacing w:before="100" w:beforeAutospacing="1" w:after="100" w:afterAutospacing="1"/>
      <w:jc w:val="left"/>
    </w:pPr>
    <w:rPr>
      <w:rFonts w:ascii="宋体" w:hAnsi="宋体" w:cs="宋体"/>
      <w:kern w:val="0"/>
      <w:sz w:val="24"/>
    </w:rPr>
  </w:style>
  <w:style w:type="paragraph" w:styleId="21">
    <w:name w:val="toc 8"/>
    <w:basedOn w:val="1"/>
    <w:next w:val="1"/>
    <w:unhideWhenUsed/>
    <w:qFormat/>
    <w:uiPriority w:val="39"/>
    <w:pPr>
      <w:ind w:left="2940" w:leftChars="1400"/>
    </w:pPr>
    <w:rPr>
      <w:rFonts w:ascii="Calibri" w:hAnsi="Calibri"/>
      <w:sz w:val="32"/>
      <w:szCs w:val="22"/>
    </w:rPr>
  </w:style>
  <w:style w:type="paragraph" w:styleId="22">
    <w:name w:val="Date"/>
    <w:basedOn w:val="1"/>
    <w:next w:val="1"/>
    <w:link w:val="99"/>
    <w:uiPriority w:val="0"/>
    <w:rPr>
      <w:rFonts w:eastAsia="仿宋_GB2312"/>
      <w:sz w:val="32"/>
      <w:szCs w:val="20"/>
    </w:rPr>
  </w:style>
  <w:style w:type="paragraph" w:styleId="23">
    <w:name w:val="Body Text Indent 2"/>
    <w:basedOn w:val="1"/>
    <w:link w:val="136"/>
    <w:uiPriority w:val="0"/>
    <w:pPr>
      <w:spacing w:after="120" w:line="480" w:lineRule="auto"/>
      <w:ind w:left="420" w:leftChars="200"/>
    </w:pPr>
    <w:rPr>
      <w:szCs w:val="20"/>
    </w:rPr>
  </w:style>
  <w:style w:type="paragraph" w:styleId="24">
    <w:name w:val="Balloon Text"/>
    <w:basedOn w:val="1"/>
    <w:link w:val="130"/>
    <w:qFormat/>
    <w:uiPriority w:val="0"/>
    <w:rPr>
      <w:sz w:val="18"/>
      <w:szCs w:val="18"/>
    </w:rPr>
  </w:style>
  <w:style w:type="paragraph" w:styleId="25">
    <w:name w:val="footer"/>
    <w:basedOn w:val="1"/>
    <w:link w:val="52"/>
    <w:qFormat/>
    <w:uiPriority w:val="99"/>
    <w:pPr>
      <w:tabs>
        <w:tab w:val="center" w:pos="4153"/>
        <w:tab w:val="right" w:pos="8306"/>
      </w:tabs>
      <w:snapToGrid w:val="0"/>
      <w:jc w:val="left"/>
    </w:pPr>
    <w:rPr>
      <w:sz w:val="18"/>
      <w:szCs w:val="18"/>
    </w:rPr>
  </w:style>
  <w:style w:type="paragraph" w:styleId="26">
    <w:name w:val="header"/>
    <w:basedOn w:val="1"/>
    <w:link w:val="53"/>
    <w:qFormat/>
    <w:uiPriority w:val="99"/>
    <w:pPr>
      <w:pBdr>
        <w:bottom w:val="single" w:color="auto" w:sz="6" w:space="1"/>
      </w:pBdr>
      <w:tabs>
        <w:tab w:val="center" w:pos="4153"/>
        <w:tab w:val="right" w:pos="8306"/>
      </w:tabs>
      <w:snapToGrid w:val="0"/>
      <w:jc w:val="center"/>
    </w:pPr>
    <w:rPr>
      <w:sz w:val="18"/>
      <w:szCs w:val="18"/>
    </w:rPr>
  </w:style>
  <w:style w:type="paragraph" w:styleId="27">
    <w:name w:val="toc 1"/>
    <w:basedOn w:val="1"/>
    <w:next w:val="1"/>
    <w:qFormat/>
    <w:uiPriority w:val="39"/>
    <w:pPr>
      <w:spacing w:line="360" w:lineRule="auto"/>
    </w:pPr>
    <w:rPr>
      <w:b/>
      <w:sz w:val="24"/>
    </w:rPr>
  </w:style>
  <w:style w:type="paragraph" w:styleId="28">
    <w:name w:val="toc 4"/>
    <w:basedOn w:val="1"/>
    <w:next w:val="1"/>
    <w:unhideWhenUsed/>
    <w:qFormat/>
    <w:uiPriority w:val="39"/>
    <w:pPr>
      <w:ind w:left="1260" w:leftChars="600"/>
    </w:pPr>
    <w:rPr>
      <w:rFonts w:ascii="Calibri" w:hAnsi="Calibri"/>
      <w:sz w:val="32"/>
      <w:szCs w:val="22"/>
    </w:rPr>
  </w:style>
  <w:style w:type="paragraph" w:styleId="29">
    <w:name w:val="Subtitle"/>
    <w:basedOn w:val="1"/>
    <w:link w:val="137"/>
    <w:qFormat/>
    <w:uiPriority w:val="0"/>
    <w:pPr>
      <w:adjustRightInd w:val="0"/>
      <w:spacing w:after="60" w:line="312" w:lineRule="atLeast"/>
      <w:jc w:val="center"/>
      <w:textAlignment w:val="baseline"/>
    </w:pPr>
    <w:rPr>
      <w:rFonts w:ascii="Arial" w:hAnsi="Arial"/>
      <w:i/>
      <w:kern w:val="0"/>
      <w:sz w:val="24"/>
      <w:szCs w:val="20"/>
    </w:rPr>
  </w:style>
  <w:style w:type="paragraph" w:styleId="30">
    <w:name w:val="List"/>
    <w:basedOn w:val="1"/>
    <w:qFormat/>
    <w:uiPriority w:val="0"/>
    <w:pPr>
      <w:ind w:left="200" w:hanging="200" w:hangingChars="200"/>
    </w:pPr>
  </w:style>
  <w:style w:type="paragraph" w:styleId="31">
    <w:name w:val="toc 6"/>
    <w:basedOn w:val="1"/>
    <w:next w:val="1"/>
    <w:unhideWhenUsed/>
    <w:qFormat/>
    <w:uiPriority w:val="39"/>
    <w:pPr>
      <w:ind w:left="2100" w:leftChars="1000"/>
    </w:pPr>
    <w:rPr>
      <w:rFonts w:ascii="Calibri" w:hAnsi="Calibri"/>
      <w:sz w:val="32"/>
      <w:szCs w:val="22"/>
    </w:rPr>
  </w:style>
  <w:style w:type="paragraph" w:styleId="32">
    <w:name w:val="Body Text Indent 3"/>
    <w:basedOn w:val="1"/>
    <w:uiPriority w:val="0"/>
    <w:pPr>
      <w:spacing w:after="120"/>
      <w:ind w:left="420" w:leftChars="200"/>
    </w:pPr>
    <w:rPr>
      <w:sz w:val="16"/>
      <w:szCs w:val="16"/>
    </w:rPr>
  </w:style>
  <w:style w:type="paragraph" w:styleId="33">
    <w:name w:val="toc 2"/>
    <w:basedOn w:val="1"/>
    <w:next w:val="1"/>
    <w:qFormat/>
    <w:uiPriority w:val="39"/>
    <w:pPr>
      <w:tabs>
        <w:tab w:val="right" w:leader="dot" w:pos="9516"/>
      </w:tabs>
      <w:spacing w:line="360" w:lineRule="auto"/>
      <w:ind w:left="315" w:leftChars="150"/>
      <w:outlineLvl w:val="1"/>
    </w:pPr>
    <w:rPr>
      <w:sz w:val="24"/>
    </w:rPr>
  </w:style>
  <w:style w:type="paragraph" w:styleId="34">
    <w:name w:val="toc 9"/>
    <w:basedOn w:val="1"/>
    <w:next w:val="1"/>
    <w:unhideWhenUsed/>
    <w:qFormat/>
    <w:uiPriority w:val="39"/>
    <w:pPr>
      <w:ind w:left="3360" w:leftChars="1600"/>
    </w:pPr>
    <w:rPr>
      <w:rFonts w:ascii="Calibri" w:hAnsi="Calibri"/>
      <w:sz w:val="32"/>
      <w:szCs w:val="22"/>
    </w:rPr>
  </w:style>
  <w:style w:type="paragraph" w:styleId="35">
    <w:name w:val="Body Text 2"/>
    <w:basedOn w:val="1"/>
    <w:link w:val="138"/>
    <w:uiPriority w:val="0"/>
    <w:pPr>
      <w:spacing w:after="120" w:line="480" w:lineRule="auto"/>
    </w:pPr>
  </w:style>
  <w:style w:type="paragraph" w:styleId="36">
    <w:name w:val="HTML Preformatted"/>
    <w:basedOn w:val="1"/>
    <w:link w:val="143"/>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37">
    <w:name w:val="Normal (Web)"/>
    <w:basedOn w:val="1"/>
    <w:qFormat/>
    <w:uiPriority w:val="0"/>
    <w:pPr>
      <w:widowControl/>
      <w:spacing w:before="100" w:beforeAutospacing="1" w:after="100" w:afterAutospacing="1"/>
      <w:jc w:val="left"/>
    </w:pPr>
    <w:rPr>
      <w:rFonts w:ascii="宋体" w:hAnsi="宋体" w:cs="宋体"/>
      <w:kern w:val="0"/>
      <w:sz w:val="24"/>
    </w:rPr>
  </w:style>
  <w:style w:type="paragraph" w:styleId="38">
    <w:name w:val="Title"/>
    <w:basedOn w:val="1"/>
    <w:link w:val="132"/>
    <w:qFormat/>
    <w:uiPriority w:val="0"/>
    <w:pPr>
      <w:adjustRightInd w:val="0"/>
      <w:spacing w:before="240" w:after="60" w:line="312" w:lineRule="atLeast"/>
      <w:jc w:val="center"/>
      <w:textAlignment w:val="baseline"/>
    </w:pPr>
    <w:rPr>
      <w:rFonts w:ascii="Arial" w:hAnsi="Arial"/>
      <w:b/>
      <w:kern w:val="28"/>
      <w:sz w:val="32"/>
      <w:szCs w:val="20"/>
    </w:rPr>
  </w:style>
  <w:style w:type="paragraph" w:styleId="39">
    <w:name w:val="annotation subject"/>
    <w:basedOn w:val="11"/>
    <w:next w:val="11"/>
    <w:link w:val="147"/>
    <w:qFormat/>
    <w:uiPriority w:val="0"/>
    <w:rPr>
      <w:rFonts w:ascii="Calibri" w:hAnsi="Calibri"/>
      <w:b/>
      <w:bCs/>
    </w:rPr>
  </w:style>
  <w:style w:type="paragraph" w:styleId="40">
    <w:name w:val="Body Text First Indent"/>
    <w:next w:val="1"/>
    <w:link w:val="182"/>
    <w:qFormat/>
    <w:uiPriority w:val="0"/>
    <w:pPr>
      <w:widowControl w:val="0"/>
      <w:ind w:firstLine="420" w:firstLineChars="100"/>
      <w:jc w:val="both"/>
    </w:pPr>
    <w:rPr>
      <w:rFonts w:ascii="Times New Roman" w:hAnsi="Times New Roman" w:eastAsia="宋体" w:cs="Times New Roman"/>
      <w:kern w:val="2"/>
      <w:sz w:val="21"/>
      <w:szCs w:val="24"/>
      <w:lang w:val="en-US" w:eastAsia="zh-CN" w:bidi="ar-SA"/>
    </w:rPr>
  </w:style>
  <w:style w:type="paragraph" w:styleId="41">
    <w:name w:val="Body Text First Indent 2"/>
    <w:basedOn w:val="14"/>
    <w:link w:val="181"/>
    <w:qFormat/>
    <w:uiPriority w:val="0"/>
    <w:pPr>
      <w:spacing w:after="120" w:line="240" w:lineRule="auto"/>
      <w:ind w:left="420" w:leftChars="200" w:firstLine="420"/>
    </w:pPr>
    <w:rPr>
      <w:rFonts w:eastAsia="宋体"/>
      <w:sz w:val="21"/>
    </w:rPr>
  </w:style>
  <w:style w:type="table" w:styleId="43">
    <w:name w:val="Table Grid"/>
    <w:basedOn w:val="42"/>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45">
    <w:name w:val="Strong"/>
    <w:basedOn w:val="44"/>
    <w:qFormat/>
    <w:uiPriority w:val="22"/>
    <w:rPr>
      <w:rFonts w:ascii="Times New Roman" w:hAnsi="Times New Roman" w:eastAsia="宋体" w:cs="Times New Roman"/>
      <w:b/>
      <w:bCs/>
      <w:lang w:val="en-US" w:eastAsia="zh-CN" w:bidi="ar-SA"/>
    </w:rPr>
  </w:style>
  <w:style w:type="character" w:styleId="46">
    <w:name w:val="page number"/>
    <w:basedOn w:val="44"/>
    <w:qFormat/>
    <w:uiPriority w:val="0"/>
    <w:rPr>
      <w:rFonts w:ascii="Times New Roman" w:hAnsi="Times New Roman" w:eastAsia="宋体" w:cs="Times New Roman"/>
      <w:lang w:val="en-US" w:eastAsia="zh-CN" w:bidi="ar-SA"/>
    </w:rPr>
  </w:style>
  <w:style w:type="character" w:styleId="47">
    <w:name w:val="FollowedHyperlink"/>
    <w:basedOn w:val="44"/>
    <w:qFormat/>
    <w:uiPriority w:val="0"/>
    <w:rPr>
      <w:rFonts w:ascii="Times New Roman" w:hAnsi="Times New Roman" w:eastAsia="宋体" w:cs="Times New Roman"/>
      <w:color w:val="954F72" w:themeColor="followedHyperlink"/>
      <w:u w:val="single"/>
      <w:lang w:val="en-US" w:eastAsia="zh-CN" w:bidi="ar-SA"/>
      <w14:textFill>
        <w14:solidFill>
          <w14:schemeClr w14:val="folHlink"/>
        </w14:solidFill>
      </w14:textFill>
    </w:rPr>
  </w:style>
  <w:style w:type="character" w:styleId="48">
    <w:name w:val="Emphasis"/>
    <w:qFormat/>
    <w:uiPriority w:val="0"/>
    <w:rPr>
      <w:rFonts w:ascii="Times New Roman" w:hAnsi="Times New Roman" w:eastAsia="宋体" w:cs="Times New Roman"/>
      <w:color w:val="CC0000"/>
      <w:lang w:val="en-US" w:eastAsia="zh-CN" w:bidi="ar-SA"/>
    </w:rPr>
  </w:style>
  <w:style w:type="character" w:styleId="49">
    <w:name w:val="Hyperlink"/>
    <w:basedOn w:val="44"/>
    <w:qFormat/>
    <w:uiPriority w:val="99"/>
    <w:rPr>
      <w:rFonts w:ascii="Times New Roman" w:hAnsi="Times New Roman" w:eastAsia="宋体" w:cs="Times New Roman"/>
      <w:color w:val="0000FF"/>
      <w:u w:val="single"/>
      <w:lang w:val="en-US" w:eastAsia="zh-CN" w:bidi="ar-SA"/>
    </w:rPr>
  </w:style>
  <w:style w:type="character" w:styleId="50">
    <w:name w:val="annotation reference"/>
    <w:qFormat/>
    <w:uiPriority w:val="0"/>
    <w:rPr>
      <w:rFonts w:ascii="Times New Roman" w:hAnsi="Times New Roman" w:eastAsia="宋体" w:cs="Times New Roman"/>
      <w:sz w:val="21"/>
      <w:szCs w:val="21"/>
      <w:lang w:val="en-US" w:eastAsia="zh-CN" w:bidi="ar-SA"/>
    </w:rPr>
  </w:style>
  <w:style w:type="paragraph" w:customStyle="1" w:styleId="51">
    <w:name w:val="Char"/>
    <w:basedOn w:val="1"/>
    <w:uiPriority w:val="0"/>
    <w:pPr>
      <w:widowControl/>
      <w:spacing w:after="160" w:line="240" w:lineRule="exact"/>
      <w:jc w:val="left"/>
    </w:pPr>
    <w:rPr>
      <w:rFonts w:ascii="Verdana" w:hAnsi="Verdana" w:eastAsia="仿宋_GB2312"/>
      <w:kern w:val="0"/>
      <w:sz w:val="24"/>
      <w:szCs w:val="20"/>
      <w:u w:val="words" w:color="FFFFFF"/>
      <w:lang w:eastAsia="en-US"/>
    </w:rPr>
  </w:style>
  <w:style w:type="character" w:customStyle="1" w:styleId="52">
    <w:name w:val="页脚 Char"/>
    <w:basedOn w:val="44"/>
    <w:link w:val="25"/>
    <w:qFormat/>
    <w:uiPriority w:val="99"/>
    <w:rPr>
      <w:rFonts w:ascii="Times New Roman" w:hAnsi="Times New Roman" w:eastAsia="宋体" w:cs="Times New Roman"/>
      <w:sz w:val="18"/>
      <w:szCs w:val="18"/>
      <w:lang w:val="en-US" w:eastAsia="zh-CN" w:bidi="ar-SA"/>
    </w:rPr>
  </w:style>
  <w:style w:type="character" w:customStyle="1" w:styleId="53">
    <w:name w:val="页眉 Char"/>
    <w:basedOn w:val="44"/>
    <w:link w:val="26"/>
    <w:qFormat/>
    <w:uiPriority w:val="99"/>
    <w:rPr>
      <w:rFonts w:ascii="Times New Roman" w:hAnsi="Times New Roman" w:eastAsia="宋体" w:cs="Times New Roman"/>
      <w:sz w:val="18"/>
      <w:szCs w:val="18"/>
      <w:lang w:val="en-US" w:eastAsia="zh-CN" w:bidi="ar-SA"/>
    </w:rPr>
  </w:style>
  <w:style w:type="paragraph" w:customStyle="1" w:styleId="54">
    <w:name w:val="Char2"/>
    <w:basedOn w:val="1"/>
    <w:uiPriority w:val="0"/>
    <w:pPr>
      <w:widowControl/>
      <w:spacing w:after="160" w:line="240" w:lineRule="exact"/>
      <w:jc w:val="left"/>
    </w:pPr>
    <w:rPr>
      <w:rFonts w:ascii="Verdana" w:hAnsi="Verdana" w:eastAsia="仿宋_GB2312"/>
      <w:kern w:val="0"/>
      <w:sz w:val="24"/>
      <w:szCs w:val="20"/>
      <w:u w:val="words" w:color="FFFFFF"/>
      <w:lang w:eastAsia="en-US"/>
    </w:rPr>
  </w:style>
  <w:style w:type="character" w:customStyle="1" w:styleId="55">
    <w:name w:val="公文正文"/>
    <w:basedOn w:val="44"/>
    <w:uiPriority w:val="0"/>
    <w:rPr>
      <w:rFonts w:ascii="Times New Roman" w:hAnsi="Times New Roman" w:eastAsia="仿宋_GB2312" w:cs="Times New Roman"/>
      <w:sz w:val="32"/>
      <w:lang w:val="en-US" w:eastAsia="zh-CN" w:bidi="ar-SA"/>
    </w:rPr>
  </w:style>
  <w:style w:type="paragraph" w:customStyle="1" w:styleId="56">
    <w:name w:val="Char2 Char Char Char Char Char Char Char Char1 Char"/>
    <w:basedOn w:val="1"/>
    <w:uiPriority w:val="0"/>
    <w:pPr>
      <w:spacing w:line="360" w:lineRule="auto"/>
      <w:ind w:firstLine="200" w:firstLineChars="200"/>
    </w:pPr>
    <w:rPr>
      <w:rFonts w:ascii="宋体" w:hAnsi="宋体" w:cs="Courier New"/>
      <w:sz w:val="24"/>
      <w:szCs w:val="32"/>
    </w:rPr>
  </w:style>
  <w:style w:type="paragraph" w:styleId="57">
    <w:name w:val="List Paragraph"/>
    <w:basedOn w:val="1"/>
    <w:qFormat/>
    <w:uiPriority w:val="34"/>
    <w:pPr>
      <w:ind w:firstLine="420" w:firstLineChars="200"/>
    </w:pPr>
    <w:rPr>
      <w:rFonts w:ascii="Calibri" w:hAnsi="Calibri"/>
      <w:szCs w:val="22"/>
    </w:rPr>
  </w:style>
  <w:style w:type="paragraph" w:customStyle="1" w:styleId="58">
    <w:name w:val="Char1"/>
    <w:basedOn w:val="1"/>
    <w:uiPriority w:val="0"/>
    <w:pPr>
      <w:widowControl/>
      <w:spacing w:after="160" w:line="240" w:lineRule="exact"/>
      <w:jc w:val="left"/>
    </w:pPr>
    <w:rPr>
      <w:rFonts w:ascii="Verdana" w:hAnsi="Verdana" w:eastAsia="仿宋_GB2312"/>
      <w:kern w:val="0"/>
      <w:sz w:val="24"/>
      <w:szCs w:val="20"/>
      <w:u w:val="words" w:color="FFFFFF"/>
      <w:lang w:eastAsia="en-US"/>
    </w:rPr>
  </w:style>
  <w:style w:type="character" w:customStyle="1" w:styleId="59">
    <w:name w:val="公文主送"/>
    <w:basedOn w:val="44"/>
    <w:qFormat/>
    <w:uiPriority w:val="0"/>
    <w:rPr>
      <w:rFonts w:hint="eastAsia" w:ascii="仿宋_GB2312" w:hAnsi="Times New Roman" w:eastAsia="仿宋_GB2312" w:cs="Times New Roman"/>
      <w:sz w:val="32"/>
      <w:lang w:val="en-US" w:eastAsia="zh-CN" w:bidi="ar-SA"/>
    </w:rPr>
  </w:style>
  <w:style w:type="character" w:customStyle="1" w:styleId="60">
    <w:name w:val="公文签发日期"/>
    <w:basedOn w:val="44"/>
    <w:uiPriority w:val="0"/>
    <w:rPr>
      <w:rFonts w:hint="eastAsia" w:ascii="仿宋_GB2312" w:hAnsi="Times New Roman" w:eastAsia="仿宋_GB2312" w:cs="Times New Roman"/>
      <w:sz w:val="32"/>
      <w:lang w:val="en-US" w:eastAsia="zh-CN" w:bidi="ar-SA"/>
    </w:rPr>
  </w:style>
  <w:style w:type="character" w:customStyle="1" w:styleId="61">
    <w:name w:val="公文抄送"/>
    <w:basedOn w:val="44"/>
    <w:uiPriority w:val="0"/>
    <w:rPr>
      <w:rFonts w:hint="eastAsia" w:ascii="仿宋_GB2312" w:hAnsi="Times New Roman" w:eastAsia="仿宋_GB2312" w:cs="Times New Roman"/>
      <w:sz w:val="32"/>
      <w:lang w:val="en-US" w:eastAsia="zh-CN" w:bidi="ar-SA"/>
    </w:rPr>
  </w:style>
  <w:style w:type="character" w:customStyle="1" w:styleId="62">
    <w:name w:val="公文发出日期"/>
    <w:basedOn w:val="60"/>
    <w:uiPriority w:val="0"/>
  </w:style>
  <w:style w:type="character" w:customStyle="1" w:styleId="63">
    <w:name w:val="公文核稿人"/>
    <w:basedOn w:val="60"/>
    <w:qFormat/>
    <w:uiPriority w:val="0"/>
    <w:rPr>
      <w:sz w:val="28"/>
    </w:rPr>
  </w:style>
  <w:style w:type="paragraph" w:customStyle="1" w:styleId="64">
    <w:name w:val="Default"/>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customStyle="1" w:styleId="65">
    <w:name w:val="CM2"/>
    <w:basedOn w:val="1"/>
    <w:next w:val="1"/>
    <w:qFormat/>
    <w:uiPriority w:val="0"/>
    <w:pPr>
      <w:autoSpaceDE w:val="0"/>
      <w:autoSpaceDN w:val="0"/>
      <w:adjustRightInd w:val="0"/>
      <w:spacing w:line="540" w:lineRule="atLeast"/>
      <w:jc w:val="left"/>
    </w:pPr>
    <w:rPr>
      <w:rFonts w:ascii="oúì." w:eastAsia="oúì." w:cs="oúì."/>
      <w:kern w:val="0"/>
      <w:sz w:val="24"/>
    </w:rPr>
  </w:style>
  <w:style w:type="paragraph" w:customStyle="1" w:styleId="66">
    <w:name w:val="Char Char Char Char"/>
    <w:basedOn w:val="1"/>
    <w:qFormat/>
    <w:uiPriority w:val="0"/>
    <w:rPr>
      <w:rFonts w:ascii="仿宋_GB2312" w:eastAsia="仿宋_GB2312"/>
      <w:b/>
      <w:sz w:val="32"/>
      <w:szCs w:val="32"/>
    </w:rPr>
  </w:style>
  <w:style w:type="paragraph" w:customStyle="1" w:styleId="67">
    <w:name w:val="p0"/>
    <w:basedOn w:val="1"/>
    <w:link w:val="91"/>
    <w:uiPriority w:val="0"/>
    <w:pPr>
      <w:widowControl/>
      <w:ind w:firstLine="420"/>
      <w:jc w:val="left"/>
    </w:pPr>
    <w:rPr>
      <w:kern w:val="0"/>
      <w:sz w:val="20"/>
      <w:szCs w:val="20"/>
    </w:rPr>
  </w:style>
  <w:style w:type="paragraph" w:customStyle="1" w:styleId="68">
    <w:name w:val="默认段落字体 Para Char"/>
    <w:basedOn w:val="5"/>
    <w:uiPriority w:val="0"/>
    <w:pPr>
      <w:tabs>
        <w:tab w:val="left" w:pos="1440"/>
      </w:tabs>
    </w:pPr>
    <w:rPr>
      <w:rFonts w:eastAsia="宋体"/>
    </w:rPr>
  </w:style>
  <w:style w:type="paragraph" w:customStyle="1" w:styleId="69">
    <w:name w:val="样式 仿宋_GB2312 三号 行距: 1.5 倍行距"/>
    <w:basedOn w:val="1"/>
    <w:qFormat/>
    <w:uiPriority w:val="0"/>
    <w:pPr>
      <w:spacing w:line="360" w:lineRule="auto"/>
      <w:ind w:firstLine="560" w:firstLineChars="200"/>
      <w:jc w:val="left"/>
    </w:pPr>
    <w:rPr>
      <w:rFonts w:ascii="仿宋_GB2312" w:eastAsia="仿宋_GB2312" w:cs="宋体"/>
      <w:sz w:val="28"/>
      <w:szCs w:val="20"/>
    </w:rPr>
  </w:style>
  <w:style w:type="character" w:customStyle="1" w:styleId="70">
    <w:name w:val="样式 仿宋_GB2312 三号"/>
    <w:basedOn w:val="44"/>
    <w:uiPriority w:val="0"/>
    <w:rPr>
      <w:rFonts w:ascii="仿宋_GB2312" w:hAnsi="仿宋_GB2312" w:eastAsia="仿宋_GB2312" w:cs="Times New Roman"/>
      <w:sz w:val="28"/>
      <w:lang w:val="en-US" w:eastAsia="zh-CN" w:bidi="ar-SA"/>
    </w:rPr>
  </w:style>
  <w:style w:type="paragraph" w:customStyle="1" w:styleId="71">
    <w:name w:val="样式 三号 加粗 行距: 1.5 倍行距"/>
    <w:basedOn w:val="1"/>
    <w:uiPriority w:val="0"/>
    <w:pPr>
      <w:spacing w:line="360" w:lineRule="auto"/>
      <w:ind w:firstLine="600" w:firstLineChars="200"/>
    </w:pPr>
    <w:rPr>
      <w:rFonts w:ascii="楷体_GB2312" w:eastAsia="楷体_GB2312" w:cs="宋体"/>
      <w:bCs/>
      <w:sz w:val="30"/>
      <w:szCs w:val="20"/>
    </w:rPr>
  </w:style>
  <w:style w:type="character" w:customStyle="1" w:styleId="72">
    <w:name w:val="样式 宋体 三号 加粗"/>
    <w:basedOn w:val="44"/>
    <w:qFormat/>
    <w:uiPriority w:val="0"/>
    <w:rPr>
      <w:rFonts w:ascii="宋体" w:hAnsi="宋体" w:eastAsia="宋体" w:cs="Times New Roman"/>
      <w:b/>
      <w:bCs/>
      <w:sz w:val="30"/>
      <w:lang w:val="en-US" w:eastAsia="zh-CN" w:bidi="ar-SA"/>
    </w:rPr>
  </w:style>
  <w:style w:type="paragraph" w:customStyle="1" w:styleId="73">
    <w:name w:val="样式 宋体 三号 加粗 行距: 1.5 倍行距"/>
    <w:basedOn w:val="1"/>
    <w:qFormat/>
    <w:uiPriority w:val="0"/>
    <w:pPr>
      <w:spacing w:line="360" w:lineRule="auto"/>
      <w:ind w:firstLine="643" w:firstLineChars="200"/>
    </w:pPr>
    <w:rPr>
      <w:rFonts w:ascii="宋体" w:hAnsi="宋体" w:cs="宋体"/>
      <w:b/>
      <w:bCs/>
      <w:sz w:val="30"/>
      <w:szCs w:val="20"/>
    </w:rPr>
  </w:style>
  <w:style w:type="character" w:customStyle="1" w:styleId="74">
    <w:name w:val="样式 三号 加粗"/>
    <w:basedOn w:val="44"/>
    <w:qFormat/>
    <w:uiPriority w:val="0"/>
    <w:rPr>
      <w:rFonts w:ascii="Times New Roman" w:hAnsi="Times New Roman" w:eastAsia="仿宋_GB2312" w:cs="Times New Roman"/>
      <w:b/>
      <w:bCs/>
      <w:sz w:val="30"/>
      <w:lang w:val="en-US" w:eastAsia="zh-CN" w:bidi="ar-SA"/>
    </w:rPr>
  </w:style>
  <w:style w:type="paragraph" w:customStyle="1" w:styleId="75">
    <w:name w:val="样式 (中文) 仿宋_GB2312 三号 加粗 行距: 1.5 倍行距"/>
    <w:basedOn w:val="1"/>
    <w:uiPriority w:val="0"/>
    <w:pPr>
      <w:keepNext/>
      <w:spacing w:beforeLines="50" w:line="360" w:lineRule="auto"/>
      <w:ind w:firstLine="602" w:firstLineChars="200"/>
    </w:pPr>
    <w:rPr>
      <w:rFonts w:eastAsia="仿宋_GB2312" w:cs="宋体"/>
      <w:b/>
      <w:bCs/>
      <w:sz w:val="30"/>
      <w:szCs w:val="20"/>
    </w:rPr>
  </w:style>
  <w:style w:type="paragraph" w:customStyle="1" w:styleId="76">
    <w:name w:val="样式 宋体 三号 加粗 行距: 固定值 29 磅"/>
    <w:basedOn w:val="1"/>
    <w:uiPriority w:val="0"/>
    <w:pPr>
      <w:spacing w:line="580" w:lineRule="exact"/>
      <w:ind w:firstLine="643" w:firstLineChars="200"/>
    </w:pPr>
    <w:rPr>
      <w:rFonts w:ascii="宋体" w:hAnsi="宋体" w:cs="宋体"/>
      <w:b/>
      <w:bCs/>
      <w:sz w:val="30"/>
      <w:szCs w:val="20"/>
    </w:rPr>
  </w:style>
  <w:style w:type="paragraph" w:customStyle="1" w:styleId="77">
    <w:name w:val="样式 样式 三号 加粗 行距: 1.5 倍行距 + 首行缩进:  2 字符"/>
    <w:basedOn w:val="71"/>
    <w:uiPriority w:val="0"/>
    <w:pPr>
      <w:ind w:firstLine="602"/>
    </w:pPr>
    <w:rPr>
      <w:rFonts w:eastAsia="仿宋_GB2312"/>
    </w:rPr>
  </w:style>
  <w:style w:type="paragraph" w:customStyle="1" w:styleId="78">
    <w:name w:val="样式 (中文) 仿宋_GB2312 三号 加粗 左 行距: 1.5 倍行距"/>
    <w:basedOn w:val="1"/>
    <w:qFormat/>
    <w:uiPriority w:val="0"/>
    <w:pPr>
      <w:spacing w:line="360" w:lineRule="auto"/>
      <w:ind w:firstLine="643" w:firstLineChars="200"/>
      <w:jc w:val="left"/>
    </w:pPr>
    <w:rPr>
      <w:rFonts w:eastAsia="仿宋_GB2312" w:cs="宋体"/>
      <w:b/>
      <w:bCs/>
      <w:sz w:val="30"/>
      <w:szCs w:val="20"/>
    </w:rPr>
  </w:style>
  <w:style w:type="paragraph" w:customStyle="1" w:styleId="79">
    <w:name w:val="样式 三号 加粗 行距: 1.5 倍行距1"/>
    <w:basedOn w:val="1"/>
    <w:uiPriority w:val="0"/>
    <w:pPr>
      <w:spacing w:line="360" w:lineRule="auto"/>
      <w:ind w:firstLine="479" w:firstLineChars="149"/>
    </w:pPr>
    <w:rPr>
      <w:rFonts w:cs="宋体"/>
      <w:b/>
      <w:bCs/>
      <w:sz w:val="30"/>
      <w:szCs w:val="20"/>
    </w:rPr>
  </w:style>
  <w:style w:type="paragraph" w:customStyle="1" w:styleId="80">
    <w:name w:val="样式 样式 三号 加粗 行距: 1.5 倍行距1 + 首行缩进:  1.49 字符"/>
    <w:basedOn w:val="79"/>
    <w:uiPriority w:val="0"/>
    <w:pPr>
      <w:ind w:firstLine="449"/>
    </w:pPr>
    <w:rPr>
      <w:rFonts w:eastAsia="仿宋_GB2312"/>
    </w:rPr>
  </w:style>
  <w:style w:type="paragraph" w:customStyle="1" w:styleId="81">
    <w:name w:val="样式 三号 加粗 段前: 7.8 磅 行距: 1.5 倍行距"/>
    <w:basedOn w:val="1"/>
    <w:uiPriority w:val="0"/>
    <w:pPr>
      <w:spacing w:before="156" w:line="360" w:lineRule="auto"/>
      <w:ind w:firstLine="643" w:firstLineChars="200"/>
    </w:pPr>
    <w:rPr>
      <w:rFonts w:eastAsia="仿宋_GB2312" w:cs="宋体"/>
      <w:b/>
      <w:bCs/>
      <w:sz w:val="30"/>
      <w:szCs w:val="20"/>
    </w:rPr>
  </w:style>
  <w:style w:type="paragraph" w:customStyle="1" w:styleId="82">
    <w:name w:val="样式 样式 宋体 三号 加粗 行距: 1.5 倍行距 + 首行缩进:  2 字符"/>
    <w:basedOn w:val="73"/>
    <w:uiPriority w:val="0"/>
    <w:pPr>
      <w:keepNext/>
      <w:ind w:firstLine="600"/>
    </w:pPr>
    <w:rPr>
      <w:rFonts w:ascii="楷体_GB2312" w:eastAsia="楷体_GB2312"/>
      <w:b w:val="0"/>
    </w:rPr>
  </w:style>
  <w:style w:type="paragraph" w:customStyle="1" w:styleId="83">
    <w:name w:val="样式 宋体 小四 加粗 居中 行距: 1.5 倍行距"/>
    <w:basedOn w:val="1"/>
    <w:uiPriority w:val="0"/>
    <w:pPr>
      <w:spacing w:line="360" w:lineRule="auto"/>
      <w:ind w:firstLine="482" w:firstLineChars="200"/>
      <w:jc w:val="center"/>
    </w:pPr>
    <w:rPr>
      <w:rFonts w:ascii="宋体" w:hAnsi="宋体" w:cs="宋体"/>
      <w:b/>
      <w:bCs/>
      <w:kern w:val="0"/>
      <w:szCs w:val="20"/>
    </w:rPr>
  </w:style>
  <w:style w:type="paragraph" w:customStyle="1" w:styleId="84">
    <w:name w:val="样式 样式 宋体 三号 加粗 行距: 固定值 29 磅 + 首行缩进:  2 字符"/>
    <w:basedOn w:val="76"/>
    <w:uiPriority w:val="0"/>
    <w:pPr>
      <w:ind w:firstLine="600"/>
    </w:pPr>
    <w:rPr>
      <w:rFonts w:ascii="楷体_GB2312" w:hAnsi="Times New Roman" w:eastAsia="楷体_GB2312" w:cs="Times New Roman"/>
      <w:b w:val="0"/>
    </w:rPr>
  </w:style>
  <w:style w:type="character" w:customStyle="1" w:styleId="85">
    <w:name w:val="land11"/>
    <w:basedOn w:val="44"/>
    <w:uiPriority w:val="0"/>
    <w:rPr>
      <w:rFonts w:hint="default" w:ascii="ˎ̥" w:hAnsi="ˎ̥" w:eastAsia="宋体" w:cs="Times New Roman"/>
      <w:color w:val="000000"/>
      <w:sz w:val="35"/>
      <w:szCs w:val="35"/>
      <w:lang w:val="en-US" w:eastAsia="zh-CN" w:bidi="ar-SA"/>
    </w:rPr>
  </w:style>
  <w:style w:type="paragraph" w:customStyle="1" w:styleId="86">
    <w:name w:val="pa-5"/>
    <w:basedOn w:val="1"/>
    <w:uiPriority w:val="0"/>
    <w:pPr>
      <w:widowControl/>
      <w:spacing w:line="280" w:lineRule="atLeast"/>
      <w:jc w:val="left"/>
    </w:pPr>
    <w:rPr>
      <w:rFonts w:ascii="宋体" w:hAnsi="宋体" w:cs="宋体"/>
      <w:kern w:val="0"/>
      <w:sz w:val="24"/>
    </w:rPr>
  </w:style>
  <w:style w:type="character" w:customStyle="1" w:styleId="87">
    <w:name w:val="公文文号"/>
    <w:basedOn w:val="44"/>
    <w:uiPriority w:val="0"/>
    <w:rPr>
      <w:rFonts w:ascii="仿宋_GB2312" w:hAnsi="Times New Roman" w:eastAsia="宋体" w:cs="Times New Roman"/>
      <w:sz w:val="28"/>
      <w:lang w:val="en-US" w:eastAsia="zh-CN" w:bidi="ar-SA"/>
    </w:rPr>
  </w:style>
  <w:style w:type="character" w:customStyle="1" w:styleId="88">
    <w:name w:val="公文标题"/>
    <w:basedOn w:val="44"/>
    <w:uiPriority w:val="0"/>
    <w:rPr>
      <w:rFonts w:ascii="金山简标宋" w:hAnsi="Times New Roman" w:eastAsia="金山简标宋" w:cs="Times New Roman"/>
      <w:sz w:val="44"/>
      <w:lang w:val="en-US" w:eastAsia="zh-CN" w:bidi="ar-SA"/>
    </w:rPr>
  </w:style>
  <w:style w:type="character" w:customStyle="1" w:styleId="89">
    <w:name w:val="公文主题词"/>
    <w:basedOn w:val="44"/>
    <w:uiPriority w:val="0"/>
    <w:rPr>
      <w:rFonts w:ascii="Times New Roman" w:hAnsi="Times New Roman" w:eastAsia="金山简标宋" w:cs="Times New Roman"/>
      <w:sz w:val="28"/>
      <w:lang w:val="en-US" w:eastAsia="zh-CN" w:bidi="ar-SA"/>
    </w:rPr>
  </w:style>
  <w:style w:type="paragraph" w:customStyle="1" w:styleId="90">
    <w:name w:val="Char Char2"/>
    <w:basedOn w:val="1"/>
    <w:qFormat/>
    <w:uiPriority w:val="0"/>
    <w:pPr>
      <w:widowControl/>
      <w:spacing w:after="160" w:line="240" w:lineRule="exact"/>
      <w:jc w:val="left"/>
    </w:pPr>
    <w:rPr>
      <w:rFonts w:ascii="Verdana" w:hAnsi="Verdana" w:eastAsia="仿宋_GB2312"/>
      <w:kern w:val="0"/>
      <w:sz w:val="24"/>
      <w:szCs w:val="20"/>
      <w:u w:val="words" w:color="FFFFFF"/>
      <w:lang w:eastAsia="en-US"/>
    </w:rPr>
  </w:style>
  <w:style w:type="character" w:customStyle="1" w:styleId="91">
    <w:name w:val="p0 Char"/>
    <w:basedOn w:val="44"/>
    <w:link w:val="67"/>
    <w:uiPriority w:val="0"/>
    <w:rPr>
      <w:rFonts w:ascii="Times New Roman" w:hAnsi="Times New Roman" w:eastAsia="宋体" w:cs="Times New Roman"/>
      <w:kern w:val="0"/>
      <w:sz w:val="20"/>
      <w:szCs w:val="20"/>
      <w:lang w:val="en-US" w:eastAsia="zh-CN" w:bidi="ar-SA"/>
    </w:rPr>
  </w:style>
  <w:style w:type="paragraph" w:customStyle="1" w:styleId="92">
    <w:name w:val="_Style 3"/>
    <w:basedOn w:val="1"/>
    <w:qFormat/>
    <w:uiPriority w:val="0"/>
    <w:pPr>
      <w:widowControl/>
      <w:spacing w:after="160" w:line="240" w:lineRule="exact"/>
      <w:jc w:val="left"/>
    </w:pPr>
  </w:style>
  <w:style w:type="character" w:customStyle="1" w:styleId="93">
    <w:name w:val="f141"/>
    <w:basedOn w:val="44"/>
    <w:uiPriority w:val="0"/>
    <w:rPr>
      <w:rFonts w:ascii="Times New Roman" w:hAnsi="Times New Roman" w:eastAsia="宋体" w:cs="Times New Roman"/>
      <w:sz w:val="21"/>
      <w:szCs w:val="21"/>
      <w:lang w:val="en-US" w:eastAsia="zh-CN" w:bidi="ar-SA"/>
    </w:rPr>
  </w:style>
  <w:style w:type="paragraph" w:customStyle="1" w:styleId="94">
    <w:name w:val="p18"/>
    <w:basedOn w:val="1"/>
    <w:uiPriority w:val="0"/>
    <w:pPr>
      <w:widowControl/>
      <w:spacing w:before="100" w:beforeAutospacing="1" w:after="100" w:afterAutospacing="1"/>
      <w:jc w:val="left"/>
    </w:pPr>
    <w:rPr>
      <w:rFonts w:ascii="宋体" w:hAnsi="宋体" w:cs="宋体"/>
      <w:kern w:val="0"/>
      <w:sz w:val="24"/>
    </w:rPr>
  </w:style>
  <w:style w:type="paragraph" w:customStyle="1" w:styleId="95">
    <w:name w:val="Char Char Char Char1"/>
    <w:basedOn w:val="1"/>
    <w:uiPriority w:val="0"/>
    <w:pPr>
      <w:widowControl/>
      <w:spacing w:after="160" w:line="240" w:lineRule="exact"/>
      <w:jc w:val="left"/>
    </w:pPr>
    <w:rPr>
      <w:szCs w:val="20"/>
    </w:rPr>
  </w:style>
  <w:style w:type="paragraph" w:customStyle="1" w:styleId="96">
    <w:name w:val="正文 New"/>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97">
    <w:name w:val="纯文本 Char"/>
    <w:basedOn w:val="44"/>
    <w:link w:val="20"/>
    <w:locked/>
    <w:uiPriority w:val="0"/>
    <w:rPr>
      <w:rFonts w:ascii="宋体" w:hAnsi="宋体" w:eastAsia="宋体" w:cs="宋体"/>
      <w:kern w:val="0"/>
      <w:sz w:val="24"/>
      <w:lang w:val="en-US" w:eastAsia="zh-CN" w:bidi="ar-SA"/>
    </w:rPr>
  </w:style>
  <w:style w:type="character" w:customStyle="1" w:styleId="98">
    <w:name w:val="页脚 Char2"/>
    <w:locked/>
    <w:uiPriority w:val="0"/>
    <w:rPr>
      <w:rFonts w:ascii="Times New Roman" w:hAnsi="Times New Roman" w:eastAsia="宋体" w:cs="Times New Roman"/>
      <w:kern w:val="2"/>
      <w:sz w:val="18"/>
      <w:szCs w:val="18"/>
      <w:lang w:val="en-US" w:eastAsia="zh-CN" w:bidi="ar-SA"/>
    </w:rPr>
  </w:style>
  <w:style w:type="character" w:customStyle="1" w:styleId="99">
    <w:name w:val="日期 Char"/>
    <w:basedOn w:val="44"/>
    <w:link w:val="22"/>
    <w:uiPriority w:val="0"/>
    <w:rPr>
      <w:rFonts w:ascii="Times New Roman" w:hAnsi="Times New Roman" w:eastAsia="仿宋_GB2312" w:cs="Times New Roman"/>
      <w:sz w:val="32"/>
      <w:szCs w:val="20"/>
      <w:lang w:val="en-US" w:eastAsia="zh-CN" w:bidi="ar-SA"/>
    </w:rPr>
  </w:style>
  <w:style w:type="paragraph" w:styleId="100">
    <w:name w:val="No Spacing"/>
    <w:qFormat/>
    <w:uiPriority w:val="1"/>
    <w:pPr>
      <w:widowControl w:val="0"/>
      <w:jc w:val="both"/>
    </w:pPr>
    <w:rPr>
      <w:rFonts w:ascii="Calibri" w:hAnsi="Calibri" w:eastAsia="宋体" w:cs="Times New Roman"/>
      <w:kern w:val="2"/>
      <w:sz w:val="21"/>
      <w:szCs w:val="22"/>
      <w:lang w:val="en-US" w:eastAsia="zh-CN" w:bidi="ar-SA"/>
    </w:rPr>
  </w:style>
  <w:style w:type="paragraph" w:customStyle="1" w:styleId="101">
    <w:name w:val="正文01"/>
    <w:basedOn w:val="1"/>
    <w:uiPriority w:val="0"/>
    <w:pPr>
      <w:spacing w:line="550" w:lineRule="exact"/>
      <w:ind w:firstLine="200" w:firstLineChars="200"/>
    </w:pPr>
    <w:rPr>
      <w:rFonts w:eastAsia="方正仿宋_GBK"/>
      <w:color w:val="000000"/>
      <w:kern w:val="0"/>
      <w:sz w:val="32"/>
      <w:szCs w:val="32"/>
    </w:rPr>
  </w:style>
  <w:style w:type="paragraph" w:customStyle="1" w:styleId="102">
    <w:name w:val="p17"/>
    <w:basedOn w:val="1"/>
    <w:uiPriority w:val="0"/>
    <w:pPr>
      <w:widowControl/>
    </w:pPr>
    <w:rPr>
      <w:rFonts w:ascii="宋体" w:hAnsi="宋体" w:cs="宋体"/>
      <w:kern w:val="0"/>
      <w:szCs w:val="21"/>
    </w:rPr>
  </w:style>
  <w:style w:type="character" w:customStyle="1" w:styleId="103">
    <w:name w:val="正文文本 Char"/>
    <w:link w:val="13"/>
    <w:qFormat/>
    <w:locked/>
    <w:uiPriority w:val="0"/>
    <w:rPr>
      <w:rFonts w:ascii="Times New Roman" w:hAnsi="Times New Roman" w:eastAsia="宋体" w:cs="Times New Roman"/>
      <w:lang w:val="en-US" w:eastAsia="zh-CN" w:bidi="ar-SA"/>
    </w:rPr>
  </w:style>
  <w:style w:type="character" w:customStyle="1" w:styleId="104">
    <w:name w:val="Char Char15"/>
    <w:uiPriority w:val="0"/>
    <w:rPr>
      <w:rFonts w:ascii="Times New Roman" w:hAnsi="Times New Roman" w:eastAsia="宋体" w:cs="Times New Roman"/>
      <w:kern w:val="2"/>
      <w:sz w:val="18"/>
      <w:szCs w:val="18"/>
      <w:lang w:val="en-US" w:eastAsia="zh-CN" w:bidi="ar-SA"/>
    </w:rPr>
  </w:style>
  <w:style w:type="character" w:customStyle="1" w:styleId="105">
    <w:name w:val="Char Char14"/>
    <w:uiPriority w:val="0"/>
    <w:rPr>
      <w:rFonts w:ascii="Times New Roman" w:hAnsi="Times New Roman" w:eastAsia="宋体" w:cs="Times New Roman"/>
      <w:kern w:val="2"/>
      <w:sz w:val="18"/>
      <w:szCs w:val="18"/>
      <w:lang w:val="en-US" w:eastAsia="zh-CN" w:bidi="ar-SA"/>
    </w:rPr>
  </w:style>
  <w:style w:type="paragraph" w:customStyle="1" w:styleId="106">
    <w:name w:val="Char Char Char Char Char Char Char"/>
    <w:basedOn w:val="1"/>
    <w:uiPriority w:val="0"/>
    <w:pPr>
      <w:spacing w:line="360" w:lineRule="auto"/>
      <w:jc w:val="left"/>
    </w:pPr>
    <w:rPr>
      <w:rFonts w:ascii="宋体" w:hAnsi="宋体" w:cs="宋体"/>
      <w:kern w:val="0"/>
      <w:sz w:val="24"/>
    </w:rPr>
  </w:style>
  <w:style w:type="character" w:customStyle="1" w:styleId="107">
    <w:name w:val="ca-51"/>
    <w:qFormat/>
    <w:uiPriority w:val="0"/>
    <w:rPr>
      <w:rFonts w:hint="eastAsia" w:ascii="仿宋_GB2312" w:hAnsi="Times New Roman" w:eastAsia="仿宋_GB2312" w:cs="Times New Roman"/>
      <w:sz w:val="32"/>
      <w:szCs w:val="32"/>
      <w:lang w:val="en-US" w:eastAsia="zh-CN" w:bidi="ar-SA"/>
    </w:rPr>
  </w:style>
  <w:style w:type="paragraph" w:customStyle="1" w:styleId="108">
    <w:name w:val="Char Char Char1 Char"/>
    <w:basedOn w:val="1"/>
    <w:semiHidden/>
    <w:uiPriority w:val="0"/>
  </w:style>
  <w:style w:type="paragraph" w:customStyle="1" w:styleId="109">
    <w:name w:val="正文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10">
    <w:name w:val="正文 New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11">
    <w:name w:val="正文 New New New New New New New New New New New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12">
    <w:name w:val="正文 New New New New New New New New New New New New New"/>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13">
    <w:name w:val="正文 New New New New New"/>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14">
    <w:name w:val="正文 New New New New New New New New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15">
    <w:name w:val="正文 New New New New New New New New"/>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16">
    <w:name w:val="正文 New New New New New New New New New New New New New New New New New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17">
    <w:name w:val="正文 New New New New New New New New New New New New New New New New New New New New New"/>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18">
    <w:name w:val="正文 New New New New New New New"/>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19">
    <w:name w:val="正文 New New New New New New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20">
    <w:name w:val="正文 New New New New New New New New New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21">
    <w:name w:val="正文 New New New New New New New New New New New New New New New New New"/>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22">
    <w:name w:val="正文 New New New New New New New New New New New New New New New New New New New"/>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23">
    <w:name w:val="正文 New New New New New New New New New New New New New New New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24">
    <w:name w:val="正文 New New New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25">
    <w:name w:val="正文 New New New New New New New New New New New New New New New New New New New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26">
    <w:name w:val="正文 New New New New New New New New New New New New New New New New"/>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27">
    <w:name w:val="正文 New New New New New New New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28">
    <w:name w:val="正文1"/>
    <w:qFormat/>
    <w:uiPriority w:val="0"/>
    <w:pPr>
      <w:widowControl w:val="0"/>
      <w:jc w:val="both"/>
    </w:pPr>
    <w:rPr>
      <w:rFonts w:hint="eastAsia" w:ascii="Times New Roman" w:hAnsi="Times New Roman" w:eastAsia="宋体" w:cs="Times New Roman"/>
      <w:kern w:val="2"/>
      <w:sz w:val="21"/>
      <w:lang w:val="en-US" w:eastAsia="zh-CN" w:bidi="ar-SA"/>
    </w:rPr>
  </w:style>
  <w:style w:type="paragraph" w:customStyle="1" w:styleId="129">
    <w:name w:val="正文2"/>
    <w:uiPriority w:val="0"/>
    <w:pPr>
      <w:widowControl w:val="0"/>
      <w:jc w:val="both"/>
    </w:pPr>
    <w:rPr>
      <w:rFonts w:hint="eastAsia" w:ascii="Times New Roman" w:hAnsi="Times New Roman" w:eastAsia="宋体" w:cs="Times New Roman"/>
      <w:kern w:val="2"/>
      <w:sz w:val="21"/>
      <w:lang w:val="en-US" w:eastAsia="zh-CN" w:bidi="ar-SA"/>
    </w:rPr>
  </w:style>
  <w:style w:type="character" w:customStyle="1" w:styleId="130">
    <w:name w:val="批注框文本 Char"/>
    <w:link w:val="24"/>
    <w:qFormat/>
    <w:uiPriority w:val="0"/>
    <w:rPr>
      <w:rFonts w:ascii="Times New Roman" w:hAnsi="Times New Roman" w:eastAsia="宋体" w:cs="Times New Roman"/>
      <w:sz w:val="18"/>
      <w:szCs w:val="18"/>
      <w:lang w:val="en-US" w:eastAsia="zh-CN" w:bidi="ar-SA"/>
    </w:rPr>
  </w:style>
  <w:style w:type="character" w:customStyle="1" w:styleId="131">
    <w:name w:val="公文文种"/>
    <w:qFormat/>
    <w:uiPriority w:val="0"/>
    <w:rPr>
      <w:rFonts w:ascii="Times New Roman" w:hAnsi="Times New Roman" w:eastAsia="宋体" w:cs="Times New Roman"/>
      <w:sz w:val="32"/>
      <w:lang w:val="en-US" w:eastAsia="zh-CN" w:bidi="ar-SA"/>
    </w:rPr>
  </w:style>
  <w:style w:type="character" w:customStyle="1" w:styleId="132">
    <w:name w:val="标题 Char"/>
    <w:basedOn w:val="44"/>
    <w:link w:val="38"/>
    <w:uiPriority w:val="0"/>
    <w:rPr>
      <w:rFonts w:ascii="Arial" w:hAnsi="Arial" w:eastAsia="宋体" w:cs="Times New Roman"/>
      <w:b/>
      <w:kern w:val="28"/>
      <w:sz w:val="32"/>
      <w:szCs w:val="20"/>
      <w:lang w:val="en-US" w:eastAsia="zh-CN" w:bidi="ar-SA"/>
    </w:rPr>
  </w:style>
  <w:style w:type="character" w:customStyle="1" w:styleId="133">
    <w:name w:val="发往单位"/>
    <w:qFormat/>
    <w:uiPriority w:val="0"/>
    <w:rPr>
      <w:rFonts w:ascii="仿宋_GB2312" w:hAnsi="Times New Roman" w:eastAsia="宋体" w:cs="Times New Roman"/>
      <w:lang w:val="en-US" w:eastAsia="zh-CN" w:bidi="ar-SA"/>
    </w:rPr>
  </w:style>
  <w:style w:type="character" w:customStyle="1" w:styleId="134">
    <w:name w:val="正文文本缩进 Char"/>
    <w:link w:val="14"/>
    <w:uiPriority w:val="0"/>
    <w:rPr>
      <w:rFonts w:ascii="Times New Roman" w:hAnsi="Times New Roman" w:eastAsia="仿宋_GB2312" w:cs="Times New Roman"/>
      <w:sz w:val="32"/>
      <w:lang w:val="en-US" w:eastAsia="zh-CN" w:bidi="ar-SA"/>
    </w:rPr>
  </w:style>
  <w:style w:type="character" w:customStyle="1" w:styleId="135">
    <w:name w:val="Char Char13"/>
    <w:qFormat/>
    <w:uiPriority w:val="0"/>
    <w:rPr>
      <w:rFonts w:ascii="Times New Roman" w:hAnsi="Times New Roman" w:eastAsia="宋体" w:cs="Times New Roman"/>
      <w:kern w:val="2"/>
      <w:sz w:val="21"/>
      <w:szCs w:val="24"/>
      <w:lang w:val="en-US" w:eastAsia="zh-CN" w:bidi="ar-SA"/>
    </w:rPr>
  </w:style>
  <w:style w:type="character" w:customStyle="1" w:styleId="136">
    <w:name w:val="正文文本缩进 2 Char"/>
    <w:link w:val="23"/>
    <w:qFormat/>
    <w:uiPriority w:val="0"/>
    <w:rPr>
      <w:rFonts w:ascii="Times New Roman" w:hAnsi="Times New Roman" w:eastAsia="宋体" w:cs="Times New Roman"/>
      <w:szCs w:val="20"/>
      <w:lang w:val="en-US" w:eastAsia="zh-CN" w:bidi="ar-SA"/>
    </w:rPr>
  </w:style>
  <w:style w:type="character" w:customStyle="1" w:styleId="137">
    <w:name w:val="副标题 Char"/>
    <w:link w:val="29"/>
    <w:uiPriority w:val="0"/>
    <w:rPr>
      <w:rFonts w:ascii="Arial" w:hAnsi="Arial" w:eastAsia="宋体" w:cs="Times New Roman"/>
      <w:i/>
      <w:kern w:val="0"/>
      <w:sz w:val="24"/>
      <w:szCs w:val="20"/>
      <w:lang w:val="en-US" w:eastAsia="zh-CN" w:bidi="ar-SA"/>
    </w:rPr>
  </w:style>
  <w:style w:type="character" w:customStyle="1" w:styleId="138">
    <w:name w:val="正文文本 2 Char"/>
    <w:link w:val="35"/>
    <w:uiPriority w:val="0"/>
    <w:rPr>
      <w:rFonts w:ascii="Times New Roman" w:hAnsi="Times New Roman" w:eastAsia="宋体" w:cs="Times New Roman"/>
      <w:lang w:val="en-US" w:eastAsia="zh-CN" w:bidi="ar-SA"/>
    </w:rPr>
  </w:style>
  <w:style w:type="paragraph" w:customStyle="1" w:styleId="139">
    <w:name w:val="_Style 2"/>
    <w:basedOn w:val="1"/>
    <w:qFormat/>
    <w:uiPriority w:val="0"/>
    <w:pPr>
      <w:jc w:val="left"/>
    </w:pPr>
    <w:rPr>
      <w:rFonts w:ascii="Calibri" w:hAnsi="Calibri" w:eastAsia="仿宋_GB2312"/>
      <w:sz w:val="28"/>
      <w:szCs w:val="22"/>
    </w:rPr>
  </w:style>
  <w:style w:type="paragraph" w:customStyle="1" w:styleId="140">
    <w:name w:val="Char Char Char Char Char Char Char Char Char Char Char Char Char Char Char Char Char Char Char Char Char Char Char Char Char Char Char Char Char Char Char Char Char"/>
    <w:basedOn w:val="1"/>
    <w:qFormat/>
    <w:uiPriority w:val="0"/>
    <w:pPr>
      <w:widowControl/>
      <w:spacing w:after="160" w:line="240" w:lineRule="exact"/>
      <w:jc w:val="left"/>
    </w:pPr>
    <w:rPr>
      <w:rFonts w:ascii="Verdana" w:hAnsi="Verdana" w:eastAsia="仿宋_GB2312" w:cs="Verdana"/>
      <w:snapToGrid w:val="0"/>
      <w:kern w:val="0"/>
      <w:sz w:val="24"/>
      <w:szCs w:val="21"/>
      <w:lang w:eastAsia="en-US"/>
    </w:rPr>
  </w:style>
  <w:style w:type="character" w:customStyle="1" w:styleId="141">
    <w:name w:val="公文日期"/>
    <w:qFormat/>
    <w:uiPriority w:val="0"/>
    <w:rPr>
      <w:rFonts w:ascii="Times New Roman" w:hAnsi="Times New Roman" w:eastAsia="宋体" w:cs="Times New Roman"/>
      <w:lang w:val="en-US" w:eastAsia="zh-CN" w:bidi="ar-SA"/>
    </w:rPr>
  </w:style>
  <w:style w:type="paragraph" w:customStyle="1" w:styleId="142">
    <w:name w:val="默认段落字体 Para Char Char Char Char Char Char Char"/>
    <w:basedOn w:val="1"/>
    <w:uiPriority w:val="0"/>
    <w:rPr>
      <w:szCs w:val="30"/>
    </w:rPr>
  </w:style>
  <w:style w:type="character" w:customStyle="1" w:styleId="143">
    <w:name w:val="HTML 预设格式 Char"/>
    <w:link w:val="36"/>
    <w:qFormat/>
    <w:uiPriority w:val="0"/>
    <w:rPr>
      <w:rFonts w:ascii="Arial" w:hAnsi="Arial" w:eastAsia="宋体" w:cs="Arial"/>
      <w:kern w:val="0"/>
      <w:sz w:val="24"/>
      <w:lang w:val="en-US" w:eastAsia="zh-CN" w:bidi="ar-SA"/>
    </w:rPr>
  </w:style>
  <w:style w:type="character" w:customStyle="1" w:styleId="144">
    <w:name w:val="hei141"/>
    <w:uiPriority w:val="0"/>
    <w:rPr>
      <w:rFonts w:hint="eastAsia" w:ascii="宋体" w:hAnsi="宋体" w:eastAsia="宋体" w:cs="Times New Roman"/>
      <w:color w:val="000000"/>
      <w:sz w:val="21"/>
      <w:szCs w:val="21"/>
      <w:u w:val="none"/>
      <w:lang w:val="en-US" w:eastAsia="zh-CN" w:bidi="ar-SA"/>
    </w:rPr>
  </w:style>
  <w:style w:type="character" w:customStyle="1" w:styleId="145">
    <w:name w:val="批注文字 Char"/>
    <w:qFormat/>
    <w:uiPriority w:val="0"/>
    <w:rPr>
      <w:rFonts w:ascii="Times New Roman" w:hAnsi="Times New Roman" w:eastAsia="宋体" w:cs="Times New Roman"/>
      <w:kern w:val="2"/>
      <w:sz w:val="21"/>
      <w:szCs w:val="24"/>
      <w:lang w:val="en-US" w:eastAsia="zh-CN" w:bidi="ar-SA"/>
    </w:rPr>
  </w:style>
  <w:style w:type="character" w:customStyle="1" w:styleId="146">
    <w:name w:val="批注文字 Char1"/>
    <w:basedOn w:val="44"/>
    <w:link w:val="11"/>
    <w:uiPriority w:val="0"/>
    <w:rPr>
      <w:rFonts w:ascii="Times New Roman" w:hAnsi="Times New Roman" w:eastAsia="宋体" w:cs="Times New Roman"/>
      <w:lang w:val="en-US" w:eastAsia="zh-CN" w:bidi="ar-SA"/>
    </w:rPr>
  </w:style>
  <w:style w:type="character" w:customStyle="1" w:styleId="147">
    <w:name w:val="批注主题 Char"/>
    <w:basedOn w:val="146"/>
    <w:link w:val="39"/>
    <w:uiPriority w:val="0"/>
    <w:rPr>
      <w:rFonts w:ascii="Calibri" w:hAnsi="Calibri"/>
      <w:b/>
      <w:bCs/>
    </w:rPr>
  </w:style>
  <w:style w:type="paragraph" w:customStyle="1" w:styleId="148">
    <w:name w:val="Char Char1 Char"/>
    <w:basedOn w:val="1"/>
    <w:qFormat/>
    <w:uiPriority w:val="0"/>
    <w:rPr>
      <w:szCs w:val="21"/>
    </w:rPr>
  </w:style>
  <w:style w:type="character" w:customStyle="1" w:styleId="149">
    <w:name w:val="Plain Text Char"/>
    <w:qFormat/>
    <w:locked/>
    <w:uiPriority w:val="0"/>
    <w:rPr>
      <w:rFonts w:ascii="宋体" w:hAnsi="Courier New" w:eastAsia="宋体" w:cs="Courier New"/>
      <w:kern w:val="2"/>
      <w:sz w:val="21"/>
      <w:szCs w:val="21"/>
      <w:lang w:val="en-US" w:eastAsia="zh-CN" w:bidi="ar-SA"/>
    </w:rPr>
  </w:style>
  <w:style w:type="character" w:customStyle="1" w:styleId="150">
    <w:name w:val="style31"/>
    <w:uiPriority w:val="0"/>
    <w:rPr>
      <w:rFonts w:ascii="Times New Roman" w:hAnsi="Times New Roman" w:eastAsia="宋体" w:cs="Times New Roman"/>
      <w:color w:val="000000"/>
      <w:lang w:val="en-US" w:eastAsia="zh-CN" w:bidi="ar-SA"/>
    </w:rPr>
  </w:style>
  <w:style w:type="paragraph" w:customStyle="1" w:styleId="151">
    <w:name w:val="列出段落1"/>
    <w:basedOn w:val="1"/>
    <w:qFormat/>
    <w:uiPriority w:val="0"/>
    <w:pPr>
      <w:ind w:firstLine="420" w:firstLineChars="200"/>
    </w:pPr>
    <w:rPr>
      <w:rFonts w:ascii="Calibri" w:hAnsi="Calibri"/>
      <w:szCs w:val="22"/>
    </w:rPr>
  </w:style>
  <w:style w:type="character" w:customStyle="1" w:styleId="152">
    <w:name w:val="dash6b63_6587__char1"/>
    <w:qFormat/>
    <w:uiPriority w:val="0"/>
    <w:rPr>
      <w:rFonts w:ascii="Times New Roman" w:hAnsi="Times New Roman" w:eastAsia="宋体" w:cs="Times New Roman"/>
      <w:sz w:val="20"/>
      <w:szCs w:val="20"/>
      <w:u w:val="none"/>
      <w:lang w:val="en-US" w:eastAsia="zh-CN" w:bidi="ar-SA"/>
    </w:rPr>
  </w:style>
  <w:style w:type="character" w:customStyle="1" w:styleId="153">
    <w:name w:val="ca-2"/>
    <w:qFormat/>
    <w:uiPriority w:val="0"/>
    <w:rPr>
      <w:rFonts w:ascii="Times New Roman" w:hAnsi="Times New Roman" w:eastAsia="宋体" w:cs="Times New Roman"/>
      <w:lang w:val="en-US" w:eastAsia="zh-CN" w:bidi="ar-SA"/>
    </w:rPr>
  </w:style>
  <w:style w:type="character" w:customStyle="1" w:styleId="154">
    <w:name w:val="公文拟稿人"/>
    <w:qFormat/>
    <w:uiPriority w:val="0"/>
    <w:rPr>
      <w:rFonts w:ascii="仿宋_GB2312" w:hAnsi="Times New Roman" w:eastAsia="宋体" w:cs="Times New Roman"/>
      <w:sz w:val="32"/>
      <w:lang w:val="en-US" w:eastAsia="zh-CN" w:bidi="ar-SA"/>
    </w:rPr>
  </w:style>
  <w:style w:type="character" w:customStyle="1" w:styleId="155">
    <w:name w:val="ca-0"/>
    <w:uiPriority w:val="0"/>
    <w:rPr>
      <w:rFonts w:ascii="Times New Roman" w:hAnsi="Times New Roman" w:eastAsia="宋体" w:cs="Times New Roman"/>
      <w:lang w:val="en-US" w:eastAsia="zh-CN" w:bidi="ar-SA"/>
    </w:rPr>
  </w:style>
  <w:style w:type="character" w:customStyle="1" w:styleId="156">
    <w:name w:val="ca-21"/>
    <w:uiPriority w:val="0"/>
    <w:rPr>
      <w:rFonts w:hint="eastAsia" w:ascii="仿宋_GB2312" w:hAnsi="Times New Roman" w:eastAsia="仿宋_GB2312" w:cs="Times New Roman"/>
      <w:sz w:val="32"/>
      <w:szCs w:val="32"/>
      <w:lang w:val="en-US" w:eastAsia="zh-CN" w:bidi="ar-SA"/>
    </w:rPr>
  </w:style>
  <w:style w:type="paragraph" w:customStyle="1" w:styleId="157">
    <w:name w:val="Char Char Char Char Char Char Char Char Char Char Char Char Char Char Char Char Char Char Char Char Char Char Char Char Char Char Char Char Char Char2 Char"/>
    <w:basedOn w:val="1"/>
    <w:uiPriority w:val="0"/>
  </w:style>
  <w:style w:type="paragraph" w:customStyle="1" w:styleId="158">
    <w:name w:val="Char Char Char Char Char Char Char Char Char Char1"/>
    <w:basedOn w:val="1"/>
    <w:qFormat/>
    <w:uiPriority w:val="0"/>
    <w:pPr>
      <w:tabs>
        <w:tab w:val="left" w:pos="425"/>
      </w:tabs>
      <w:ind w:left="425" w:hanging="425"/>
    </w:pPr>
    <w:rPr>
      <w:rFonts w:ascii="Arial" w:hAnsi="Arial" w:eastAsia="黑体" w:cs="宋体"/>
      <w:b/>
      <w:bCs/>
      <w:sz w:val="32"/>
      <w:szCs w:val="32"/>
    </w:rPr>
  </w:style>
  <w:style w:type="paragraph" w:customStyle="1" w:styleId="159">
    <w:name w:val="pa-4"/>
    <w:basedOn w:val="1"/>
    <w:qFormat/>
    <w:uiPriority w:val="0"/>
    <w:pPr>
      <w:widowControl/>
      <w:spacing w:line="360" w:lineRule="atLeast"/>
      <w:ind w:firstLine="640"/>
    </w:pPr>
    <w:rPr>
      <w:rFonts w:ascii="宋体" w:hAnsi="宋体" w:cs="宋体"/>
      <w:kern w:val="0"/>
      <w:sz w:val="24"/>
    </w:rPr>
  </w:style>
  <w:style w:type="paragraph" w:customStyle="1" w:styleId="160">
    <w:name w:val="pa-0"/>
    <w:basedOn w:val="1"/>
    <w:uiPriority w:val="0"/>
    <w:pPr>
      <w:widowControl/>
      <w:spacing w:before="150" w:after="150"/>
      <w:jc w:val="left"/>
    </w:pPr>
    <w:rPr>
      <w:rFonts w:ascii="宋体" w:hAnsi="宋体" w:cs="宋体"/>
      <w:kern w:val="0"/>
      <w:sz w:val="24"/>
    </w:rPr>
  </w:style>
  <w:style w:type="paragraph" w:customStyle="1" w:styleId="161">
    <w:name w:val="pa-3"/>
    <w:basedOn w:val="1"/>
    <w:uiPriority w:val="0"/>
    <w:pPr>
      <w:widowControl/>
      <w:spacing w:before="150" w:after="150"/>
      <w:jc w:val="left"/>
    </w:pPr>
    <w:rPr>
      <w:rFonts w:ascii="宋体" w:hAnsi="宋体" w:cs="宋体"/>
      <w:kern w:val="0"/>
      <w:sz w:val="24"/>
    </w:rPr>
  </w:style>
  <w:style w:type="character" w:customStyle="1" w:styleId="162">
    <w:name w:val="Char Char4"/>
    <w:qFormat/>
    <w:uiPriority w:val="0"/>
    <w:rPr>
      <w:rFonts w:ascii="Times New Roman" w:hAnsi="Times New Roman" w:eastAsia="仿宋_GB2312" w:cs="Times New Roman"/>
      <w:kern w:val="2"/>
      <w:sz w:val="32"/>
      <w:lang w:val="en-US" w:eastAsia="zh-CN" w:bidi="ar-SA"/>
    </w:rPr>
  </w:style>
  <w:style w:type="paragraph" w:customStyle="1" w:styleId="163">
    <w:name w:val="默认段落字体1"/>
    <w:semiHidden/>
    <w:qFormat/>
    <w:uiPriority w:val="0"/>
    <w:rPr>
      <w:rFonts w:ascii="Times New Roman" w:hAnsi="Times New Roman" w:eastAsia="宋体" w:cs="Times New Roman"/>
      <w:lang w:val="en-US" w:eastAsia="zh-CN" w:bidi="ar-SA"/>
    </w:rPr>
  </w:style>
  <w:style w:type="paragraph" w:customStyle="1" w:styleId="164">
    <w:name w:val="reader-word-layer reader-word-s1-19"/>
    <w:basedOn w:val="1"/>
    <w:uiPriority w:val="0"/>
    <w:pPr>
      <w:widowControl/>
      <w:spacing w:before="100" w:beforeAutospacing="1" w:after="100" w:afterAutospacing="1"/>
      <w:jc w:val="left"/>
    </w:pPr>
    <w:rPr>
      <w:rFonts w:ascii="宋体" w:hAnsi="宋体" w:cs="宋体"/>
      <w:kern w:val="0"/>
      <w:sz w:val="24"/>
    </w:rPr>
  </w:style>
  <w:style w:type="character" w:customStyle="1" w:styleId="165">
    <w:name w:val="Date Char"/>
    <w:qFormat/>
    <w:locked/>
    <w:uiPriority w:val="0"/>
    <w:rPr>
      <w:rFonts w:ascii="Times New Roman" w:hAnsi="Times New Roman" w:eastAsia="仿宋_GB2312" w:cs="Times New Roman"/>
      <w:kern w:val="2"/>
      <w:sz w:val="32"/>
      <w:lang w:val="en-US" w:eastAsia="zh-CN" w:bidi="ar-SA"/>
    </w:rPr>
  </w:style>
  <w:style w:type="character" w:customStyle="1" w:styleId="166">
    <w:name w:val="Char Char1"/>
    <w:qFormat/>
    <w:locked/>
    <w:uiPriority w:val="0"/>
    <w:rPr>
      <w:rFonts w:ascii="Times New Roman" w:hAnsi="Times New Roman" w:eastAsia="仿宋_GB2312" w:cs="Times New Roman"/>
      <w:kern w:val="2"/>
      <w:sz w:val="32"/>
      <w:lang w:val="en-US" w:eastAsia="zh-CN" w:bidi="ar-SA"/>
    </w:rPr>
  </w:style>
  <w:style w:type="character" w:customStyle="1" w:styleId="167">
    <w:name w:val="Body Text Indent Char"/>
    <w:locked/>
    <w:uiPriority w:val="0"/>
    <w:rPr>
      <w:rFonts w:ascii="Times New Roman" w:hAnsi="Times New Roman" w:eastAsia="仿宋_GB2312" w:cs="Times New Roman"/>
      <w:kern w:val="2"/>
      <w:sz w:val="24"/>
      <w:lang w:val="en-US" w:eastAsia="zh-CN" w:bidi="ar-SA"/>
    </w:rPr>
  </w:style>
  <w:style w:type="character" w:customStyle="1" w:styleId="168">
    <w:name w:val="Header Char"/>
    <w:qFormat/>
    <w:locked/>
    <w:uiPriority w:val="0"/>
    <w:rPr>
      <w:rFonts w:ascii="Times New Roman" w:hAnsi="Times New Roman" w:eastAsia="宋体" w:cs="Times New Roman"/>
      <w:kern w:val="2"/>
      <w:sz w:val="18"/>
      <w:lang w:val="en-US" w:eastAsia="zh-CN" w:bidi="ar-SA"/>
    </w:rPr>
  </w:style>
  <w:style w:type="character" w:customStyle="1" w:styleId="169">
    <w:name w:val="称呼 Char"/>
    <w:basedOn w:val="44"/>
    <w:link w:val="12"/>
    <w:qFormat/>
    <w:uiPriority w:val="0"/>
    <w:rPr>
      <w:rFonts w:ascii="Times New Roman" w:hAnsi="Times New Roman" w:eastAsia="仿宋_GB2312" w:cs="Times New Roman"/>
      <w:color w:val="000000"/>
      <w:kern w:val="0"/>
      <w:sz w:val="32"/>
      <w:szCs w:val="32"/>
      <w:lang w:val="en-US" w:eastAsia="zh-CN" w:bidi="ar-SA"/>
    </w:rPr>
  </w:style>
  <w:style w:type="character" w:customStyle="1" w:styleId="170">
    <w:name w:val="页脚 Char1"/>
    <w:uiPriority w:val="0"/>
    <w:rPr>
      <w:rFonts w:ascii="Times New Roman" w:hAnsi="Times New Roman" w:eastAsia="宋体" w:cs="Times New Roman"/>
      <w:kern w:val="2"/>
      <w:sz w:val="18"/>
      <w:lang w:val="en-US" w:eastAsia="zh-CN" w:bidi="ar-SA"/>
    </w:rPr>
  </w:style>
  <w:style w:type="character" w:customStyle="1" w:styleId="171">
    <w:name w:val="正文文本 2 Char1"/>
    <w:qFormat/>
    <w:uiPriority w:val="0"/>
    <w:rPr>
      <w:rFonts w:ascii="Times New Roman" w:hAnsi="Times New Roman" w:eastAsia="宋体" w:cs="Times New Roman"/>
      <w:kern w:val="2"/>
      <w:sz w:val="21"/>
      <w:szCs w:val="24"/>
      <w:lang w:val="en-US" w:eastAsia="zh-CN" w:bidi="ar-SA"/>
    </w:rPr>
  </w:style>
  <w:style w:type="paragraph" w:customStyle="1" w:styleId="172">
    <w:name w:val="样式1"/>
    <w:basedOn w:val="1"/>
    <w:qFormat/>
    <w:uiPriority w:val="0"/>
    <w:rPr>
      <w:rFonts w:eastAsia="方正仿宋简体"/>
      <w:szCs w:val="20"/>
    </w:rPr>
  </w:style>
  <w:style w:type="character" w:customStyle="1" w:styleId="173">
    <w:name w:val="Footer Char"/>
    <w:locked/>
    <w:uiPriority w:val="0"/>
    <w:rPr>
      <w:rFonts w:ascii="Times New Roman" w:hAnsi="Times New Roman" w:eastAsia="宋体" w:cs="Times New Roman"/>
      <w:sz w:val="18"/>
      <w:szCs w:val="18"/>
      <w:lang w:val="en-US" w:eastAsia="zh-CN" w:bidi="ar-SA"/>
    </w:rPr>
  </w:style>
  <w:style w:type="paragraph" w:customStyle="1" w:styleId="174">
    <w:name w:val="方案正文"/>
    <w:basedOn w:val="1"/>
    <w:link w:val="175"/>
    <w:uiPriority w:val="0"/>
    <w:pPr>
      <w:spacing w:before="156" w:line="360" w:lineRule="auto"/>
      <w:ind w:firstLine="359" w:firstLineChars="171"/>
      <w:jc w:val="left"/>
    </w:pPr>
    <w:rPr>
      <w:rFonts w:ascii="Arial" w:hAnsi="Arial"/>
      <w:kern w:val="0"/>
      <w:sz w:val="24"/>
      <w:szCs w:val="21"/>
    </w:rPr>
  </w:style>
  <w:style w:type="character" w:customStyle="1" w:styleId="175">
    <w:name w:val="方案正文 Char"/>
    <w:link w:val="174"/>
    <w:qFormat/>
    <w:locked/>
    <w:uiPriority w:val="0"/>
    <w:rPr>
      <w:rFonts w:ascii="Arial" w:hAnsi="Arial" w:eastAsia="宋体" w:cs="Times New Roman"/>
      <w:kern w:val="0"/>
      <w:sz w:val="24"/>
      <w:szCs w:val="21"/>
      <w:lang w:val="en-US" w:eastAsia="zh-CN" w:bidi="ar-SA"/>
    </w:rPr>
  </w:style>
  <w:style w:type="paragraph" w:customStyle="1" w:styleId="176">
    <w:name w:val="p16"/>
    <w:basedOn w:val="1"/>
    <w:qFormat/>
    <w:uiPriority w:val="0"/>
    <w:pPr>
      <w:widowControl/>
      <w:jc w:val="left"/>
    </w:pPr>
    <w:rPr>
      <w:kern w:val="0"/>
      <w:sz w:val="20"/>
      <w:szCs w:val="20"/>
    </w:rPr>
  </w:style>
  <w:style w:type="paragraph" w:customStyle="1" w:styleId="177">
    <w:name w:val="_Style 171"/>
    <w:unhideWhenUsed/>
    <w:uiPriority w:val="99"/>
    <w:pPr>
      <w:widowControl w:val="0"/>
      <w:jc w:val="both"/>
    </w:pPr>
    <w:rPr>
      <w:rFonts w:ascii="Times New Roman" w:hAnsi="Times New Roman" w:eastAsia="宋体" w:cs="Times New Roman"/>
      <w:kern w:val="2"/>
      <w:sz w:val="21"/>
      <w:szCs w:val="24"/>
      <w:lang w:val="en-US" w:eastAsia="zh-CN" w:bidi="ar-SA"/>
    </w:rPr>
  </w:style>
  <w:style w:type="paragraph" w:customStyle="1" w:styleId="178">
    <w:name w:val="xl66"/>
    <w:basedOn w:val="1"/>
    <w:uiPriority w:val="0"/>
    <w:pPr>
      <w:widowControl/>
      <w:shd w:val="clear" w:color="000000" w:fill="FFFF00"/>
      <w:spacing w:before="100" w:beforeAutospacing="1" w:after="100" w:afterAutospacing="1"/>
      <w:jc w:val="left"/>
    </w:pPr>
    <w:rPr>
      <w:rFonts w:ascii="宋体" w:hAnsi="宋体" w:cs="宋体"/>
      <w:kern w:val="0"/>
      <w:sz w:val="24"/>
    </w:rPr>
  </w:style>
  <w:style w:type="paragraph" w:customStyle="1" w:styleId="179">
    <w:name w:val="xl67"/>
    <w:basedOn w:val="1"/>
    <w:qFormat/>
    <w:uiPriority w:val="0"/>
    <w:pPr>
      <w:widowControl/>
      <w:shd w:val="clear" w:color="000000" w:fill="FFFFFF"/>
      <w:spacing w:before="100" w:beforeAutospacing="1" w:after="100" w:afterAutospacing="1"/>
      <w:jc w:val="left"/>
    </w:pPr>
    <w:rPr>
      <w:rFonts w:ascii="宋体" w:hAnsi="宋体" w:cs="宋体"/>
      <w:kern w:val="0"/>
      <w:sz w:val="24"/>
    </w:rPr>
  </w:style>
  <w:style w:type="paragraph" w:customStyle="1" w:styleId="180">
    <w:name w:val="普通(网站)1"/>
    <w:basedOn w:val="1"/>
    <w:qFormat/>
    <w:uiPriority w:val="0"/>
    <w:pPr>
      <w:widowControl/>
      <w:spacing w:before="100" w:beforeAutospacing="1" w:after="100" w:afterAutospacing="1"/>
      <w:jc w:val="left"/>
    </w:pPr>
    <w:rPr>
      <w:rFonts w:ascii="宋体" w:hAnsi="宋体" w:cs="宋体"/>
      <w:kern w:val="0"/>
      <w:sz w:val="24"/>
    </w:rPr>
  </w:style>
  <w:style w:type="character" w:customStyle="1" w:styleId="181">
    <w:name w:val="正文首行缩进 2 Char"/>
    <w:basedOn w:val="134"/>
    <w:link w:val="41"/>
    <w:qFormat/>
    <w:uiPriority w:val="0"/>
    <w:rPr>
      <w:rFonts w:eastAsia="宋体"/>
      <w:sz w:val="21"/>
    </w:rPr>
  </w:style>
  <w:style w:type="character" w:customStyle="1" w:styleId="182">
    <w:name w:val="正文首行缩进 Char"/>
    <w:basedOn w:val="103"/>
    <w:link w:val="40"/>
    <w:qFormat/>
    <w:uiPriority w:val="0"/>
    <w:rPr>
      <w:kern w:val="2"/>
      <w:sz w:val="21"/>
      <w:szCs w:val="24"/>
    </w:rPr>
  </w:style>
  <w:style w:type="paragraph" w:customStyle="1" w:styleId="183">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184">
    <w:name w:val="WPSOffice手动目录 3"/>
    <w:qFormat/>
    <w:uiPriority w:val="0"/>
    <w:pPr>
      <w:ind w:left="400" w:leftChars="400"/>
    </w:pPr>
    <w:rPr>
      <w:rFonts w:ascii="Calibri" w:hAnsi="Calibri" w:eastAsia="Calibri" w:cs="Times New Roman"/>
      <w:lang w:val="en-US" w:eastAsia="zh-CN" w:bidi="ar-SA"/>
    </w:rPr>
  </w:style>
  <w:style w:type="paragraph" w:customStyle="1" w:styleId="185">
    <w:name w:val="Table Paragraph"/>
    <w:basedOn w:val="1"/>
    <w:qFormat/>
    <w:uiPriority w:val="1"/>
    <w:pPr>
      <w:ind w:firstLine="200" w:firstLineChars="200"/>
    </w:pPr>
    <w:rPr>
      <w:rFonts w:ascii="宋体" w:hAnsi="宋体" w:eastAsia="仿宋" w:cs="宋体"/>
      <w:sz w:val="32"/>
      <w:szCs w:val="22"/>
      <w:lang w:val="zh-CN" w:bidi="zh-CN"/>
    </w:rPr>
  </w:style>
  <w:style w:type="paragraph" w:customStyle="1" w:styleId="186">
    <w:name w:val="WPSOffice手动目录 1"/>
    <w:qFormat/>
    <w:uiPriority w:val="0"/>
    <w:rPr>
      <w:rFonts w:ascii="Times New Roman" w:hAnsi="Times New Roman" w:eastAsia="宋体" w:cs="Times New Roman"/>
      <w:lang w:val="en-US" w:eastAsia="zh-CN" w:bidi="ar-SA"/>
    </w:rPr>
  </w:style>
  <w:style w:type="character" w:customStyle="1" w:styleId="187">
    <w:name w:val="文档结构图 Char"/>
    <w:basedOn w:val="44"/>
    <w:link w:val="9"/>
    <w:qFormat/>
    <w:uiPriority w:val="0"/>
    <w:rPr>
      <w:rFonts w:ascii="Times New Roman" w:hAnsi="Times New Roman" w:eastAsia="宋体" w:cs="Times New Roman"/>
      <w:lang w:val="en-US" w:eastAsia="zh-CN" w:bidi="ar-SA"/>
    </w:rPr>
  </w:style>
  <w:style w:type="character" w:customStyle="1" w:styleId="188">
    <w:name w:val="标题 2 Char"/>
    <w:link w:val="3"/>
    <w:qFormat/>
    <w:uiPriority w:val="9"/>
    <w:rPr>
      <w:rFonts w:ascii="Arial" w:hAnsi="Arial" w:eastAsia="黑体" w:cs="Times New Roman"/>
      <w:bCs/>
      <w:sz w:val="30"/>
      <w:szCs w:val="30"/>
      <w:lang w:val="en-US" w:eastAsia="zh-CN" w:bidi="ar-SA"/>
    </w:rPr>
  </w:style>
  <w:style w:type="character" w:customStyle="1" w:styleId="189">
    <w:name w:val="标题 3 Char"/>
    <w:basedOn w:val="44"/>
    <w:link w:val="4"/>
    <w:qFormat/>
    <w:uiPriority w:val="0"/>
    <w:rPr>
      <w:rFonts w:ascii="Times New Roman" w:hAnsi="Times New Roman" w:eastAsia="宋体" w:cs="Times New Roman"/>
      <w:b/>
      <w:bCs/>
      <w:sz w:val="32"/>
      <w:szCs w:val="32"/>
      <w:lang w:val="en-US" w:eastAsia="zh-CN" w:bidi="ar-SA"/>
    </w:rPr>
  </w:style>
  <w:style w:type="character" w:customStyle="1" w:styleId="190">
    <w:name w:val="15"/>
    <w:basedOn w:val="44"/>
    <w:qFormat/>
    <w:uiPriority w:val="0"/>
    <w:rPr>
      <w:rFonts w:hint="default" w:ascii="Calibri" w:hAnsi="Calibri" w:eastAsia="宋体" w:cs="Calibri"/>
      <w:lang w:val="en-US" w:eastAsia="zh-CN" w:bidi="ar-SA"/>
    </w:rPr>
  </w:style>
  <w:style w:type="character" w:customStyle="1" w:styleId="191">
    <w:name w:val="10"/>
    <w:basedOn w:val="44"/>
    <w:qFormat/>
    <w:uiPriority w:val="0"/>
    <w:rPr>
      <w:rFonts w:hint="default" w:ascii="Calibri" w:hAnsi="Calibri" w:eastAsia="宋体" w:cs="Calibri"/>
      <w:lang w:val="en-US" w:eastAsia="zh-CN" w:bidi="ar-SA"/>
    </w:rPr>
  </w:style>
  <w:style w:type="character" w:customStyle="1" w:styleId="192">
    <w:name w:val="font01"/>
    <w:basedOn w:val="44"/>
    <w:qFormat/>
    <w:uiPriority w:val="0"/>
    <w:rPr>
      <w:rFonts w:hint="eastAsia" w:ascii="宋体" w:hAnsi="宋体" w:eastAsia="宋体" w:cs="宋体"/>
      <w:color w:val="000000"/>
      <w:sz w:val="22"/>
      <w:szCs w:val="22"/>
      <w:u w:val="none"/>
      <w:lang w:val="en-US" w:eastAsia="zh-CN" w:bidi="ar-SA"/>
    </w:rPr>
  </w:style>
  <w:style w:type="character" w:customStyle="1" w:styleId="193">
    <w:name w:val="font41"/>
    <w:basedOn w:val="44"/>
    <w:qFormat/>
    <w:uiPriority w:val="0"/>
    <w:rPr>
      <w:rFonts w:hint="default" w:ascii="Times New Roman" w:hAnsi="Times New Roman" w:eastAsia="宋体" w:cs="Times New Roman"/>
      <w:color w:val="000000"/>
      <w:sz w:val="22"/>
      <w:szCs w:val="22"/>
      <w:u w:val="none"/>
      <w:lang w:val="en-US" w:eastAsia="zh-CN" w:bidi="ar-SA"/>
    </w:rPr>
  </w:style>
  <w:style w:type="character" w:customStyle="1" w:styleId="194">
    <w:name w:val="font21"/>
    <w:basedOn w:val="44"/>
    <w:qFormat/>
    <w:uiPriority w:val="0"/>
    <w:rPr>
      <w:rFonts w:hint="eastAsia" w:ascii="宋体" w:hAnsi="宋体" w:eastAsia="宋体" w:cs="宋体"/>
      <w:color w:val="FF0000"/>
      <w:sz w:val="22"/>
      <w:szCs w:val="22"/>
      <w:u w:val="none"/>
      <w:lang w:val="en-US" w:eastAsia="zh-CN" w:bidi="ar-SA"/>
    </w:rPr>
  </w:style>
  <w:style w:type="character" w:customStyle="1" w:styleId="195">
    <w:name w:val="font31"/>
    <w:basedOn w:val="44"/>
    <w:qFormat/>
    <w:uiPriority w:val="0"/>
    <w:rPr>
      <w:rFonts w:hint="default" w:ascii="Times New Roman" w:hAnsi="Times New Roman" w:eastAsia="宋体" w:cs="Times New Roman"/>
      <w:color w:val="FF0000"/>
      <w:sz w:val="22"/>
      <w:szCs w:val="22"/>
      <w:u w:val="none"/>
      <w:lang w:val="en-US" w:eastAsia="zh-CN" w:bidi="ar-SA"/>
    </w:rPr>
  </w:style>
  <w:style w:type="character" w:customStyle="1" w:styleId="196">
    <w:name w:val="font11"/>
    <w:basedOn w:val="44"/>
    <w:qFormat/>
    <w:uiPriority w:val="0"/>
    <w:rPr>
      <w:rFonts w:hint="eastAsia" w:ascii="宋体" w:hAnsi="宋体" w:eastAsia="宋体" w:cs="宋体"/>
      <w:color w:val="000000"/>
      <w:sz w:val="21"/>
      <w:szCs w:val="21"/>
      <w:u w:val="none"/>
      <w:lang w:val="en-US" w:eastAsia="zh-CN" w:bidi="ar-SA"/>
    </w:rPr>
  </w:style>
  <w:style w:type="paragraph" w:customStyle="1" w:styleId="197">
    <w:name w:val="TOC 标题1"/>
    <w:basedOn w:val="2"/>
    <w:next w:val="1"/>
    <w:unhideWhenUsed/>
    <w:qFormat/>
    <w:uiPriority w:val="39"/>
    <w:pPr>
      <w:widowControl/>
      <w:spacing w:before="480" w:line="276" w:lineRule="auto"/>
      <w:jc w:val="left"/>
      <w:outlineLvl w:val="9"/>
    </w:pPr>
    <w:rPr>
      <w:rFonts w:asciiTheme="majorHAnsi" w:hAnsiTheme="majorHAnsi" w:eastAsiaTheme="majorEastAsia" w:cstheme="majorBidi"/>
      <w:b/>
      <w:color w:val="2E75B6" w:themeColor="accent1" w:themeShade="BF"/>
      <w:kern w:val="0"/>
      <w:sz w:val="28"/>
      <w:szCs w:val="28"/>
    </w:rPr>
  </w:style>
  <w:style w:type="character" w:styleId="198">
    <w:name w:val="Placeholder Text"/>
    <w:basedOn w:val="44"/>
    <w:semiHidden/>
    <w:qFormat/>
    <w:uiPriority w:val="99"/>
    <w:rPr>
      <w:rFonts w:ascii="Times New Roman" w:hAnsi="Times New Roman" w:eastAsia="宋体" w:cs="Times New Roman"/>
      <w:color w:val="808080"/>
      <w:lang w:val="en-US" w:eastAsia="zh-CN" w:bidi="ar-SA"/>
    </w:rPr>
  </w:style>
  <w:style w:type="paragraph" w:customStyle="1" w:styleId="199">
    <w:name w:val="图表目录1"/>
    <w:basedOn w:val="200"/>
    <w:next w:val="200"/>
    <w:qFormat/>
    <w:uiPriority w:val="0"/>
    <w:pPr>
      <w:ind w:left="200" w:leftChars="200" w:hanging="200" w:hangingChars="200"/>
    </w:pPr>
  </w:style>
  <w:style w:type="paragraph" w:customStyle="1" w:styleId="200">
    <w:name w:val="正文 New New New New New New New New New New New New New New New New New New New New New New New New New New New New New New New New New New New New New New New New New New New New New New New New New New New New New New New New New New New New New New Ne"/>
    <w:next w:val="199"/>
    <w:qFormat/>
    <w:uiPriority w:val="0"/>
    <w:pPr>
      <w:widowControl w:val="0"/>
      <w:jc w:val="both"/>
    </w:pPr>
    <w:rPr>
      <w:rFonts w:ascii="Times New Roman" w:hAnsi="Times New Roman" w:eastAsia="宋体" w:cs="黑体"/>
      <w:kern w:val="2"/>
      <w:sz w:val="21"/>
      <w:szCs w:val="24"/>
      <w:lang w:val="en-US" w:eastAsia="zh-CN" w:bidi="ar-SA"/>
    </w:rPr>
  </w:style>
  <w:style w:type="character" w:customStyle="1" w:styleId="201">
    <w:name w:val="楷体加粗标题 字符"/>
    <w:basedOn w:val="202"/>
    <w:link w:val="203"/>
    <w:qFormat/>
    <w:uiPriority w:val="0"/>
    <w:rPr>
      <w:rFonts w:eastAsia="楷体_GB2312"/>
      <w:b/>
      <w:bCs/>
      <w:sz w:val="32"/>
      <w:szCs w:val="32"/>
    </w:rPr>
  </w:style>
  <w:style w:type="character" w:customStyle="1" w:styleId="202">
    <w:name w:val="公文正文 字符"/>
    <w:basedOn w:val="44"/>
    <w:qFormat/>
    <w:uiPriority w:val="0"/>
    <w:rPr>
      <w:rFonts w:ascii="Times New Roman" w:hAnsi="Times New Roman" w:eastAsia="仿宋_GB2312" w:cs="Times New Roman"/>
      <w:sz w:val="32"/>
      <w:szCs w:val="32"/>
      <w:lang w:val="en-US" w:eastAsia="zh-CN" w:bidi="ar-SA"/>
    </w:rPr>
  </w:style>
  <w:style w:type="paragraph" w:customStyle="1" w:styleId="203">
    <w:name w:val="楷体加粗标题"/>
    <w:link w:val="201"/>
    <w:qFormat/>
    <w:uiPriority w:val="0"/>
    <w:pPr>
      <w:spacing w:line="560" w:lineRule="exact"/>
      <w:ind w:firstLine="643" w:firstLineChars="200"/>
    </w:pPr>
    <w:rPr>
      <w:rFonts w:ascii="Times New Roman" w:hAnsi="Times New Roman" w:eastAsia="楷体_GB2312" w:cs="Times New Roman"/>
      <w:b/>
      <w:bCs/>
      <w:sz w:val="32"/>
      <w:szCs w:val="32"/>
      <w:lang w:val="en-US" w:eastAsia="zh-CN" w:bidi="ar-SA"/>
    </w:rPr>
  </w:style>
  <w:style w:type="character" w:customStyle="1" w:styleId="204">
    <w:name w:val="font51"/>
    <w:basedOn w:val="44"/>
    <w:qFormat/>
    <w:uiPriority w:val="0"/>
    <w:rPr>
      <w:rFonts w:hint="eastAsia" w:ascii="宋体" w:hAnsi="宋体" w:eastAsia="宋体" w:cs="Times New Roman"/>
      <w:b/>
      <w:bCs/>
      <w:color w:val="000000"/>
      <w:sz w:val="21"/>
      <w:szCs w:val="21"/>
      <w:u w:val="none"/>
      <w:lang w:val="en-US" w:eastAsia="zh-CN" w:bidi="ar-SA"/>
    </w:rPr>
  </w:style>
  <w:style w:type="character" w:customStyle="1" w:styleId="205">
    <w:name w:val="font61"/>
    <w:basedOn w:val="44"/>
    <w:qFormat/>
    <w:uiPriority w:val="0"/>
    <w:rPr>
      <w:rFonts w:hint="default" w:ascii="Times New Roman" w:hAnsi="Times New Roman" w:eastAsia="宋体" w:cs="Times New Roman"/>
      <w:b/>
      <w:bCs/>
      <w:color w:val="000000"/>
      <w:sz w:val="21"/>
      <w:szCs w:val="21"/>
      <w:u w:val="none"/>
      <w:lang w:val="en-US" w:eastAsia="zh-CN" w:bidi="ar-SA"/>
    </w:rPr>
  </w:style>
  <w:style w:type="character" w:customStyle="1" w:styleId="206">
    <w:name w:val="font71"/>
    <w:basedOn w:val="44"/>
    <w:qFormat/>
    <w:uiPriority w:val="0"/>
    <w:rPr>
      <w:rFonts w:hint="eastAsia" w:ascii="宋体" w:hAnsi="宋体" w:eastAsia="宋体" w:cs="Times New Roman"/>
      <w:color w:val="000000"/>
      <w:sz w:val="21"/>
      <w:szCs w:val="21"/>
      <w:u w:val="none"/>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 Type="http://schemas.openxmlformats.org/officeDocument/2006/relationships/header" Target="header2.xml"/><Relationship Id="rId6" Type="http://schemas.openxmlformats.org/officeDocument/2006/relationships/footer" Target="footer3.xml"/><Relationship Id="rId5" Type="http://schemas.openxmlformats.org/officeDocument/2006/relationships/footer" Target="footer2.xml"/><Relationship Id="rId4" Type="http://schemas.openxmlformats.org/officeDocument/2006/relationships/footer" Target="footer1.xml"/><Relationship Id="rId34" Type="http://schemas.openxmlformats.org/officeDocument/2006/relationships/fontTable" Target="fontTable.xml"/><Relationship Id="rId33" Type="http://schemas.openxmlformats.org/officeDocument/2006/relationships/customXml" Target="../customXml/item1.xml"/><Relationship Id="rId32" Type="http://schemas.openxmlformats.org/officeDocument/2006/relationships/image" Target="media/image19.jpeg"/><Relationship Id="rId31" Type="http://schemas.openxmlformats.org/officeDocument/2006/relationships/image" Target="media/image18.jpeg"/><Relationship Id="rId30" Type="http://schemas.openxmlformats.org/officeDocument/2006/relationships/image" Target="media/image17.jpeg"/><Relationship Id="rId3" Type="http://schemas.openxmlformats.org/officeDocument/2006/relationships/header" Target="header1.xml"/><Relationship Id="rId29" Type="http://schemas.openxmlformats.org/officeDocument/2006/relationships/image" Target="media/image16.jpeg"/><Relationship Id="rId28" Type="http://schemas.openxmlformats.org/officeDocument/2006/relationships/image" Target="media/image15.jpeg"/><Relationship Id="rId27" Type="http://schemas.openxmlformats.org/officeDocument/2006/relationships/image" Target="media/image14.jpeg"/><Relationship Id="rId26" Type="http://schemas.openxmlformats.org/officeDocument/2006/relationships/image" Target="media/image13.jpeg"/><Relationship Id="rId25" Type="http://schemas.openxmlformats.org/officeDocument/2006/relationships/image" Target="media/image12.jpeg"/><Relationship Id="rId24" Type="http://schemas.openxmlformats.org/officeDocument/2006/relationships/image" Target="media/image11.jpeg"/><Relationship Id="rId23" Type="http://schemas.openxmlformats.org/officeDocument/2006/relationships/image" Target="media/image10.png"/><Relationship Id="rId22" Type="http://schemas.openxmlformats.org/officeDocument/2006/relationships/image" Target="media/image9.jpeg"/><Relationship Id="rId21" Type="http://schemas.openxmlformats.org/officeDocument/2006/relationships/image" Target="media/image8.png"/><Relationship Id="rId20" Type="http://schemas.openxmlformats.org/officeDocument/2006/relationships/image" Target="media/image7.png"/><Relationship Id="rId2" Type="http://schemas.openxmlformats.org/officeDocument/2006/relationships/settings" Target="settings.xml"/><Relationship Id="rId19" Type="http://schemas.openxmlformats.org/officeDocument/2006/relationships/image" Target="media/image6.png"/><Relationship Id="rId18" Type="http://schemas.openxmlformats.org/officeDocument/2006/relationships/image" Target="media/image5.png"/><Relationship Id="rId17" Type="http://schemas.openxmlformats.org/officeDocument/2006/relationships/image" Target="media/image4.png"/><Relationship Id="rId16" Type="http://schemas.openxmlformats.org/officeDocument/2006/relationships/image" Target="media/image3.png"/><Relationship Id="rId15" Type="http://schemas.openxmlformats.org/officeDocument/2006/relationships/image" Target="media/image2.png"/><Relationship Id="rId14" Type="http://schemas.openxmlformats.org/officeDocument/2006/relationships/image" Target="media/image1.wmf"/><Relationship Id="rId13" Type="http://schemas.openxmlformats.org/officeDocument/2006/relationships/control" Target="activeX/activeX1.xml"/><Relationship Id="rId12" Type="http://schemas.openxmlformats.org/officeDocument/2006/relationships/theme" Target="theme/theme1.xml"/><Relationship Id="rId11" Type="http://schemas.openxmlformats.org/officeDocument/2006/relationships/footer" Target="footer7.xml"/><Relationship Id="rId10" Type="http://schemas.openxmlformats.org/officeDocument/2006/relationships/footer" Target="footer6.xml"/><Relationship Id="rId1" Type="http://schemas.openxmlformats.org/officeDocument/2006/relationships/styles" Target="styles.xml"/></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activeX1.xml><?xml version="1.0" encoding="utf-8"?>
<ax:ocx xmlns:ax="http://schemas.microsoft.com/office/2006/activeX" xmlns:r="http://schemas.openxmlformats.org/officeDocument/2006/relationships" ax:classid="{CDCDCDCD-CDCD-CDCD-CDCD-CDCDCDCDCDCD}" r:id="rId1" ax:persistence="persistStorag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A4政办通.dot</Template>
  <Company>Unknown</Company>
  <Pages>176</Pages>
  <Words>3392</Words>
  <Characters>3634</Characters>
  <Lines>765</Lines>
  <Paragraphs>215</Paragraphs>
  <TotalTime>1106</TotalTime>
  <ScaleCrop>false</ScaleCrop>
  <LinksUpToDate>false</LinksUpToDate>
  <CharactersWithSpaces>3743</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2021-01-14T07:37:00Z</dcterms:created>
  <dc:creator>Unknown</dc:creator>
  <cp:lastModifiedBy>daisy</cp:lastModifiedBy>
  <cp:lastPrinted>2021-06-17T09:12:00Z</cp:lastPrinted>
  <dcterms:modified xsi:type="dcterms:W3CDTF">2026-02-05T12:00:20Z</dcterms:modified>
  <dc:title>西政发〔2003〕1号</dc:title>
  <cp:revision>108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53551AB3C7A449979A93E20DC6703375_11</vt:lpwstr>
  </property>
  <property fmtid="{D5CDD505-2E9C-101B-9397-08002B2CF9AE}" pid="4" name="newsealcount">
    <vt:i4>8</vt:i4>
  </property>
  <property fmtid="{D5CDD505-2E9C-101B-9397-08002B2CF9AE}" pid="5" name="docranid">
    <vt:lpwstr>9105F3BC119C42BBA4E16C0916EBD888</vt:lpwstr>
  </property>
  <property fmtid="{D5CDD505-2E9C-101B-9397-08002B2CF9AE}" pid="6" name="VisibleNoSeal">
    <vt:bool>true</vt:bool>
  </property>
  <property fmtid="{D5CDD505-2E9C-101B-9397-08002B2CF9AE}" pid="7" name="HasSaved">
    <vt:bool>true</vt:bool>
  </property>
  <property fmtid="{D5CDD505-2E9C-101B-9397-08002B2CF9AE}" pid="8" name="KSOTemplateDocerSaveRecord">
    <vt:lpwstr>eyJoZGlkIjoiMjY0NGZjNzI5NjBmNWM2Y2RhMTNmMTA0OGY0MTg3ZmIiLCJ1c2VySWQiOiIyNDM4MTE4NzUifQ==</vt:lpwstr>
  </property>
</Properties>
</file>