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708"/>
        <w:jc w:val="center"/>
        <w:rPr>
          <w:rFonts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34"/>
          <w:szCs w:val="34"/>
          <w:shd w:val="clear" w:fill="FFFFFF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34"/>
          <w:szCs w:val="34"/>
          <w:shd w:val="clear" w:fill="FFFFFF"/>
          <w:lang w:val="en-US" w:eastAsia="zh-CN"/>
        </w:rPr>
        <w:t>三公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34"/>
          <w:szCs w:val="34"/>
          <w:shd w:val="clear" w:fill="FFFFFF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34"/>
          <w:szCs w:val="34"/>
          <w:shd w:val="clear" w:fill="FFFFFF"/>
          <w:lang w:val="en-US" w:eastAsia="zh-CN"/>
        </w:rPr>
        <w:t>经费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34"/>
          <w:szCs w:val="34"/>
          <w:shd w:val="clear" w:fill="FFFFFF"/>
        </w:rPr>
        <w:t>安排说明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 xml:space="preserve">一、按照党中央、国务院有关文件及部门预算管理有关规定，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                           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>二、“三公”经费增减变化原因说明: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 xml:space="preserve">  2023年“三公”经费预算拟安排1,611万元，比2022年年初预算数1,661万元减50万元，减3.01%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  <w:lang w:val="en-US" w:eastAsia="zh-CN"/>
        </w:rPr>
        <w:t>主要原因是认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  <w:lang w:val="en-US" w:eastAsia="zh-CN"/>
        </w:rPr>
        <w:t>真贯彻落实中央八项规定精神，坚持厉行勤俭节约，进一步压缩公务用车运行维护经费。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>1.公务用车购置及运行维护费拟安排1,413万元，其中：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>（1）公务用车购置拟安排160万元，比2021年年初预算数160万持平。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>（2）公务用车运行维护费拟安排1,253万元，比2022年年初预算数1,303万元减少50万元，减3.84%；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>2.公务接待费拟安排158万元，比2022年年初预算数158万元持平；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16"/>
        <w:jc w:val="both"/>
        <w:rPr>
          <w:rFonts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25"/>
          <w:szCs w:val="25"/>
          <w:shd w:val="clear" w:fill="FFFFFF"/>
        </w:rPr>
        <w:t xml:space="preserve">3.因公出国（境）经费拟安排40万元，与2022年年初预算数40万元持平。 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220EE0"/>
    <w:rsid w:val="396A2225"/>
    <w:rsid w:val="457329DD"/>
    <w:rsid w:val="696212CD"/>
    <w:rsid w:val="7436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2022-01-25T08:19:00Z</dcterms:created>
  <dc:creator>Administrator</dc:creator>
  <cp:lastModifiedBy>Administrator</cp:lastModifiedBy>
  <dcterms:modified xsi:type="dcterms:W3CDTF">2023-02-24T02:20:06Z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2CA9CBF1F70C4604B5FF21AA6DA14AC1</vt:lpwstr>
  </property>
</Properties>
</file>