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620" w:lineRule="exact"/>
        <w:outlineLvl w:val="0"/>
        <w:rPr>
          <w:rFonts w:eastAsia="黑体"/>
          <w:snapToGrid w:val="0"/>
          <w:sz w:val="28"/>
          <w:szCs w:val="28"/>
        </w:rPr>
      </w:pPr>
      <w:bookmarkStart w:id="0" w:name="_GoBack"/>
      <w:bookmarkEnd w:id="0"/>
      <w:r>
        <w:rPr>
          <w:rFonts w:hint="eastAsia" w:eastAsia="黑体"/>
          <w:snapToGrid w:val="0"/>
          <w:sz w:val="28"/>
          <w:szCs w:val="28"/>
        </w:rPr>
        <w:t>区十七届人大一次会议文件</w:t>
      </w:r>
    </w:p>
    <w:p>
      <w:pPr>
        <w:topLinePunct/>
        <w:adjustRightInd w:val="0"/>
        <w:snapToGrid w:val="0"/>
        <w:spacing w:line="620" w:lineRule="exact"/>
        <w:jc w:val="center"/>
        <w:rPr>
          <w:rFonts w:eastAsia="方正小标宋简体"/>
          <w:snapToGrid w:val="0"/>
          <w:sz w:val="44"/>
          <w:szCs w:val="44"/>
        </w:rPr>
      </w:pPr>
    </w:p>
    <w:p>
      <w:pPr>
        <w:topLinePunct/>
        <w:adjustRightInd w:val="0"/>
        <w:snapToGrid w:val="0"/>
        <w:spacing w:line="620" w:lineRule="exact"/>
        <w:jc w:val="center"/>
        <w:outlineLvl w:val="0"/>
        <w:rPr>
          <w:rFonts w:ascii="方正小标宋简体" w:eastAsia="方正小标宋简体"/>
          <w:snapToGrid w:val="0"/>
          <w:sz w:val="44"/>
          <w:szCs w:val="44"/>
        </w:rPr>
      </w:pPr>
      <w:r>
        <w:rPr>
          <w:rFonts w:hint="eastAsia" w:ascii="方正小标宋简体" w:eastAsia="方正小标宋简体"/>
          <w:snapToGrid w:val="0"/>
          <w:sz w:val="44"/>
          <w:szCs w:val="44"/>
        </w:rPr>
        <w:t>昆明市西山区2021年国民经济和</w:t>
      </w:r>
    </w:p>
    <w:p>
      <w:pPr>
        <w:topLinePunct/>
        <w:adjustRightInd w:val="0"/>
        <w:snapToGrid w:val="0"/>
        <w:spacing w:line="620" w:lineRule="exact"/>
        <w:jc w:val="center"/>
        <w:outlineLvl w:val="0"/>
        <w:rPr>
          <w:rFonts w:ascii="方正小标宋简体" w:eastAsia="方正小标宋简体"/>
          <w:snapToGrid w:val="0"/>
          <w:sz w:val="44"/>
          <w:szCs w:val="44"/>
        </w:rPr>
      </w:pPr>
      <w:r>
        <w:rPr>
          <w:rFonts w:hint="eastAsia" w:ascii="方正小标宋简体" w:eastAsia="方正小标宋简体"/>
          <w:snapToGrid w:val="0"/>
          <w:sz w:val="44"/>
          <w:szCs w:val="44"/>
        </w:rPr>
        <w:t>社会发展计划执行情况与2022年国民经济和社会发展计划草案的报告（书面）</w:t>
      </w:r>
    </w:p>
    <w:p>
      <w:pPr>
        <w:topLinePunct/>
        <w:adjustRightInd w:val="0"/>
        <w:snapToGrid w:val="0"/>
        <w:spacing w:line="620" w:lineRule="exact"/>
        <w:jc w:val="center"/>
        <w:outlineLvl w:val="1"/>
        <w:rPr>
          <w:rFonts w:eastAsia="楷体_GB2312"/>
          <w:snapToGrid w:val="0"/>
          <w:sz w:val="32"/>
          <w:szCs w:val="32"/>
        </w:rPr>
      </w:pPr>
      <w:r>
        <w:rPr>
          <w:rFonts w:eastAsia="楷体_GB2312"/>
          <w:snapToGrid w:val="0"/>
          <w:sz w:val="32"/>
          <w:szCs w:val="32"/>
        </w:rPr>
        <w:t>——</w:t>
      </w:r>
      <w:r>
        <w:rPr>
          <w:rFonts w:hint="eastAsia" w:eastAsia="楷体_GB2312"/>
          <w:snapToGrid w:val="0"/>
          <w:sz w:val="32"/>
          <w:szCs w:val="32"/>
        </w:rPr>
        <w:t>2022年1月1</w:t>
      </w:r>
      <w:r>
        <w:rPr>
          <w:rFonts w:eastAsia="楷体_GB2312"/>
          <w:snapToGrid w:val="0"/>
          <w:sz w:val="32"/>
          <w:szCs w:val="32"/>
        </w:rPr>
        <w:t>2</w:t>
      </w:r>
      <w:r>
        <w:rPr>
          <w:rFonts w:hint="eastAsia" w:eastAsia="楷体_GB2312"/>
          <w:snapToGrid w:val="0"/>
          <w:sz w:val="32"/>
          <w:szCs w:val="32"/>
        </w:rPr>
        <w:t>日在昆明市西山区第十七届人民代表大会</w:t>
      </w:r>
    </w:p>
    <w:p>
      <w:pPr>
        <w:topLinePunct/>
        <w:adjustRightInd w:val="0"/>
        <w:snapToGrid w:val="0"/>
        <w:spacing w:line="620" w:lineRule="exact"/>
        <w:jc w:val="center"/>
        <w:outlineLvl w:val="1"/>
        <w:rPr>
          <w:rFonts w:eastAsia="楷体_GB2312"/>
          <w:snapToGrid w:val="0"/>
          <w:sz w:val="32"/>
          <w:szCs w:val="32"/>
        </w:rPr>
      </w:pPr>
      <w:r>
        <w:rPr>
          <w:rFonts w:hint="eastAsia" w:eastAsia="楷体_GB2312"/>
          <w:snapToGrid w:val="0"/>
          <w:sz w:val="32"/>
          <w:szCs w:val="32"/>
        </w:rPr>
        <w:t>第一次会议上</w:t>
      </w:r>
    </w:p>
    <w:p>
      <w:pPr>
        <w:topLinePunct/>
        <w:adjustRightInd w:val="0"/>
        <w:snapToGrid w:val="0"/>
        <w:spacing w:line="620" w:lineRule="exact"/>
        <w:jc w:val="center"/>
        <w:outlineLvl w:val="1"/>
        <w:rPr>
          <w:rFonts w:eastAsia="楷体_GB2312"/>
          <w:snapToGrid w:val="0"/>
          <w:sz w:val="32"/>
          <w:szCs w:val="32"/>
        </w:rPr>
      </w:pPr>
      <w:r>
        <w:rPr>
          <w:rFonts w:hint="eastAsia" w:eastAsia="楷体_GB2312"/>
          <w:snapToGrid w:val="0"/>
          <w:sz w:val="32"/>
          <w:szCs w:val="32"/>
        </w:rPr>
        <w:t>昆明市西山区发展和改革局</w:t>
      </w:r>
    </w:p>
    <w:p>
      <w:pPr>
        <w:topLinePunct/>
        <w:adjustRightInd w:val="0"/>
        <w:snapToGrid w:val="0"/>
        <w:spacing w:line="620" w:lineRule="exact"/>
        <w:ind w:firstLine="640" w:firstLineChars="200"/>
        <w:rPr>
          <w:rFonts w:eastAsia="黑体"/>
          <w:snapToGrid w:val="0"/>
          <w:sz w:val="32"/>
          <w:szCs w:val="32"/>
        </w:rPr>
      </w:pPr>
    </w:p>
    <w:p>
      <w:pPr>
        <w:topLinePunct/>
        <w:adjustRightInd w:val="0"/>
        <w:snapToGrid w:val="0"/>
        <w:spacing w:line="620" w:lineRule="exact"/>
        <w:rPr>
          <w:rFonts w:eastAsia="仿宋_GB2312"/>
          <w:snapToGrid w:val="0"/>
          <w:sz w:val="32"/>
          <w:szCs w:val="32"/>
        </w:rPr>
      </w:pPr>
      <w:r>
        <w:rPr>
          <w:rFonts w:hint="eastAsia" w:eastAsia="仿宋_GB2312"/>
          <w:snapToGrid w:val="0"/>
          <w:sz w:val="32"/>
          <w:szCs w:val="32"/>
        </w:rPr>
        <w:t>各位代表：</w:t>
      </w:r>
    </w:p>
    <w:p>
      <w:pPr>
        <w:topLinePunct/>
        <w:adjustRightInd w:val="0"/>
        <w:snapToGrid w:val="0"/>
        <w:spacing w:line="620" w:lineRule="exact"/>
        <w:ind w:firstLine="640" w:firstLineChars="200"/>
        <w:rPr>
          <w:rFonts w:eastAsia="黑体"/>
          <w:snapToGrid w:val="0"/>
          <w:sz w:val="32"/>
          <w:szCs w:val="32"/>
        </w:rPr>
      </w:pPr>
      <w:r>
        <w:rPr>
          <w:rFonts w:hint="eastAsia" w:eastAsia="仿宋_GB2312"/>
          <w:snapToGrid w:val="0"/>
          <w:sz w:val="32"/>
          <w:szCs w:val="32"/>
        </w:rPr>
        <w:t>受区人民政府委托，将昆明市西山区2021年国民经济和社会发展计划执行情况与2022年国民经济和社会发展计划草案的报告提请昆明市西山区第十七届人民代表大会第一次会议审查，并请区政协委员和列席人员提出意见。</w:t>
      </w:r>
    </w:p>
    <w:p>
      <w:pPr>
        <w:topLinePunct/>
        <w:adjustRightInd w:val="0"/>
        <w:snapToGrid w:val="0"/>
        <w:spacing w:line="620" w:lineRule="exact"/>
        <w:ind w:firstLine="640" w:firstLineChars="200"/>
        <w:outlineLvl w:val="0"/>
        <w:rPr>
          <w:rFonts w:eastAsia="黑体"/>
          <w:snapToGrid w:val="0"/>
          <w:sz w:val="32"/>
          <w:szCs w:val="32"/>
          <w:lang w:val="zh-CN"/>
        </w:rPr>
      </w:pPr>
      <w:r>
        <w:rPr>
          <w:rFonts w:hint="eastAsia" w:eastAsia="黑体"/>
          <w:snapToGrid w:val="0"/>
          <w:sz w:val="32"/>
          <w:szCs w:val="32"/>
        </w:rPr>
        <w:t>一、2021年</w:t>
      </w:r>
      <w:r>
        <w:rPr>
          <w:rFonts w:hint="eastAsia" w:eastAsia="黑体"/>
          <w:snapToGrid w:val="0"/>
          <w:sz w:val="32"/>
          <w:szCs w:val="32"/>
          <w:lang w:val="zh-CN"/>
        </w:rPr>
        <w:t>国民经济和社会发展计划执行情况</w:t>
      </w:r>
    </w:p>
    <w:p>
      <w:pPr>
        <w:pStyle w:val="9"/>
        <w:topLinePunct/>
        <w:adjustRightInd w:val="0"/>
        <w:snapToGrid w:val="0"/>
        <w:spacing w:line="620" w:lineRule="exact"/>
        <w:ind w:firstLine="640" w:firstLineChars="200"/>
        <w:rPr>
          <w:rFonts w:ascii="Times New Roman" w:hAnsi="Times New Roman" w:eastAsia="仿宋_GB2312"/>
          <w:b w:val="0"/>
          <w:snapToGrid w:val="0"/>
          <w:spacing w:val="0"/>
          <w:sz w:val="32"/>
          <w:szCs w:val="32"/>
          <w:lang w:val="zh-CN"/>
        </w:rPr>
      </w:pPr>
      <w:r>
        <w:rPr>
          <w:rFonts w:hint="eastAsia" w:ascii="Times New Roman" w:hAnsi="Times New Roman" w:eastAsia="仿宋_GB2312"/>
          <w:b w:val="0"/>
          <w:snapToGrid w:val="0"/>
          <w:spacing w:val="0"/>
          <w:sz w:val="32"/>
          <w:szCs w:val="32"/>
        </w:rPr>
        <w:t>2021年是“十四五”开局之年，是开启社会主义现代化建设新征程的第一年。一年来，在区委区政府的坚强领导下，西山区</w:t>
      </w:r>
      <w:r>
        <w:rPr>
          <w:rFonts w:hint="eastAsia" w:ascii="Times New Roman" w:hAnsi="Times New Roman" w:eastAsia="仿宋_GB2312"/>
          <w:b w:val="0"/>
          <w:snapToGrid w:val="0"/>
          <w:spacing w:val="0"/>
          <w:sz w:val="32"/>
          <w:szCs w:val="32"/>
          <w:lang w:val="zh-CN"/>
        </w:rPr>
        <w:t>坚持稳中求进工作总基调，统筹疫情防控和经济社会发展，扎实做好“六稳”“六保”工作，加快构建新发展格局，经济运行持续稳定恢复，高质量发展取得新成效。</w:t>
      </w:r>
    </w:p>
    <w:p>
      <w:pPr>
        <w:topLinePunct/>
        <w:adjustRightInd w:val="0"/>
        <w:snapToGrid w:val="0"/>
        <w:spacing w:line="620" w:lineRule="exact"/>
        <w:jc w:val="center"/>
        <w:rPr>
          <w:rStyle w:val="34"/>
          <w:rFonts w:hint="default" w:ascii="Times New Roman" w:hAnsi="Times New Roman" w:eastAsia="黑体" w:cs="Times New Roman"/>
          <w:bCs/>
          <w:color w:val="auto"/>
          <w:sz w:val="28"/>
          <w:szCs w:val="28"/>
        </w:rPr>
      </w:pPr>
    </w:p>
    <w:p>
      <w:pPr>
        <w:topLinePunct/>
        <w:adjustRightInd w:val="0"/>
        <w:snapToGrid w:val="0"/>
        <w:spacing w:line="592" w:lineRule="exact"/>
        <w:jc w:val="center"/>
        <w:outlineLvl w:val="1"/>
        <w:rPr>
          <w:rFonts w:eastAsia="黑体"/>
          <w:snapToGrid w:val="0"/>
          <w:sz w:val="28"/>
          <w:szCs w:val="28"/>
        </w:rPr>
      </w:pPr>
      <w:r>
        <w:rPr>
          <w:rFonts w:eastAsia="黑体"/>
          <w:snapToGrid w:val="0"/>
          <w:sz w:val="28"/>
          <w:szCs w:val="28"/>
        </w:rPr>
        <w:t>2021年主要经济指标完成情况</w:t>
      </w:r>
    </w:p>
    <w:tbl>
      <w:tblPr>
        <w:tblStyle w:val="19"/>
        <w:tblW w:w="86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843"/>
        <w:gridCol w:w="1559"/>
        <w:gridCol w:w="1418"/>
        <w:gridCol w:w="1984"/>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jc w:val="center"/>
        </w:trPr>
        <w:tc>
          <w:tcPr>
            <w:tcW w:w="562" w:type="dxa"/>
            <w:tcMar>
              <w:left w:w="28" w:type="dxa"/>
              <w:right w:w="28" w:type="dxa"/>
            </w:tcMar>
            <w:vAlign w:val="center"/>
          </w:tcPr>
          <w:p>
            <w:pPr>
              <w:topLinePunct/>
              <w:adjustRightInd w:val="0"/>
              <w:snapToGrid w:val="0"/>
              <w:spacing w:line="240" w:lineRule="atLeast"/>
              <w:jc w:val="center"/>
              <w:rPr>
                <w:rFonts w:eastAsia="黑体"/>
                <w:kern w:val="0"/>
                <w:sz w:val="24"/>
              </w:rPr>
            </w:pPr>
            <w:r>
              <w:rPr>
                <w:rFonts w:hint="eastAsia" w:eastAsia="黑体"/>
                <w:bCs/>
                <w:kern w:val="0"/>
                <w:sz w:val="24"/>
                <w:lang w:val="zh-CN"/>
              </w:rPr>
              <w:t>序号</w:t>
            </w:r>
          </w:p>
        </w:tc>
        <w:tc>
          <w:tcPr>
            <w:tcW w:w="1843" w:type="dxa"/>
            <w:tcMar>
              <w:left w:w="28" w:type="dxa"/>
              <w:right w:w="28" w:type="dxa"/>
            </w:tcMar>
            <w:vAlign w:val="center"/>
          </w:tcPr>
          <w:p>
            <w:pPr>
              <w:topLinePunct/>
              <w:adjustRightInd w:val="0"/>
              <w:snapToGrid w:val="0"/>
              <w:spacing w:line="240" w:lineRule="atLeast"/>
              <w:jc w:val="center"/>
              <w:rPr>
                <w:rFonts w:eastAsia="黑体"/>
                <w:kern w:val="0"/>
                <w:sz w:val="24"/>
                <w:lang w:val="zh-CN"/>
              </w:rPr>
            </w:pPr>
            <w:r>
              <w:rPr>
                <w:rFonts w:hint="eastAsia" w:eastAsia="黑体"/>
                <w:bCs/>
                <w:kern w:val="0"/>
                <w:sz w:val="24"/>
                <w:lang w:val="zh-CN"/>
              </w:rPr>
              <w:t>指标</w:t>
            </w:r>
          </w:p>
        </w:tc>
        <w:tc>
          <w:tcPr>
            <w:tcW w:w="1559" w:type="dxa"/>
            <w:tcMar>
              <w:left w:w="28" w:type="dxa"/>
              <w:right w:w="28" w:type="dxa"/>
            </w:tcMar>
            <w:vAlign w:val="center"/>
          </w:tcPr>
          <w:p>
            <w:pPr>
              <w:topLinePunct/>
              <w:adjustRightInd w:val="0"/>
              <w:snapToGrid w:val="0"/>
              <w:spacing w:line="240" w:lineRule="atLeast"/>
              <w:jc w:val="center"/>
              <w:rPr>
                <w:rFonts w:eastAsia="黑体"/>
                <w:bCs/>
                <w:kern w:val="0"/>
                <w:sz w:val="24"/>
              </w:rPr>
            </w:pPr>
            <w:r>
              <w:rPr>
                <w:rFonts w:hint="eastAsia" w:eastAsia="黑体"/>
                <w:bCs/>
                <w:kern w:val="0"/>
                <w:sz w:val="24"/>
              </w:rPr>
              <w:t>区</w:t>
            </w:r>
            <w:r>
              <w:rPr>
                <w:rFonts w:hint="eastAsia" w:eastAsia="黑体"/>
                <w:bCs/>
                <w:kern w:val="0"/>
                <w:sz w:val="24"/>
                <w:lang w:eastAsia="zh-CN"/>
              </w:rPr>
              <w:t>人民代表大会</w:t>
            </w:r>
            <w:r>
              <w:rPr>
                <w:rFonts w:hint="eastAsia" w:eastAsia="黑体"/>
                <w:bCs/>
                <w:kern w:val="0"/>
                <w:sz w:val="24"/>
              </w:rPr>
              <w:t>目标</w:t>
            </w:r>
          </w:p>
        </w:tc>
        <w:tc>
          <w:tcPr>
            <w:tcW w:w="1418" w:type="dxa"/>
            <w:tcMar>
              <w:left w:w="28" w:type="dxa"/>
              <w:right w:w="28" w:type="dxa"/>
            </w:tcMar>
            <w:vAlign w:val="center"/>
          </w:tcPr>
          <w:p>
            <w:pPr>
              <w:topLinePunct/>
              <w:adjustRightInd w:val="0"/>
              <w:snapToGrid w:val="0"/>
              <w:spacing w:line="240" w:lineRule="atLeast"/>
              <w:jc w:val="center"/>
              <w:rPr>
                <w:rFonts w:eastAsia="黑体"/>
                <w:bCs/>
                <w:kern w:val="0"/>
                <w:sz w:val="24"/>
              </w:rPr>
            </w:pPr>
            <w:r>
              <w:rPr>
                <w:rFonts w:hint="eastAsia" w:eastAsia="黑体"/>
                <w:bCs/>
                <w:kern w:val="0"/>
                <w:sz w:val="24"/>
              </w:rPr>
              <w:t>市对区</w:t>
            </w:r>
          </w:p>
          <w:p>
            <w:pPr>
              <w:topLinePunct/>
              <w:adjustRightInd w:val="0"/>
              <w:snapToGrid w:val="0"/>
              <w:spacing w:line="240" w:lineRule="atLeast"/>
              <w:jc w:val="center"/>
              <w:rPr>
                <w:rFonts w:eastAsia="黑体"/>
                <w:kern w:val="0"/>
                <w:sz w:val="24"/>
              </w:rPr>
            </w:pPr>
            <w:r>
              <w:rPr>
                <w:rFonts w:hint="eastAsia" w:eastAsia="黑体"/>
                <w:bCs/>
                <w:kern w:val="0"/>
                <w:sz w:val="24"/>
              </w:rPr>
              <w:t>考核目标</w:t>
            </w:r>
          </w:p>
        </w:tc>
        <w:tc>
          <w:tcPr>
            <w:tcW w:w="1984" w:type="dxa"/>
            <w:tcMar>
              <w:left w:w="28" w:type="dxa"/>
              <w:right w:w="28" w:type="dxa"/>
            </w:tcMar>
            <w:vAlign w:val="center"/>
          </w:tcPr>
          <w:p>
            <w:pPr>
              <w:topLinePunct/>
              <w:adjustRightInd w:val="0"/>
              <w:snapToGrid w:val="0"/>
              <w:spacing w:line="240" w:lineRule="atLeast"/>
              <w:jc w:val="center"/>
              <w:rPr>
                <w:rFonts w:eastAsia="黑体"/>
                <w:bCs/>
                <w:kern w:val="0"/>
                <w:sz w:val="24"/>
              </w:rPr>
            </w:pPr>
            <w:r>
              <w:rPr>
                <w:rFonts w:hint="eastAsia" w:eastAsia="黑体"/>
                <w:bCs/>
                <w:kern w:val="0"/>
                <w:sz w:val="24"/>
              </w:rPr>
              <w:t>1—11月完成情况</w:t>
            </w:r>
          </w:p>
        </w:tc>
        <w:tc>
          <w:tcPr>
            <w:tcW w:w="1276" w:type="dxa"/>
            <w:tcMar>
              <w:left w:w="28" w:type="dxa"/>
              <w:right w:w="28" w:type="dxa"/>
            </w:tcMar>
            <w:vAlign w:val="center"/>
          </w:tcPr>
          <w:p>
            <w:pPr>
              <w:topLinePunct/>
              <w:adjustRightInd w:val="0"/>
              <w:snapToGrid w:val="0"/>
              <w:spacing w:line="240" w:lineRule="atLeast"/>
              <w:jc w:val="center"/>
              <w:rPr>
                <w:rFonts w:eastAsia="黑体"/>
                <w:bCs/>
                <w:kern w:val="0"/>
                <w:sz w:val="24"/>
              </w:rPr>
            </w:pPr>
            <w:r>
              <w:rPr>
                <w:rFonts w:hint="eastAsia" w:eastAsia="黑体"/>
                <w:bCs/>
                <w:kern w:val="0"/>
                <w:sz w:val="24"/>
              </w:rPr>
              <w:t>全年预计</w:t>
            </w:r>
          </w:p>
          <w:p>
            <w:pPr>
              <w:topLinePunct/>
              <w:adjustRightInd w:val="0"/>
              <w:snapToGrid w:val="0"/>
              <w:spacing w:line="240" w:lineRule="atLeast"/>
              <w:jc w:val="center"/>
              <w:rPr>
                <w:rFonts w:eastAsia="黑体"/>
                <w:bCs/>
                <w:kern w:val="0"/>
                <w:sz w:val="24"/>
              </w:rPr>
            </w:pPr>
            <w:r>
              <w:rPr>
                <w:rFonts w:hint="eastAsia" w:eastAsia="黑体"/>
                <w:bCs/>
                <w:kern w:val="0"/>
                <w:sz w:val="24"/>
              </w:rPr>
              <w:t>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jc w:val="center"/>
        </w:trPr>
        <w:tc>
          <w:tcPr>
            <w:tcW w:w="562" w:type="dxa"/>
            <w:tcMar>
              <w:top w:w="0" w:type="dxa"/>
              <w:left w:w="28" w:type="dxa"/>
              <w:bottom w:w="0" w:type="dxa"/>
              <w:right w:w="28" w:type="dxa"/>
            </w:tcMar>
            <w:vAlign w:val="center"/>
          </w:tcPr>
          <w:p>
            <w:pPr>
              <w:topLinePunct/>
              <w:adjustRightInd w:val="0"/>
              <w:snapToGrid w:val="0"/>
              <w:spacing w:line="240" w:lineRule="atLeast"/>
              <w:jc w:val="center"/>
              <w:rPr>
                <w:rFonts w:eastAsia="仿宋_GB2312"/>
                <w:spacing w:val="-8"/>
                <w:kern w:val="0"/>
                <w:sz w:val="24"/>
              </w:rPr>
            </w:pPr>
            <w:r>
              <w:rPr>
                <w:rFonts w:hint="eastAsia" w:eastAsia="仿宋_GB2312"/>
                <w:kern w:val="0"/>
                <w:sz w:val="24"/>
              </w:rPr>
              <w:t>1</w:t>
            </w:r>
          </w:p>
        </w:tc>
        <w:tc>
          <w:tcPr>
            <w:tcW w:w="1843" w:type="dxa"/>
            <w:tcMar>
              <w:top w:w="0" w:type="dxa"/>
              <w:left w:w="28" w:type="dxa"/>
              <w:bottom w:w="0" w:type="dxa"/>
              <w:right w:w="28" w:type="dxa"/>
            </w:tcMar>
            <w:vAlign w:val="center"/>
          </w:tcPr>
          <w:p>
            <w:pPr>
              <w:topLinePunct/>
              <w:adjustRightInd w:val="0"/>
              <w:snapToGrid w:val="0"/>
              <w:spacing w:line="240" w:lineRule="atLeast"/>
              <w:rPr>
                <w:rFonts w:eastAsia="仿宋_GB2312"/>
                <w:spacing w:val="-8"/>
                <w:kern w:val="0"/>
                <w:sz w:val="24"/>
                <w:lang w:val="zh-CN"/>
              </w:rPr>
            </w:pPr>
            <w:r>
              <w:rPr>
                <w:rFonts w:hint="eastAsia" w:eastAsia="仿宋_GB2312"/>
                <w:kern w:val="0"/>
                <w:sz w:val="24"/>
                <w:lang w:val="zh-CN"/>
              </w:rPr>
              <w:t>地区生产总值</w:t>
            </w:r>
          </w:p>
        </w:tc>
        <w:tc>
          <w:tcPr>
            <w:tcW w:w="1559"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8.5%以上</w:t>
            </w:r>
          </w:p>
        </w:tc>
        <w:tc>
          <w:tcPr>
            <w:tcW w:w="1418"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8.5%</w:t>
            </w:r>
          </w:p>
        </w:tc>
        <w:tc>
          <w:tcPr>
            <w:tcW w:w="1984"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698.79亿元，5.8%（季报数）</w:t>
            </w:r>
          </w:p>
        </w:tc>
        <w:tc>
          <w:tcPr>
            <w:tcW w:w="1276"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7%左右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562" w:type="dxa"/>
            <w:tcMar>
              <w:top w:w="0" w:type="dxa"/>
              <w:left w:w="28" w:type="dxa"/>
              <w:bottom w:w="0" w:type="dxa"/>
              <w:right w:w="28" w:type="dxa"/>
            </w:tcMar>
            <w:vAlign w:val="center"/>
          </w:tcPr>
          <w:p>
            <w:pPr>
              <w:topLinePunct/>
              <w:adjustRightInd w:val="0"/>
              <w:snapToGrid w:val="0"/>
              <w:spacing w:line="240" w:lineRule="atLeast"/>
              <w:jc w:val="center"/>
              <w:rPr>
                <w:rFonts w:eastAsia="仿宋_GB2312"/>
                <w:spacing w:val="-8"/>
                <w:kern w:val="0"/>
                <w:sz w:val="24"/>
              </w:rPr>
            </w:pPr>
            <w:r>
              <w:rPr>
                <w:rFonts w:hint="eastAsia" w:eastAsia="仿宋_GB2312"/>
                <w:spacing w:val="-8"/>
                <w:kern w:val="0"/>
                <w:sz w:val="24"/>
              </w:rPr>
              <w:t>2</w:t>
            </w:r>
          </w:p>
        </w:tc>
        <w:tc>
          <w:tcPr>
            <w:tcW w:w="1843" w:type="dxa"/>
            <w:tcMar>
              <w:top w:w="0" w:type="dxa"/>
              <w:left w:w="28" w:type="dxa"/>
              <w:bottom w:w="0" w:type="dxa"/>
              <w:right w:w="28" w:type="dxa"/>
            </w:tcMar>
            <w:vAlign w:val="center"/>
          </w:tcPr>
          <w:p>
            <w:pPr>
              <w:topLinePunct/>
              <w:adjustRightInd w:val="0"/>
              <w:snapToGrid w:val="0"/>
              <w:spacing w:line="240" w:lineRule="atLeast"/>
              <w:rPr>
                <w:rFonts w:eastAsia="仿宋_GB2312"/>
                <w:spacing w:val="-8"/>
                <w:kern w:val="0"/>
                <w:sz w:val="24"/>
                <w:lang w:val="zh-CN"/>
              </w:rPr>
            </w:pPr>
            <w:r>
              <w:rPr>
                <w:rFonts w:hint="eastAsia" w:eastAsia="仿宋_GB2312"/>
                <w:spacing w:val="-8"/>
                <w:kern w:val="0"/>
                <w:sz w:val="24"/>
                <w:lang w:val="zh-CN"/>
              </w:rPr>
              <w:t>规模以上工业增加值</w:t>
            </w:r>
          </w:p>
        </w:tc>
        <w:tc>
          <w:tcPr>
            <w:tcW w:w="1559"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3%</w:t>
            </w:r>
          </w:p>
        </w:tc>
        <w:tc>
          <w:tcPr>
            <w:tcW w:w="1418" w:type="dxa"/>
            <w:shd w:val="clear" w:color="auto" w:fill="auto"/>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4%</w:t>
            </w:r>
          </w:p>
        </w:tc>
        <w:tc>
          <w:tcPr>
            <w:tcW w:w="1984" w:type="dxa"/>
            <w:shd w:val="clear" w:color="auto" w:fill="auto"/>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16.9%</w:t>
            </w:r>
          </w:p>
        </w:tc>
        <w:tc>
          <w:tcPr>
            <w:tcW w:w="1276" w:type="dxa"/>
            <w:shd w:val="clear" w:color="auto" w:fill="auto"/>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15%左右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562"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3</w:t>
            </w:r>
          </w:p>
        </w:tc>
        <w:tc>
          <w:tcPr>
            <w:tcW w:w="1843" w:type="dxa"/>
            <w:tcMar>
              <w:top w:w="0" w:type="dxa"/>
              <w:left w:w="28" w:type="dxa"/>
              <w:bottom w:w="0" w:type="dxa"/>
              <w:right w:w="28" w:type="dxa"/>
            </w:tcMar>
            <w:vAlign w:val="center"/>
          </w:tcPr>
          <w:p>
            <w:pPr>
              <w:topLinePunct/>
              <w:adjustRightInd w:val="0"/>
              <w:snapToGrid w:val="0"/>
              <w:spacing w:line="240" w:lineRule="atLeast"/>
              <w:rPr>
                <w:rFonts w:eastAsia="仿宋_GB2312"/>
                <w:kern w:val="0"/>
                <w:sz w:val="24"/>
                <w:lang w:val="zh-CN"/>
              </w:rPr>
            </w:pPr>
            <w:r>
              <w:rPr>
                <w:rFonts w:hint="eastAsia" w:eastAsia="仿宋_GB2312"/>
                <w:kern w:val="0"/>
                <w:sz w:val="24"/>
                <w:lang w:val="zh-CN"/>
              </w:rPr>
              <w:t>规模以上固定资产投资</w:t>
            </w:r>
          </w:p>
        </w:tc>
        <w:tc>
          <w:tcPr>
            <w:tcW w:w="1559"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正增长</w:t>
            </w:r>
          </w:p>
        </w:tc>
        <w:tc>
          <w:tcPr>
            <w:tcW w:w="1418" w:type="dxa"/>
            <w:shd w:val="clear" w:color="auto" w:fill="auto"/>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550亿元</w:t>
            </w:r>
          </w:p>
        </w:tc>
        <w:tc>
          <w:tcPr>
            <w:tcW w:w="1984" w:type="dxa"/>
            <w:shd w:val="clear" w:color="auto" w:fill="auto"/>
            <w:tcMar>
              <w:top w:w="0" w:type="dxa"/>
              <w:left w:w="28" w:type="dxa"/>
              <w:bottom w:w="0" w:type="dxa"/>
              <w:right w:w="28" w:type="dxa"/>
            </w:tcMar>
            <w:vAlign w:val="center"/>
          </w:tcPr>
          <w:p>
            <w:pPr>
              <w:topLinePunct/>
              <w:adjustRightInd w:val="0"/>
              <w:snapToGrid w:val="0"/>
              <w:spacing w:line="240" w:lineRule="atLeast"/>
              <w:rPr>
                <w:rFonts w:eastAsia="仿宋_GB2312"/>
                <w:kern w:val="0"/>
                <w:sz w:val="24"/>
              </w:rPr>
            </w:pPr>
            <w:r>
              <w:rPr>
                <w:rFonts w:hint="eastAsia" w:eastAsia="仿宋_GB2312"/>
                <w:kern w:val="0"/>
                <w:sz w:val="24"/>
              </w:rPr>
              <w:t>358.8亿元，</w:t>
            </w:r>
            <w:r>
              <w:rPr>
                <w:rFonts w:hint="eastAsia" w:ascii="微软雅黑" w:hAnsi="微软雅黑" w:eastAsia="微软雅黑" w:cs="微软雅黑"/>
                <w:kern w:val="0"/>
                <w:sz w:val="24"/>
              </w:rPr>
              <w:t>-</w:t>
            </w:r>
            <w:r>
              <w:rPr>
                <w:rFonts w:hint="eastAsia" w:eastAsia="仿宋_GB2312"/>
                <w:kern w:val="0"/>
                <w:sz w:val="24"/>
              </w:rPr>
              <w:t>23.9%</w:t>
            </w:r>
          </w:p>
        </w:tc>
        <w:tc>
          <w:tcPr>
            <w:tcW w:w="1276" w:type="dxa"/>
            <w:shd w:val="clear" w:color="auto" w:fill="auto"/>
            <w:tcMar>
              <w:top w:w="0" w:type="dxa"/>
              <w:left w:w="28" w:type="dxa"/>
              <w:bottom w:w="0" w:type="dxa"/>
              <w:right w:w="28" w:type="dxa"/>
            </w:tcMar>
            <w:vAlign w:val="center"/>
          </w:tcPr>
          <w:p>
            <w:pPr>
              <w:topLinePunct/>
              <w:adjustRightInd w:val="0"/>
              <w:snapToGrid w:val="0"/>
              <w:spacing w:line="240" w:lineRule="atLeast"/>
              <w:rPr>
                <w:rFonts w:eastAsia="仿宋_GB2312"/>
                <w:kern w:val="0"/>
                <w:sz w:val="24"/>
              </w:rPr>
            </w:pPr>
            <w:r>
              <w:rPr>
                <w:rFonts w:hint="eastAsia" w:eastAsia="仿宋_GB2312"/>
                <w:spacing w:val="-22"/>
                <w:kern w:val="0"/>
                <w:sz w:val="24"/>
              </w:rPr>
              <w:t>400亿元左右，</w:t>
            </w:r>
            <w:r>
              <w:rPr>
                <w:rFonts w:hint="eastAsia" w:eastAsia="仿宋_GB2312"/>
                <w:kern w:val="0"/>
                <w:sz w:val="24"/>
              </w:rPr>
              <w:t>约-23.5%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562"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4</w:t>
            </w:r>
          </w:p>
        </w:tc>
        <w:tc>
          <w:tcPr>
            <w:tcW w:w="1843" w:type="dxa"/>
            <w:tcMar>
              <w:top w:w="0" w:type="dxa"/>
              <w:left w:w="28" w:type="dxa"/>
              <w:bottom w:w="0" w:type="dxa"/>
              <w:right w:w="28" w:type="dxa"/>
            </w:tcMar>
            <w:vAlign w:val="center"/>
          </w:tcPr>
          <w:p>
            <w:pPr>
              <w:topLinePunct/>
              <w:adjustRightInd w:val="0"/>
              <w:snapToGrid w:val="0"/>
              <w:spacing w:line="240" w:lineRule="atLeast"/>
              <w:rPr>
                <w:rFonts w:eastAsia="仿宋_GB2312"/>
                <w:kern w:val="0"/>
                <w:sz w:val="24"/>
                <w:lang w:val="zh-CN"/>
              </w:rPr>
            </w:pPr>
            <w:r>
              <w:rPr>
                <w:rFonts w:hint="eastAsia" w:eastAsia="仿宋_GB2312"/>
                <w:kern w:val="0"/>
                <w:sz w:val="24"/>
                <w:lang w:val="zh-CN"/>
              </w:rPr>
              <w:t>限额以上社会消费品零售额</w:t>
            </w:r>
          </w:p>
        </w:tc>
        <w:tc>
          <w:tcPr>
            <w:tcW w:w="1559"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高于全市增长水平</w:t>
            </w:r>
          </w:p>
        </w:tc>
        <w:tc>
          <w:tcPr>
            <w:tcW w:w="1418" w:type="dxa"/>
            <w:shd w:val="clear" w:color="auto" w:fill="auto"/>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9.5%</w:t>
            </w:r>
          </w:p>
        </w:tc>
        <w:tc>
          <w:tcPr>
            <w:tcW w:w="1984" w:type="dxa"/>
            <w:shd w:val="clear" w:color="auto" w:fill="auto"/>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248.53亿元，14.2%</w:t>
            </w:r>
          </w:p>
        </w:tc>
        <w:tc>
          <w:tcPr>
            <w:tcW w:w="1276" w:type="dxa"/>
            <w:shd w:val="clear" w:color="auto" w:fill="auto"/>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1</w:t>
            </w:r>
            <w:r>
              <w:rPr>
                <w:rFonts w:eastAsia="仿宋_GB2312"/>
                <w:kern w:val="0"/>
                <w:sz w:val="24"/>
              </w:rPr>
              <w:t>3</w:t>
            </w:r>
            <w:r>
              <w:rPr>
                <w:rFonts w:hint="eastAsia" w:eastAsia="仿宋_GB2312"/>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562" w:type="dxa"/>
            <w:tcMar>
              <w:top w:w="0" w:type="dxa"/>
              <w:left w:w="28" w:type="dxa"/>
              <w:bottom w:w="0" w:type="dxa"/>
              <w:right w:w="28" w:type="dxa"/>
            </w:tcMar>
            <w:vAlign w:val="center"/>
          </w:tcPr>
          <w:p>
            <w:pPr>
              <w:topLinePunct/>
              <w:adjustRightInd w:val="0"/>
              <w:snapToGrid w:val="0"/>
              <w:spacing w:line="240" w:lineRule="atLeast"/>
              <w:jc w:val="center"/>
              <w:rPr>
                <w:rFonts w:eastAsia="仿宋_GB2312"/>
                <w:spacing w:val="-6"/>
                <w:kern w:val="0"/>
                <w:sz w:val="24"/>
              </w:rPr>
            </w:pPr>
            <w:r>
              <w:rPr>
                <w:rFonts w:hint="eastAsia" w:eastAsia="仿宋_GB2312"/>
                <w:spacing w:val="-6"/>
                <w:kern w:val="0"/>
                <w:sz w:val="24"/>
              </w:rPr>
              <w:t>5</w:t>
            </w:r>
          </w:p>
        </w:tc>
        <w:tc>
          <w:tcPr>
            <w:tcW w:w="1843" w:type="dxa"/>
            <w:tcMar>
              <w:top w:w="0" w:type="dxa"/>
              <w:left w:w="28" w:type="dxa"/>
              <w:bottom w:w="0" w:type="dxa"/>
              <w:right w:w="28" w:type="dxa"/>
            </w:tcMar>
            <w:vAlign w:val="center"/>
          </w:tcPr>
          <w:p>
            <w:pPr>
              <w:topLinePunct/>
              <w:adjustRightInd w:val="0"/>
              <w:snapToGrid w:val="0"/>
              <w:spacing w:line="240" w:lineRule="atLeast"/>
              <w:rPr>
                <w:rFonts w:eastAsia="仿宋_GB2312"/>
                <w:snapToGrid w:val="0"/>
                <w:sz w:val="24"/>
              </w:rPr>
            </w:pPr>
            <w:r>
              <w:rPr>
                <w:rFonts w:hint="eastAsia" w:eastAsia="仿宋_GB2312"/>
                <w:kern w:val="0"/>
                <w:sz w:val="24"/>
              </w:rPr>
              <w:t>一般公共预算收入</w:t>
            </w:r>
          </w:p>
        </w:tc>
        <w:tc>
          <w:tcPr>
            <w:tcW w:w="1559"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3.5%以上</w:t>
            </w:r>
          </w:p>
        </w:tc>
        <w:tc>
          <w:tcPr>
            <w:tcW w:w="1418"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483603万元，3.5%</w:t>
            </w:r>
          </w:p>
        </w:tc>
        <w:tc>
          <w:tcPr>
            <w:tcW w:w="1984"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w:t>
            </w:r>
          </w:p>
        </w:tc>
        <w:tc>
          <w:tcPr>
            <w:tcW w:w="1276" w:type="dxa"/>
            <w:tcMar>
              <w:top w:w="0" w:type="dxa"/>
              <w:left w:w="28" w:type="dxa"/>
              <w:bottom w:w="0" w:type="dxa"/>
              <w:right w:w="28" w:type="dxa"/>
            </w:tcMar>
            <w:vAlign w:val="center"/>
          </w:tcPr>
          <w:p>
            <w:pPr>
              <w:topLinePunct/>
              <w:adjustRightInd w:val="0"/>
              <w:snapToGrid w:val="0"/>
              <w:spacing w:line="240" w:lineRule="atLeast"/>
              <w:rPr>
                <w:rFonts w:eastAsia="仿宋_GB2312"/>
                <w:kern w:val="0"/>
                <w:sz w:val="24"/>
              </w:rPr>
            </w:pPr>
            <w:r>
              <w:rPr>
                <w:rFonts w:hint="eastAsia" w:eastAsia="仿宋_GB2312"/>
                <w:kern w:val="0"/>
                <w:sz w:val="24"/>
              </w:rPr>
              <w:t>500419万元，7.1%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562" w:type="dxa"/>
            <w:tcMar>
              <w:top w:w="0" w:type="dxa"/>
              <w:left w:w="28" w:type="dxa"/>
              <w:bottom w:w="0" w:type="dxa"/>
              <w:right w:w="28" w:type="dxa"/>
            </w:tcMar>
            <w:vAlign w:val="center"/>
          </w:tcPr>
          <w:p>
            <w:pPr>
              <w:topLinePunct/>
              <w:adjustRightInd w:val="0"/>
              <w:snapToGrid w:val="0"/>
              <w:spacing w:line="240" w:lineRule="atLeast"/>
              <w:jc w:val="center"/>
              <w:rPr>
                <w:rFonts w:eastAsia="仿宋_GB2312"/>
                <w:spacing w:val="-6"/>
                <w:kern w:val="0"/>
                <w:sz w:val="24"/>
              </w:rPr>
            </w:pPr>
            <w:r>
              <w:rPr>
                <w:rFonts w:hint="eastAsia" w:eastAsia="仿宋_GB2312"/>
                <w:spacing w:val="-6"/>
                <w:kern w:val="0"/>
                <w:sz w:val="24"/>
              </w:rPr>
              <w:t>6</w:t>
            </w:r>
          </w:p>
        </w:tc>
        <w:tc>
          <w:tcPr>
            <w:tcW w:w="1843" w:type="dxa"/>
            <w:tcMar>
              <w:top w:w="0" w:type="dxa"/>
              <w:left w:w="28" w:type="dxa"/>
              <w:bottom w:w="0" w:type="dxa"/>
              <w:right w:w="28" w:type="dxa"/>
            </w:tcMar>
            <w:vAlign w:val="center"/>
          </w:tcPr>
          <w:p>
            <w:pPr>
              <w:topLinePunct/>
              <w:adjustRightInd w:val="0"/>
              <w:snapToGrid w:val="0"/>
              <w:spacing w:line="240" w:lineRule="atLeast"/>
              <w:rPr>
                <w:rFonts w:eastAsia="仿宋_GB2312"/>
                <w:snapToGrid w:val="0"/>
                <w:sz w:val="24"/>
              </w:rPr>
            </w:pPr>
            <w:r>
              <w:rPr>
                <w:rFonts w:hint="eastAsia" w:eastAsia="仿宋_GB2312"/>
                <w:snapToGrid w:val="0"/>
                <w:sz w:val="24"/>
              </w:rPr>
              <w:t>城镇常住居民人均可支配收入</w:t>
            </w:r>
          </w:p>
        </w:tc>
        <w:tc>
          <w:tcPr>
            <w:tcW w:w="1559"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6%左右</w:t>
            </w:r>
          </w:p>
        </w:tc>
        <w:tc>
          <w:tcPr>
            <w:tcW w:w="1418"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w:t>
            </w:r>
          </w:p>
        </w:tc>
        <w:tc>
          <w:tcPr>
            <w:tcW w:w="1984"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39302元，11%</w:t>
            </w:r>
          </w:p>
          <w:p>
            <w:pPr>
              <w:topLinePunct/>
              <w:adjustRightInd w:val="0"/>
              <w:snapToGrid w:val="0"/>
              <w:spacing w:line="240" w:lineRule="atLeast"/>
              <w:jc w:val="center"/>
              <w:rPr>
                <w:rFonts w:eastAsia="仿宋_GB2312"/>
                <w:kern w:val="0"/>
                <w:sz w:val="24"/>
              </w:rPr>
            </w:pPr>
            <w:r>
              <w:rPr>
                <w:rFonts w:hint="eastAsia" w:eastAsia="仿宋_GB2312"/>
                <w:kern w:val="0"/>
                <w:sz w:val="24"/>
              </w:rPr>
              <w:t>（季报数）</w:t>
            </w:r>
          </w:p>
        </w:tc>
        <w:tc>
          <w:tcPr>
            <w:tcW w:w="1276"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10%左右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562" w:type="dxa"/>
            <w:tcMar>
              <w:top w:w="0" w:type="dxa"/>
              <w:left w:w="28" w:type="dxa"/>
              <w:bottom w:w="0" w:type="dxa"/>
              <w:right w:w="28" w:type="dxa"/>
            </w:tcMar>
            <w:vAlign w:val="center"/>
          </w:tcPr>
          <w:p>
            <w:pPr>
              <w:topLinePunct/>
              <w:adjustRightInd w:val="0"/>
              <w:snapToGrid w:val="0"/>
              <w:spacing w:line="240" w:lineRule="atLeast"/>
              <w:jc w:val="center"/>
              <w:rPr>
                <w:rFonts w:eastAsia="仿宋_GB2312"/>
                <w:spacing w:val="-6"/>
                <w:kern w:val="0"/>
                <w:sz w:val="24"/>
              </w:rPr>
            </w:pPr>
            <w:r>
              <w:rPr>
                <w:rFonts w:hint="eastAsia" w:eastAsia="仿宋_GB2312"/>
                <w:spacing w:val="-6"/>
                <w:kern w:val="0"/>
                <w:sz w:val="24"/>
              </w:rPr>
              <w:t>7</w:t>
            </w:r>
          </w:p>
        </w:tc>
        <w:tc>
          <w:tcPr>
            <w:tcW w:w="1843" w:type="dxa"/>
            <w:tcMar>
              <w:top w:w="0" w:type="dxa"/>
              <w:left w:w="28" w:type="dxa"/>
              <w:bottom w:w="0" w:type="dxa"/>
              <w:right w:w="28" w:type="dxa"/>
            </w:tcMar>
            <w:vAlign w:val="center"/>
          </w:tcPr>
          <w:p>
            <w:pPr>
              <w:topLinePunct/>
              <w:adjustRightInd w:val="0"/>
              <w:snapToGrid w:val="0"/>
              <w:spacing w:line="240" w:lineRule="atLeast"/>
              <w:rPr>
                <w:rFonts w:eastAsia="仿宋_GB2312"/>
                <w:snapToGrid w:val="0"/>
                <w:sz w:val="24"/>
              </w:rPr>
            </w:pPr>
            <w:r>
              <w:rPr>
                <w:rFonts w:hint="eastAsia" w:eastAsia="仿宋_GB2312"/>
                <w:snapToGrid w:val="0"/>
                <w:sz w:val="24"/>
              </w:rPr>
              <w:t>农村常住居民人均可支配收入</w:t>
            </w:r>
          </w:p>
        </w:tc>
        <w:tc>
          <w:tcPr>
            <w:tcW w:w="1559"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7%左右</w:t>
            </w:r>
          </w:p>
        </w:tc>
        <w:tc>
          <w:tcPr>
            <w:tcW w:w="1418"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w:t>
            </w:r>
          </w:p>
        </w:tc>
        <w:tc>
          <w:tcPr>
            <w:tcW w:w="1984"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22605元，11.7%</w:t>
            </w:r>
          </w:p>
          <w:p>
            <w:pPr>
              <w:topLinePunct/>
              <w:adjustRightInd w:val="0"/>
              <w:snapToGrid w:val="0"/>
              <w:spacing w:line="240" w:lineRule="atLeast"/>
              <w:jc w:val="center"/>
              <w:rPr>
                <w:rFonts w:eastAsia="仿宋_GB2312"/>
                <w:kern w:val="0"/>
                <w:sz w:val="24"/>
              </w:rPr>
            </w:pPr>
            <w:r>
              <w:rPr>
                <w:rFonts w:hint="eastAsia" w:eastAsia="仿宋_GB2312"/>
                <w:kern w:val="0"/>
                <w:sz w:val="24"/>
              </w:rPr>
              <w:t>（季报数）</w:t>
            </w:r>
          </w:p>
        </w:tc>
        <w:tc>
          <w:tcPr>
            <w:tcW w:w="1276"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10.5%左右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562" w:type="dxa"/>
            <w:tcMar>
              <w:top w:w="0" w:type="dxa"/>
              <w:left w:w="28" w:type="dxa"/>
              <w:bottom w:w="0" w:type="dxa"/>
              <w:right w:w="28" w:type="dxa"/>
            </w:tcMar>
            <w:vAlign w:val="center"/>
          </w:tcPr>
          <w:p>
            <w:pPr>
              <w:topLinePunct/>
              <w:adjustRightInd w:val="0"/>
              <w:snapToGrid w:val="0"/>
              <w:spacing w:line="240" w:lineRule="atLeast"/>
              <w:jc w:val="center"/>
              <w:rPr>
                <w:rFonts w:eastAsia="仿宋_GB2312"/>
                <w:spacing w:val="-6"/>
                <w:kern w:val="0"/>
                <w:sz w:val="24"/>
              </w:rPr>
            </w:pPr>
            <w:r>
              <w:rPr>
                <w:rFonts w:hint="eastAsia" w:eastAsia="仿宋_GB2312"/>
                <w:spacing w:val="-6"/>
                <w:kern w:val="0"/>
                <w:sz w:val="24"/>
              </w:rPr>
              <w:t>8</w:t>
            </w:r>
          </w:p>
        </w:tc>
        <w:tc>
          <w:tcPr>
            <w:tcW w:w="1843" w:type="dxa"/>
            <w:tcMar>
              <w:top w:w="0" w:type="dxa"/>
              <w:left w:w="28" w:type="dxa"/>
              <w:bottom w:w="0" w:type="dxa"/>
              <w:right w:w="28" w:type="dxa"/>
            </w:tcMar>
            <w:vAlign w:val="center"/>
          </w:tcPr>
          <w:p>
            <w:pPr>
              <w:topLinePunct/>
              <w:adjustRightInd w:val="0"/>
              <w:snapToGrid w:val="0"/>
              <w:spacing w:line="240" w:lineRule="atLeast"/>
              <w:rPr>
                <w:rFonts w:eastAsia="仿宋_GB2312"/>
                <w:snapToGrid w:val="0"/>
                <w:sz w:val="24"/>
              </w:rPr>
            </w:pPr>
            <w:r>
              <w:rPr>
                <w:rFonts w:hint="eastAsia" w:eastAsia="仿宋_GB2312"/>
                <w:snapToGrid w:val="0"/>
                <w:sz w:val="24"/>
              </w:rPr>
              <w:t>城镇登记失业率控制在</w:t>
            </w:r>
          </w:p>
        </w:tc>
        <w:tc>
          <w:tcPr>
            <w:tcW w:w="1559"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4.5%以内</w:t>
            </w:r>
          </w:p>
        </w:tc>
        <w:tc>
          <w:tcPr>
            <w:tcW w:w="1418"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w:t>
            </w:r>
          </w:p>
        </w:tc>
        <w:tc>
          <w:tcPr>
            <w:tcW w:w="1984"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3.86%</w:t>
            </w:r>
          </w:p>
        </w:tc>
        <w:tc>
          <w:tcPr>
            <w:tcW w:w="1276" w:type="dxa"/>
            <w:tcMar>
              <w:top w:w="0" w:type="dxa"/>
              <w:left w:w="28" w:type="dxa"/>
              <w:bottom w:w="0" w:type="dxa"/>
              <w:right w:w="28" w:type="dxa"/>
            </w:tcMar>
            <w:vAlign w:val="center"/>
          </w:tcPr>
          <w:p>
            <w:pPr>
              <w:topLinePunct/>
              <w:adjustRightInd w:val="0"/>
              <w:snapToGrid w:val="0"/>
              <w:spacing w:line="240" w:lineRule="atLeast"/>
              <w:jc w:val="center"/>
              <w:rPr>
                <w:rFonts w:eastAsia="仿宋_GB2312"/>
                <w:kern w:val="0"/>
                <w:sz w:val="24"/>
              </w:rPr>
            </w:pPr>
            <w:r>
              <w:rPr>
                <w:rFonts w:hint="eastAsia" w:eastAsia="仿宋_GB2312"/>
                <w:kern w:val="0"/>
                <w:sz w:val="24"/>
              </w:rPr>
              <w:t>3.69%</w:t>
            </w:r>
          </w:p>
        </w:tc>
      </w:tr>
    </w:tbl>
    <w:p>
      <w:pPr>
        <w:topLinePunct/>
        <w:adjustRightInd w:val="0"/>
        <w:snapToGrid w:val="0"/>
        <w:spacing w:line="480" w:lineRule="exact"/>
        <w:ind w:firstLine="640" w:firstLineChars="200"/>
        <w:outlineLvl w:val="1"/>
        <w:rPr>
          <w:rFonts w:eastAsia="楷体_GB2312"/>
          <w:bCs/>
          <w:snapToGrid w:val="0"/>
          <w:sz w:val="32"/>
          <w:szCs w:val="32"/>
        </w:rPr>
      </w:pPr>
      <w:r>
        <w:rPr>
          <w:rFonts w:hint="eastAsia" w:eastAsia="楷体_GB2312"/>
          <w:bCs/>
          <w:snapToGrid w:val="0"/>
          <w:sz w:val="32"/>
          <w:szCs w:val="32"/>
        </w:rPr>
        <w:t>（一）高质量发展取得新成效，“十四五”开局良好</w:t>
      </w:r>
    </w:p>
    <w:p>
      <w:pPr>
        <w:topLinePunct/>
        <w:adjustRightInd w:val="0"/>
        <w:snapToGrid w:val="0"/>
        <w:spacing w:line="480" w:lineRule="exact"/>
        <w:ind w:firstLine="643" w:firstLineChars="200"/>
        <w:outlineLvl w:val="2"/>
        <w:rPr>
          <w:rFonts w:eastAsia="仿宋_GB2312"/>
          <w:b/>
          <w:snapToGrid w:val="0"/>
          <w:sz w:val="32"/>
          <w:szCs w:val="32"/>
        </w:rPr>
      </w:pPr>
      <w:r>
        <w:rPr>
          <w:rFonts w:hint="eastAsia" w:eastAsia="仿宋_GB2312"/>
          <w:b/>
          <w:bCs/>
          <w:snapToGrid w:val="0"/>
          <w:sz w:val="32"/>
          <w:szCs w:val="32"/>
        </w:rPr>
        <w:t>1.经济</w:t>
      </w:r>
      <w:r>
        <w:rPr>
          <w:rFonts w:hint="eastAsia" w:eastAsia="仿宋_GB2312"/>
          <w:b/>
          <w:snapToGrid w:val="0"/>
          <w:sz w:val="32"/>
          <w:szCs w:val="32"/>
        </w:rPr>
        <w:t>发展稳健前行</w:t>
      </w:r>
    </w:p>
    <w:p>
      <w:pPr>
        <w:topLinePunct/>
        <w:adjustRightInd w:val="0"/>
        <w:snapToGrid w:val="0"/>
        <w:spacing w:line="592" w:lineRule="exact"/>
        <w:ind w:firstLine="640" w:firstLineChars="200"/>
        <w:rPr>
          <w:rFonts w:eastAsia="仿宋_GB2312"/>
          <w:snapToGrid w:val="0"/>
          <w:sz w:val="32"/>
          <w:szCs w:val="32"/>
        </w:rPr>
      </w:pPr>
      <w:r>
        <w:rPr>
          <w:rFonts w:hint="eastAsia" w:eastAsia="仿宋_GB2312"/>
          <w:sz w:val="32"/>
          <w:szCs w:val="32"/>
        </w:rPr>
        <w:t>全年预计实现地区生产总值970亿元，同比增长7%左右，量稳质升基础进一步巩固。助企纾困政策措施精准发力，兑现系列稳增长扶持补助资金1.27亿元，</w:t>
      </w:r>
      <w:r>
        <w:rPr>
          <w:rFonts w:hint="eastAsia" w:eastAsia="仿宋_GB2312"/>
          <w:snapToGrid w:val="0"/>
          <w:sz w:val="32"/>
          <w:szCs w:val="32"/>
        </w:rPr>
        <w:t>新增减税降费6.47亿元，发放普惠小微信用贷款53.25亿元，补贴稳岗返还1307.6万元，降低实体经济成本14.89亿元。市场主体持续增长，新增企业8591户，较上年增加499户，增长6.17%；新增个体工商户10965户，较上年增加836户，增长8.25%。城市竞争力不断增强，位列2021</w:t>
      </w:r>
      <w:r>
        <w:rPr>
          <w:rFonts w:hint="eastAsia"/>
        </w:rPr>
        <w:drawing>
          <wp:anchor distT="0" distB="0" distL="114300" distR="114300" simplePos="0" relativeHeight="251658240" behindDoc="0" locked="0" layoutInCell="1" allowOverlap="1">
            <wp:simplePos x="0" y="0"/>
            <wp:positionH relativeFrom="margin">
              <wp:align>center</wp:align>
            </wp:positionH>
            <wp:positionV relativeFrom="paragraph">
              <wp:posOffset>763905</wp:posOffset>
            </wp:positionV>
            <wp:extent cx="4879975" cy="2604770"/>
            <wp:effectExtent l="0" t="0" r="0" b="508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79975" cy="2604770"/>
                    </a:xfrm>
                    <a:prstGeom prst="rect">
                      <a:avLst/>
                    </a:prstGeom>
                  </pic:spPr>
                </pic:pic>
              </a:graphicData>
            </a:graphic>
          </wp:anchor>
        </w:drawing>
      </w:r>
      <w:r>
        <w:rPr>
          <w:rFonts w:hint="eastAsia" w:eastAsia="仿宋_GB2312"/>
          <w:snapToGrid w:val="0"/>
          <w:sz w:val="32"/>
          <w:szCs w:val="32"/>
        </w:rPr>
        <w:t>年赛迪中国高质量发展百强区第89位。</w:t>
      </w:r>
    </w:p>
    <w:p>
      <w:pPr>
        <w:topLinePunct/>
        <w:adjustRightInd w:val="0"/>
        <w:snapToGrid w:val="0"/>
        <w:spacing w:line="592" w:lineRule="exact"/>
        <w:ind w:firstLine="643" w:firstLineChars="200"/>
        <w:outlineLvl w:val="2"/>
        <w:rPr>
          <w:rFonts w:eastAsia="仿宋_GB2312"/>
          <w:b/>
          <w:snapToGrid w:val="0"/>
          <w:sz w:val="32"/>
          <w:szCs w:val="32"/>
        </w:rPr>
      </w:pPr>
      <w:r>
        <w:rPr>
          <w:rFonts w:hint="eastAsia" w:eastAsia="仿宋_GB2312"/>
          <w:b/>
          <w:snapToGrid w:val="0"/>
          <w:sz w:val="32"/>
          <w:szCs w:val="32"/>
        </w:rPr>
        <w:t>2.“4×3”产业有序构建</w:t>
      </w:r>
    </w:p>
    <w:p>
      <w:pPr>
        <w:topLinePunct/>
        <w:adjustRightInd w:val="0"/>
        <w:snapToGrid w:val="0"/>
        <w:spacing w:line="592" w:lineRule="exact"/>
        <w:ind w:firstLine="640" w:firstLineChars="200"/>
        <w:rPr>
          <w:rFonts w:eastAsia="仿宋_GB2312"/>
          <w:sz w:val="32"/>
          <w:szCs w:val="32"/>
        </w:rPr>
      </w:pPr>
      <w:r>
        <w:rPr>
          <w:rFonts w:hint="eastAsia" w:eastAsia="仿宋_GB2312"/>
          <w:sz w:val="32"/>
          <w:szCs w:val="32"/>
        </w:rPr>
        <w:t>统筹运用信息化、数据化技术手段和地理信息系统（GIS），初步搭建形成“全域覆盖、产业融合、要素叠加”的“4×3”产业动态智慧地图。</w:t>
      </w:r>
      <w:r>
        <w:rPr>
          <w:rFonts w:hint="eastAsia" w:eastAsia="仿宋_GB2312"/>
          <w:b/>
          <w:bCs/>
          <w:sz w:val="32"/>
          <w:szCs w:val="32"/>
        </w:rPr>
        <w:t>基础产业稳步发展。</w:t>
      </w:r>
      <w:r>
        <w:rPr>
          <w:rFonts w:hint="eastAsia" w:eastAsia="仿宋_GB2312"/>
          <w:sz w:val="32"/>
          <w:szCs w:val="32"/>
        </w:rPr>
        <w:t>坚持“房住不炒”，推广使用“昆明市房屋租赁登记备案”小程序，房地产市场平稳健康发展。工业经济韧性彰显，规模以上工业增加值增长15%左右。中烟异地技改项目加快建设，福石科技精细磷化工项目有序推进。</w:t>
      </w:r>
      <w:r>
        <w:rPr>
          <w:rFonts w:hint="eastAsia" w:eastAsia="仿宋_GB2312"/>
          <w:b/>
          <w:bCs/>
          <w:sz w:val="32"/>
          <w:szCs w:val="32"/>
        </w:rPr>
        <w:t>主导产业壮大发展。</w:t>
      </w:r>
      <w:r>
        <w:rPr>
          <w:rFonts w:hint="eastAsia" w:eastAsia="仿宋_GB2312"/>
          <w:sz w:val="32"/>
          <w:szCs w:val="32"/>
        </w:rPr>
        <w:t>大健康产业高标准推进，制定出台《西山区大健康人才+产业项目一体化引进培育办法（试行）》，大健康产业增加值预计达1</w:t>
      </w:r>
      <w:r>
        <w:rPr>
          <w:rFonts w:eastAsia="仿宋_GB2312"/>
          <w:sz w:val="32"/>
          <w:szCs w:val="32"/>
        </w:rPr>
        <w:t>90</w:t>
      </w:r>
      <w:r>
        <w:rPr>
          <w:rFonts w:hint="eastAsia" w:eastAsia="仿宋_GB2312"/>
          <w:sz w:val="32"/>
          <w:szCs w:val="32"/>
        </w:rPr>
        <w:t>亿元。数字经济赋能发展，8户企业成功申报昆明市数字经济发展及信息产业示范项目，规模以上互联网和相关服务、软件和信息技术服务业营业收入实现10.25亿元。楼宇产业生态圈逐步拓展，楼宇“1+2+N”服务管家团队实现全区覆盖，新增税收亿元楼宇2幢、千万元楼宇2幢，共有税收亿元楼宇9幢、千万元楼宇17幢，新增总部企业3户。</w:t>
      </w:r>
      <w:r>
        <w:rPr>
          <w:rFonts w:hint="eastAsia" w:eastAsia="仿宋_GB2312"/>
          <w:b/>
          <w:bCs/>
          <w:sz w:val="32"/>
          <w:szCs w:val="32"/>
        </w:rPr>
        <w:t>配套产业协同发展。</w:t>
      </w:r>
      <w:r>
        <w:rPr>
          <w:rFonts w:hint="eastAsia" w:eastAsia="仿宋_GB2312"/>
          <w:sz w:val="32"/>
          <w:szCs w:val="32"/>
        </w:rPr>
        <w:t>物流服务体系持续健全，昆明中禄农副产品交易中心项目稳步推进。大力打造文创特色品牌，新增区级文化创意产业园区2家、区级产业融合发展示范基地1家，文化产业增加值预计实现63亿元。旅游业回暖复苏，腾云获评昆明市智慧旅游企创中心，西山景区健康步道（一期）建成，乡村旅游业态不断丰富，预计累计接待游客2297.42万人次，实现旅游收入290亿元。</w:t>
      </w:r>
      <w:r>
        <w:rPr>
          <w:rFonts w:hint="eastAsia" w:eastAsia="仿宋_GB2312"/>
          <w:b/>
          <w:bCs/>
          <w:sz w:val="32"/>
          <w:szCs w:val="32"/>
        </w:rPr>
        <w:t>机会产业加快发展。</w:t>
      </w:r>
      <w:r>
        <w:rPr>
          <w:rFonts w:hint="eastAsia" w:eastAsia="仿宋_GB2312"/>
          <w:bCs/>
          <w:sz w:val="32"/>
          <w:szCs w:val="32"/>
        </w:rPr>
        <w:t>绿色食品牌战略深入实施，</w:t>
      </w:r>
      <w:r>
        <w:rPr>
          <w:rFonts w:hint="eastAsia" w:eastAsia="仿宋_GB2312"/>
          <w:sz w:val="32"/>
          <w:szCs w:val="32"/>
        </w:rPr>
        <w:t>4家企业产品列入省级“绿色食品牌”目录，5家企业基地被评为区级“绿色食品牌”产业基地。累计农业龙头企业达45家，“三品一标”认证企业（合作社）达18家，认证产品41个。金融业集聚发展，金融业增加值预计达</w:t>
      </w:r>
      <w:r>
        <w:rPr>
          <w:rFonts w:eastAsia="仿宋_GB2312"/>
          <w:sz w:val="32"/>
          <w:szCs w:val="32"/>
        </w:rPr>
        <w:t>154</w:t>
      </w:r>
      <w:r>
        <w:rPr>
          <w:rFonts w:hint="eastAsia" w:eastAsia="仿宋_GB2312"/>
          <w:sz w:val="32"/>
          <w:szCs w:val="32"/>
        </w:rPr>
        <w:t>亿元。军民融合有序发展。</w:t>
      </w:r>
    </w:p>
    <w:p>
      <w:pPr>
        <w:topLinePunct/>
        <w:adjustRightInd w:val="0"/>
        <w:snapToGrid w:val="0"/>
        <w:spacing w:line="592" w:lineRule="exact"/>
        <w:ind w:firstLine="643" w:firstLineChars="200"/>
        <w:outlineLvl w:val="2"/>
        <w:rPr>
          <w:rFonts w:eastAsia="仿宋_GB2312"/>
          <w:bCs/>
          <w:sz w:val="32"/>
          <w:szCs w:val="32"/>
        </w:rPr>
      </w:pPr>
      <w:r>
        <w:rPr>
          <w:rFonts w:hint="eastAsia" w:eastAsia="仿宋_GB2312"/>
          <w:b/>
          <w:sz w:val="32"/>
          <w:szCs w:val="32"/>
        </w:rPr>
        <w:t>3.项目建设扎实推进</w:t>
      </w:r>
    </w:p>
    <w:p>
      <w:pPr>
        <w:topLinePunct/>
        <w:adjustRightInd w:val="0"/>
        <w:snapToGrid w:val="0"/>
        <w:spacing w:line="592" w:lineRule="exact"/>
        <w:ind w:firstLine="640" w:firstLineChars="200"/>
        <w:rPr>
          <w:rFonts w:eastAsia="仿宋_GB2312"/>
          <w:sz w:val="32"/>
          <w:szCs w:val="32"/>
        </w:rPr>
      </w:pPr>
      <w:r>
        <w:rPr>
          <w:rFonts w:hint="eastAsia" w:eastAsia="仿宋_GB2312"/>
          <w:bCs/>
          <w:sz w:val="32"/>
          <w:szCs w:val="32"/>
        </w:rPr>
        <w:t>投资建设便利度持续提升，企业投资备案类项目</w:t>
      </w:r>
      <w:r>
        <w:rPr>
          <w:rFonts w:hint="eastAsia" w:eastAsia="仿宋_GB2312"/>
          <w:sz w:val="32"/>
          <w:szCs w:val="32"/>
        </w:rPr>
        <w:t>实现全程网办、</w:t>
      </w:r>
      <w:r>
        <w:rPr>
          <w:rFonts w:hint="eastAsia" w:eastAsia="仿宋_GB2312"/>
          <w:bCs/>
          <w:sz w:val="32"/>
          <w:szCs w:val="32"/>
        </w:rPr>
        <w:t>即时办结。政府投资审批类项目平均2天内办结，比法定时限压缩90%以上、比承诺时限压缩60%。采用“绿色审批通道”办理社会民生、应急保障等项目审批37项，计划总投资68.31亿元。项目资金保障力度持续增强，共争取到中央和省级项目资金12.75亿元，位居主城五区第一。成功申报专项债券项目4个，发行地方政府专项债券18.75亿元，发行额度位居全市第二。投资结构持续优化，基础设施投资同比增长30.3%，产业投资占比较去年同期提高21.8个百分点。全年投资总量预计超400亿元，</w:t>
      </w:r>
      <w:r>
        <w:pict>
          <v:shape id="_x0000_s1027" o:spid="_x0000_s1027" o:spt="75" type="#_x0000_t75" style="position:absolute;left:0pt;margin-top:66.5pt;height:242.85pt;width:424.3pt;mso-position-horizontal:center;mso-position-horizontal-relative:margin;mso-wrap-distance-bottom:0pt;mso-wrap-distance-top:0pt;z-index:251660288;mso-width-relative:page;mso-height-relative:page;" filled="f" o:preferrelative="t" stroked="f" coordsize="21600,21600">
            <v:path/>
            <v:fill on="f" focussize="0,0"/>
            <v:stroke on="f" joinstyle="miter"/>
            <v:imagedata r:id="rId16" o:title="专债"/>
            <o:lock v:ext="edit" aspectratio="t"/>
            <w10:wrap type="topAndBottom"/>
          </v:shape>
        </w:pict>
      </w:r>
      <w:r>
        <w:rPr>
          <w:rFonts w:hint="eastAsia" w:eastAsia="仿宋_GB2312"/>
          <w:bCs/>
          <w:sz w:val="32"/>
          <w:szCs w:val="32"/>
        </w:rPr>
        <w:t>约占全市总量的11.3%，位列全市第三。</w:t>
      </w:r>
    </w:p>
    <w:p>
      <w:pPr>
        <w:topLinePunct/>
        <w:adjustRightInd w:val="0"/>
        <w:snapToGrid w:val="0"/>
        <w:ind w:firstLine="643" w:firstLineChars="200"/>
        <w:outlineLvl w:val="2"/>
        <w:rPr>
          <w:rFonts w:eastAsia="仿宋_GB2312"/>
          <w:b/>
          <w:sz w:val="32"/>
          <w:szCs w:val="32"/>
        </w:rPr>
      </w:pPr>
      <w:r>
        <w:rPr>
          <w:rFonts w:hint="eastAsia" w:eastAsia="仿宋_GB2312"/>
          <w:b/>
          <w:sz w:val="32"/>
          <w:szCs w:val="32"/>
        </w:rPr>
        <w:t>4.消费层次持续提升</w:t>
      </w:r>
    </w:p>
    <w:p>
      <w:pPr>
        <w:topLinePunct/>
        <w:adjustRightInd w:val="0"/>
        <w:snapToGrid w:val="0"/>
        <w:spacing w:line="580" w:lineRule="exact"/>
        <w:ind w:firstLine="640" w:firstLineChars="200"/>
        <w:rPr>
          <w:rFonts w:eastAsia="仿宋_GB2312"/>
          <w:bCs/>
          <w:sz w:val="32"/>
          <w:szCs w:val="32"/>
        </w:rPr>
      </w:pPr>
      <w:r>
        <w:rPr>
          <w:rFonts w:hint="eastAsia" w:eastAsia="仿宋_GB2312"/>
          <w:bCs/>
          <w:sz w:val="32"/>
          <w:szCs w:val="32"/>
        </w:rPr>
        <w:t>新型消费模式加速涌现，云纺电子商务产业园获评“国家电子商务示范基地”，全区现有电子商务企业1400余家，店铺23000余家，实现网络零售额45.79亿元。</w:t>
      </w:r>
      <w:r>
        <w:rPr>
          <w:rFonts w:hint="eastAsia" w:eastAsia="仿宋_GB2312"/>
          <w:sz w:val="32"/>
          <w:szCs w:val="32"/>
        </w:rPr>
        <w:t>打造各具特色的夜间经济示范街区，云纺、南亚第壹城等重点区域初具规模，</w:t>
      </w:r>
      <w:r>
        <w:rPr>
          <w:rFonts w:hint="eastAsia" w:eastAsia="仿宋_GB2312"/>
          <w:kern w:val="0"/>
          <w:sz w:val="32"/>
          <w:szCs w:val="32"/>
        </w:rPr>
        <w:t>昆明融创滇池后海商业步行街</w:t>
      </w:r>
      <w:r>
        <w:rPr>
          <w:rFonts w:hint="eastAsia" w:eastAsia="仿宋_GB2312"/>
          <w:sz w:val="32"/>
          <w:szCs w:val="32"/>
        </w:rPr>
        <w:t>列入第二批省级步行街改造提升试点</w:t>
      </w:r>
      <w:r>
        <w:rPr>
          <w:rFonts w:hint="eastAsia" w:eastAsia="仿宋_GB2312"/>
          <w:bCs/>
          <w:sz w:val="32"/>
          <w:szCs w:val="32"/>
        </w:rPr>
        <w:t>。</w:t>
      </w:r>
    </w:p>
    <w:p>
      <w:pPr>
        <w:topLinePunct/>
        <w:adjustRightInd w:val="0"/>
        <w:snapToGrid w:val="0"/>
        <w:spacing w:line="580" w:lineRule="exact"/>
        <w:ind w:firstLine="640" w:firstLineChars="200"/>
        <w:outlineLvl w:val="1"/>
        <w:rPr>
          <w:rFonts w:eastAsia="楷体_GB2312"/>
          <w:bCs/>
          <w:snapToGrid w:val="0"/>
          <w:sz w:val="32"/>
          <w:szCs w:val="32"/>
        </w:rPr>
      </w:pPr>
      <w:r>
        <w:rPr>
          <w:rFonts w:hint="eastAsia" w:eastAsia="楷体_GB2312"/>
          <w:bCs/>
          <w:snapToGrid w:val="0"/>
          <w:sz w:val="32"/>
          <w:szCs w:val="32"/>
        </w:rPr>
        <w:t>（二）改革创新引领，发展动能加速释放</w:t>
      </w:r>
    </w:p>
    <w:p>
      <w:pPr>
        <w:topLinePunct/>
        <w:adjustRightInd w:val="0"/>
        <w:snapToGrid w:val="0"/>
        <w:spacing w:line="580" w:lineRule="exact"/>
        <w:ind w:firstLine="643" w:firstLineChars="200"/>
        <w:outlineLvl w:val="2"/>
        <w:rPr>
          <w:rFonts w:eastAsia="仿宋_GB2312"/>
          <w:b/>
          <w:sz w:val="32"/>
          <w:szCs w:val="32"/>
        </w:rPr>
      </w:pPr>
      <w:r>
        <w:rPr>
          <w:rFonts w:hint="eastAsia" w:eastAsia="仿宋_GB2312"/>
          <w:b/>
          <w:sz w:val="32"/>
          <w:szCs w:val="32"/>
        </w:rPr>
        <w:t>5.科技创新加快发展</w:t>
      </w:r>
    </w:p>
    <w:p>
      <w:pPr>
        <w:topLinePunct/>
        <w:adjustRightInd w:val="0"/>
        <w:snapToGrid w:val="0"/>
        <w:spacing w:line="592" w:lineRule="exact"/>
        <w:ind w:firstLine="640" w:firstLineChars="200"/>
        <w:rPr>
          <w:rFonts w:eastAsia="仿宋_GB2312"/>
          <w:bCs/>
          <w:sz w:val="32"/>
          <w:szCs w:val="32"/>
        </w:rPr>
      </w:pPr>
      <w:r>
        <w:rPr>
          <w:rFonts w:hint="eastAsia" w:eastAsia="仿宋_GB2312"/>
          <w:sz w:val="32"/>
          <w:szCs w:val="32"/>
        </w:rPr>
        <w:t>持续推进以科技创新为核心的全面创新。实施科技计划项目25项，投入全社会研究与试验发展（R&amp;D）经费14.51亿元。</w:t>
      </w:r>
      <w:r>
        <w:rPr>
          <w:rFonts w:hint="eastAsia" w:eastAsia="仿宋_GB2312"/>
          <w:kern w:val="0"/>
          <w:sz w:val="32"/>
          <w:szCs w:val="32"/>
        </w:rPr>
        <w:t>培育推荐87家企业申报高新技术企业认定，推荐量同比增长51%，累计拥有量达135家。支持企业研究开发和技术创新，规模以上</w:t>
      </w:r>
      <w:r>
        <w:rPr>
          <w:rFonts w:hint="eastAsia" w:eastAsia="仿宋_GB2312"/>
          <w:sz w:val="32"/>
          <w:szCs w:val="32"/>
        </w:rPr>
        <w:t>科学研究和技术服务业营业收入实现20亿元。</w:t>
      </w:r>
      <w:r>
        <w:rPr>
          <w:rFonts w:hint="eastAsia" w:eastAsia="仿宋_GB2312"/>
          <w:bCs/>
          <w:sz w:val="32"/>
          <w:szCs w:val="32"/>
        </w:rPr>
        <w:t>顺利通过国家知识产权强县工程示范验收</w:t>
      </w:r>
      <w:r>
        <w:rPr>
          <w:rFonts w:hint="eastAsia" w:eastAsia="仿宋_GB2312"/>
          <w:sz w:val="32"/>
          <w:szCs w:val="32"/>
        </w:rPr>
        <w:t>。</w:t>
      </w:r>
    </w:p>
    <w:p>
      <w:pPr>
        <w:topLinePunct/>
        <w:adjustRightInd w:val="0"/>
        <w:snapToGrid w:val="0"/>
        <w:spacing w:line="592" w:lineRule="exact"/>
        <w:ind w:firstLine="643" w:firstLineChars="200"/>
        <w:outlineLvl w:val="2"/>
        <w:rPr>
          <w:rFonts w:eastAsia="仿宋_GB2312"/>
          <w:b/>
          <w:sz w:val="32"/>
          <w:szCs w:val="32"/>
        </w:rPr>
      </w:pPr>
      <w:r>
        <w:rPr>
          <w:rFonts w:hint="eastAsia" w:eastAsia="仿宋_GB2312"/>
          <w:b/>
          <w:sz w:val="32"/>
          <w:szCs w:val="32"/>
        </w:rPr>
        <w:t>6.改革举措纵深推进</w:t>
      </w:r>
    </w:p>
    <w:p>
      <w:pPr>
        <w:topLinePunct/>
        <w:adjustRightInd w:val="0"/>
        <w:snapToGrid w:val="0"/>
        <w:spacing w:line="592" w:lineRule="exact"/>
        <w:ind w:firstLine="640" w:firstLineChars="200"/>
        <w:rPr>
          <w:rFonts w:eastAsia="仿宋_GB2312"/>
          <w:bCs/>
          <w:sz w:val="32"/>
          <w:szCs w:val="32"/>
        </w:rPr>
      </w:pPr>
      <w:r>
        <w:rPr>
          <w:rFonts w:hint="eastAsia" w:eastAsia="仿宋_GB2312"/>
          <w:sz w:val="32"/>
          <w:szCs w:val="32"/>
        </w:rPr>
        <w:t>推进基层整合审批服务执法力量改革试点，</w:t>
      </w:r>
      <w:r>
        <w:rPr>
          <w:rFonts w:hint="eastAsia" w:eastAsia="仿宋_GB2312"/>
          <w:bCs/>
          <w:sz w:val="32"/>
          <w:szCs w:val="32"/>
        </w:rPr>
        <w:t>赋权金碧、棕树营街道</w:t>
      </w:r>
      <w:r>
        <w:rPr>
          <w:rFonts w:hint="eastAsia" w:eastAsia="仿宋_GB2312"/>
          <w:sz w:val="32"/>
          <w:szCs w:val="32"/>
        </w:rPr>
        <w:t>“一枚印章管审批（服务）”政务服务事项3</w:t>
      </w:r>
      <w:r>
        <w:rPr>
          <w:rFonts w:eastAsia="仿宋_GB2312"/>
          <w:sz w:val="32"/>
          <w:szCs w:val="32"/>
        </w:rPr>
        <w:t>5</w:t>
      </w:r>
      <w:r>
        <w:rPr>
          <w:rFonts w:hint="eastAsia" w:eastAsia="仿宋_GB2312"/>
          <w:sz w:val="32"/>
          <w:szCs w:val="32"/>
        </w:rPr>
        <w:t>项，受理办结各类审批（服务）业务3</w:t>
      </w:r>
      <w:r>
        <w:rPr>
          <w:rFonts w:eastAsia="仿宋_GB2312"/>
          <w:sz w:val="32"/>
          <w:szCs w:val="32"/>
        </w:rPr>
        <w:t>2971</w:t>
      </w:r>
      <w:r>
        <w:rPr>
          <w:rFonts w:hint="eastAsia" w:eastAsia="仿宋_GB2312"/>
          <w:sz w:val="32"/>
          <w:szCs w:val="32"/>
        </w:rPr>
        <w:t>件，同比增长1</w:t>
      </w:r>
      <w:r>
        <w:rPr>
          <w:rFonts w:eastAsia="仿宋_GB2312"/>
          <w:sz w:val="32"/>
          <w:szCs w:val="32"/>
        </w:rPr>
        <w:t>18%</w:t>
      </w:r>
      <w:r>
        <w:rPr>
          <w:rFonts w:hint="eastAsia" w:eastAsia="仿宋_GB2312"/>
          <w:sz w:val="32"/>
          <w:szCs w:val="32"/>
        </w:rPr>
        <w:t>。“一支队伍管执法”相对集中行使行政处罚权等行政权力事项3</w:t>
      </w:r>
      <w:r>
        <w:rPr>
          <w:rFonts w:eastAsia="仿宋_GB2312"/>
          <w:sz w:val="32"/>
          <w:szCs w:val="32"/>
        </w:rPr>
        <w:t>47</w:t>
      </w:r>
      <w:r>
        <w:rPr>
          <w:rFonts w:hint="eastAsia" w:eastAsia="仿宋_GB2312"/>
          <w:sz w:val="32"/>
          <w:szCs w:val="32"/>
        </w:rPr>
        <w:t>项。持续深化“放管服”改革，</w:t>
      </w:r>
      <w:r>
        <w:rPr>
          <w:rFonts w:hint="eastAsia" w:eastAsia="仿宋_GB2312"/>
          <w:bCs/>
          <w:sz w:val="32"/>
          <w:szCs w:val="32"/>
        </w:rPr>
        <w:t>直接取消行政审批事项3项，审批改为备案4项。</w:t>
      </w:r>
      <w:r>
        <w:rPr>
          <w:rFonts w:hint="eastAsia" w:eastAsia="仿宋_GB2312"/>
          <w:sz w:val="32"/>
          <w:szCs w:val="32"/>
        </w:rPr>
        <w:t>规范提速相对集中行政许可，受理行政许可328件，办结率100%，审批时限压缩87%。房地一体农村不动产确权登记工作全面启动，农村宅基地管理工作稳慎推进。推动国企改革可持续发展。</w:t>
      </w:r>
    </w:p>
    <w:p>
      <w:pPr>
        <w:topLinePunct/>
        <w:adjustRightInd w:val="0"/>
        <w:snapToGrid w:val="0"/>
        <w:spacing w:line="592" w:lineRule="exact"/>
        <w:ind w:firstLine="643" w:firstLineChars="200"/>
        <w:outlineLvl w:val="2"/>
        <w:rPr>
          <w:rFonts w:eastAsia="仿宋_GB2312"/>
          <w:b/>
          <w:sz w:val="32"/>
          <w:szCs w:val="32"/>
        </w:rPr>
      </w:pPr>
      <w:r>
        <w:rPr>
          <w:rFonts w:hint="eastAsia" w:eastAsia="仿宋_GB2312"/>
          <w:b/>
          <w:sz w:val="32"/>
          <w:szCs w:val="32"/>
        </w:rPr>
        <w:t>7.营商环境便利高效</w:t>
      </w:r>
    </w:p>
    <w:p>
      <w:pPr>
        <w:topLinePunct/>
        <w:adjustRightInd w:val="0"/>
        <w:snapToGrid w:val="0"/>
        <w:spacing w:line="592" w:lineRule="exact"/>
        <w:ind w:firstLine="640" w:firstLineChars="200"/>
        <w:rPr>
          <w:rFonts w:eastAsia="仿宋_GB2312"/>
          <w:sz w:val="32"/>
        </w:rPr>
      </w:pPr>
      <w:r>
        <w:rPr>
          <w:rFonts w:hint="eastAsia" w:eastAsia="仿宋_GB2312"/>
          <w:sz w:val="32"/>
        </w:rPr>
        <w:t>全面落实市场准入负面清单制度，市场准入效能评估位居全省县（市、区）前列。</w:t>
      </w:r>
      <w:r>
        <w:rPr>
          <w:rFonts w:hint="eastAsia" w:eastAsia="仿宋_GB2312"/>
          <w:bCs/>
          <w:sz w:val="32"/>
          <w:szCs w:val="32"/>
        </w:rPr>
        <w:t>深入推进政务服务“一网、一门、一次”改革，</w:t>
      </w:r>
      <w:r>
        <w:rPr>
          <w:rFonts w:hint="eastAsia" w:eastAsia="仿宋_GB2312"/>
          <w:sz w:val="32"/>
        </w:rPr>
        <w:t>10个街道为民服务中心全部实现应用省统建政务服务平台</w:t>
      </w:r>
      <w:r>
        <w:rPr>
          <w:rFonts w:hint="eastAsia" w:eastAsia="仿宋_GB2312"/>
          <w:bCs/>
          <w:sz w:val="32"/>
          <w:szCs w:val="32"/>
        </w:rPr>
        <w:t>“一网通办”，</w:t>
      </w:r>
      <w:r>
        <w:rPr>
          <w:rFonts w:hint="eastAsia" w:eastAsia="仿宋_GB2312"/>
          <w:sz w:val="32"/>
        </w:rPr>
        <w:t>发布政务服务事项</w:t>
      </w:r>
      <w:r>
        <w:rPr>
          <w:rFonts w:eastAsia="仿宋_GB2312"/>
          <w:sz w:val="32"/>
        </w:rPr>
        <w:t>974</w:t>
      </w:r>
      <w:r>
        <w:rPr>
          <w:rFonts w:hint="eastAsia" w:eastAsia="仿宋_GB2312"/>
          <w:sz w:val="32"/>
        </w:rPr>
        <w:t>项，9</w:t>
      </w:r>
      <w:r>
        <w:rPr>
          <w:rFonts w:eastAsia="仿宋_GB2312"/>
          <w:sz w:val="32"/>
        </w:rPr>
        <w:t>14</w:t>
      </w:r>
      <w:r>
        <w:rPr>
          <w:rFonts w:hint="eastAsia" w:eastAsia="仿宋_GB2312"/>
          <w:sz w:val="32"/>
        </w:rPr>
        <w:t>项实现全程网办，全程网办率达</w:t>
      </w:r>
      <w:r>
        <w:rPr>
          <w:rFonts w:eastAsia="仿宋_GB2312"/>
          <w:sz w:val="32"/>
        </w:rPr>
        <w:t>93.83</w:t>
      </w:r>
      <w:r>
        <w:rPr>
          <w:rFonts w:hint="eastAsia" w:eastAsia="仿宋_GB2312"/>
          <w:sz w:val="32"/>
        </w:rPr>
        <w:t>%。进驻区级政务大厅</w:t>
      </w:r>
      <w:r>
        <w:rPr>
          <w:rFonts w:hint="eastAsia" w:eastAsia="仿宋_GB2312"/>
          <w:bCs/>
          <w:sz w:val="32"/>
          <w:szCs w:val="32"/>
        </w:rPr>
        <w:t>“一门”办理</w:t>
      </w:r>
      <w:r>
        <w:rPr>
          <w:rFonts w:hint="eastAsia" w:eastAsia="仿宋_GB2312"/>
          <w:sz w:val="32"/>
        </w:rPr>
        <w:t>事项</w:t>
      </w:r>
      <w:r>
        <w:rPr>
          <w:rFonts w:eastAsia="仿宋_GB2312"/>
          <w:sz w:val="32"/>
        </w:rPr>
        <w:t>974</w:t>
      </w:r>
      <w:r>
        <w:rPr>
          <w:rFonts w:hint="eastAsia" w:eastAsia="仿宋_GB2312"/>
          <w:sz w:val="32"/>
        </w:rPr>
        <w:t>项。梳理“最多跑一次”事项</w:t>
      </w:r>
      <w:r>
        <w:rPr>
          <w:rFonts w:eastAsia="仿宋_GB2312"/>
          <w:sz w:val="32"/>
        </w:rPr>
        <w:t>974</w:t>
      </w:r>
      <w:r>
        <w:rPr>
          <w:rFonts w:hint="eastAsia" w:eastAsia="仿宋_GB2312"/>
          <w:sz w:val="32"/>
        </w:rPr>
        <w:t>项，网办47.13万件。加入市级“云上办”联盟，实现134项事项“跨省通办”，办理“跨省通办”事项</w:t>
      </w:r>
      <w:r>
        <w:rPr>
          <w:rFonts w:eastAsia="仿宋_GB2312"/>
          <w:sz w:val="32"/>
        </w:rPr>
        <w:t>1856</w:t>
      </w:r>
      <w:r>
        <w:rPr>
          <w:rFonts w:hint="eastAsia" w:eastAsia="仿宋_GB2312"/>
          <w:sz w:val="32"/>
        </w:rPr>
        <w:t>件。企业开办服务实现“一窗通”，总申报量8054户。实现285个非接触式涉税缴费事项一网办。</w:t>
      </w:r>
    </w:p>
    <w:p>
      <w:pPr>
        <w:topLinePunct/>
        <w:adjustRightInd w:val="0"/>
        <w:snapToGrid w:val="0"/>
        <w:spacing w:line="592" w:lineRule="exact"/>
        <w:ind w:firstLine="643" w:firstLineChars="200"/>
        <w:outlineLvl w:val="2"/>
        <w:rPr>
          <w:rFonts w:eastAsia="仿宋_GB2312"/>
          <w:b/>
          <w:sz w:val="32"/>
          <w:szCs w:val="32"/>
        </w:rPr>
      </w:pPr>
      <w:r>
        <w:rPr>
          <w:rFonts w:hint="eastAsia" w:eastAsia="仿宋_GB2312"/>
          <w:b/>
          <w:sz w:val="32"/>
          <w:szCs w:val="32"/>
        </w:rPr>
        <w:t>8.双招双引成效明显</w:t>
      </w:r>
    </w:p>
    <w:p>
      <w:pPr>
        <w:topLinePunct/>
        <w:adjustRightInd w:val="0"/>
        <w:snapToGrid w:val="0"/>
        <w:spacing w:line="592" w:lineRule="exact"/>
        <w:ind w:firstLine="640" w:firstLineChars="200"/>
        <w:rPr>
          <w:rFonts w:eastAsia="仿宋_GB2312"/>
          <w:bCs/>
          <w:snapToGrid w:val="0"/>
          <w:kern w:val="0"/>
          <w:sz w:val="32"/>
          <w:szCs w:val="32"/>
          <w:lang w:val="zh-CN"/>
        </w:rPr>
      </w:pPr>
      <w:r>
        <w:rPr>
          <w:rFonts w:hint="eastAsia" w:eastAsia="仿宋_GB2312"/>
          <w:bCs/>
          <w:snapToGrid w:val="0"/>
          <w:kern w:val="0"/>
          <w:sz w:val="32"/>
          <w:szCs w:val="32"/>
          <w:lang w:val="zh-CN"/>
        </w:rPr>
        <w:t>坚持“一把手”招商，主要领导</w:t>
      </w:r>
      <w:r>
        <w:rPr>
          <w:rFonts w:hint="eastAsia" w:eastAsia="仿宋_GB2312"/>
          <w:sz w:val="32"/>
          <w:szCs w:val="32"/>
        </w:rPr>
        <w:t>带队赴深圳、上海等地累计招商6次。深入开展“双招双引”，</w:t>
      </w:r>
      <w:r>
        <w:rPr>
          <w:rFonts w:hint="eastAsia" w:eastAsia="仿宋_GB2312"/>
          <w:bCs/>
          <w:snapToGrid w:val="0"/>
          <w:kern w:val="0"/>
          <w:sz w:val="32"/>
          <w:szCs w:val="32"/>
          <w:lang w:val="zh-CN"/>
        </w:rPr>
        <w:t>出台《西山区加强招商引资促进产业高质量发展的若干政策（试行）》</w:t>
      </w:r>
      <w:r>
        <w:rPr>
          <w:rFonts w:hint="eastAsia" w:eastAsia="仿宋_GB2312"/>
          <w:bCs/>
          <w:snapToGrid w:val="0"/>
          <w:kern w:val="0"/>
          <w:sz w:val="32"/>
          <w:szCs w:val="32"/>
        </w:rPr>
        <w:t>《西山区人才绿卡管理服务办法（试行）》。</w:t>
      </w:r>
      <w:r>
        <w:rPr>
          <w:rFonts w:hint="eastAsia" w:eastAsia="仿宋_GB2312"/>
          <w:sz w:val="32"/>
          <w:szCs w:val="32"/>
        </w:rPr>
        <w:t>首批面向社会聘任29名“双招双引”特使和专员，引进高层次人才69人。</w:t>
      </w:r>
      <w:r>
        <w:rPr>
          <w:rFonts w:hint="eastAsia" w:eastAsia="仿宋_GB2312"/>
          <w:bCs/>
          <w:snapToGrid w:val="0"/>
          <w:kern w:val="0"/>
          <w:sz w:val="32"/>
          <w:szCs w:val="32"/>
        </w:rPr>
        <w:t>引进省、市外项目24个，省、市外到位资金178.45亿元，外资项目2个，实际利用外资</w:t>
      </w:r>
      <w:r>
        <w:rPr>
          <w:rFonts w:eastAsia="仿宋_GB2312"/>
          <w:bCs/>
          <w:snapToGrid w:val="0"/>
          <w:kern w:val="0"/>
          <w:sz w:val="32"/>
          <w:szCs w:val="32"/>
        </w:rPr>
        <w:t>1.8</w:t>
      </w:r>
      <w:r>
        <w:rPr>
          <w:rFonts w:hint="eastAsia" w:eastAsia="仿宋_GB2312"/>
          <w:bCs/>
          <w:snapToGrid w:val="0"/>
          <w:kern w:val="0"/>
          <w:sz w:val="32"/>
          <w:szCs w:val="32"/>
        </w:rPr>
        <w:t>亿美元。新登记备案外商投资企业37家，新</w:t>
      </w:r>
      <w:r>
        <w:rPr>
          <w:rFonts w:hint="eastAsia" w:eastAsia="仿宋_GB2312"/>
          <w:bCs/>
          <w:snapToGrid w:val="0"/>
          <w:kern w:val="0"/>
          <w:sz w:val="32"/>
          <w:szCs w:val="32"/>
          <w:lang w:val="zh-CN"/>
        </w:rPr>
        <w:t>备案对外贸易经营者</w:t>
      </w:r>
      <w:r>
        <w:rPr>
          <w:rFonts w:hint="eastAsia" w:eastAsia="仿宋_GB2312"/>
          <w:bCs/>
          <w:snapToGrid w:val="0"/>
          <w:kern w:val="0"/>
          <w:sz w:val="32"/>
          <w:szCs w:val="32"/>
        </w:rPr>
        <w:t>59</w:t>
      </w:r>
      <w:r>
        <w:rPr>
          <w:rFonts w:hint="eastAsia" w:eastAsia="仿宋_GB2312"/>
          <w:bCs/>
          <w:snapToGrid w:val="0"/>
          <w:kern w:val="0"/>
          <w:sz w:val="32"/>
          <w:szCs w:val="32"/>
          <w:lang w:val="zh-CN"/>
        </w:rPr>
        <w:t>户。</w:t>
      </w:r>
    </w:p>
    <w:p>
      <w:pPr>
        <w:topLinePunct/>
        <w:adjustRightInd w:val="0"/>
        <w:snapToGrid w:val="0"/>
        <w:spacing w:line="592" w:lineRule="exact"/>
        <w:ind w:firstLine="640" w:firstLineChars="200"/>
        <w:outlineLvl w:val="1"/>
        <w:rPr>
          <w:rFonts w:eastAsia="楷体_GB2312"/>
          <w:bCs/>
          <w:snapToGrid w:val="0"/>
          <w:sz w:val="32"/>
          <w:szCs w:val="32"/>
        </w:rPr>
      </w:pPr>
      <w:r>
        <w:rPr>
          <w:rFonts w:hint="eastAsia" w:eastAsia="楷体_GB2312"/>
          <w:bCs/>
          <w:snapToGrid w:val="0"/>
          <w:sz w:val="32"/>
          <w:szCs w:val="32"/>
        </w:rPr>
        <w:t>（三）规划高位统筹，城乡品质持续提升</w:t>
      </w:r>
    </w:p>
    <w:p>
      <w:pPr>
        <w:topLinePunct/>
        <w:adjustRightInd w:val="0"/>
        <w:snapToGrid w:val="0"/>
        <w:spacing w:line="592" w:lineRule="exact"/>
        <w:ind w:firstLine="643" w:firstLineChars="200"/>
        <w:outlineLvl w:val="2"/>
        <w:rPr>
          <w:rFonts w:eastAsia="仿宋_GB2312"/>
          <w:b/>
          <w:sz w:val="32"/>
          <w:szCs w:val="32"/>
        </w:rPr>
      </w:pPr>
      <w:r>
        <w:rPr>
          <w:rFonts w:hint="eastAsia" w:eastAsia="仿宋_GB2312"/>
          <w:b/>
          <w:sz w:val="32"/>
          <w:szCs w:val="32"/>
        </w:rPr>
        <w:t>9.发展格局优化拓展</w:t>
      </w:r>
    </w:p>
    <w:p>
      <w:pPr>
        <w:topLinePunct/>
        <w:adjustRightInd w:val="0"/>
        <w:snapToGrid w:val="0"/>
        <w:spacing w:line="592" w:lineRule="exact"/>
        <w:ind w:firstLine="640" w:firstLineChars="200"/>
        <w:rPr>
          <w:rFonts w:eastAsia="仿宋_GB2312"/>
          <w:sz w:val="32"/>
          <w:szCs w:val="32"/>
        </w:rPr>
      </w:pPr>
      <w:r>
        <w:rPr>
          <w:rFonts w:hint="eastAsia" w:eastAsia="仿宋_GB2312"/>
          <w:sz w:val="32"/>
          <w:szCs w:val="32"/>
        </w:rPr>
        <w:t>高水平编制完成《西山区国民经济和社会发展第十四个五年规划和二</w:t>
      </w:r>
      <w:r>
        <w:rPr>
          <w:rFonts w:hint="eastAsia" w:eastAsia="微软雅黑"/>
          <w:sz w:val="32"/>
          <w:szCs w:val="32"/>
        </w:rPr>
        <w:t>〇</w:t>
      </w:r>
      <w:r>
        <w:rPr>
          <w:rFonts w:hint="eastAsia" w:eastAsia="仿宋_GB2312"/>
          <w:sz w:val="32"/>
          <w:szCs w:val="32"/>
        </w:rPr>
        <w:t>三五年远景目标纲要》。完成国土空间规划前期专题初稿，试划“三条控制线”，区级国土空间总体规划框架性内容初步形成。海口全域土地综合整治试点有序推进，项目申报区总规模786.56公顷，预期整理复垦建设用地面积287公顷，可节余建设用地面积190公顷。主城区控制性详细规划编制成果逐步完善，春雨路沿线1号地块、城市更新改造45、46号片区第一批次控规经市规委审议通过。实现土地收储1767.33亩、供应1193.76亩、交易价款</w:t>
      </w:r>
      <w:r>
        <w:rPr>
          <w:rStyle w:val="39"/>
          <w:rFonts w:hint="eastAsia" w:ascii="Times New Roman" w:hAnsi="Times New Roman" w:eastAsia="仿宋_GB2312"/>
          <w:sz w:val="32"/>
          <w:szCs w:val="32"/>
        </w:rPr>
        <w:t>36.98</w:t>
      </w:r>
      <w:r>
        <w:rPr>
          <w:rFonts w:hint="eastAsia" w:eastAsia="仿宋_GB2312"/>
          <w:sz w:val="32"/>
          <w:szCs w:val="32"/>
        </w:rPr>
        <w:t>亿元。</w:t>
      </w:r>
    </w:p>
    <w:p>
      <w:pPr>
        <w:topLinePunct/>
        <w:adjustRightInd w:val="0"/>
        <w:snapToGrid w:val="0"/>
        <w:spacing w:line="592" w:lineRule="exact"/>
        <w:ind w:firstLine="643" w:firstLineChars="200"/>
        <w:outlineLvl w:val="2"/>
        <w:rPr>
          <w:rFonts w:eastAsia="仿宋_GB2312"/>
          <w:b/>
          <w:sz w:val="32"/>
          <w:szCs w:val="32"/>
        </w:rPr>
      </w:pPr>
      <w:r>
        <w:rPr>
          <w:rFonts w:hint="eastAsia" w:eastAsia="仿宋_GB2312"/>
          <w:b/>
          <w:sz w:val="32"/>
          <w:szCs w:val="32"/>
        </w:rPr>
        <w:t>10.基础设施优化互联</w:t>
      </w:r>
    </w:p>
    <w:p>
      <w:pPr>
        <w:tabs>
          <w:tab w:val="center" w:pos="4153"/>
          <w:tab w:val="right" w:pos="8306"/>
        </w:tabs>
        <w:topLinePunct/>
        <w:adjustRightInd w:val="0"/>
        <w:snapToGrid w:val="0"/>
        <w:spacing w:line="592" w:lineRule="exact"/>
        <w:ind w:firstLine="643" w:firstLineChars="200"/>
        <w:rPr>
          <w:rFonts w:eastAsia="仿宋_GB2312"/>
          <w:sz w:val="32"/>
          <w:szCs w:val="32"/>
        </w:rPr>
      </w:pPr>
      <w:r>
        <w:rPr>
          <w:rFonts w:hint="eastAsia" w:eastAsia="仿宋_GB2312"/>
          <w:b/>
          <w:bCs/>
          <w:sz w:val="32"/>
          <w:szCs w:val="32"/>
        </w:rPr>
        <w:t>综合路网。</w:t>
      </w:r>
      <w:r>
        <w:rPr>
          <w:rFonts w:hint="eastAsia" w:eastAsia="仿宋_GB2312"/>
          <w:sz w:val="32"/>
          <w:szCs w:val="32"/>
        </w:rPr>
        <w:t>渝昆高铁昆明西客站综合交通枢纽项目有序推进，完成兴团大道（北段）项目前期，西山89号路、采莲路等</w:t>
      </w:r>
      <w:r>
        <w:rPr>
          <w:rFonts w:eastAsia="仿宋_GB2312"/>
          <w:sz w:val="32"/>
          <w:szCs w:val="32"/>
        </w:rPr>
        <w:t>7</w:t>
      </w:r>
      <w:r>
        <w:rPr>
          <w:rFonts w:hint="eastAsia" w:eastAsia="仿宋_GB2312"/>
          <w:sz w:val="32"/>
          <w:szCs w:val="32"/>
        </w:rPr>
        <w:t>条道路建成通车，西二环春苑小区人行天桥建成，启动建设环滇池绿道慢行系统。中桃、浑团公路修缮完成。申报创建省级“四好农村路”示范县（区）。</w:t>
      </w:r>
      <w:r>
        <w:rPr>
          <w:rFonts w:hint="eastAsia" w:eastAsia="仿宋_GB2312"/>
          <w:b/>
          <w:bCs/>
          <w:sz w:val="32"/>
          <w:szCs w:val="32"/>
        </w:rPr>
        <w:t>智慧</w:t>
      </w:r>
      <w:r>
        <w:rPr>
          <w:rFonts w:hint="eastAsia" w:eastAsia="仿宋_GB2312"/>
          <w:b/>
          <w:sz w:val="32"/>
          <w:szCs w:val="32"/>
        </w:rPr>
        <w:t>水网。</w:t>
      </w:r>
      <w:r>
        <w:rPr>
          <w:rFonts w:hint="eastAsia" w:eastAsia="仿宋_GB2312"/>
          <w:bCs/>
          <w:sz w:val="32"/>
          <w:szCs w:val="32"/>
        </w:rPr>
        <w:t>推进区级智慧水务建设。</w:t>
      </w:r>
      <w:r>
        <w:rPr>
          <w:rFonts w:hint="eastAsia" w:eastAsia="仿宋_GB2312"/>
          <w:sz w:val="32"/>
          <w:szCs w:val="32"/>
        </w:rPr>
        <w:t>完成牛鼻村水库扩建和黑泥凹、富善大闸水库除险加固，启动云龙寺等5座小型水库除险加固工程。投资3000万元实施涉农街道19个村组饮水安全保障提升工程。</w:t>
      </w:r>
      <w:r>
        <w:rPr>
          <w:rFonts w:hint="eastAsia" w:eastAsia="仿宋_GB2312"/>
          <w:b/>
          <w:bCs/>
          <w:sz w:val="32"/>
          <w:szCs w:val="32"/>
        </w:rPr>
        <w:t>绿色</w:t>
      </w:r>
      <w:r>
        <w:rPr>
          <w:rFonts w:hint="eastAsia" w:eastAsia="仿宋_GB2312"/>
          <w:b/>
          <w:bCs/>
          <w:sz w:val="32"/>
        </w:rPr>
        <w:t>能源网。</w:t>
      </w:r>
      <w:r>
        <w:rPr>
          <w:rFonts w:hint="eastAsia" w:eastAsia="仿宋_GB2312"/>
          <w:sz w:val="32"/>
          <w:szCs w:val="32"/>
        </w:rPr>
        <w:t>建成公用充电桩538枪、自用交流充电桩212枪、换电站3座，新能源设施建设及保有量居全市前列。</w:t>
      </w:r>
      <w:r>
        <w:rPr>
          <w:rFonts w:hint="eastAsia" w:eastAsia="仿宋_GB2312"/>
          <w:b/>
          <w:sz w:val="32"/>
          <w:szCs w:val="32"/>
        </w:rPr>
        <w:t>新型基础设施网。</w:t>
      </w:r>
      <w:r>
        <w:rPr>
          <w:rFonts w:hint="eastAsia" w:eastAsia="仿宋_GB2312"/>
          <w:sz w:val="32"/>
          <w:szCs w:val="32"/>
        </w:rPr>
        <w:t>5G基站新建239个，累计建成1466个。</w:t>
      </w:r>
    </w:p>
    <w:p>
      <w:pPr>
        <w:topLinePunct/>
        <w:adjustRightInd w:val="0"/>
        <w:snapToGrid w:val="0"/>
        <w:spacing w:line="592" w:lineRule="exact"/>
        <w:ind w:firstLine="643" w:firstLineChars="200"/>
        <w:outlineLvl w:val="2"/>
        <w:rPr>
          <w:rFonts w:eastAsia="仿宋_GB2312"/>
          <w:b/>
          <w:sz w:val="32"/>
          <w:szCs w:val="32"/>
        </w:rPr>
      </w:pPr>
      <w:r>
        <w:rPr>
          <w:rFonts w:hint="eastAsia" w:eastAsia="仿宋_GB2312"/>
          <w:b/>
          <w:sz w:val="32"/>
          <w:szCs w:val="32"/>
        </w:rPr>
        <w:t>11.宜居城市提质提优</w:t>
      </w:r>
    </w:p>
    <w:p>
      <w:pPr>
        <w:topLinePunct/>
        <w:adjustRightInd w:val="0"/>
        <w:snapToGrid w:val="0"/>
        <w:spacing w:line="592" w:lineRule="exact"/>
        <w:ind w:firstLine="640" w:firstLineChars="200"/>
        <w:rPr>
          <w:rFonts w:eastAsia="仿宋_GB2312"/>
          <w:sz w:val="32"/>
          <w:szCs w:val="32"/>
        </w:rPr>
      </w:pPr>
      <w:r>
        <w:rPr>
          <w:rFonts w:hint="eastAsia" w:eastAsia="仿宋_GB2312"/>
          <w:sz w:val="32"/>
          <w:szCs w:val="32"/>
        </w:rPr>
        <w:t>高质量完成COP15第一阶段会议市容环境提升整治，常态化巩固文明城市创建成果。翠峰公园一期基本建成，新增城市绿地</w:t>
      </w:r>
      <w:r>
        <w:rPr>
          <w:rFonts w:eastAsia="仿宋_GB2312"/>
          <w:sz w:val="32"/>
          <w:szCs w:val="32"/>
        </w:rPr>
        <w:t>20</w:t>
      </w:r>
      <w:r>
        <w:rPr>
          <w:rFonts w:hint="eastAsia" w:eastAsia="仿宋_GB2312"/>
          <w:sz w:val="32"/>
          <w:szCs w:val="32"/>
        </w:rPr>
        <w:t>公顷、公园绿地12公顷。提升改造南文广场、福文化主题公园。荣获昆明市2021年度美丽街巷、最美游园第二名。城乡生活垃圾分类试点有序推进，垃圾无害化处理率达100%。爱国卫生“7+1专项行动”成效显著，累计建成洗手设施962座。完成滇池西岸面山洪水拦截及水环境综合治理项目及14个淹水点整治，实施防洪排涝体系综合提升工程19个，建成海绵城市3.08平方公里。改造9个交通拥堵节点，城市早晚拥堵高峰指数同比下降13.2%，实现主城四区通行效率最高。马家营、工人新村等11个老旧小区改造竣工交付。完成城市更新改造拆迁117.6万平方米。累计治理拆除违法违规建筑138.</w:t>
      </w:r>
      <w:r>
        <w:rPr>
          <w:rFonts w:eastAsia="仿宋_GB2312"/>
          <w:sz w:val="32"/>
          <w:szCs w:val="32"/>
        </w:rPr>
        <w:t>19</w:t>
      </w:r>
      <w:r>
        <w:rPr>
          <w:rFonts w:hint="eastAsia" w:eastAsia="仿宋_GB2312"/>
          <w:sz w:val="32"/>
          <w:szCs w:val="32"/>
        </w:rPr>
        <w:t>万平方米。处置化解老螺蛳湾二期等烂尾楼项目5个。</w:t>
      </w:r>
    </w:p>
    <w:p>
      <w:pPr>
        <w:topLinePunct/>
        <w:adjustRightInd w:val="0"/>
        <w:snapToGrid w:val="0"/>
        <w:spacing w:line="592" w:lineRule="exact"/>
        <w:ind w:firstLine="643" w:firstLineChars="200"/>
        <w:outlineLvl w:val="2"/>
        <w:rPr>
          <w:rFonts w:eastAsia="仿宋_GB2312"/>
          <w:b/>
          <w:sz w:val="32"/>
          <w:szCs w:val="32"/>
        </w:rPr>
      </w:pPr>
      <w:r>
        <w:rPr>
          <w:rFonts w:hint="eastAsia" w:eastAsia="仿宋_GB2312"/>
          <w:b/>
          <w:sz w:val="32"/>
          <w:szCs w:val="32"/>
        </w:rPr>
        <w:t>12.乡村振兴全面推进</w:t>
      </w:r>
    </w:p>
    <w:p>
      <w:pPr>
        <w:topLinePunct/>
        <w:adjustRightInd w:val="0"/>
        <w:snapToGrid w:val="0"/>
        <w:spacing w:line="592" w:lineRule="exact"/>
        <w:ind w:firstLine="640" w:firstLineChars="200"/>
        <w:rPr>
          <w:rStyle w:val="36"/>
          <w:snapToGrid w:val="0"/>
        </w:rPr>
      </w:pPr>
      <w:r>
        <w:rPr>
          <w:rStyle w:val="36"/>
          <w:rFonts w:hint="eastAsia"/>
          <w:snapToGrid w:val="0"/>
        </w:rPr>
        <w:t>脱贫攻坚成果持续巩固，乡村振兴有效衔接，区乡村振兴局挂牌成立。</w:t>
      </w:r>
      <w:r>
        <w:rPr>
          <w:rFonts w:hint="eastAsia" w:eastAsia="仿宋_GB2312"/>
          <w:sz w:val="32"/>
          <w:szCs w:val="32"/>
        </w:rPr>
        <w:t>防止返贫监测帮扶对象拓展为所有涉农低收入困难群众。投入500万元对口帮扶寻甸、东川、维西实施农村基础设施、产业发展等建设项目12个。</w:t>
      </w:r>
      <w:r>
        <w:rPr>
          <w:rStyle w:val="36"/>
          <w:rFonts w:hint="eastAsia"/>
          <w:snapToGrid w:val="0"/>
        </w:rPr>
        <w:t>开展</w:t>
      </w:r>
      <w:r>
        <w:rPr>
          <w:rFonts w:hint="eastAsia" w:eastAsia="仿宋_GB2312"/>
          <w:sz w:val="32"/>
          <w:szCs w:val="32"/>
        </w:rPr>
        <w:t>“干部回乡规划乡村</w:t>
      </w:r>
      <w:r>
        <w:rPr>
          <w:rStyle w:val="36"/>
          <w:rFonts w:hint="eastAsia"/>
          <w:snapToGrid w:val="0"/>
        </w:rPr>
        <w:t>振兴</w:t>
      </w:r>
      <w:r>
        <w:rPr>
          <w:rFonts w:hint="eastAsia" w:eastAsia="仿宋_GB2312"/>
          <w:sz w:val="32"/>
          <w:szCs w:val="32"/>
        </w:rPr>
        <w:t>行动”，</w:t>
      </w:r>
      <w:r>
        <w:rPr>
          <w:rStyle w:val="36"/>
          <w:rFonts w:hint="eastAsia"/>
          <w:snapToGrid w:val="0"/>
        </w:rPr>
        <w:t>开展</w:t>
      </w:r>
      <w:r>
        <w:rPr>
          <w:rStyle w:val="36"/>
          <w:snapToGrid w:val="0"/>
        </w:rPr>
        <w:t>35</w:t>
      </w:r>
      <w:r>
        <w:rPr>
          <w:rStyle w:val="36"/>
          <w:rFonts w:hint="eastAsia"/>
          <w:snapToGrid w:val="0"/>
        </w:rPr>
        <w:t>个涉农社区“1+5”规划（方案）编制工作。建成10个美丽宜居乡村。农村人居环境整治持续推进，改建农村无害化卫生户厕9179座，农村卫生户厕覆盖率达90%以上，完成108座农村公厕提升改造，实现所有自然村拥有1座以上卫生水冲公厕。村庄污水收集处理设施实现全覆盖。碧鸡观音山社区获评市级精品示范村，海口中平社区成功创建省级美丽宜居乡村示范村。实施高素质农民培育工程，培育专业生产型高素质农民150人。</w:t>
      </w:r>
      <w:r>
        <w:rPr>
          <w:rFonts w:hint="eastAsia" w:eastAsia="仿宋_GB2312"/>
          <w:sz w:val="32"/>
          <w:szCs w:val="32"/>
        </w:rPr>
        <w:t>城乡区域发展协调性增强，城乡居民收入比由“十二五”末的2.27下降至2.08。</w:t>
      </w:r>
    </w:p>
    <w:p>
      <w:pPr>
        <w:topLinePunct/>
        <w:adjustRightInd w:val="0"/>
        <w:snapToGrid w:val="0"/>
        <w:spacing w:line="592" w:lineRule="exact"/>
        <w:ind w:firstLine="640" w:firstLineChars="200"/>
        <w:outlineLvl w:val="1"/>
        <w:rPr>
          <w:rFonts w:eastAsia="楷体_GB2312"/>
          <w:bCs/>
          <w:snapToGrid w:val="0"/>
          <w:sz w:val="32"/>
          <w:szCs w:val="32"/>
        </w:rPr>
      </w:pPr>
      <w:r>
        <w:rPr>
          <w:rFonts w:hint="eastAsia" w:eastAsia="楷体_GB2312"/>
          <w:bCs/>
          <w:snapToGrid w:val="0"/>
          <w:sz w:val="32"/>
          <w:szCs w:val="32"/>
        </w:rPr>
        <w:t>（四）民生福祉增进，幸福感持续提升</w:t>
      </w:r>
    </w:p>
    <w:p>
      <w:pPr>
        <w:topLinePunct/>
        <w:adjustRightInd w:val="0"/>
        <w:snapToGrid w:val="0"/>
        <w:spacing w:line="592" w:lineRule="exact"/>
        <w:ind w:firstLine="643" w:firstLineChars="200"/>
        <w:outlineLvl w:val="2"/>
        <w:rPr>
          <w:rFonts w:eastAsia="仿宋_GB2312"/>
          <w:b/>
          <w:sz w:val="32"/>
          <w:szCs w:val="32"/>
        </w:rPr>
      </w:pPr>
      <w:r>
        <w:rPr>
          <w:rFonts w:hint="eastAsia" w:eastAsia="仿宋_GB2312"/>
          <w:b/>
          <w:sz w:val="32"/>
          <w:szCs w:val="32"/>
        </w:rPr>
        <w:t>13.民生保障持续增强</w:t>
      </w:r>
    </w:p>
    <w:p>
      <w:pPr>
        <w:topLinePunct/>
        <w:adjustRightInd w:val="0"/>
        <w:snapToGrid w:val="0"/>
        <w:spacing w:line="592" w:lineRule="exact"/>
        <w:ind w:firstLine="688" w:firstLineChars="200"/>
        <w:rPr>
          <w:rFonts w:eastAsia="仿宋_GB2312"/>
          <w:spacing w:val="2"/>
          <w:sz w:val="32"/>
          <w:szCs w:val="32"/>
        </w:rPr>
      </w:pPr>
      <w:r>
        <w:rPr>
          <w:rFonts w:hint="eastAsia" w:eastAsia="仿宋_GB2312"/>
          <w:spacing w:val="12"/>
          <w:sz w:val="32"/>
          <w:szCs w:val="32"/>
        </w:rPr>
        <w:t>就业优先政策持续强化，投入就业补助资金</w:t>
      </w:r>
      <w:r>
        <w:rPr>
          <w:rFonts w:eastAsia="仿宋_GB2312"/>
          <w:spacing w:val="12"/>
          <w:sz w:val="32"/>
          <w:szCs w:val="32"/>
        </w:rPr>
        <w:t>3914.88</w:t>
      </w:r>
      <w:r>
        <w:rPr>
          <w:rFonts w:hint="eastAsia" w:eastAsia="仿宋_GB2312"/>
          <w:spacing w:val="12"/>
          <w:sz w:val="32"/>
          <w:szCs w:val="32"/>
        </w:rPr>
        <w:t>万元，</w:t>
      </w:r>
      <w:r>
        <w:rPr>
          <w:rFonts w:hint="eastAsia" w:eastAsia="仿宋_GB2312"/>
          <w:sz w:val="32"/>
          <w:lang w:val="zh-CN"/>
        </w:rPr>
        <w:t>完成农村劳动力转移就业</w:t>
      </w:r>
      <w:r>
        <w:rPr>
          <w:rFonts w:hint="eastAsia" w:eastAsia="仿宋_GB2312"/>
          <w:sz w:val="32"/>
        </w:rPr>
        <w:t>2887</w:t>
      </w:r>
      <w:r>
        <w:rPr>
          <w:rFonts w:hint="eastAsia" w:eastAsia="仿宋_GB2312"/>
          <w:sz w:val="32"/>
          <w:lang w:val="zh-CN"/>
        </w:rPr>
        <w:t>人，</w:t>
      </w:r>
      <w:r>
        <w:rPr>
          <w:rFonts w:hint="eastAsia" w:eastAsia="仿宋_GB2312"/>
          <w:sz w:val="32"/>
        </w:rPr>
        <w:t>实现城镇新增就业33664人，</w:t>
      </w:r>
      <w:r>
        <w:rPr>
          <w:rFonts w:hint="eastAsia" w:eastAsia="仿宋_GB2312"/>
          <w:spacing w:val="2"/>
          <w:sz w:val="32"/>
        </w:rPr>
        <w:t>城镇登记失业率3.69%。</w:t>
      </w:r>
      <w:r>
        <w:rPr>
          <w:rFonts w:hint="eastAsia" w:eastAsia="仿宋_GB2312"/>
          <w:spacing w:val="2"/>
          <w:sz w:val="32"/>
          <w:lang w:val="zh-CN"/>
        </w:rPr>
        <w:t>政校企合作共建省级青年大学生创业园，</w:t>
      </w:r>
      <w:r>
        <w:rPr>
          <w:rFonts w:hint="eastAsia" w:eastAsia="仿宋_GB2312"/>
          <w:spacing w:val="2"/>
          <w:sz w:val="32"/>
        </w:rPr>
        <w:t>52</w:t>
      </w:r>
      <w:r>
        <w:rPr>
          <w:rFonts w:hint="eastAsia" w:eastAsia="仿宋_GB2312"/>
          <w:spacing w:val="2"/>
          <w:sz w:val="32"/>
          <w:lang w:val="zh-CN"/>
        </w:rPr>
        <w:t>个在园项目累计带动就业</w:t>
      </w:r>
      <w:r>
        <w:rPr>
          <w:rFonts w:hint="eastAsia" w:eastAsia="仿宋_GB2312"/>
          <w:spacing w:val="2"/>
          <w:sz w:val="32"/>
        </w:rPr>
        <w:t>962人。深入</w:t>
      </w:r>
      <w:r>
        <w:rPr>
          <w:rFonts w:hint="eastAsia" w:eastAsia="仿宋_GB2312"/>
          <w:spacing w:val="2"/>
          <w:sz w:val="32"/>
          <w:lang w:val="zh-CN"/>
        </w:rPr>
        <w:t>实施全民参保计划，</w:t>
      </w:r>
      <w:r>
        <w:rPr>
          <w:rFonts w:hint="eastAsia" w:eastAsia="仿宋_GB2312"/>
          <w:spacing w:val="2"/>
          <w:sz w:val="32"/>
        </w:rPr>
        <w:t>基本社会保险覆盖82.98万人次，</w:t>
      </w:r>
      <w:r>
        <w:rPr>
          <w:rFonts w:hint="eastAsia" w:eastAsia="仿宋_GB2312"/>
          <w:spacing w:val="2"/>
          <w:sz w:val="32"/>
          <w:szCs w:val="32"/>
        </w:rPr>
        <w:t>参保覆盖率达98%以上。持续做好“一老一小”服务保障，区综合福利院正式运营，设立床位274张。完成113户困难老人家庭适老化改造。备案4家民办养老机构，新增各类养老床位762张。建立区级失能照护中心，护理床位比例达100%。建立老年幸福食堂10个，</w:t>
      </w:r>
      <w:r>
        <w:rPr>
          <w:rFonts w:hint="eastAsia" w:eastAsia="仿宋_GB2312"/>
          <w:spacing w:val="2"/>
          <w:kern w:val="0"/>
          <w:sz w:val="32"/>
          <w:szCs w:val="32"/>
          <w:lang w:val="zh-CN"/>
        </w:rPr>
        <w:t>合作建立为老助餐服务点23家。</w:t>
      </w:r>
      <w:r>
        <w:rPr>
          <w:rFonts w:hint="eastAsia" w:eastAsia="仿宋_GB2312"/>
          <w:spacing w:val="2"/>
          <w:sz w:val="32"/>
          <w:szCs w:val="32"/>
        </w:rPr>
        <w:t>适度普惠性儿童服务保障体系逐步建立。保障性住房供给有效扩大，完成螺蛳湾棚户区、卢家营等直管公房安置169户。交付18号、52号片区（A、D地块）回迁安置房2959套、30.</w:t>
      </w:r>
      <w:r>
        <w:rPr>
          <w:rFonts w:eastAsia="仿宋_GB2312"/>
          <w:spacing w:val="2"/>
          <w:sz w:val="32"/>
          <w:szCs w:val="32"/>
        </w:rPr>
        <w:t>8</w:t>
      </w:r>
      <w:r>
        <w:rPr>
          <w:rFonts w:hint="eastAsia" w:eastAsia="仿宋_GB2312"/>
          <w:spacing w:val="2"/>
          <w:sz w:val="32"/>
          <w:szCs w:val="32"/>
        </w:rPr>
        <w:t>3万平方米，启动建设11号、27号片区二期回迁安置房。推动29号棚户区改造、长坡物流园区安置房二期稳步建设。</w:t>
      </w:r>
    </w:p>
    <w:p>
      <w:pPr>
        <w:topLinePunct/>
        <w:adjustRightInd w:val="0"/>
        <w:snapToGrid w:val="0"/>
        <w:spacing w:line="592" w:lineRule="exact"/>
        <w:ind w:firstLine="643" w:firstLineChars="200"/>
        <w:outlineLvl w:val="2"/>
        <w:rPr>
          <w:rFonts w:eastAsia="仿宋_GB2312"/>
          <w:b/>
          <w:sz w:val="32"/>
          <w:szCs w:val="32"/>
        </w:rPr>
      </w:pPr>
      <w:r>
        <w:rPr>
          <w:rFonts w:hint="eastAsia" w:eastAsia="仿宋_GB2312"/>
          <w:b/>
          <w:sz w:val="32"/>
          <w:szCs w:val="32"/>
        </w:rPr>
        <w:t>14.教育体育均衡优质</w:t>
      </w:r>
    </w:p>
    <w:p>
      <w:pPr>
        <w:topLinePunct/>
        <w:adjustRightInd w:val="0"/>
        <w:snapToGrid w:val="0"/>
        <w:spacing w:line="592" w:lineRule="exact"/>
        <w:ind w:firstLine="640" w:firstLineChars="200"/>
        <w:rPr>
          <w:rFonts w:eastAsia="仿宋_GB2312"/>
          <w:kern w:val="0"/>
          <w:sz w:val="32"/>
          <w:szCs w:val="20"/>
        </w:rPr>
      </w:pPr>
      <w:r>
        <w:rPr>
          <w:rFonts w:hint="eastAsia" w:eastAsia="仿宋_GB2312"/>
          <w:sz w:val="32"/>
          <w:szCs w:val="32"/>
        </w:rPr>
        <w:t>推进教育改革，“双减”政策和“五项管理”实现</w:t>
      </w:r>
      <w:r>
        <w:rPr>
          <w:rFonts w:hint="eastAsia" w:eastAsia="仿宋_GB2312"/>
          <w:bCs/>
          <w:sz w:val="32"/>
          <w:szCs w:val="32"/>
        </w:rPr>
        <w:t>全区小学100%覆盖。</w:t>
      </w:r>
      <w:r>
        <w:rPr>
          <w:rFonts w:hint="eastAsia" w:eastAsia="仿宋_GB2312"/>
          <w:sz w:val="32"/>
          <w:szCs w:val="32"/>
        </w:rPr>
        <w:t>教育支出持续保持12%以上增速。</w:t>
      </w:r>
      <w:r>
        <w:rPr>
          <w:rFonts w:hint="eastAsia" w:eastAsia="仿宋_GB2312"/>
          <w:kern w:val="0"/>
          <w:sz w:val="32"/>
          <w:szCs w:val="20"/>
        </w:rPr>
        <w:t>教育资源加快优质均衡布局，</w:t>
      </w:r>
      <w:r>
        <w:rPr>
          <w:rFonts w:hint="eastAsia" w:eastAsia="仿宋_GB2312"/>
          <w:sz w:val="32"/>
          <w:szCs w:val="32"/>
        </w:rPr>
        <w:t>新增公办幼儿园4所、普惠性民办幼儿园5所，启动建设海口片区第二所公办幼儿园，公办及普惠性幼儿园的在园人数占比保持在85%以上。华东师范大学昆明实验学校实现招生，中央民大附中西山小学等6所学校开工建设，昆一中金岸中学创建成为省一级三等完全中学。新增公办学前教育学位1530个，新增义务教育阶段学位4800个，新增高中学位1650个。</w:t>
      </w:r>
      <w:r>
        <w:rPr>
          <w:rFonts w:hint="eastAsia" w:eastAsia="仿宋_GB2312"/>
          <w:bCs/>
          <w:sz w:val="32"/>
          <w:szCs w:val="32"/>
        </w:rPr>
        <w:t>中职学校“双证书”取证率达99%。</w:t>
      </w:r>
      <w:r>
        <w:rPr>
          <w:rFonts w:hint="eastAsia" w:eastAsia="仿宋_GB2312"/>
          <w:sz w:val="32"/>
          <w:szCs w:val="32"/>
        </w:rPr>
        <w:t>引进名师7名、名校1所、名长1人。</w:t>
      </w:r>
      <w:r>
        <w:rPr>
          <w:rFonts w:hint="eastAsia" w:eastAsia="仿宋_GB2312"/>
          <w:kern w:val="0"/>
          <w:sz w:val="32"/>
          <w:szCs w:val="32"/>
        </w:rPr>
        <w:t>“1+N”城乡互动课堂教学一期建成使用，</w:t>
      </w:r>
      <w:r>
        <w:rPr>
          <w:rFonts w:hint="eastAsia" w:eastAsia="仿宋_GB2312"/>
          <w:sz w:val="32"/>
          <w:szCs w:val="32"/>
        </w:rPr>
        <w:t>新增“1+N”精品教学直录播教室24间，开展“数字教材”试点。首家市级乡村“复兴少年宫”落户龙潭中心学校。新建健身路径10条，农民体育健身点2个</w:t>
      </w:r>
      <w:r>
        <w:rPr>
          <w:rFonts w:hint="eastAsia" w:eastAsia="仿宋_GB2312"/>
          <w:bCs/>
          <w:sz w:val="32"/>
          <w:szCs w:val="32"/>
        </w:rPr>
        <w:t>。</w:t>
      </w:r>
    </w:p>
    <w:p>
      <w:pPr>
        <w:topLinePunct/>
        <w:adjustRightInd w:val="0"/>
        <w:snapToGrid w:val="0"/>
        <w:spacing w:line="592" w:lineRule="exact"/>
        <w:ind w:firstLine="643" w:firstLineChars="200"/>
        <w:outlineLvl w:val="2"/>
        <w:rPr>
          <w:rFonts w:eastAsia="仿宋_GB2312"/>
          <w:b/>
          <w:sz w:val="32"/>
          <w:szCs w:val="32"/>
        </w:rPr>
      </w:pPr>
      <w:r>
        <w:rPr>
          <w:rFonts w:hint="eastAsia" w:eastAsia="仿宋_GB2312"/>
          <w:b/>
          <w:sz w:val="32"/>
          <w:szCs w:val="32"/>
        </w:rPr>
        <w:t>15.卫生健康持续提优</w:t>
      </w:r>
    </w:p>
    <w:p>
      <w:pPr>
        <w:topLinePunct/>
        <w:adjustRightInd w:val="0"/>
        <w:snapToGrid w:val="0"/>
        <w:spacing w:line="592" w:lineRule="exact"/>
        <w:ind w:firstLine="640" w:firstLineChars="200"/>
        <w:rPr>
          <w:rFonts w:eastAsia="仿宋_GB2312"/>
          <w:sz w:val="32"/>
          <w:szCs w:val="32"/>
        </w:rPr>
      </w:pPr>
      <w:r>
        <w:rPr>
          <w:rStyle w:val="39"/>
          <w:rFonts w:hint="eastAsia" w:ascii="Times New Roman" w:hAnsi="Times New Roman" w:eastAsia="仿宋_GB2312"/>
          <w:sz w:val="32"/>
          <w:szCs w:val="32"/>
        </w:rPr>
        <w:t>常态化疫情防控扎实有力，全区累计接种疫苗219</w:t>
      </w:r>
      <w:r>
        <w:rPr>
          <w:rStyle w:val="39"/>
          <w:rFonts w:hint="eastAsia" w:eastAsia="仿宋_GB2312"/>
          <w:sz w:val="32"/>
          <w:szCs w:val="32"/>
        </w:rPr>
        <w:t>万</w:t>
      </w:r>
      <w:r>
        <w:rPr>
          <w:rStyle w:val="39"/>
          <w:rFonts w:hint="eastAsia" w:ascii="Times New Roman" w:hAnsi="Times New Roman" w:eastAsia="仿宋_GB2312"/>
          <w:sz w:val="32"/>
          <w:szCs w:val="32"/>
        </w:rPr>
        <w:t>剂</w:t>
      </w:r>
      <w:r>
        <w:rPr>
          <w:rStyle w:val="39"/>
          <w:rFonts w:hint="eastAsia" w:eastAsia="仿宋_GB2312"/>
          <w:sz w:val="32"/>
          <w:szCs w:val="32"/>
        </w:rPr>
        <w:t>次</w:t>
      </w:r>
      <w:r>
        <w:rPr>
          <w:rStyle w:val="39"/>
          <w:rFonts w:hint="eastAsia" w:ascii="Times New Roman" w:hAnsi="Times New Roman" w:eastAsia="仿宋_GB2312"/>
          <w:sz w:val="32"/>
          <w:szCs w:val="32"/>
        </w:rPr>
        <w:t>，接种100</w:t>
      </w:r>
      <w:r>
        <w:rPr>
          <w:rStyle w:val="39"/>
          <w:rFonts w:hint="eastAsia" w:eastAsia="仿宋_GB2312"/>
          <w:sz w:val="32"/>
          <w:szCs w:val="32"/>
        </w:rPr>
        <w:t>万</w:t>
      </w:r>
      <w:r>
        <w:rPr>
          <w:rStyle w:val="39"/>
          <w:rFonts w:hint="eastAsia" w:ascii="Times New Roman" w:hAnsi="Times New Roman" w:eastAsia="仿宋_GB2312"/>
          <w:sz w:val="32"/>
          <w:szCs w:val="32"/>
        </w:rPr>
        <w:t>人。</w:t>
      </w:r>
      <w:r>
        <w:rPr>
          <w:rFonts w:hint="eastAsia" w:eastAsia="仿宋_GB2312"/>
          <w:kern w:val="0"/>
          <w:sz w:val="32"/>
          <w:szCs w:val="32"/>
          <w:lang w:val="zh-CN"/>
        </w:rPr>
        <w:t>草海中医馆全面</w:t>
      </w:r>
      <w:r>
        <w:rPr>
          <w:rFonts w:hint="eastAsia" w:eastAsia="仿宋_GB2312"/>
          <w:kern w:val="0"/>
          <w:sz w:val="32"/>
          <w:szCs w:val="32"/>
        </w:rPr>
        <w:t>建成，</w:t>
      </w:r>
      <w:r>
        <w:rPr>
          <w:rFonts w:hint="eastAsia" w:eastAsia="仿宋_GB2312"/>
          <w:kern w:val="0"/>
          <w:sz w:val="32"/>
          <w:szCs w:val="32"/>
          <w:lang w:val="zh-CN"/>
        </w:rPr>
        <w:t>区人民医院</w:t>
      </w:r>
      <w:r>
        <w:rPr>
          <w:rFonts w:hint="eastAsia" w:eastAsia="仿宋_GB2312"/>
          <w:sz w:val="32"/>
          <w:szCs w:val="32"/>
        </w:rPr>
        <w:t>三级综合医院新建项目有序推进</w:t>
      </w:r>
      <w:r>
        <w:rPr>
          <w:rFonts w:hint="eastAsia" w:eastAsia="仿宋_GB2312"/>
          <w:kern w:val="0"/>
          <w:sz w:val="32"/>
          <w:szCs w:val="32"/>
        </w:rPr>
        <w:t>。</w:t>
      </w:r>
      <w:r>
        <w:rPr>
          <w:rStyle w:val="39"/>
          <w:rFonts w:hint="eastAsia" w:ascii="Times New Roman" w:hAnsi="Times New Roman" w:eastAsia="仿宋_GB2312"/>
          <w:sz w:val="32"/>
          <w:szCs w:val="32"/>
        </w:rPr>
        <w:t>持续推进区人民医院危急重症“五大中心”建设，胸痛、卒中、创伤、危重孕产妇救治中心通过验收。基层医疗服务提质增效</w:t>
      </w:r>
      <w:r>
        <w:rPr>
          <w:rFonts w:hint="eastAsia" w:eastAsia="楷体_GB2312"/>
          <w:sz w:val="32"/>
          <w:szCs w:val="32"/>
        </w:rPr>
        <w:t>，</w:t>
      </w:r>
      <w:r>
        <w:rPr>
          <w:rFonts w:hint="eastAsia" w:eastAsia="仿宋_GB2312"/>
          <w:sz w:val="32"/>
          <w:szCs w:val="32"/>
        </w:rPr>
        <w:t>70%社区卫生服务中心创建成为省级甲等。新建成4个社区“慢病管理中心”和1个“心血管救助站”。建立“4+X”家庭医生团队367个，家庭医生签约人数约19万，履约率达95%以上。全面开展长期护理保险试点。基本医疗保险覆盖53.34万人，全民医保实现“应保尽保”。</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16.文化事业繁荣兴盛</w:t>
      </w:r>
    </w:p>
    <w:p>
      <w:pPr>
        <w:topLinePunct/>
        <w:adjustRightInd w:val="0"/>
        <w:snapToGrid w:val="0"/>
        <w:spacing w:line="592" w:lineRule="exact"/>
        <w:ind w:firstLine="640" w:firstLineChars="200"/>
        <w:rPr>
          <w:rFonts w:eastAsia="仿宋_GB2312"/>
          <w:sz w:val="32"/>
          <w:szCs w:val="32"/>
        </w:rPr>
      </w:pPr>
      <w:r>
        <w:rPr>
          <w:rFonts w:hint="eastAsia" w:eastAsia="仿宋_GB2312"/>
          <w:bCs/>
          <w:sz w:val="32"/>
          <w:szCs w:val="32"/>
        </w:rPr>
        <w:t>投入基层公共文化服务专项资金1922万元，</w:t>
      </w:r>
      <w:r>
        <w:rPr>
          <w:rFonts w:hint="eastAsia" w:eastAsia="仿宋_GB2312"/>
          <w:sz w:val="32"/>
          <w:szCs w:val="32"/>
          <w:lang w:val="zh-CN"/>
        </w:rPr>
        <w:t>公共文化服务供给有效提升</w:t>
      </w:r>
      <w:r>
        <w:rPr>
          <w:rFonts w:hint="eastAsia" w:eastAsia="仿宋_GB2312"/>
          <w:bCs/>
          <w:sz w:val="32"/>
          <w:szCs w:val="32"/>
        </w:rPr>
        <w:t>。创新推出</w:t>
      </w:r>
      <w:r>
        <w:rPr>
          <w:rFonts w:hint="eastAsia" w:eastAsia="仿宋_GB2312"/>
          <w:sz w:val="32"/>
          <w:szCs w:val="32"/>
        </w:rPr>
        <w:t>“春节不打烊”等线上</w:t>
      </w:r>
      <w:r>
        <w:rPr>
          <w:rFonts w:hint="eastAsia" w:eastAsia="仿宋_GB2312"/>
          <w:kern w:val="0"/>
          <w:sz w:val="32"/>
          <w:szCs w:val="32"/>
          <w:lang w:val="zh-CN"/>
        </w:rPr>
        <w:t>公共文化服务。</w:t>
      </w:r>
      <w:r>
        <w:rPr>
          <w:rFonts w:hint="eastAsia" w:eastAsia="仿宋_GB2312"/>
          <w:bCs/>
          <w:sz w:val="32"/>
          <w:szCs w:val="32"/>
        </w:rPr>
        <w:t>投入250万元发放三批文化惠民消费券。</w:t>
      </w:r>
      <w:r>
        <w:rPr>
          <w:rFonts w:hint="eastAsia" w:eastAsia="仿宋_GB2312"/>
          <w:kern w:val="0"/>
          <w:sz w:val="32"/>
          <w:szCs w:val="32"/>
          <w:lang w:val="zh-CN"/>
        </w:rPr>
        <w:t>持续</w:t>
      </w:r>
      <w:r>
        <w:rPr>
          <w:rFonts w:hint="eastAsia" w:eastAsia="仿宋_GB2312"/>
          <w:sz w:val="32"/>
          <w:szCs w:val="32"/>
        </w:rPr>
        <w:t>开展“文化大篷车千乡万里行”等文化文艺惠民演出。完成滇池博物馆开馆。有序推进区图书馆新馆建设、区文化馆提升改造。掐丝珐琅彩画等7名非遗传承人成功申报市级第五批传承人。完成国保石龙坝水电站“十三五”国家文化和自然遗产保护利用设施建设。</w:t>
      </w:r>
    </w:p>
    <w:p>
      <w:pPr>
        <w:topLinePunct/>
        <w:adjustRightInd w:val="0"/>
        <w:snapToGrid w:val="0"/>
        <w:spacing w:line="592" w:lineRule="exact"/>
        <w:ind w:firstLine="640" w:firstLineChars="200"/>
        <w:outlineLvl w:val="1"/>
        <w:rPr>
          <w:rFonts w:eastAsia="楷体_GB2312"/>
          <w:bCs/>
          <w:snapToGrid w:val="0"/>
          <w:sz w:val="32"/>
          <w:szCs w:val="32"/>
        </w:rPr>
      </w:pPr>
      <w:r>
        <w:rPr>
          <w:rFonts w:hint="eastAsia" w:eastAsia="楷体_GB2312"/>
          <w:bCs/>
          <w:snapToGrid w:val="0"/>
          <w:sz w:val="32"/>
          <w:szCs w:val="32"/>
        </w:rPr>
        <w:t>（五）绿色生态巩固，社会治理精细高效</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17.绿色发展有力践行</w:t>
      </w:r>
    </w:p>
    <w:p>
      <w:pPr>
        <w:topLinePunct/>
        <w:adjustRightInd w:val="0"/>
        <w:snapToGrid w:val="0"/>
        <w:spacing w:line="592" w:lineRule="exact"/>
        <w:ind w:firstLine="640" w:firstLineChars="200"/>
        <w:rPr>
          <w:rFonts w:eastAsia="仿宋_GB2312"/>
          <w:b/>
          <w:sz w:val="32"/>
          <w:szCs w:val="32"/>
        </w:rPr>
      </w:pPr>
      <w:r>
        <w:rPr>
          <w:rFonts w:hint="eastAsia" w:eastAsia="仿宋_GB2312"/>
          <w:sz w:val="32"/>
          <w:szCs w:val="32"/>
        </w:rPr>
        <w:t>绿色发展空间持续扩大，深化能源消耗总量和强度“双控”行动，单位GDP能耗预计同比下降3.8%。遴选能效“领跑者”，1户企业申报环保装备制造业规范条件企业。推广绿色建筑，建筑节能设计标准执行率达100%，施工阶段执行率达97%以上。</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18.生态建设持续推进</w:t>
      </w:r>
    </w:p>
    <w:p>
      <w:pPr>
        <w:topLinePunct/>
        <w:adjustRightInd w:val="0"/>
        <w:snapToGrid w:val="0"/>
        <w:spacing w:line="592" w:lineRule="exact"/>
        <w:ind w:firstLine="640" w:firstLineChars="200"/>
        <w:rPr>
          <w:rFonts w:eastAsia="仿宋_GB2312"/>
          <w:spacing w:val="4"/>
          <w:sz w:val="32"/>
          <w:szCs w:val="32"/>
        </w:rPr>
      </w:pPr>
      <w:r>
        <w:rPr>
          <w:rFonts w:hint="eastAsia" w:eastAsia="仿宋_GB2312"/>
          <w:sz w:val="32"/>
          <w:szCs w:val="32"/>
        </w:rPr>
        <w:t>全力创建国家生态文明建设示范区，深入打好蓝天、碧水、</w:t>
      </w:r>
      <w:r>
        <w:rPr>
          <w:rFonts w:hint="eastAsia" w:eastAsia="仿宋_GB2312"/>
          <w:spacing w:val="4"/>
          <w:sz w:val="32"/>
          <w:szCs w:val="32"/>
        </w:rPr>
        <w:t>净土保卫战。扎实做好施工工地、餐馆、渣土运输等领域大气污染防治，空气质量优良率达99.4%。河湖“清四乱”常态化，实现河（湖）长制全覆盖。28个地表水监测断面整体水质达标率达71.4%。螳螂川水质明显改善。金家河、大墨雨水库等4个河湖成功申报为市级“美丽河湖”。</w:t>
      </w:r>
      <w:r>
        <w:rPr>
          <w:rFonts w:hint="eastAsia" w:eastAsia="仿宋_GB2312"/>
          <w:snapToGrid w:val="0"/>
          <w:spacing w:val="4"/>
          <w:kern w:val="0"/>
          <w:sz w:val="32"/>
          <w:szCs w:val="32"/>
        </w:rPr>
        <w:t>全面启动二环内149个排水单元（362个老旧小区）雨污分流改造。开展</w:t>
      </w:r>
      <w:r>
        <w:rPr>
          <w:rFonts w:hint="eastAsia" w:eastAsia="仿宋_GB2312"/>
          <w:spacing w:val="4"/>
          <w:sz w:val="32"/>
          <w:szCs w:val="32"/>
        </w:rPr>
        <w:t>跨界流域河湖保护治理，与五华区等7个县区签订跨区河湖管理保护协调合作协议。持续推进“十年禁渔”工作。持续开展滇池湖滨生态带建设“四退三还一护”，完成新河湿地、草海北片区等3791亩湿地新建和提升，环草海生态湿地基本闭合。扎实做好中央第二轮生态环境保护督察交办件整改、验收、销号，清理整治滇池沿岸违规违建点位202个，拆除67个点位23.32万平方米建（构）筑物。农业面源污染防治减量增效，建成绿色防控示范面积1200亩。有效管护天然林76.89万亩，森林覆盖率达53.87%。尖山磷矿汤家山、松山矿段纳入国家级绿色矿山名录。</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19.社会治理创新精细</w:t>
      </w:r>
    </w:p>
    <w:p>
      <w:pPr>
        <w:topLinePunct/>
        <w:adjustRightInd w:val="0"/>
        <w:snapToGrid w:val="0"/>
        <w:spacing w:line="592" w:lineRule="exact"/>
        <w:ind w:firstLine="640" w:firstLineChars="200"/>
        <w:rPr>
          <w:rFonts w:eastAsia="仿宋_GB2312"/>
          <w:sz w:val="32"/>
        </w:rPr>
      </w:pPr>
      <w:r>
        <w:rPr>
          <w:rFonts w:hint="eastAsia" w:eastAsia="仿宋_GB2312"/>
          <w:sz w:val="32"/>
        </w:rPr>
        <w:t>深化“1+9+X”网格化精细治理，受理</w:t>
      </w:r>
      <w:r>
        <w:rPr>
          <w:rFonts w:hint="eastAsia" w:eastAsia="仿宋_GB2312"/>
          <w:sz w:val="32"/>
          <w:szCs w:val="32"/>
        </w:rPr>
        <w:t>网格案件49万余件</w:t>
      </w:r>
      <w:r>
        <w:rPr>
          <w:rFonts w:hint="eastAsia" w:eastAsia="仿宋_GB2312"/>
          <w:sz w:val="32"/>
        </w:rPr>
        <w:t>。深化基层治理创新，制定运用共商、共建、共治、共享“四共”工作法，有效化解碧鸡广场</w:t>
      </w:r>
      <w:r>
        <w:rPr>
          <w:rFonts w:hint="eastAsia" w:eastAsia="仿宋_GB2312"/>
          <w:sz w:val="32"/>
          <w:szCs w:val="32"/>
        </w:rPr>
        <w:t>治理难题</w:t>
      </w:r>
      <w:r>
        <w:rPr>
          <w:rFonts w:hint="eastAsia" w:eastAsia="仿宋_GB2312"/>
          <w:sz w:val="32"/>
        </w:rPr>
        <w:t>。</w:t>
      </w:r>
      <w:r>
        <w:rPr>
          <w:rFonts w:hint="eastAsia" w:eastAsia="仿宋_GB2312"/>
          <w:sz w:val="32"/>
          <w:szCs w:val="32"/>
        </w:rPr>
        <w:t>社区“楼栋长”、乡村“十户长”制度实现121个社区全覆盖。8个小区完成百佳示范小区创建。</w:t>
      </w:r>
      <w:r>
        <w:rPr>
          <w:rFonts w:hint="eastAsia" w:eastAsia="仿宋_GB2312"/>
          <w:sz w:val="32"/>
        </w:rPr>
        <w:t>探索“社工站+”多元力量参与治理模式，形成“1+10+X”三级治理服务体系，拥有社区服务类社会组织35家。</w:t>
      </w:r>
      <w:r>
        <w:rPr>
          <w:rFonts w:hint="eastAsia" w:eastAsia="仿宋_GB2312"/>
          <w:sz w:val="32"/>
          <w:szCs w:val="32"/>
        </w:rPr>
        <w:t>棕树营街道六合社区新入选第二批省级城乡社区治理现代化试点，碧鸡街道“活化共治—观音山社区总体营造计划”被列为2021年度市级社会治理创新重点项目。</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20.公共安全安心可靠</w:t>
      </w:r>
    </w:p>
    <w:p>
      <w:pPr>
        <w:topLinePunct/>
        <w:adjustRightInd w:val="0"/>
        <w:snapToGrid w:val="0"/>
        <w:spacing w:line="592" w:lineRule="exact"/>
        <w:ind w:firstLine="640" w:firstLineChars="200"/>
        <w:rPr>
          <w:rFonts w:eastAsia="仿宋_GB2312"/>
          <w:spacing w:val="6"/>
          <w:sz w:val="32"/>
        </w:rPr>
      </w:pPr>
      <w:r>
        <w:rPr>
          <w:rFonts w:hint="eastAsia" w:eastAsia="仿宋_GB2312"/>
          <w:sz w:val="32"/>
        </w:rPr>
        <w:t>打造全国首个总体国家安全观主题地铁展厅。</w:t>
      </w:r>
      <w:r>
        <w:rPr>
          <w:rFonts w:hint="eastAsia" w:eastAsia="仿宋_GB2312"/>
          <w:spacing w:val="6"/>
          <w:sz w:val="32"/>
        </w:rPr>
        <w:t>常态化开展扫黑除恶，始终保持对黑恶势力违法犯罪打击的高压态势。坚持群防群治，警情总量在主城四区持续保持最低。率先在全省区县推进“情指勤督舆”一体化改革，建立“五融五联”警务融合体系，街面见警率同比提高40%，街面违法犯罪警情同比下降14%，再创新低，实现357天“两抢”零接报。严打新型电信网络诈骗犯罪，推广应用“金钟罩”反诈系统，止付涉案金额2.31亿元。创建“五零”社区44个、“五零”企业单位170个。建成智慧安防小区838个，零发案率99.41%，位居主城五区第一。建成全市第一家执法办案管理中心。</w:t>
      </w:r>
      <w:r>
        <w:rPr>
          <w:rFonts w:hint="eastAsia" w:eastAsia="仿宋_GB2312"/>
          <w:spacing w:val="6"/>
          <w:sz w:val="32"/>
          <w:szCs w:val="32"/>
        </w:rPr>
        <w:t>“雪亮工程”二期基本建成。</w:t>
      </w:r>
      <w:r>
        <w:rPr>
          <w:rFonts w:hint="eastAsia" w:eastAsia="仿宋_GB2312"/>
          <w:spacing w:val="6"/>
          <w:sz w:val="32"/>
        </w:rPr>
        <w:t>坚持和发展新时代“枫桥经验”，“一站式”矛盾纠纷调解中心建设加快推进。完成7家社区应急（减灾）服务站标准化建设，公共安全应急管理能力持续提升，全年未发生重大及以上安全生产事故。</w:t>
      </w:r>
    </w:p>
    <w:p>
      <w:pPr>
        <w:topLinePunct/>
        <w:adjustRightInd w:val="0"/>
        <w:snapToGrid w:val="0"/>
        <w:spacing w:line="592" w:lineRule="exact"/>
        <w:ind w:firstLine="640" w:firstLineChars="200"/>
        <w:outlineLvl w:val="0"/>
        <w:rPr>
          <w:rFonts w:eastAsia="黑体"/>
          <w:bCs/>
          <w:sz w:val="32"/>
          <w:szCs w:val="32"/>
        </w:rPr>
      </w:pPr>
      <w:r>
        <w:rPr>
          <w:rFonts w:hint="eastAsia" w:eastAsia="黑体"/>
          <w:bCs/>
          <w:sz w:val="32"/>
          <w:szCs w:val="32"/>
        </w:rPr>
        <w:t>二、政府</w:t>
      </w:r>
      <w:r>
        <w:rPr>
          <w:rFonts w:hint="eastAsia" w:eastAsia="黑体"/>
          <w:snapToGrid w:val="0"/>
          <w:sz w:val="32"/>
          <w:szCs w:val="32"/>
        </w:rPr>
        <w:t>投资基本建设项目执行情况</w:t>
      </w:r>
    </w:p>
    <w:p>
      <w:pPr>
        <w:pStyle w:val="26"/>
        <w:topLinePunct/>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2021年全区政府投资项目共103项，计划总投资139.5亿元，年度计划完成投资44.5亿元，预计实际完成投资37.7亿元，完成年度投资计划的84.7%；开工39项、开工率63.9%；完工37项，需结转2022年继续建设66项。</w:t>
      </w:r>
    </w:p>
    <w:tbl>
      <w:tblPr>
        <w:tblStyle w:val="19"/>
        <w:tblW w:w="939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95"/>
        <w:gridCol w:w="1134"/>
        <w:gridCol w:w="1134"/>
        <w:gridCol w:w="1276"/>
        <w:gridCol w:w="1843"/>
        <w:gridCol w:w="16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tblHeader/>
          <w:jc w:val="center"/>
        </w:trPr>
        <w:tc>
          <w:tcPr>
            <w:tcW w:w="2395" w:type="dxa"/>
            <w:tcBorders>
              <w:tl2br w:val="nil"/>
              <w:tr2bl w:val="nil"/>
            </w:tcBorders>
            <w:tcMar>
              <w:top w:w="15" w:type="dxa"/>
              <w:left w:w="15" w:type="dxa"/>
              <w:right w:w="15" w:type="dxa"/>
            </w:tcMar>
            <w:vAlign w:val="center"/>
          </w:tcPr>
          <w:p>
            <w:pPr>
              <w:adjustRightInd w:val="0"/>
              <w:snapToGrid w:val="0"/>
              <w:spacing w:line="240" w:lineRule="atLeast"/>
              <w:jc w:val="center"/>
              <w:textAlignment w:val="center"/>
              <w:rPr>
                <w:rFonts w:eastAsia="黑体"/>
                <w:sz w:val="24"/>
              </w:rPr>
            </w:pPr>
            <w:r>
              <w:rPr>
                <w:rFonts w:hint="eastAsia" w:eastAsia="黑体"/>
                <w:kern w:val="0"/>
                <w:sz w:val="24"/>
                <w:lang w:bidi="ar"/>
              </w:rPr>
              <w:t>项目类别</w:t>
            </w:r>
          </w:p>
        </w:tc>
        <w:tc>
          <w:tcPr>
            <w:tcW w:w="1134" w:type="dxa"/>
            <w:tcBorders>
              <w:tl2br w:val="nil"/>
              <w:tr2bl w:val="nil"/>
            </w:tcBorders>
            <w:tcMar>
              <w:top w:w="15" w:type="dxa"/>
              <w:left w:w="15" w:type="dxa"/>
              <w:right w:w="15" w:type="dxa"/>
            </w:tcMar>
            <w:vAlign w:val="center"/>
          </w:tcPr>
          <w:p>
            <w:pPr>
              <w:adjustRightInd w:val="0"/>
              <w:snapToGrid w:val="0"/>
              <w:spacing w:line="240" w:lineRule="atLeast"/>
              <w:jc w:val="center"/>
              <w:textAlignment w:val="center"/>
              <w:rPr>
                <w:rFonts w:eastAsia="黑体"/>
                <w:kern w:val="0"/>
                <w:sz w:val="24"/>
                <w:lang w:bidi="ar"/>
              </w:rPr>
            </w:pPr>
            <w:r>
              <w:rPr>
                <w:rFonts w:hint="eastAsia" w:eastAsia="黑体"/>
                <w:kern w:val="0"/>
                <w:sz w:val="24"/>
                <w:lang w:bidi="ar"/>
              </w:rPr>
              <w:t>业主责任部门数</w:t>
            </w:r>
          </w:p>
        </w:tc>
        <w:tc>
          <w:tcPr>
            <w:tcW w:w="1134" w:type="dxa"/>
            <w:tcBorders>
              <w:tl2br w:val="nil"/>
              <w:tr2bl w:val="nil"/>
            </w:tcBorders>
            <w:tcMar>
              <w:top w:w="15" w:type="dxa"/>
              <w:left w:w="15" w:type="dxa"/>
              <w:right w:w="15" w:type="dxa"/>
            </w:tcMar>
            <w:vAlign w:val="center"/>
          </w:tcPr>
          <w:p>
            <w:pPr>
              <w:adjustRightInd w:val="0"/>
              <w:snapToGrid w:val="0"/>
              <w:spacing w:line="240" w:lineRule="atLeast"/>
              <w:jc w:val="center"/>
              <w:textAlignment w:val="center"/>
              <w:rPr>
                <w:rFonts w:eastAsia="黑体"/>
                <w:sz w:val="24"/>
              </w:rPr>
            </w:pPr>
            <w:r>
              <w:rPr>
                <w:rFonts w:hint="eastAsia" w:eastAsia="黑体"/>
                <w:kern w:val="0"/>
                <w:sz w:val="24"/>
                <w:lang w:bidi="ar"/>
              </w:rPr>
              <w:t>项目数（项）</w:t>
            </w:r>
          </w:p>
        </w:tc>
        <w:tc>
          <w:tcPr>
            <w:tcW w:w="1276" w:type="dxa"/>
            <w:tcBorders>
              <w:tl2br w:val="nil"/>
              <w:tr2bl w:val="nil"/>
            </w:tcBorders>
            <w:tcMar>
              <w:top w:w="15" w:type="dxa"/>
              <w:left w:w="15" w:type="dxa"/>
              <w:right w:w="15" w:type="dxa"/>
            </w:tcMar>
            <w:vAlign w:val="center"/>
          </w:tcPr>
          <w:p>
            <w:pPr>
              <w:adjustRightInd w:val="0"/>
              <w:snapToGrid w:val="0"/>
              <w:spacing w:line="240" w:lineRule="atLeast"/>
              <w:jc w:val="center"/>
              <w:textAlignment w:val="center"/>
              <w:rPr>
                <w:rFonts w:eastAsia="黑体"/>
                <w:sz w:val="24"/>
              </w:rPr>
            </w:pPr>
            <w:r>
              <w:rPr>
                <w:rFonts w:hint="eastAsia" w:eastAsia="黑体"/>
                <w:kern w:val="0"/>
                <w:sz w:val="24"/>
                <w:lang w:bidi="ar"/>
              </w:rPr>
              <w:t>计划总投资（亿元）</w:t>
            </w:r>
          </w:p>
        </w:tc>
        <w:tc>
          <w:tcPr>
            <w:tcW w:w="1843" w:type="dxa"/>
            <w:tcBorders>
              <w:tl2br w:val="nil"/>
              <w:tr2bl w:val="nil"/>
            </w:tcBorders>
            <w:tcMar>
              <w:top w:w="15" w:type="dxa"/>
              <w:left w:w="15" w:type="dxa"/>
              <w:right w:w="15" w:type="dxa"/>
            </w:tcMar>
            <w:vAlign w:val="center"/>
          </w:tcPr>
          <w:p>
            <w:pPr>
              <w:adjustRightInd w:val="0"/>
              <w:snapToGrid w:val="0"/>
              <w:spacing w:line="240" w:lineRule="atLeast"/>
              <w:jc w:val="center"/>
              <w:textAlignment w:val="center"/>
              <w:rPr>
                <w:rFonts w:eastAsia="仿宋_GB2312"/>
                <w:sz w:val="24"/>
              </w:rPr>
            </w:pPr>
            <w:r>
              <w:rPr>
                <w:rFonts w:hint="eastAsia" w:eastAsia="仿宋_GB2312"/>
                <w:kern w:val="0"/>
                <w:sz w:val="24"/>
                <w:lang w:bidi="ar"/>
              </w:rPr>
              <w:t>2021</w:t>
            </w:r>
            <w:r>
              <w:rPr>
                <w:rFonts w:hint="eastAsia" w:eastAsia="黑体"/>
                <w:kern w:val="0"/>
                <w:sz w:val="24"/>
                <w:lang w:bidi="ar"/>
              </w:rPr>
              <w:t>年计划完成投资（亿元）</w:t>
            </w:r>
          </w:p>
        </w:tc>
        <w:tc>
          <w:tcPr>
            <w:tcW w:w="1614" w:type="dxa"/>
            <w:tcBorders>
              <w:tl2br w:val="nil"/>
              <w:tr2bl w:val="nil"/>
            </w:tcBorders>
            <w:tcMar>
              <w:top w:w="15" w:type="dxa"/>
              <w:left w:w="15" w:type="dxa"/>
              <w:right w:w="15" w:type="dxa"/>
            </w:tcMar>
            <w:vAlign w:val="center"/>
          </w:tcPr>
          <w:p>
            <w:pPr>
              <w:adjustRightInd w:val="0"/>
              <w:snapToGrid w:val="0"/>
              <w:spacing w:line="240" w:lineRule="atLeast"/>
              <w:jc w:val="center"/>
              <w:textAlignment w:val="center"/>
              <w:rPr>
                <w:sz w:val="24"/>
              </w:rPr>
            </w:pPr>
            <w:r>
              <w:rPr>
                <w:rFonts w:hint="eastAsia" w:eastAsia="黑体"/>
                <w:kern w:val="0"/>
                <w:sz w:val="24"/>
                <w:lang w:bidi="ar"/>
              </w:rPr>
              <w:t>实际完成投资（亿元）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2395"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rFonts w:eastAsia="仿宋_GB2312"/>
                <w:sz w:val="24"/>
              </w:rPr>
            </w:pPr>
            <w:r>
              <w:rPr>
                <w:rFonts w:hint="eastAsia" w:eastAsia="仿宋_GB2312"/>
                <w:kern w:val="0"/>
                <w:sz w:val="24"/>
                <w:lang w:bidi="ar"/>
              </w:rPr>
              <w:t>总计</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kern w:val="0"/>
                <w:sz w:val="24"/>
                <w:lang w:bidi="ar"/>
              </w:rPr>
            </w:pPr>
            <w:r>
              <w:rPr>
                <w:rFonts w:hint="eastAsia" w:eastAsia="仿宋_GB2312"/>
                <w:kern w:val="0"/>
                <w:sz w:val="24"/>
                <w:lang w:bidi="ar"/>
              </w:rPr>
              <w:t>19</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rFonts w:eastAsia="仿宋_GB2312"/>
                <w:sz w:val="24"/>
              </w:rPr>
            </w:pPr>
            <w:r>
              <w:rPr>
                <w:rFonts w:hint="eastAsia" w:eastAsia="仿宋_GB2312"/>
                <w:kern w:val="0"/>
                <w:sz w:val="24"/>
                <w:lang w:bidi="ar"/>
              </w:rPr>
              <w:t>103</w:t>
            </w:r>
          </w:p>
        </w:tc>
        <w:tc>
          <w:tcPr>
            <w:tcW w:w="1276"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rFonts w:eastAsia="仿宋_GB2312"/>
                <w:sz w:val="24"/>
              </w:rPr>
            </w:pPr>
            <w:r>
              <w:rPr>
                <w:rFonts w:hint="eastAsia" w:eastAsia="仿宋_GB2312"/>
                <w:kern w:val="0"/>
                <w:sz w:val="24"/>
                <w:lang w:bidi="ar"/>
              </w:rPr>
              <w:t>139.5</w:t>
            </w:r>
          </w:p>
        </w:tc>
        <w:tc>
          <w:tcPr>
            <w:tcW w:w="1843"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rFonts w:eastAsia="仿宋_GB2312"/>
                <w:sz w:val="24"/>
              </w:rPr>
            </w:pPr>
            <w:r>
              <w:rPr>
                <w:rFonts w:hint="eastAsia" w:eastAsia="仿宋_GB2312"/>
                <w:kern w:val="0"/>
                <w:sz w:val="24"/>
                <w:lang w:bidi="ar"/>
              </w:rPr>
              <w:t>44.5</w:t>
            </w:r>
          </w:p>
        </w:tc>
        <w:tc>
          <w:tcPr>
            <w:tcW w:w="161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rFonts w:eastAsia="仿宋_GB2312"/>
                <w:sz w:val="24"/>
              </w:rPr>
            </w:pPr>
            <w:r>
              <w:rPr>
                <w:rFonts w:hint="eastAsia" w:eastAsia="仿宋_GB2312"/>
                <w:kern w:val="0"/>
                <w:sz w:val="24"/>
                <w:lang w:bidi="ar"/>
              </w:rPr>
              <w:t>37.7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2395" w:type="dxa"/>
            <w:tcBorders>
              <w:tl2br w:val="nil"/>
              <w:tr2bl w:val="nil"/>
            </w:tcBorders>
            <w:tcMar>
              <w:top w:w="15" w:type="dxa"/>
              <w:left w:w="15" w:type="dxa"/>
              <w:right w:w="15" w:type="dxa"/>
            </w:tcMar>
            <w:vAlign w:val="center"/>
          </w:tcPr>
          <w:p>
            <w:pPr>
              <w:topLinePunct/>
              <w:adjustRightInd w:val="0"/>
              <w:snapToGrid w:val="0"/>
              <w:spacing w:line="240" w:lineRule="atLeast"/>
              <w:textAlignment w:val="center"/>
              <w:rPr>
                <w:rFonts w:eastAsia="仿宋_GB2312"/>
                <w:sz w:val="24"/>
              </w:rPr>
            </w:pPr>
            <w:r>
              <w:rPr>
                <w:rFonts w:hint="eastAsia" w:eastAsia="仿宋_GB2312"/>
                <w:kern w:val="0"/>
                <w:sz w:val="24"/>
                <w:lang w:bidi="ar"/>
              </w:rPr>
              <w:t>一、乡村振兴建设项目</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kern w:val="0"/>
                <w:sz w:val="24"/>
                <w:lang w:bidi="ar"/>
              </w:rPr>
            </w:pPr>
            <w:r>
              <w:rPr>
                <w:rFonts w:hint="eastAsia" w:eastAsia="仿宋_GB2312"/>
                <w:kern w:val="0"/>
                <w:sz w:val="24"/>
                <w:lang w:bidi="ar"/>
              </w:rPr>
              <w:t>2</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4</w:t>
            </w:r>
          </w:p>
        </w:tc>
        <w:tc>
          <w:tcPr>
            <w:tcW w:w="1276"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1.8</w:t>
            </w:r>
          </w:p>
        </w:tc>
        <w:tc>
          <w:tcPr>
            <w:tcW w:w="1843"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0.5</w:t>
            </w:r>
          </w:p>
        </w:tc>
        <w:tc>
          <w:tcPr>
            <w:tcW w:w="161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2395" w:type="dxa"/>
            <w:tcBorders>
              <w:tl2br w:val="nil"/>
              <w:tr2bl w:val="nil"/>
            </w:tcBorders>
            <w:tcMar>
              <w:top w:w="15" w:type="dxa"/>
              <w:left w:w="15" w:type="dxa"/>
              <w:right w:w="15" w:type="dxa"/>
            </w:tcMar>
            <w:vAlign w:val="center"/>
          </w:tcPr>
          <w:p>
            <w:pPr>
              <w:topLinePunct/>
              <w:adjustRightInd w:val="0"/>
              <w:snapToGrid w:val="0"/>
              <w:spacing w:line="240" w:lineRule="atLeast"/>
              <w:textAlignment w:val="center"/>
              <w:rPr>
                <w:rFonts w:eastAsia="仿宋_GB2312"/>
                <w:sz w:val="24"/>
              </w:rPr>
            </w:pPr>
            <w:r>
              <w:rPr>
                <w:rFonts w:hint="eastAsia" w:eastAsia="仿宋_GB2312"/>
                <w:kern w:val="0"/>
                <w:sz w:val="24"/>
                <w:lang w:bidi="ar"/>
              </w:rPr>
              <w:t>二、水利基础设施建设项目</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kern w:val="0"/>
                <w:sz w:val="24"/>
                <w:lang w:bidi="ar"/>
              </w:rPr>
            </w:pPr>
            <w:r>
              <w:rPr>
                <w:rFonts w:hint="eastAsia" w:eastAsia="仿宋_GB2312"/>
                <w:kern w:val="0"/>
                <w:sz w:val="24"/>
                <w:lang w:bidi="ar"/>
              </w:rPr>
              <w:t>2</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sz w:val="24"/>
              </w:rPr>
              <w:t>6</w:t>
            </w:r>
          </w:p>
        </w:tc>
        <w:tc>
          <w:tcPr>
            <w:tcW w:w="1276"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rFonts w:eastAsia="仿宋_GB2312"/>
                <w:sz w:val="24"/>
              </w:rPr>
            </w:pPr>
            <w:r>
              <w:rPr>
                <w:rFonts w:hint="eastAsia" w:eastAsia="仿宋_GB2312"/>
                <w:kern w:val="0"/>
                <w:sz w:val="24"/>
                <w:lang w:bidi="ar"/>
              </w:rPr>
              <w:t>2.4</w:t>
            </w:r>
          </w:p>
        </w:tc>
        <w:tc>
          <w:tcPr>
            <w:tcW w:w="1843"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rFonts w:eastAsia="仿宋_GB2312"/>
                <w:sz w:val="24"/>
              </w:rPr>
            </w:pPr>
            <w:r>
              <w:rPr>
                <w:rFonts w:hint="eastAsia" w:eastAsia="仿宋_GB2312"/>
                <w:kern w:val="0"/>
                <w:sz w:val="24"/>
                <w:lang w:bidi="ar"/>
              </w:rPr>
              <w:t>0.8</w:t>
            </w:r>
          </w:p>
        </w:tc>
        <w:tc>
          <w:tcPr>
            <w:tcW w:w="161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rFonts w:eastAsia="仿宋_GB2312"/>
                <w:sz w:val="24"/>
              </w:rPr>
            </w:pPr>
            <w:r>
              <w:rPr>
                <w:rFonts w:hint="eastAsia" w:eastAsia="仿宋_GB2312"/>
                <w:kern w:val="0"/>
                <w:sz w:val="24"/>
                <w:lang w:bidi="ar"/>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2395" w:type="dxa"/>
            <w:tcBorders>
              <w:tl2br w:val="nil"/>
              <w:tr2bl w:val="nil"/>
            </w:tcBorders>
            <w:tcMar>
              <w:top w:w="15" w:type="dxa"/>
              <w:left w:w="15" w:type="dxa"/>
              <w:right w:w="15" w:type="dxa"/>
            </w:tcMar>
            <w:vAlign w:val="center"/>
          </w:tcPr>
          <w:p>
            <w:pPr>
              <w:topLinePunct/>
              <w:adjustRightInd w:val="0"/>
              <w:snapToGrid w:val="0"/>
              <w:spacing w:line="240" w:lineRule="atLeast"/>
              <w:textAlignment w:val="center"/>
              <w:rPr>
                <w:rFonts w:eastAsia="仿宋_GB2312"/>
                <w:sz w:val="24"/>
              </w:rPr>
            </w:pPr>
            <w:r>
              <w:rPr>
                <w:rFonts w:hint="eastAsia" w:eastAsia="仿宋_GB2312"/>
                <w:kern w:val="0"/>
                <w:sz w:val="24"/>
                <w:lang w:bidi="ar"/>
              </w:rPr>
              <w:t>三、生态环保建设项目</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kern w:val="0"/>
                <w:sz w:val="24"/>
                <w:lang w:bidi="ar"/>
              </w:rPr>
            </w:pPr>
            <w:r>
              <w:rPr>
                <w:rFonts w:hint="eastAsia" w:eastAsia="仿宋_GB2312"/>
                <w:kern w:val="0"/>
                <w:sz w:val="24"/>
                <w:lang w:bidi="ar"/>
              </w:rPr>
              <w:t>5</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14</w:t>
            </w:r>
          </w:p>
        </w:tc>
        <w:tc>
          <w:tcPr>
            <w:tcW w:w="1276"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30</w:t>
            </w:r>
          </w:p>
        </w:tc>
        <w:tc>
          <w:tcPr>
            <w:tcW w:w="1843"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13</w:t>
            </w:r>
          </w:p>
        </w:tc>
        <w:tc>
          <w:tcPr>
            <w:tcW w:w="161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12.7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2395" w:type="dxa"/>
            <w:tcBorders>
              <w:tl2br w:val="nil"/>
              <w:tr2bl w:val="nil"/>
            </w:tcBorders>
            <w:tcMar>
              <w:top w:w="15" w:type="dxa"/>
              <w:left w:w="15" w:type="dxa"/>
              <w:right w:w="15" w:type="dxa"/>
            </w:tcMar>
            <w:vAlign w:val="center"/>
          </w:tcPr>
          <w:p>
            <w:pPr>
              <w:topLinePunct/>
              <w:adjustRightInd w:val="0"/>
              <w:snapToGrid w:val="0"/>
              <w:spacing w:line="240" w:lineRule="atLeast"/>
              <w:textAlignment w:val="center"/>
              <w:rPr>
                <w:rFonts w:eastAsia="仿宋_GB2312"/>
                <w:sz w:val="24"/>
              </w:rPr>
            </w:pPr>
            <w:r>
              <w:rPr>
                <w:rFonts w:hint="eastAsia" w:eastAsia="仿宋_GB2312"/>
                <w:kern w:val="0"/>
                <w:sz w:val="24"/>
                <w:lang w:bidi="ar"/>
              </w:rPr>
              <w:t>四、教育基础设施建设项目</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kern w:val="0"/>
                <w:sz w:val="24"/>
                <w:lang w:bidi="ar"/>
              </w:rPr>
            </w:pPr>
            <w:r>
              <w:rPr>
                <w:rFonts w:hint="eastAsia" w:eastAsia="仿宋_GB2312"/>
                <w:kern w:val="0"/>
                <w:sz w:val="24"/>
                <w:lang w:bidi="ar"/>
              </w:rPr>
              <w:t>1</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16</w:t>
            </w:r>
          </w:p>
        </w:tc>
        <w:tc>
          <w:tcPr>
            <w:tcW w:w="1276"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13.4</w:t>
            </w:r>
          </w:p>
        </w:tc>
        <w:tc>
          <w:tcPr>
            <w:tcW w:w="1843"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7.7</w:t>
            </w:r>
          </w:p>
        </w:tc>
        <w:tc>
          <w:tcPr>
            <w:tcW w:w="161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2395" w:type="dxa"/>
            <w:tcBorders>
              <w:tl2br w:val="nil"/>
              <w:tr2bl w:val="nil"/>
            </w:tcBorders>
            <w:tcMar>
              <w:top w:w="15" w:type="dxa"/>
              <w:left w:w="15" w:type="dxa"/>
              <w:right w:w="15" w:type="dxa"/>
            </w:tcMar>
            <w:vAlign w:val="center"/>
          </w:tcPr>
          <w:p>
            <w:pPr>
              <w:topLinePunct/>
              <w:adjustRightInd w:val="0"/>
              <w:snapToGrid w:val="0"/>
              <w:spacing w:line="240" w:lineRule="atLeast"/>
              <w:textAlignment w:val="center"/>
              <w:rPr>
                <w:rFonts w:eastAsia="仿宋_GB2312"/>
                <w:sz w:val="24"/>
              </w:rPr>
            </w:pPr>
            <w:r>
              <w:rPr>
                <w:rFonts w:hint="eastAsia" w:eastAsia="仿宋_GB2312"/>
                <w:kern w:val="0"/>
                <w:sz w:val="24"/>
                <w:lang w:bidi="ar"/>
              </w:rPr>
              <w:t>五、社会民生建设项目</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kern w:val="0"/>
                <w:sz w:val="24"/>
                <w:lang w:bidi="ar"/>
              </w:rPr>
            </w:pPr>
            <w:r>
              <w:rPr>
                <w:rFonts w:hint="eastAsia"/>
                <w:kern w:val="0"/>
                <w:sz w:val="24"/>
                <w:lang w:bidi="ar"/>
              </w:rPr>
              <w:t>7</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8</w:t>
            </w:r>
          </w:p>
        </w:tc>
        <w:tc>
          <w:tcPr>
            <w:tcW w:w="1276"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1.9</w:t>
            </w:r>
          </w:p>
        </w:tc>
        <w:tc>
          <w:tcPr>
            <w:tcW w:w="1843"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1.1</w:t>
            </w:r>
          </w:p>
        </w:tc>
        <w:tc>
          <w:tcPr>
            <w:tcW w:w="161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2395" w:type="dxa"/>
            <w:tcBorders>
              <w:tl2br w:val="nil"/>
              <w:tr2bl w:val="nil"/>
            </w:tcBorders>
            <w:tcMar>
              <w:top w:w="15" w:type="dxa"/>
              <w:left w:w="15" w:type="dxa"/>
              <w:right w:w="15" w:type="dxa"/>
            </w:tcMar>
            <w:vAlign w:val="center"/>
          </w:tcPr>
          <w:p>
            <w:pPr>
              <w:topLinePunct/>
              <w:adjustRightInd w:val="0"/>
              <w:snapToGrid w:val="0"/>
              <w:spacing w:line="240" w:lineRule="atLeast"/>
              <w:textAlignment w:val="center"/>
              <w:rPr>
                <w:rFonts w:eastAsia="仿宋_GB2312"/>
                <w:sz w:val="24"/>
              </w:rPr>
            </w:pPr>
            <w:r>
              <w:rPr>
                <w:rFonts w:hint="eastAsia" w:eastAsia="仿宋_GB2312"/>
                <w:kern w:val="0"/>
                <w:sz w:val="24"/>
                <w:lang w:bidi="ar"/>
              </w:rPr>
              <w:t>六、文化旅游建设项目</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kern w:val="0"/>
                <w:sz w:val="24"/>
                <w:lang w:bidi="ar"/>
              </w:rPr>
            </w:pPr>
            <w:r>
              <w:rPr>
                <w:rFonts w:hint="eastAsia" w:eastAsia="仿宋_GB2312"/>
                <w:kern w:val="0"/>
                <w:sz w:val="24"/>
                <w:lang w:bidi="ar"/>
              </w:rPr>
              <w:t>5</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9</w:t>
            </w:r>
          </w:p>
        </w:tc>
        <w:tc>
          <w:tcPr>
            <w:tcW w:w="1276"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29.2</w:t>
            </w:r>
          </w:p>
        </w:tc>
        <w:tc>
          <w:tcPr>
            <w:tcW w:w="1843"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10.8</w:t>
            </w:r>
          </w:p>
        </w:tc>
        <w:tc>
          <w:tcPr>
            <w:tcW w:w="161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2395" w:type="dxa"/>
            <w:tcBorders>
              <w:tl2br w:val="nil"/>
              <w:tr2bl w:val="nil"/>
            </w:tcBorders>
            <w:tcMar>
              <w:top w:w="15" w:type="dxa"/>
              <w:left w:w="15" w:type="dxa"/>
              <w:right w:w="15" w:type="dxa"/>
            </w:tcMar>
            <w:vAlign w:val="center"/>
          </w:tcPr>
          <w:p>
            <w:pPr>
              <w:topLinePunct/>
              <w:adjustRightInd w:val="0"/>
              <w:snapToGrid w:val="0"/>
              <w:spacing w:line="240" w:lineRule="atLeast"/>
              <w:textAlignment w:val="center"/>
              <w:rPr>
                <w:rFonts w:eastAsia="仿宋_GB2312"/>
                <w:sz w:val="24"/>
              </w:rPr>
            </w:pPr>
            <w:r>
              <w:rPr>
                <w:rFonts w:hint="eastAsia" w:eastAsia="仿宋_GB2312"/>
                <w:kern w:val="0"/>
                <w:sz w:val="24"/>
                <w:lang w:bidi="ar"/>
              </w:rPr>
              <w:t>七、卫生健康建设项目</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kern w:val="0"/>
                <w:sz w:val="24"/>
                <w:lang w:bidi="ar"/>
              </w:rPr>
            </w:pPr>
            <w:r>
              <w:rPr>
                <w:rFonts w:hint="eastAsia" w:eastAsia="仿宋_GB2312"/>
                <w:kern w:val="0"/>
                <w:sz w:val="24"/>
                <w:lang w:bidi="ar"/>
              </w:rPr>
              <w:t>1</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5</w:t>
            </w:r>
          </w:p>
        </w:tc>
        <w:tc>
          <w:tcPr>
            <w:tcW w:w="1276"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15.1</w:t>
            </w:r>
          </w:p>
        </w:tc>
        <w:tc>
          <w:tcPr>
            <w:tcW w:w="1843"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1.2</w:t>
            </w:r>
          </w:p>
        </w:tc>
        <w:tc>
          <w:tcPr>
            <w:tcW w:w="161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2395" w:type="dxa"/>
            <w:tcBorders>
              <w:tl2br w:val="nil"/>
              <w:tr2bl w:val="nil"/>
            </w:tcBorders>
            <w:tcMar>
              <w:top w:w="15" w:type="dxa"/>
              <w:left w:w="15" w:type="dxa"/>
              <w:right w:w="15" w:type="dxa"/>
            </w:tcMar>
            <w:vAlign w:val="center"/>
          </w:tcPr>
          <w:p>
            <w:pPr>
              <w:topLinePunct/>
              <w:adjustRightInd w:val="0"/>
              <w:snapToGrid w:val="0"/>
              <w:spacing w:line="240" w:lineRule="atLeast"/>
              <w:textAlignment w:val="center"/>
              <w:rPr>
                <w:rFonts w:eastAsia="仿宋_GB2312"/>
                <w:sz w:val="24"/>
              </w:rPr>
            </w:pPr>
            <w:r>
              <w:rPr>
                <w:rFonts w:hint="eastAsia" w:eastAsia="仿宋_GB2312"/>
                <w:kern w:val="0"/>
                <w:sz w:val="24"/>
                <w:lang w:bidi="ar"/>
              </w:rPr>
              <w:t>八、道路基础设施建设项目</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kern w:val="0"/>
                <w:sz w:val="24"/>
                <w:lang w:bidi="ar"/>
              </w:rPr>
            </w:pPr>
            <w:r>
              <w:rPr>
                <w:rFonts w:hint="eastAsia" w:eastAsia="仿宋_GB2312"/>
                <w:kern w:val="0"/>
                <w:sz w:val="24"/>
                <w:lang w:bidi="ar"/>
              </w:rPr>
              <w:t>3</w:t>
            </w:r>
          </w:p>
        </w:tc>
        <w:tc>
          <w:tcPr>
            <w:tcW w:w="113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41</w:t>
            </w:r>
          </w:p>
        </w:tc>
        <w:tc>
          <w:tcPr>
            <w:tcW w:w="1276"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45.7</w:t>
            </w:r>
          </w:p>
        </w:tc>
        <w:tc>
          <w:tcPr>
            <w:tcW w:w="1843"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9.4</w:t>
            </w:r>
          </w:p>
        </w:tc>
        <w:tc>
          <w:tcPr>
            <w:tcW w:w="1614" w:type="dxa"/>
            <w:tcBorders>
              <w:tl2br w:val="nil"/>
              <w:tr2bl w:val="nil"/>
            </w:tcBorders>
            <w:tcMar>
              <w:top w:w="15" w:type="dxa"/>
              <w:left w:w="15" w:type="dxa"/>
              <w:right w:w="15" w:type="dxa"/>
            </w:tcMar>
            <w:vAlign w:val="center"/>
          </w:tcPr>
          <w:p>
            <w:pPr>
              <w:topLinePunct/>
              <w:adjustRightInd w:val="0"/>
              <w:snapToGrid w:val="0"/>
              <w:spacing w:line="240" w:lineRule="atLeast"/>
              <w:jc w:val="center"/>
              <w:textAlignment w:val="center"/>
              <w:rPr>
                <w:rFonts w:eastAsia="仿宋_GB2312"/>
                <w:sz w:val="24"/>
              </w:rPr>
            </w:pPr>
            <w:r>
              <w:rPr>
                <w:rFonts w:hint="eastAsia" w:eastAsia="仿宋_GB2312"/>
                <w:kern w:val="0"/>
                <w:sz w:val="24"/>
                <w:lang w:bidi="ar"/>
              </w:rPr>
              <w:t>4</w:t>
            </w:r>
          </w:p>
        </w:tc>
      </w:tr>
    </w:tbl>
    <w:p>
      <w:pPr>
        <w:pStyle w:val="26"/>
        <w:topLinePunct/>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2021年政府投资项目具体建设执行情况见附件5。</w:t>
      </w:r>
    </w:p>
    <w:p>
      <w:pPr>
        <w:topLinePunct/>
        <w:adjustRightInd w:val="0"/>
        <w:snapToGrid w:val="0"/>
        <w:spacing w:line="592" w:lineRule="exact"/>
        <w:ind w:firstLine="640" w:firstLineChars="200"/>
        <w:outlineLvl w:val="0"/>
        <w:rPr>
          <w:rFonts w:eastAsia="黑体"/>
          <w:bCs/>
          <w:sz w:val="32"/>
          <w:szCs w:val="32"/>
        </w:rPr>
      </w:pPr>
      <w:r>
        <w:rPr>
          <w:rFonts w:hint="eastAsia" w:eastAsia="黑体"/>
          <w:bCs/>
          <w:sz w:val="32"/>
          <w:szCs w:val="32"/>
        </w:rPr>
        <w:t>三、国民经济和社会发展面临的困难和形势</w:t>
      </w:r>
    </w:p>
    <w:p>
      <w:pPr>
        <w:topLinePunct/>
        <w:adjustRightInd w:val="0"/>
        <w:snapToGrid w:val="0"/>
        <w:spacing w:line="592" w:lineRule="exact"/>
        <w:ind w:firstLine="640" w:firstLineChars="200"/>
        <w:rPr>
          <w:rFonts w:eastAsia="仿宋_GB2312"/>
          <w:sz w:val="32"/>
          <w:szCs w:val="32"/>
        </w:rPr>
      </w:pPr>
      <w:r>
        <w:rPr>
          <w:rFonts w:hint="eastAsia" w:eastAsia="仿宋_GB2312"/>
          <w:sz w:val="32"/>
          <w:szCs w:val="32"/>
        </w:rPr>
        <w:t>2021年，全区经济保持了持续恢复、稳定向好的态势，特别是消费、工业的稳定恢复，有效发挥了经济运行“稳定器”和“压仓石”的作用。但经济运行也面临外部环境不稳定因素，受宏观经济持续下行、“碳达峰、碳中和”新要求和房地产“新政策”趋紧等多重因素叠加影响，特别是因生态文明建设工作差距带来的生态环保问题整改，79个环滇建设项目停工和36个商品房项目停售，造成全年固定资产投资计划180亿元无法弥补，建筑业产值减少约100亿元、房地产商品房销售面积锐减约45万平米；地区生产总值核算占比较大的建筑业、建安投资、房地产业严重塌预期目标，直接影响和拉低GDP增长约3.5个百分点。全年地区生产总值预计增长7%左右，差目标8.5%约1.5个百分点，规模以上固定资产投资预计完成400亿元，较正增长524亿元以上差124亿元。</w:t>
      </w:r>
    </w:p>
    <w:p>
      <w:pPr>
        <w:topLinePunct/>
        <w:adjustRightInd w:val="0"/>
        <w:snapToGrid w:val="0"/>
        <w:spacing w:line="592" w:lineRule="exact"/>
        <w:ind w:firstLine="640" w:firstLineChars="200"/>
        <w:rPr>
          <w:rFonts w:eastAsia="仿宋_GB2312"/>
          <w:spacing w:val="2"/>
          <w:sz w:val="32"/>
          <w:szCs w:val="32"/>
        </w:rPr>
      </w:pPr>
      <w:r>
        <w:rPr>
          <w:rFonts w:hint="eastAsia" w:eastAsia="仿宋_GB2312"/>
          <w:sz w:val="32"/>
          <w:szCs w:val="32"/>
        </w:rPr>
        <w:t>2022年，全国经济面临</w:t>
      </w:r>
      <w:r>
        <w:rPr>
          <w:rFonts w:hint="eastAsia" w:eastAsia="仿宋_GB2312"/>
          <w:b/>
          <w:bCs/>
          <w:sz w:val="32"/>
          <w:szCs w:val="32"/>
        </w:rPr>
        <w:t>需求收缩、供给冲击、预期转弱</w:t>
      </w:r>
      <w:r>
        <w:rPr>
          <w:rFonts w:hint="eastAsia" w:eastAsia="仿宋_GB2312"/>
          <w:sz w:val="32"/>
          <w:szCs w:val="32"/>
        </w:rPr>
        <w:t>三</w:t>
      </w:r>
      <w:r>
        <w:rPr>
          <w:rFonts w:hint="eastAsia" w:eastAsia="仿宋_GB2312"/>
          <w:spacing w:val="2"/>
          <w:sz w:val="32"/>
          <w:szCs w:val="32"/>
        </w:rPr>
        <w:t>重压力，全球经济特别是周边国家的复苏不稳定不平衡、疫情冲击导致的各类衍生风险不断加剧。全区经济恢复和社会发展面临新考验、新挑战、新问题，发展动力仍然不稳固、不均衡。主要表现在：</w:t>
      </w:r>
      <w:r>
        <w:rPr>
          <w:rFonts w:hint="eastAsia" w:eastAsia="仿宋_GB2312"/>
          <w:b/>
          <w:spacing w:val="2"/>
          <w:sz w:val="32"/>
          <w:szCs w:val="32"/>
        </w:rPr>
        <w:t>一</w:t>
      </w:r>
      <w:r>
        <w:rPr>
          <w:rFonts w:hint="eastAsia" w:eastAsia="仿宋_GB2312"/>
          <w:b/>
          <w:bCs/>
          <w:spacing w:val="2"/>
          <w:sz w:val="32"/>
          <w:szCs w:val="32"/>
        </w:rPr>
        <w:t>是</w:t>
      </w:r>
      <w:r>
        <w:rPr>
          <w:rFonts w:hint="eastAsia" w:eastAsia="仿宋_GB2312"/>
          <w:spacing w:val="2"/>
          <w:sz w:val="32"/>
          <w:szCs w:val="32"/>
        </w:rPr>
        <w:t>新兴产业和开发园区规划建设滞后，海口、长坡、团结产业用地规划修编缓慢，导致招商引资及产业集群化发展较困难；</w:t>
      </w:r>
      <w:r>
        <w:rPr>
          <w:rFonts w:hint="eastAsia" w:eastAsia="仿宋_GB2312"/>
          <w:b/>
          <w:bCs/>
          <w:spacing w:val="2"/>
          <w:sz w:val="32"/>
          <w:szCs w:val="32"/>
        </w:rPr>
        <w:t>二是</w:t>
      </w:r>
      <w:r>
        <w:rPr>
          <w:rFonts w:hint="eastAsia" w:eastAsia="仿宋_GB2312"/>
          <w:spacing w:val="2"/>
          <w:sz w:val="32"/>
          <w:szCs w:val="32"/>
        </w:rPr>
        <w:t>产业链条不完整，二产（工业）退的快，三产发展不均衡。文化创意、科技服务业等产业占比较小，金融业等生产性服务业发展不足，房地产业依赖度高；</w:t>
      </w:r>
      <w:r>
        <w:rPr>
          <w:rFonts w:hint="eastAsia" w:eastAsia="仿宋_GB2312"/>
          <w:b/>
          <w:bCs/>
          <w:spacing w:val="2"/>
          <w:sz w:val="32"/>
          <w:szCs w:val="32"/>
        </w:rPr>
        <w:t>三是</w:t>
      </w:r>
      <w:r>
        <w:rPr>
          <w:rFonts w:hint="eastAsia" w:eastAsia="仿宋_GB2312"/>
          <w:spacing w:val="2"/>
          <w:sz w:val="32"/>
          <w:szCs w:val="32"/>
        </w:rPr>
        <w:t>营商环境服务效能亟待优化提升，项目推进中存在前期工作准备不充分，规划、土地、资金等要素保障不足等问题；</w:t>
      </w:r>
      <w:r>
        <w:rPr>
          <w:rFonts w:hint="eastAsia" w:eastAsia="仿宋_GB2312"/>
          <w:b/>
          <w:bCs/>
          <w:spacing w:val="2"/>
          <w:sz w:val="32"/>
          <w:szCs w:val="32"/>
        </w:rPr>
        <w:t>四是</w:t>
      </w:r>
      <w:r>
        <w:rPr>
          <w:rFonts w:hint="eastAsia" w:eastAsia="仿宋_GB2312"/>
          <w:spacing w:val="2"/>
          <w:sz w:val="32"/>
          <w:szCs w:val="32"/>
        </w:rPr>
        <w:t>国企国资活力不足，城市开发、公共事业、教育文旅、园区发展、产业投资、生态环保等领域投融资能力有待提升；</w:t>
      </w:r>
      <w:r>
        <w:rPr>
          <w:rFonts w:hint="eastAsia" w:eastAsia="仿宋_GB2312"/>
          <w:b/>
          <w:bCs/>
          <w:spacing w:val="2"/>
          <w:sz w:val="32"/>
          <w:szCs w:val="32"/>
        </w:rPr>
        <w:t>五是</w:t>
      </w:r>
      <w:r>
        <w:rPr>
          <w:rFonts w:hint="eastAsia" w:eastAsia="仿宋_GB2312"/>
          <w:spacing w:val="2"/>
          <w:sz w:val="32"/>
          <w:szCs w:val="32"/>
        </w:rPr>
        <w:t>城乡精细化管理、社会治理水平还不高，公共服务供给与群众的美好期待还有较大差距，基础设施建设存在短板，政治服务承载区的功能仍需提质增效。</w:t>
      </w:r>
    </w:p>
    <w:p>
      <w:pPr>
        <w:topLinePunct/>
        <w:adjustRightInd w:val="0"/>
        <w:snapToGrid w:val="0"/>
        <w:spacing w:line="592" w:lineRule="exact"/>
        <w:ind w:firstLine="640" w:firstLineChars="200"/>
        <w:rPr>
          <w:rFonts w:eastAsia="仿宋_GB2312"/>
          <w:sz w:val="32"/>
          <w:szCs w:val="32"/>
        </w:rPr>
      </w:pPr>
      <w:r>
        <w:rPr>
          <w:rFonts w:hint="eastAsia" w:eastAsia="仿宋_GB2312"/>
          <w:sz w:val="32"/>
          <w:szCs w:val="32"/>
        </w:rPr>
        <w:t>2022年，虽然面对多重风险挑战，但也面临难得的发展机遇，拥有诸多发展优势。</w:t>
      </w:r>
      <w:r>
        <w:rPr>
          <w:rFonts w:hint="eastAsia" w:eastAsia="仿宋_GB2312"/>
          <w:b/>
          <w:bCs/>
          <w:sz w:val="32"/>
          <w:szCs w:val="32"/>
        </w:rPr>
        <w:t>一是</w:t>
      </w:r>
      <w:r>
        <w:rPr>
          <w:rFonts w:hint="eastAsia" w:eastAsia="仿宋_GB2312"/>
          <w:sz w:val="32"/>
          <w:szCs w:val="32"/>
        </w:rPr>
        <w:t>RCEP正式生效，统一大市场正式开始运转，云南西接缅甸，南临老挝、越南，区位优势显著，市场空间将显著扩大，区域产业链、供应链保障也将进一步加强。</w:t>
      </w:r>
      <w:r>
        <w:rPr>
          <w:rFonts w:hint="eastAsia" w:eastAsia="仿宋_GB2312"/>
          <w:b/>
          <w:bCs/>
          <w:sz w:val="32"/>
          <w:szCs w:val="32"/>
        </w:rPr>
        <w:t>二是</w:t>
      </w:r>
      <w:r>
        <w:rPr>
          <w:rFonts w:hint="eastAsia" w:eastAsia="仿宋_GB2312"/>
          <w:sz w:val="32"/>
          <w:szCs w:val="32"/>
        </w:rPr>
        <w:t>昆楚高速建成通车，为大团结交流合作提供新通道，中枢门户区建设更具发展潜力，将迎来新一波的投资合作与经济增长热潮。</w:t>
      </w:r>
      <w:r>
        <w:rPr>
          <w:rFonts w:hint="eastAsia" w:eastAsia="仿宋_GB2312"/>
          <w:b/>
          <w:bCs/>
          <w:sz w:val="32"/>
          <w:szCs w:val="32"/>
        </w:rPr>
        <w:t>三是</w:t>
      </w:r>
      <w:r>
        <w:rPr>
          <w:rFonts w:hint="eastAsia" w:eastAsia="仿宋_GB2312"/>
          <w:sz w:val="32"/>
          <w:szCs w:val="32"/>
        </w:rPr>
        <w:t>政治服务中心承载区和山水都市品质区的独特发展优势，在昆明开创生态化、国际化高质量发展中具有更强的竞争力。</w:t>
      </w:r>
    </w:p>
    <w:p>
      <w:pPr>
        <w:topLinePunct/>
        <w:adjustRightInd w:val="0"/>
        <w:snapToGrid w:val="0"/>
        <w:spacing w:line="592" w:lineRule="exact"/>
        <w:ind w:firstLine="640" w:firstLineChars="200"/>
        <w:outlineLvl w:val="0"/>
        <w:rPr>
          <w:rFonts w:eastAsia="黑体"/>
          <w:bCs/>
          <w:sz w:val="32"/>
          <w:szCs w:val="32"/>
        </w:rPr>
      </w:pPr>
      <w:r>
        <w:rPr>
          <w:rFonts w:hint="eastAsia" w:eastAsia="黑体"/>
          <w:bCs/>
          <w:sz w:val="32"/>
          <w:szCs w:val="32"/>
        </w:rPr>
        <w:t>四、2022年全区经济社会发展预期和计划</w:t>
      </w:r>
    </w:p>
    <w:p>
      <w:pPr>
        <w:pStyle w:val="9"/>
        <w:topLinePunct/>
        <w:adjustRightInd w:val="0"/>
        <w:snapToGrid w:val="0"/>
        <w:spacing w:line="592" w:lineRule="exact"/>
        <w:ind w:firstLine="640" w:firstLineChars="200"/>
        <w:rPr>
          <w:rFonts w:ascii="Times New Roman" w:hAnsi="Times New Roman" w:eastAsia="仿宋_GB2312"/>
          <w:b w:val="0"/>
          <w:spacing w:val="4"/>
          <w:sz w:val="32"/>
          <w:szCs w:val="32"/>
        </w:rPr>
      </w:pPr>
      <w:r>
        <w:rPr>
          <w:rFonts w:hint="eastAsia" w:ascii="Times New Roman" w:hAnsi="Times New Roman" w:eastAsia="仿宋_GB2312"/>
          <w:b w:val="0"/>
          <w:spacing w:val="0"/>
          <w:sz w:val="32"/>
          <w:szCs w:val="32"/>
        </w:rPr>
        <w:t>2022年，西山区将坚持以习近平新时代中国特色社会主义</w:t>
      </w:r>
      <w:r>
        <w:rPr>
          <w:rFonts w:hint="eastAsia" w:ascii="Times New Roman" w:hAnsi="Times New Roman" w:eastAsia="仿宋_GB2312"/>
          <w:b w:val="0"/>
          <w:spacing w:val="4"/>
          <w:sz w:val="32"/>
          <w:szCs w:val="32"/>
        </w:rPr>
        <w:t>思想为指导，全面贯彻落实党的十九大和十九届历次全会精神，以高质量发展为主线，弘扬伟大建党精神，完整、准确、全面贯彻新发展理念，坚持稳中求进工作总基调。统筹发展和安全，着力稳定宏观经济大盘，保持经济运行在合理区间，加快推动区域性国际中心城市中枢门户区建设进程。</w:t>
      </w:r>
    </w:p>
    <w:p>
      <w:pPr>
        <w:topLinePunct/>
        <w:adjustRightInd w:val="0"/>
        <w:snapToGrid w:val="0"/>
        <w:spacing w:line="592" w:lineRule="exact"/>
        <w:jc w:val="center"/>
        <w:outlineLvl w:val="1"/>
        <w:rPr>
          <w:rFonts w:eastAsia="仿宋_GB2312"/>
          <w:bCs/>
          <w:sz w:val="32"/>
          <w:szCs w:val="32"/>
        </w:rPr>
      </w:pPr>
      <w:r>
        <w:rPr>
          <w:rFonts w:hint="eastAsia" w:eastAsia="黑体"/>
          <w:snapToGrid w:val="0"/>
          <w:sz w:val="28"/>
          <w:szCs w:val="28"/>
        </w:rPr>
        <w:t>2022年主要经济和社会发展指标预期</w:t>
      </w:r>
    </w:p>
    <w:tbl>
      <w:tblPr>
        <w:tblStyle w:val="19"/>
        <w:tblW w:w="881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979"/>
        <w:gridCol w:w="20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blHeader/>
          <w:jc w:val="center"/>
        </w:trPr>
        <w:tc>
          <w:tcPr>
            <w:tcW w:w="736" w:type="dxa"/>
            <w:tcBorders>
              <w:tl2br w:val="nil"/>
              <w:tr2bl w:val="nil"/>
            </w:tcBorders>
            <w:tcMar>
              <w:left w:w="28" w:type="dxa"/>
              <w:right w:w="28" w:type="dxa"/>
            </w:tcMar>
            <w:vAlign w:val="center"/>
          </w:tcPr>
          <w:p>
            <w:pPr>
              <w:topLinePunct/>
              <w:adjustRightInd w:val="0"/>
              <w:snapToGrid w:val="0"/>
              <w:spacing w:line="240" w:lineRule="atLeast"/>
              <w:jc w:val="center"/>
              <w:rPr>
                <w:rFonts w:eastAsia="黑体"/>
                <w:snapToGrid w:val="0"/>
                <w:sz w:val="24"/>
                <w:szCs w:val="28"/>
              </w:rPr>
            </w:pPr>
            <w:r>
              <w:rPr>
                <w:rFonts w:hint="eastAsia" w:eastAsia="黑体"/>
                <w:snapToGrid w:val="0"/>
                <w:sz w:val="24"/>
                <w:szCs w:val="28"/>
              </w:rPr>
              <w:t>序号</w:t>
            </w:r>
          </w:p>
        </w:tc>
        <w:tc>
          <w:tcPr>
            <w:tcW w:w="5979" w:type="dxa"/>
            <w:tcBorders>
              <w:tl2br w:val="nil"/>
              <w:tr2bl w:val="nil"/>
            </w:tcBorders>
            <w:tcMar>
              <w:left w:w="28" w:type="dxa"/>
              <w:right w:w="28" w:type="dxa"/>
            </w:tcMar>
            <w:vAlign w:val="center"/>
          </w:tcPr>
          <w:p>
            <w:pPr>
              <w:topLinePunct/>
              <w:adjustRightInd w:val="0"/>
              <w:snapToGrid w:val="0"/>
              <w:spacing w:line="240" w:lineRule="atLeast"/>
              <w:jc w:val="center"/>
              <w:rPr>
                <w:rFonts w:eastAsia="黑体"/>
                <w:snapToGrid w:val="0"/>
                <w:sz w:val="24"/>
                <w:szCs w:val="28"/>
              </w:rPr>
            </w:pPr>
            <w:r>
              <w:rPr>
                <w:rFonts w:hint="eastAsia" w:eastAsia="黑体"/>
                <w:snapToGrid w:val="0"/>
                <w:sz w:val="24"/>
                <w:szCs w:val="28"/>
              </w:rPr>
              <w:t>指标</w:t>
            </w:r>
          </w:p>
        </w:tc>
        <w:tc>
          <w:tcPr>
            <w:tcW w:w="2099" w:type="dxa"/>
            <w:tcBorders>
              <w:tl2br w:val="nil"/>
              <w:tr2bl w:val="nil"/>
            </w:tcBorders>
            <w:tcMar>
              <w:left w:w="28" w:type="dxa"/>
              <w:right w:w="28" w:type="dxa"/>
            </w:tcMar>
            <w:vAlign w:val="center"/>
          </w:tcPr>
          <w:p>
            <w:pPr>
              <w:topLinePunct/>
              <w:adjustRightInd w:val="0"/>
              <w:snapToGrid w:val="0"/>
              <w:spacing w:line="240" w:lineRule="atLeast"/>
              <w:jc w:val="center"/>
              <w:rPr>
                <w:rFonts w:eastAsia="黑体"/>
                <w:snapToGrid w:val="0"/>
                <w:sz w:val="24"/>
                <w:szCs w:val="28"/>
              </w:rPr>
            </w:pPr>
            <w:r>
              <w:rPr>
                <w:rFonts w:hint="eastAsia" w:eastAsia="黑体"/>
                <w:snapToGrid w:val="0"/>
                <w:sz w:val="24"/>
                <w:szCs w:val="28"/>
              </w:rPr>
              <w:t>预期目标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36"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1</w:t>
            </w:r>
          </w:p>
        </w:tc>
        <w:tc>
          <w:tcPr>
            <w:tcW w:w="5979"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地区生产总值增速（%）</w:t>
            </w:r>
          </w:p>
        </w:tc>
        <w:tc>
          <w:tcPr>
            <w:tcW w:w="2099"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7以上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36"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2</w:t>
            </w:r>
          </w:p>
        </w:tc>
        <w:tc>
          <w:tcPr>
            <w:tcW w:w="5979"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一般公共预算收入增速（%）</w:t>
            </w:r>
          </w:p>
        </w:tc>
        <w:tc>
          <w:tcPr>
            <w:tcW w:w="2099"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36"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3</w:t>
            </w:r>
          </w:p>
        </w:tc>
        <w:tc>
          <w:tcPr>
            <w:tcW w:w="5979"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规模以上固定资产投资（不含农户）增速（%）</w:t>
            </w:r>
          </w:p>
        </w:tc>
        <w:tc>
          <w:tcPr>
            <w:tcW w:w="2099"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正增长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36"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4</w:t>
            </w:r>
          </w:p>
        </w:tc>
        <w:tc>
          <w:tcPr>
            <w:tcW w:w="5979"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规模以上工业增加值增速（%）</w:t>
            </w:r>
          </w:p>
        </w:tc>
        <w:tc>
          <w:tcPr>
            <w:tcW w:w="2099"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6以上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36"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5</w:t>
            </w:r>
          </w:p>
        </w:tc>
        <w:tc>
          <w:tcPr>
            <w:tcW w:w="5979"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限额以上社会消费品零售额增速（%）</w:t>
            </w:r>
          </w:p>
        </w:tc>
        <w:tc>
          <w:tcPr>
            <w:tcW w:w="2099"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10左右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36"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6</w:t>
            </w:r>
          </w:p>
        </w:tc>
        <w:tc>
          <w:tcPr>
            <w:tcW w:w="5979"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城镇登记失业率（控制在%）</w:t>
            </w:r>
          </w:p>
        </w:tc>
        <w:tc>
          <w:tcPr>
            <w:tcW w:w="2099" w:type="dxa"/>
            <w:tcBorders>
              <w:tl2br w:val="nil"/>
              <w:tr2bl w:val="nil"/>
            </w:tcBorders>
            <w:tcMar>
              <w:left w:w="28" w:type="dxa"/>
              <w:right w:w="28" w:type="dxa"/>
            </w:tcMar>
            <w:vAlign w:val="center"/>
          </w:tcPr>
          <w:p>
            <w:pPr>
              <w:topLinePunct/>
              <w:adjustRightInd w:val="0"/>
              <w:snapToGrid w:val="0"/>
              <w:spacing w:line="240" w:lineRule="atLeast"/>
              <w:jc w:val="center"/>
              <w:rPr>
                <w:rFonts w:eastAsia="仿宋_GB2312"/>
                <w:snapToGrid w:val="0"/>
                <w:sz w:val="24"/>
                <w:szCs w:val="28"/>
              </w:rPr>
            </w:pPr>
            <w:r>
              <w:rPr>
                <w:rFonts w:hint="eastAsia" w:eastAsia="仿宋_GB2312"/>
                <w:snapToGrid w:val="0"/>
                <w:sz w:val="24"/>
                <w:szCs w:val="28"/>
              </w:rPr>
              <w:t>4.5以内</w:t>
            </w:r>
          </w:p>
        </w:tc>
      </w:tr>
    </w:tbl>
    <w:p>
      <w:pPr>
        <w:topLinePunct/>
        <w:adjustRightInd w:val="0"/>
        <w:snapToGrid w:val="0"/>
        <w:spacing w:line="592" w:lineRule="exact"/>
        <w:ind w:firstLine="640" w:firstLineChars="200"/>
        <w:outlineLvl w:val="1"/>
        <w:rPr>
          <w:rFonts w:eastAsia="仿宋_GB2312"/>
          <w:sz w:val="32"/>
          <w:szCs w:val="32"/>
        </w:rPr>
      </w:pPr>
      <w:r>
        <w:rPr>
          <w:rFonts w:hint="eastAsia" w:eastAsia="仿宋_GB2312"/>
          <w:sz w:val="32"/>
          <w:szCs w:val="32"/>
        </w:rPr>
        <w:t>全年经济和社会发展工作以“三化三提升”为主线，坚持一线工作法，按照目标具体化、任务工程化、工作项目化，项目清单化、清单精准化、工作标准化，服务规范化、审批限时化、建设进度化等要求，计划和安排各项工作，实现经济社会发展计划报告的法定性、执行性、监督性，全力推进年度经济和社会发展工作目标任务。</w:t>
      </w:r>
    </w:p>
    <w:p>
      <w:pPr>
        <w:topLinePunct/>
        <w:adjustRightInd w:val="0"/>
        <w:snapToGrid w:val="0"/>
        <w:spacing w:line="592" w:lineRule="exact"/>
        <w:ind w:firstLine="640" w:firstLineChars="200"/>
        <w:outlineLvl w:val="1"/>
        <w:rPr>
          <w:rFonts w:eastAsia="楷体_GB2312"/>
          <w:sz w:val="32"/>
          <w:szCs w:val="32"/>
        </w:rPr>
      </w:pPr>
      <w:r>
        <w:rPr>
          <w:rFonts w:hint="eastAsia" w:eastAsia="楷体_GB2312"/>
          <w:sz w:val="32"/>
          <w:szCs w:val="32"/>
        </w:rPr>
        <w:t>（一）坚持稳中求进，保持高质量发展“稳定力”</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1.增强“三个定位”“引领力”</w:t>
      </w:r>
    </w:p>
    <w:p>
      <w:pPr>
        <w:topLinePunct/>
        <w:adjustRightInd w:val="0"/>
        <w:snapToGrid w:val="0"/>
        <w:spacing w:line="592" w:lineRule="exact"/>
        <w:ind w:firstLine="640" w:firstLineChars="200"/>
        <w:rPr>
          <w:rFonts w:eastAsia="仿宋_GB2312"/>
          <w:bCs/>
          <w:sz w:val="32"/>
          <w:szCs w:val="32"/>
        </w:rPr>
      </w:pPr>
      <w:r>
        <w:rPr>
          <w:rFonts w:hint="eastAsia" w:eastAsia="仿宋_GB2312"/>
          <w:kern w:val="0"/>
          <w:sz w:val="32"/>
          <w:szCs w:val="32"/>
        </w:rPr>
        <w:t>保持战略定力，锚定聚能提升发展，走好“十四五”发展第二步，促进宏观经济稳健前行。保持政策定力，</w:t>
      </w:r>
      <w:r>
        <w:rPr>
          <w:rFonts w:hint="eastAsia" w:eastAsia="仿宋_GB2312"/>
          <w:bCs/>
          <w:sz w:val="32"/>
          <w:szCs w:val="32"/>
        </w:rPr>
        <w:t>落实好大规模、阶段性、组合式减税降费政策，进一步提升市场主体减税降费获得感。保持市场主体活力，</w:t>
      </w:r>
      <w:r>
        <w:rPr>
          <w:rFonts w:hint="eastAsia" w:eastAsia="仿宋_GB2312"/>
          <w:kern w:val="0"/>
          <w:sz w:val="32"/>
          <w:szCs w:val="32"/>
        </w:rPr>
        <w:t>更大力度支持实体经济发展，</w:t>
      </w:r>
      <w:r>
        <w:rPr>
          <w:rFonts w:hint="eastAsia" w:eastAsia="仿宋_GB2312"/>
          <w:bCs/>
          <w:sz w:val="32"/>
          <w:szCs w:val="32"/>
        </w:rPr>
        <w:t>实施“市场主体倍增”计划，培育壮大</w:t>
      </w:r>
      <w:r>
        <w:rPr>
          <w:rFonts w:hint="eastAsia" w:eastAsia="仿宋_GB2312"/>
          <w:sz w:val="32"/>
          <w:szCs w:val="32"/>
        </w:rPr>
        <w:t>专精特新“小巨人”制造业单项冠军等中小企业，</w:t>
      </w:r>
      <w:r>
        <w:rPr>
          <w:rFonts w:hint="eastAsia" w:eastAsia="仿宋_GB2312"/>
          <w:bCs/>
          <w:sz w:val="32"/>
          <w:szCs w:val="32"/>
        </w:rPr>
        <w:t>制定支持中小微企业高质量发展扶持政策。</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2.提升“4×3”产业“链接力”</w:t>
      </w:r>
    </w:p>
    <w:p>
      <w:pPr>
        <w:topLinePunct/>
        <w:adjustRightInd w:val="0"/>
        <w:snapToGrid w:val="0"/>
        <w:spacing w:line="592" w:lineRule="exact"/>
        <w:ind w:firstLine="640" w:firstLineChars="200"/>
        <w:rPr>
          <w:rFonts w:eastAsia="仿宋_GB2312"/>
          <w:bCs/>
          <w:sz w:val="32"/>
          <w:szCs w:val="32"/>
        </w:rPr>
      </w:pPr>
      <w:r>
        <w:rPr>
          <w:rFonts w:hint="eastAsia" w:eastAsia="仿宋_GB2312"/>
          <w:bCs/>
          <w:sz w:val="32"/>
          <w:szCs w:val="32"/>
        </w:rPr>
        <w:t>深化“4×3”产业内涵，加快产业融合互动与产业链横纵向拓展，精准实施“稳链、补链、延链、强链”行动，推动提升产业基础高级化和产业链现代化水平。</w:t>
      </w:r>
    </w:p>
    <w:p>
      <w:pPr>
        <w:topLinePunct/>
        <w:adjustRightInd w:val="0"/>
        <w:snapToGrid w:val="0"/>
        <w:spacing w:line="592" w:lineRule="exact"/>
        <w:ind w:firstLine="643" w:firstLineChars="200"/>
        <w:rPr>
          <w:rFonts w:eastAsia="仿宋_GB2312"/>
          <w:bCs/>
          <w:sz w:val="32"/>
          <w:szCs w:val="32"/>
        </w:rPr>
      </w:pPr>
      <w:r>
        <w:rPr>
          <w:rFonts w:hint="eastAsia" w:eastAsia="仿宋_GB2312"/>
          <w:b/>
          <w:sz w:val="32"/>
          <w:szCs w:val="32"/>
        </w:rPr>
        <w:t>着力“稳链”</w:t>
      </w:r>
      <w:r>
        <w:rPr>
          <w:rFonts w:hint="eastAsia" w:eastAsia="仿宋_GB2312"/>
          <w:bCs/>
          <w:sz w:val="32"/>
          <w:szCs w:val="32"/>
        </w:rPr>
        <w:t>，稳固房地产、新型化工、</w:t>
      </w:r>
      <w:r>
        <w:rPr>
          <w:rFonts w:hint="eastAsia" w:eastAsia="仿宋_GB2312"/>
          <w:bCs/>
          <w:snapToGrid w:val="0"/>
          <w:kern w:val="0"/>
          <w:sz w:val="32"/>
          <w:szCs w:val="32"/>
        </w:rPr>
        <w:t>装备智造</w:t>
      </w:r>
      <w:r>
        <w:rPr>
          <w:rFonts w:hint="eastAsia" w:eastAsia="仿宋_GB2312"/>
          <w:bCs/>
          <w:sz w:val="32"/>
          <w:szCs w:val="32"/>
        </w:rPr>
        <w:t>3条基础产业链。</w:t>
      </w:r>
      <w:r>
        <w:rPr>
          <w:rFonts w:hint="eastAsia" w:eastAsia="仿宋_GB2312"/>
          <w:sz w:val="32"/>
          <w:szCs w:val="32"/>
        </w:rPr>
        <w:t>坚持“房住不炒”，支持商品房市场更好满足购房者的合理住房需求，</w:t>
      </w:r>
      <w:r>
        <w:rPr>
          <w:rFonts w:hint="eastAsia" w:eastAsia="仿宋_GB2312"/>
          <w:bCs/>
          <w:kern w:val="0"/>
          <w:sz w:val="32"/>
          <w:szCs w:val="32"/>
        </w:rPr>
        <w:t>稳妥化解草海回迁安置房等62个项目（小区）不动产权证登记问题，</w:t>
      </w:r>
      <w:r>
        <w:rPr>
          <w:rFonts w:hint="eastAsia" w:eastAsia="仿宋_GB2312"/>
          <w:bCs/>
          <w:sz w:val="32"/>
          <w:szCs w:val="32"/>
        </w:rPr>
        <w:t>促进房地产业健康发展和良性循环。全力推进中化学与海口工业园区合作，</w:t>
      </w:r>
      <w:r>
        <w:rPr>
          <w:rStyle w:val="36"/>
          <w:rFonts w:hint="eastAsia"/>
        </w:rPr>
        <w:t>支持海口磷业、三环化工等磷业增效和技改项目不少于20个，支持投资超30亿元的项目早开工早投产，鼓励汉素研发工业大麻新产品。</w:t>
      </w:r>
      <w:r>
        <w:rPr>
          <w:rFonts w:hint="eastAsia" w:eastAsia="仿宋_GB2312"/>
          <w:bCs/>
          <w:sz w:val="32"/>
          <w:szCs w:val="32"/>
        </w:rPr>
        <w:t>推动制造业数字化转型向纵深扩展，先进装备智造产值占规模以上工业总产值比重提升至23%。</w:t>
      </w:r>
    </w:p>
    <w:p>
      <w:pPr>
        <w:topLinePunct/>
        <w:adjustRightInd w:val="0"/>
        <w:snapToGrid w:val="0"/>
        <w:spacing w:line="592" w:lineRule="exact"/>
        <w:ind w:firstLine="643" w:firstLineChars="200"/>
        <w:rPr>
          <w:rStyle w:val="41"/>
          <w:spacing w:val="0"/>
        </w:rPr>
      </w:pPr>
      <w:r>
        <w:rPr>
          <w:rFonts w:hint="eastAsia" w:eastAsia="仿宋_GB2312"/>
          <w:b/>
          <w:bCs/>
          <w:sz w:val="32"/>
          <w:szCs w:val="32"/>
        </w:rPr>
        <w:t>着力“补链”</w:t>
      </w:r>
      <w:r>
        <w:rPr>
          <w:rFonts w:hint="eastAsia" w:eastAsia="仿宋_GB2312"/>
          <w:sz w:val="32"/>
          <w:szCs w:val="32"/>
        </w:rPr>
        <w:t>，补齐商贸物流、文化创意、主题旅游3条配套产业链。发展智慧商贸服务业，推动“八大商圈”提质升级，加快海伦堡中央广场等商圈建设。实施文化产业</w:t>
      </w:r>
      <w:r>
        <w:rPr>
          <w:rStyle w:val="41"/>
          <w:rFonts w:hint="eastAsia"/>
          <w:spacing w:val="0"/>
        </w:rPr>
        <w:t>集聚提升工程</w:t>
      </w:r>
      <w:r>
        <w:rPr>
          <w:rFonts w:hint="eastAsia" w:eastAsia="仿宋_GB2312"/>
          <w:sz w:val="32"/>
          <w:szCs w:val="32"/>
        </w:rPr>
        <w:t>，打造“省级文化产业示范园区”1家，</w:t>
      </w:r>
      <w:r>
        <w:rPr>
          <w:rStyle w:val="41"/>
          <w:rFonts w:hint="eastAsia"/>
          <w:spacing w:val="0"/>
        </w:rPr>
        <w:t>建立“区级文化创意产业重点项目库”，确保文化及相关产业增加值达66亿元以上。推进旅游业态创新，丰富主题旅游场景，加快全域旅游示范区创建，编制完成《西山区旅游发展远景规划》，启动实施西山景区健康步道（二期）改造工程。推进旅游业总收入持续增长。</w:t>
      </w:r>
    </w:p>
    <w:p>
      <w:pPr>
        <w:topLinePunct/>
        <w:adjustRightInd w:val="0"/>
        <w:snapToGrid w:val="0"/>
        <w:spacing w:line="592" w:lineRule="exact"/>
        <w:ind w:firstLine="643" w:firstLineChars="200"/>
        <w:rPr>
          <w:rFonts w:eastAsia="仿宋_GB2312"/>
          <w:b/>
          <w:bCs/>
          <w:sz w:val="32"/>
          <w:szCs w:val="32"/>
        </w:rPr>
      </w:pPr>
      <w:r>
        <w:rPr>
          <w:rStyle w:val="41"/>
          <w:rFonts w:hint="eastAsia"/>
          <w:b/>
          <w:bCs/>
          <w:spacing w:val="0"/>
        </w:rPr>
        <w:t>着力“延链”</w:t>
      </w:r>
      <w:r>
        <w:rPr>
          <w:rStyle w:val="41"/>
          <w:rFonts w:hint="eastAsia"/>
          <w:spacing w:val="0"/>
        </w:rPr>
        <w:t>，</w:t>
      </w:r>
      <w:r>
        <w:rPr>
          <w:rFonts w:hint="eastAsia" w:eastAsia="仿宋_GB2312"/>
          <w:sz w:val="32"/>
          <w:szCs w:val="32"/>
        </w:rPr>
        <w:t>提升生态农业、金融结算、军民融合3条机会产业链。坚持“大产业+新主体+新平台”发展思路，壮大绿色食品牌，推进特色水果产业基地、林下中药材科技示范园、巨石寨休闲观光农场建设。培育壮大龙头企业3家以上，新增家庭农场5个以上</w:t>
      </w:r>
      <w:r>
        <w:rPr>
          <w:rFonts w:hint="eastAsia" w:eastAsia="仿宋_GB2312"/>
          <w:bCs/>
          <w:sz w:val="32"/>
          <w:szCs w:val="32"/>
        </w:rPr>
        <w:t>。加快金融集聚，</w:t>
      </w:r>
      <w:r>
        <w:rPr>
          <w:rFonts w:hint="eastAsia" w:eastAsia="仿宋_GB2312"/>
          <w:sz w:val="32"/>
          <w:szCs w:val="32"/>
        </w:rPr>
        <w:t>一季度实现渤海银行云南分行开业，新增各类金融机构5户以上，力争实现金融业增加值不低于155亿元。</w:t>
      </w:r>
      <w:r>
        <w:rPr>
          <w:rFonts w:hint="eastAsia" w:eastAsia="仿宋_GB2312"/>
          <w:bCs/>
          <w:sz w:val="32"/>
          <w:szCs w:val="32"/>
        </w:rPr>
        <w:t>依托海口云南西仪公司、云光发展集团有限公司技术研发优势，培育引导上下游企业，打造海口军民融合产业发展基地。</w:t>
      </w:r>
    </w:p>
    <w:p>
      <w:pPr>
        <w:topLinePunct/>
        <w:adjustRightInd w:val="0"/>
        <w:snapToGrid w:val="0"/>
        <w:spacing w:line="592" w:lineRule="exact"/>
        <w:ind w:firstLine="643" w:firstLineChars="200"/>
        <w:rPr>
          <w:rFonts w:eastAsia="仿宋_GB2312"/>
          <w:b/>
          <w:bCs/>
          <w:sz w:val="32"/>
          <w:szCs w:val="32"/>
        </w:rPr>
      </w:pPr>
      <w:r>
        <w:rPr>
          <w:rFonts w:hint="eastAsia" w:eastAsia="仿宋_GB2312"/>
          <w:b/>
          <w:bCs/>
          <w:sz w:val="32"/>
          <w:szCs w:val="32"/>
        </w:rPr>
        <w:t>着力“强链”</w:t>
      </w:r>
      <w:r>
        <w:rPr>
          <w:rFonts w:hint="eastAsia" w:eastAsia="仿宋_GB2312"/>
          <w:sz w:val="32"/>
          <w:szCs w:val="32"/>
        </w:rPr>
        <w:t>，壮大大健康、数字经济、楼宇（总部）经济3条主导产业链。拓展</w:t>
      </w:r>
      <w:r>
        <w:rPr>
          <w:rFonts w:hint="eastAsia" w:eastAsia="仿宋_GB2312"/>
          <w:bCs/>
          <w:sz w:val="32"/>
          <w:szCs w:val="32"/>
        </w:rPr>
        <w:t>大健康</w:t>
      </w:r>
      <w:r>
        <w:rPr>
          <w:rFonts w:hint="eastAsia" w:eastAsia="仿宋_GB2312"/>
          <w:sz w:val="32"/>
          <w:szCs w:val="32"/>
        </w:rPr>
        <w:t>产业链，突出“医养食药游”全产业链融合发展，落地建设云南白药集团健康医疗中心，实体化运行团结中医药产业，转型升级发展卧云山生态文旅产业，新增医养结合机构4家，大健康产业增加值增长6%以上。深化</w:t>
      </w:r>
      <w:r>
        <w:rPr>
          <w:rFonts w:hint="eastAsia" w:eastAsia="仿宋_GB2312"/>
          <w:bCs/>
          <w:sz w:val="32"/>
          <w:szCs w:val="32"/>
        </w:rPr>
        <w:t>数字经济</w:t>
      </w:r>
      <w:r>
        <w:rPr>
          <w:rFonts w:hint="eastAsia" w:eastAsia="仿宋_GB2312"/>
          <w:sz w:val="32"/>
          <w:szCs w:val="32"/>
        </w:rPr>
        <w:t>链接，全力推进数字经济先行区创建工作，加速推动腾云信息“数字文旅产业园”、百度“智能交通”等项目落地，构建以“电子信息、智能制造”为核心的产业加速器，实现规模以上互联网和相关服务、软件和信息技术服务业营业收入增长10%以上。提优</w:t>
      </w:r>
      <w:r>
        <w:rPr>
          <w:rFonts w:hint="eastAsia" w:eastAsia="仿宋_GB2312"/>
          <w:bCs/>
          <w:sz w:val="32"/>
          <w:szCs w:val="32"/>
        </w:rPr>
        <w:t>服务贸易与楼宇生态圈</w:t>
      </w:r>
      <w:r>
        <w:rPr>
          <w:rFonts w:hint="eastAsia" w:eastAsia="仿宋_GB2312"/>
          <w:sz w:val="32"/>
          <w:szCs w:val="32"/>
        </w:rPr>
        <w:t>融合发展，联动滇池旅游度假区，发挥楼宇“1+2+N”服务管家团队效能，推动</w:t>
      </w:r>
      <w:r>
        <w:rPr>
          <w:rFonts w:hint="eastAsia" w:eastAsia="仿宋_GB2312"/>
          <w:bCs/>
          <w:sz w:val="32"/>
          <w:szCs w:val="32"/>
        </w:rPr>
        <w:t>“五大”楼宇功能区建设，</w:t>
      </w:r>
      <w:r>
        <w:rPr>
          <w:rFonts w:hint="eastAsia" w:eastAsia="仿宋_GB2312"/>
          <w:sz w:val="32"/>
          <w:szCs w:val="32"/>
        </w:rPr>
        <w:t>建立“闲置楼宇”资源库，有效激活总部企业“领头羊”效应，新培育总部企业2家以上，实现税收千万元楼宇和亿元楼宇保有量有增长。</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3.</w:t>
      </w:r>
      <w:r>
        <w:rPr>
          <w:rFonts w:hint="eastAsia" w:eastAsia="仿宋_GB2312"/>
          <w:b/>
          <w:sz w:val="32"/>
          <w:szCs w:val="32"/>
        </w:rPr>
        <w:t>增强新型消费“支撑</w:t>
      </w:r>
      <w:r>
        <w:rPr>
          <w:rFonts w:hint="eastAsia" w:eastAsia="仿宋_GB2312"/>
          <w:b/>
          <w:bCs/>
          <w:sz w:val="32"/>
          <w:szCs w:val="32"/>
        </w:rPr>
        <w:t>力</w:t>
      </w:r>
      <w:r>
        <w:rPr>
          <w:rFonts w:hint="eastAsia" w:eastAsia="仿宋_GB2312"/>
          <w:b/>
          <w:sz w:val="32"/>
          <w:szCs w:val="32"/>
        </w:rPr>
        <w:t>”</w:t>
      </w:r>
    </w:p>
    <w:p>
      <w:pPr>
        <w:topLinePunct/>
        <w:adjustRightInd w:val="0"/>
        <w:snapToGrid w:val="0"/>
        <w:spacing w:line="592" w:lineRule="exact"/>
        <w:ind w:firstLine="640" w:firstLineChars="200"/>
        <w:rPr>
          <w:rFonts w:eastAsia="楷体_GB2312"/>
          <w:sz w:val="32"/>
          <w:szCs w:val="32"/>
        </w:rPr>
      </w:pPr>
      <w:r>
        <w:rPr>
          <w:rFonts w:hint="eastAsia" w:eastAsia="仿宋_GB2312"/>
          <w:bCs/>
          <w:sz w:val="32"/>
          <w:szCs w:val="32"/>
        </w:rPr>
        <w:t>激发数字消费活力，提升传统消费能级，发挥好云纺国家电子商务示范基地聚集优势，孵化电商产业集群，加速流量经济发展。</w:t>
      </w:r>
      <w:r>
        <w:rPr>
          <w:rFonts w:hint="eastAsia" w:eastAsia="仿宋_GB2312"/>
          <w:sz w:val="32"/>
          <w:szCs w:val="32"/>
        </w:rPr>
        <w:t>丰富夜间商贸业态，</w:t>
      </w:r>
      <w:r>
        <w:rPr>
          <w:rFonts w:hint="eastAsia" w:eastAsia="仿宋_GB2312"/>
          <w:bCs/>
          <w:sz w:val="32"/>
          <w:szCs w:val="32"/>
        </w:rPr>
        <w:t>重点打造东西寺塔、</w:t>
      </w:r>
      <w:r>
        <w:rPr>
          <w:rFonts w:hint="eastAsia" w:eastAsia="仿宋_GB2312"/>
          <w:sz w:val="32"/>
          <w:szCs w:val="32"/>
        </w:rPr>
        <w:t>大悦城—云纺</w:t>
      </w:r>
      <w:r>
        <w:rPr>
          <w:rFonts w:hint="eastAsia" w:eastAsia="仿宋_GB2312"/>
          <w:bCs/>
          <w:sz w:val="32"/>
          <w:szCs w:val="32"/>
        </w:rPr>
        <w:t>等夜间经济示范街区。设立1—3个新能源汽车销售聚集区，加快大宗消费发展。加快农村电子商务体系和快递物流配送体系建设，实施“西山农产”品牌计划，增加绿色优质农产品供给，进一步释放农村消费市场潜力。</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4.推进乡村振兴“高质量”</w:t>
      </w:r>
    </w:p>
    <w:p>
      <w:pPr>
        <w:topLinePunct/>
        <w:adjustRightInd w:val="0"/>
        <w:snapToGrid w:val="0"/>
        <w:spacing w:line="592" w:lineRule="exact"/>
        <w:ind w:firstLine="640" w:firstLineChars="200"/>
        <w:rPr>
          <w:rFonts w:eastAsia="仿宋_GB2312"/>
          <w:b/>
          <w:bCs/>
          <w:sz w:val="32"/>
          <w:szCs w:val="32"/>
        </w:rPr>
      </w:pPr>
      <w:r>
        <w:rPr>
          <w:rFonts w:hint="eastAsia" w:eastAsia="仿宋_GB2312"/>
          <w:sz w:val="32"/>
          <w:szCs w:val="32"/>
        </w:rPr>
        <w:t>巩固拓展脱贫攻坚成果，精准帮扶“三类”（脱贫不稳定户、边缘易致贫户、突发严重困难户）群体，确保不发生规模性返贫。深入推进“干部回乡规划乡村振兴行动”，一季度指导完成“五个振兴”方案编制印发，全年完成25个实用性村庄规划编制。</w:t>
      </w:r>
      <w:r>
        <w:rPr>
          <w:rFonts w:hint="eastAsia" w:eastAsia="仿宋_GB2312"/>
          <w:bCs/>
          <w:sz w:val="32"/>
          <w:szCs w:val="32"/>
        </w:rPr>
        <w:t>开展团结章百等3个乡村振兴示范村规划设计。实现滇池沿线农村卫生厕所普及率达95%以上，村内户外道路硬化100%。落实农村宅基地联审联管机制。深入推进优质粮食工程，实现粮食总产1.2万吨，牢牢守住粮食安全底线。打造乡村振兴特色产业，加快发展“农业+文旅”都市休闲农业，打造碧鸡、海口、团结等休闲目的地，</w:t>
      </w:r>
      <w:r>
        <w:rPr>
          <w:rFonts w:hint="eastAsia" w:eastAsia="仿宋_GB2312"/>
          <w:sz w:val="32"/>
          <w:szCs w:val="32"/>
        </w:rPr>
        <w:t>实现休闲农业和乡村旅游业收入增长。</w:t>
      </w:r>
      <w:r>
        <w:rPr>
          <w:rFonts w:hint="eastAsia" w:eastAsia="仿宋_GB2312"/>
          <w:bCs/>
          <w:sz w:val="32"/>
          <w:szCs w:val="32"/>
        </w:rPr>
        <w:t>城乡居民收入比由2.08降至2.06，实现城乡更加均衡发展，推进实现共同富裕。</w:t>
      </w:r>
    </w:p>
    <w:p>
      <w:pPr>
        <w:topLinePunct/>
        <w:adjustRightInd w:val="0"/>
        <w:snapToGrid w:val="0"/>
        <w:spacing w:line="592" w:lineRule="exact"/>
        <w:ind w:firstLine="640" w:firstLineChars="200"/>
        <w:outlineLvl w:val="1"/>
        <w:rPr>
          <w:rFonts w:eastAsia="楷体_GB2312"/>
          <w:sz w:val="32"/>
          <w:szCs w:val="32"/>
        </w:rPr>
      </w:pPr>
      <w:r>
        <w:rPr>
          <w:rFonts w:hint="eastAsia" w:eastAsia="楷体_GB2312"/>
          <w:sz w:val="32"/>
          <w:szCs w:val="32"/>
        </w:rPr>
        <w:t>（二）加快园区开发，提升高质量发展“开拓力”</w:t>
      </w:r>
    </w:p>
    <w:p>
      <w:pPr>
        <w:topLinePunct/>
        <w:adjustRightInd w:val="0"/>
        <w:snapToGrid w:val="0"/>
        <w:spacing w:line="592" w:lineRule="exact"/>
        <w:ind w:firstLine="643" w:firstLineChars="200"/>
        <w:outlineLvl w:val="2"/>
        <w:rPr>
          <w:rFonts w:eastAsia="仿宋_GB2312"/>
          <w:b/>
          <w:sz w:val="32"/>
          <w:szCs w:val="32"/>
        </w:rPr>
      </w:pPr>
      <w:r>
        <w:rPr>
          <w:rFonts w:hint="eastAsia" w:eastAsia="仿宋_GB2312"/>
          <w:b/>
          <w:sz w:val="32"/>
          <w:szCs w:val="32"/>
        </w:rPr>
        <w:t>5.打造开发园区“新引擎”</w:t>
      </w:r>
    </w:p>
    <w:p>
      <w:pPr>
        <w:topLinePunct/>
        <w:adjustRightInd w:val="0"/>
        <w:snapToGrid w:val="0"/>
        <w:spacing w:line="592" w:lineRule="exact"/>
        <w:ind w:firstLine="640" w:firstLineChars="200"/>
        <w:rPr>
          <w:rFonts w:eastAsia="仿宋_GB2312"/>
          <w:sz w:val="32"/>
          <w:szCs w:val="32"/>
        </w:rPr>
      </w:pPr>
      <w:r>
        <w:rPr>
          <w:rFonts w:hint="eastAsia" w:eastAsia="仿宋_GB2312"/>
          <w:bCs/>
          <w:sz w:val="32"/>
          <w:szCs w:val="32"/>
        </w:rPr>
        <w:t>一季度基本完成西山产业开发园区总体规划编制和申报。</w:t>
      </w:r>
      <w:r>
        <w:rPr>
          <w:rFonts w:hint="eastAsia" w:eastAsia="仿宋_GB2312"/>
          <w:sz w:val="32"/>
          <w:szCs w:val="32"/>
        </w:rPr>
        <w:t>整合打造海口工业园区、长坡园区、团结片区“一区三片”的省级开发园区，促进工业发展全面转型升级，塑造</w:t>
      </w:r>
      <w:r>
        <w:rPr>
          <w:rFonts w:hint="eastAsia" w:eastAsia="仿宋_GB2312"/>
          <w:sz w:val="32"/>
        </w:rPr>
        <w:t>集约化、高品质、工业上楼的“产业新城”空间新形态。</w:t>
      </w:r>
      <w:r>
        <w:rPr>
          <w:rFonts w:hint="eastAsia" w:eastAsia="仿宋_GB2312"/>
          <w:sz w:val="32"/>
          <w:szCs w:val="32"/>
        </w:rPr>
        <w:t>聚焦</w:t>
      </w:r>
      <w:r>
        <w:rPr>
          <w:rFonts w:hint="eastAsia" w:eastAsia="仿宋_GB2312"/>
          <w:sz w:val="32"/>
        </w:rPr>
        <w:t>绿色制造、创新孵化，</w:t>
      </w:r>
      <w:r>
        <w:rPr>
          <w:rFonts w:hint="eastAsia" w:eastAsia="仿宋_GB2312"/>
          <w:sz w:val="32"/>
          <w:szCs w:val="32"/>
        </w:rPr>
        <w:t>加快形成新的产业发展高地。</w:t>
      </w:r>
    </w:p>
    <w:p>
      <w:pPr>
        <w:topLinePunct/>
        <w:adjustRightInd w:val="0"/>
        <w:snapToGrid w:val="0"/>
        <w:spacing w:line="592" w:lineRule="exact"/>
        <w:ind w:firstLine="643" w:firstLineChars="200"/>
        <w:outlineLvl w:val="2"/>
        <w:rPr>
          <w:rFonts w:eastAsia="仿宋_GB2312"/>
          <w:b/>
          <w:sz w:val="32"/>
          <w:szCs w:val="32"/>
        </w:rPr>
      </w:pPr>
      <w:r>
        <w:rPr>
          <w:rFonts w:hint="eastAsia" w:eastAsia="仿宋_GB2312"/>
          <w:b/>
          <w:sz w:val="32"/>
          <w:szCs w:val="32"/>
        </w:rPr>
        <w:t>6.培育新兴产业“新动能”</w:t>
      </w:r>
    </w:p>
    <w:p>
      <w:pPr>
        <w:topLinePunct/>
        <w:adjustRightInd w:val="0"/>
        <w:snapToGrid w:val="0"/>
        <w:spacing w:line="592" w:lineRule="exact"/>
        <w:ind w:firstLine="640" w:firstLineChars="200"/>
        <w:rPr>
          <w:rFonts w:eastAsia="仿宋_GB2312"/>
          <w:sz w:val="32"/>
          <w:szCs w:val="32"/>
        </w:rPr>
      </w:pPr>
      <w:r>
        <w:rPr>
          <w:rFonts w:hint="eastAsia" w:eastAsia="仿宋_GB2312"/>
          <w:sz w:val="32"/>
          <w:szCs w:val="32"/>
        </w:rPr>
        <w:t>全力推进</w:t>
      </w:r>
      <w:r>
        <w:rPr>
          <w:rFonts w:hint="eastAsia" w:eastAsia="仿宋_GB2312"/>
          <w:b/>
          <w:sz w:val="32"/>
          <w:szCs w:val="32"/>
        </w:rPr>
        <w:t>海口</w:t>
      </w:r>
      <w:r>
        <w:rPr>
          <w:rFonts w:hint="eastAsia" w:eastAsia="仿宋_GB2312"/>
          <w:sz w:val="32"/>
          <w:szCs w:val="32"/>
        </w:rPr>
        <w:t>全域土地综合整治试点，力争年内新增工业用地2000亩，二季度省级工业园区新产业规划通过审核。</w:t>
      </w:r>
      <w:r>
        <w:rPr>
          <w:rStyle w:val="36"/>
          <w:rFonts w:hint="eastAsia"/>
        </w:rPr>
        <w:t>推进</w:t>
      </w:r>
      <w:r>
        <w:rPr>
          <w:rFonts w:hint="eastAsia" w:eastAsia="仿宋_GB2312"/>
          <w:bCs/>
          <w:sz w:val="32"/>
          <w:szCs w:val="32"/>
        </w:rPr>
        <w:t>福石科技公司精细磷化工产业园开工建设，实现中烟异地技改项目竣工投产。</w:t>
      </w:r>
      <w:r>
        <w:rPr>
          <w:rFonts w:hint="eastAsia" w:eastAsia="仿宋_GB2312"/>
          <w:sz w:val="32"/>
          <w:szCs w:val="32"/>
        </w:rPr>
        <w:t>着力培育精细磷化工、新材料和先进装备制造集群，打造成为全省具有示范效果的新型工业园区。争取上半年完成</w:t>
      </w:r>
      <w:r>
        <w:rPr>
          <w:rFonts w:hint="eastAsia" w:eastAsia="仿宋_GB2312"/>
          <w:b/>
          <w:sz w:val="32"/>
          <w:szCs w:val="32"/>
        </w:rPr>
        <w:t>长坡园区</w:t>
      </w:r>
      <w:r>
        <w:rPr>
          <w:rFonts w:hint="eastAsia" w:eastAsia="仿宋_GB2312"/>
          <w:sz w:val="32"/>
          <w:szCs w:val="32"/>
        </w:rPr>
        <w:t>省级绿色低碳产业园、新能源产业园申报，打造昆明西部集“科创、文创、绿创”为一体的产业新城。</w:t>
      </w:r>
      <w:r>
        <w:rPr>
          <w:rFonts w:hint="eastAsia" w:eastAsia="仿宋_GB2312"/>
          <w:b/>
          <w:sz w:val="32"/>
          <w:szCs w:val="32"/>
        </w:rPr>
        <w:t>团结片区</w:t>
      </w:r>
      <w:r>
        <w:rPr>
          <w:rFonts w:hint="eastAsia" w:eastAsia="仿宋_GB2312"/>
          <w:sz w:val="32"/>
          <w:szCs w:val="32"/>
        </w:rPr>
        <w:t>打造以高原特色都市农业为基础、大健康产业为主导、智慧物流产业为特色的绿色产业片区，塑造西部绿色增长极。</w:t>
      </w:r>
    </w:p>
    <w:p>
      <w:pPr>
        <w:topLinePunct/>
        <w:adjustRightInd w:val="0"/>
        <w:snapToGrid w:val="0"/>
        <w:spacing w:line="592" w:lineRule="exact"/>
        <w:ind w:firstLine="643" w:firstLineChars="200"/>
        <w:outlineLvl w:val="2"/>
        <w:rPr>
          <w:rFonts w:eastAsia="楷体_GB2312"/>
          <w:b/>
          <w:bCs/>
          <w:snapToGrid w:val="0"/>
          <w:kern w:val="0"/>
          <w:sz w:val="32"/>
          <w:szCs w:val="32"/>
          <w:lang w:val="zh-CN"/>
        </w:rPr>
      </w:pPr>
      <w:r>
        <w:rPr>
          <w:rFonts w:hint="eastAsia" w:eastAsia="仿宋_GB2312"/>
          <w:b/>
          <w:sz w:val="32"/>
          <w:szCs w:val="32"/>
        </w:rPr>
        <w:t>7.三片开发拓展“新空间”</w:t>
      </w:r>
    </w:p>
    <w:p>
      <w:pPr>
        <w:topLinePunct/>
        <w:adjustRightInd w:val="0"/>
        <w:snapToGrid w:val="0"/>
        <w:spacing w:line="592" w:lineRule="exact"/>
        <w:ind w:firstLine="640" w:firstLineChars="200"/>
        <w:rPr>
          <w:rFonts w:eastAsia="楷体_GB2312"/>
          <w:bCs/>
          <w:snapToGrid w:val="0"/>
          <w:kern w:val="0"/>
          <w:sz w:val="32"/>
          <w:szCs w:val="32"/>
          <w:lang w:val="zh-CN"/>
        </w:rPr>
      </w:pPr>
      <w:r>
        <w:rPr>
          <w:rFonts w:hint="eastAsia" w:eastAsia="仿宋_GB2312"/>
          <w:sz w:val="32"/>
          <w:szCs w:val="32"/>
        </w:rPr>
        <w:t>落实新兴产业用地政策，试行产业用地“已补就用、限退转用、先租后让、边用边让”，弹性供应用地，实现海口、长坡、团结片区“M0或M4”新型产业用地新突破，年内产业用地开工建设不少于2000亩。力争新规划区级产业开发园区规划总面积达</w:t>
      </w:r>
      <w:r>
        <w:rPr>
          <w:rFonts w:eastAsia="仿宋_GB2312"/>
          <w:sz w:val="32"/>
          <w:szCs w:val="32"/>
        </w:rPr>
        <w:t>35</w:t>
      </w:r>
      <w:r>
        <w:rPr>
          <w:rFonts w:hint="eastAsia" w:eastAsia="仿宋_GB2312"/>
          <w:sz w:val="32"/>
          <w:szCs w:val="32"/>
        </w:rPr>
        <w:t>平方公里，其中海口片区23.9平方公里、长坡片区</w:t>
      </w:r>
      <w:r>
        <w:rPr>
          <w:rFonts w:eastAsia="仿宋_GB2312"/>
          <w:sz w:val="32"/>
          <w:szCs w:val="32"/>
        </w:rPr>
        <w:t>7.1</w:t>
      </w:r>
      <w:r>
        <w:rPr>
          <w:rFonts w:hint="eastAsia" w:eastAsia="仿宋_GB2312"/>
          <w:sz w:val="32"/>
          <w:szCs w:val="32"/>
        </w:rPr>
        <w:t>平方公里、团结片区4平方公里。</w:t>
      </w:r>
    </w:p>
    <w:p>
      <w:pPr>
        <w:topLinePunct/>
        <w:adjustRightInd w:val="0"/>
        <w:snapToGrid w:val="0"/>
        <w:spacing w:line="592" w:lineRule="exact"/>
        <w:ind w:firstLine="640" w:firstLineChars="200"/>
        <w:outlineLvl w:val="1"/>
        <w:rPr>
          <w:rFonts w:eastAsia="楷体_GB2312"/>
          <w:bCs/>
          <w:snapToGrid w:val="0"/>
          <w:kern w:val="0"/>
          <w:sz w:val="32"/>
          <w:szCs w:val="32"/>
          <w:lang w:val="zh-CN"/>
        </w:rPr>
      </w:pPr>
      <w:r>
        <w:rPr>
          <w:rFonts w:hint="eastAsia" w:eastAsia="楷体_GB2312"/>
          <w:bCs/>
          <w:snapToGrid w:val="0"/>
          <w:kern w:val="0"/>
          <w:sz w:val="32"/>
          <w:szCs w:val="32"/>
          <w:lang w:val="zh-CN"/>
        </w:rPr>
        <w:t>（三）坚持投资拉动，打好基础建设适度“超前量”</w:t>
      </w:r>
    </w:p>
    <w:p>
      <w:pPr>
        <w:topLinePunct/>
        <w:adjustRightInd w:val="0"/>
        <w:snapToGrid w:val="0"/>
        <w:spacing w:line="592" w:lineRule="exact"/>
        <w:ind w:firstLine="643" w:firstLineChars="200"/>
        <w:outlineLvl w:val="2"/>
        <w:rPr>
          <w:rFonts w:eastAsia="仿宋_GB2312"/>
          <w:b/>
          <w:snapToGrid w:val="0"/>
          <w:kern w:val="0"/>
          <w:sz w:val="32"/>
          <w:szCs w:val="32"/>
        </w:rPr>
      </w:pPr>
      <w:r>
        <w:rPr>
          <w:rFonts w:hint="eastAsia" w:eastAsia="仿宋_GB2312"/>
          <w:b/>
          <w:snapToGrid w:val="0"/>
          <w:kern w:val="0"/>
          <w:sz w:val="32"/>
          <w:szCs w:val="32"/>
        </w:rPr>
        <w:t>8.谋划储备项目“扩投资”</w:t>
      </w:r>
    </w:p>
    <w:p>
      <w:pPr>
        <w:pStyle w:val="46"/>
        <w:widowControl w:val="0"/>
        <w:topLinePunct/>
        <w:adjustRightInd w:val="0"/>
        <w:snapToGrid w:val="0"/>
        <w:spacing w:line="592" w:lineRule="exact"/>
        <w:ind w:firstLine="640" w:firstLineChars="20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适度超前开展基础设施投资，发挥政府投资引导作用，鼓励和引导民间资本参与项目建设。推进实施投资项目309项，计划总投资2128.9亿元，年度计划投资432.1亿元。其中：政府投资基础领域“补短板”项目152项（计划内56项，动态96项），计划总投资244.3亿元（计划内125.8亿元，动态128.5亿元），年度计划投资86.6亿元（计划内40.7亿元，动态45.9亿元）。社会投资产业领域“增后劲”项目157项，计划总投资1884.6亿元，年度计划投资345.5亿元。建立健全投资项目动态储备库，系统整理近三年来完成立项备案、可行性研究报告初审、已安排前期工作经费及已同意开展前期工作的项目，实行月监测、季增补、半年报告、年度调整，不断充实项目支撑。</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9.强化要素保障“稳投资”</w:t>
      </w:r>
    </w:p>
    <w:p>
      <w:pPr>
        <w:topLinePunct/>
        <w:adjustRightInd w:val="0"/>
        <w:snapToGrid w:val="0"/>
        <w:spacing w:line="592" w:lineRule="exact"/>
        <w:ind w:firstLine="640" w:firstLineChars="200"/>
        <w:rPr>
          <w:rFonts w:eastAsia="仿宋_GB2312"/>
          <w:bCs/>
          <w:snapToGrid w:val="0"/>
          <w:kern w:val="0"/>
          <w:sz w:val="32"/>
          <w:szCs w:val="32"/>
        </w:rPr>
      </w:pPr>
      <w:r>
        <w:rPr>
          <w:rFonts w:hint="eastAsia" w:eastAsia="仿宋_GB2312"/>
          <w:bCs/>
          <w:snapToGrid w:val="0"/>
          <w:kern w:val="0"/>
          <w:sz w:val="32"/>
          <w:szCs w:val="32"/>
        </w:rPr>
        <w:t>全年安排项目前期工作经费不少于8000万元，积极争取上级资金支持不少于8亿元，争取发行地方政府专项债券12亿元，对省、市、区重点项目、增强产业链接力项目和重点招商引资项目，进一步创新审批模式，建立联审联批及“绿色审批通道”制度。进一步压缩项目审批时限，社会投资一般性建设项目压缩到60个工作日，工业类建设项目压缩到55个工作日，社会投资方出让土地类建设项目压缩到45个工作日。</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10.增强五网设施“保障力”</w:t>
      </w:r>
    </w:p>
    <w:p>
      <w:pPr>
        <w:topLinePunct/>
        <w:adjustRightInd w:val="0"/>
        <w:snapToGrid w:val="0"/>
        <w:spacing w:line="592" w:lineRule="exact"/>
        <w:ind w:firstLine="640" w:firstLineChars="200"/>
        <w:jc w:val="left"/>
        <w:rPr>
          <w:rFonts w:eastAsia="仿宋_GB2312"/>
          <w:bCs/>
          <w:sz w:val="32"/>
          <w:szCs w:val="32"/>
        </w:rPr>
      </w:pPr>
      <w:r>
        <w:rPr>
          <w:rFonts w:hint="eastAsia" w:eastAsia="仿宋_GB2312"/>
          <w:bCs/>
          <w:sz w:val="32"/>
          <w:szCs w:val="32"/>
        </w:rPr>
        <w:t>优化综合</w:t>
      </w:r>
      <w:r>
        <w:rPr>
          <w:rFonts w:hint="eastAsia" w:eastAsia="仿宋_GB2312"/>
          <w:b/>
          <w:sz w:val="32"/>
          <w:szCs w:val="32"/>
        </w:rPr>
        <w:t>交通网</w:t>
      </w:r>
      <w:r>
        <w:rPr>
          <w:rFonts w:hint="eastAsia" w:eastAsia="仿宋_GB2312"/>
          <w:bCs/>
          <w:sz w:val="32"/>
          <w:szCs w:val="32"/>
        </w:rPr>
        <w:t>，</w:t>
      </w:r>
      <w:r>
        <w:rPr>
          <w:rFonts w:hint="eastAsia" w:eastAsia="仿宋_GB2312"/>
          <w:sz w:val="32"/>
          <w:szCs w:val="32"/>
        </w:rPr>
        <w:t>持续推进渝昆高铁</w:t>
      </w:r>
      <w:r>
        <w:rPr>
          <w:rFonts w:hint="eastAsia" w:eastAsia="仿宋_GB2312"/>
          <w:bCs/>
          <w:sz w:val="32"/>
          <w:szCs w:val="32"/>
        </w:rPr>
        <w:t>昆明西客站</w:t>
      </w:r>
      <w:r>
        <w:rPr>
          <w:rFonts w:hint="eastAsia" w:eastAsia="仿宋_GB2312"/>
          <w:sz w:val="32"/>
          <w:szCs w:val="32"/>
        </w:rPr>
        <w:t>综合交通枢纽项目和昆安高速下层B段、兴团大道（北段）、绿荫大道等</w:t>
      </w:r>
      <w:r>
        <w:rPr>
          <w:rFonts w:hint="eastAsia" w:eastAsia="仿宋_GB2312"/>
          <w:snapToGrid w:val="0"/>
          <w:sz w:val="32"/>
          <w:szCs w:val="32"/>
        </w:rPr>
        <w:t>7</w:t>
      </w:r>
      <w:r>
        <w:rPr>
          <w:rFonts w:hint="eastAsia" w:eastAsia="仿宋_GB2312"/>
          <w:sz w:val="32"/>
          <w:szCs w:val="32"/>
        </w:rPr>
        <w:t>条道路建设，上半年完成益宁路下穿贯通项目征地拆迁，推进益宁路下穿成昆铁路南段建设，优化提质23条重要城市道路。提质城乡</w:t>
      </w:r>
      <w:r>
        <w:rPr>
          <w:rFonts w:hint="eastAsia" w:eastAsia="仿宋_GB2312"/>
          <w:b/>
          <w:bCs/>
          <w:sz w:val="32"/>
          <w:szCs w:val="32"/>
        </w:rPr>
        <w:t>水网</w:t>
      </w:r>
      <w:r>
        <w:rPr>
          <w:rFonts w:hint="eastAsia" w:eastAsia="仿宋_GB2312"/>
          <w:sz w:val="32"/>
          <w:szCs w:val="32"/>
        </w:rPr>
        <w:t>，持续推进农业水价综合改革。大力推进城乡一体化农村供水保障工程建设，加快</w:t>
      </w:r>
      <w:r>
        <w:rPr>
          <w:rFonts w:hint="eastAsia" w:eastAsia="仿宋_GB2312"/>
          <w:kern w:val="0"/>
          <w:sz w:val="32"/>
          <w:szCs w:val="32"/>
        </w:rPr>
        <w:t>推进</w:t>
      </w:r>
      <w:r>
        <w:rPr>
          <w:rFonts w:hint="eastAsia" w:eastAsia="仿宋_GB2312"/>
          <w:sz w:val="32"/>
          <w:szCs w:val="32"/>
        </w:rPr>
        <w:t>海口自来水厂及</w:t>
      </w:r>
      <w:r>
        <w:rPr>
          <w:rFonts w:hint="eastAsia" w:eastAsia="仿宋_GB2312"/>
          <w:kern w:val="0"/>
          <w:sz w:val="32"/>
          <w:szCs w:val="32"/>
        </w:rPr>
        <w:t>88座农村生活污水处理设施建设。拓展</w:t>
      </w:r>
      <w:r>
        <w:rPr>
          <w:rFonts w:hint="eastAsia" w:eastAsia="仿宋_GB2312"/>
          <w:sz w:val="32"/>
          <w:szCs w:val="32"/>
        </w:rPr>
        <w:t>低碳</w:t>
      </w:r>
      <w:r>
        <w:rPr>
          <w:rFonts w:hint="eastAsia" w:eastAsia="仿宋_GB2312"/>
          <w:b/>
          <w:bCs/>
          <w:sz w:val="32"/>
          <w:szCs w:val="32"/>
        </w:rPr>
        <w:t>能源网</w:t>
      </w:r>
      <w:r>
        <w:rPr>
          <w:rFonts w:hint="eastAsia" w:eastAsia="仿宋_GB2312"/>
          <w:sz w:val="32"/>
          <w:szCs w:val="32"/>
        </w:rPr>
        <w:t>，实现城市生活垃圾焚烧发电改扩建项目竣工投产，新能源新增发电量增长20%。扩大新型</w:t>
      </w:r>
      <w:r>
        <w:rPr>
          <w:rFonts w:hint="eastAsia" w:eastAsia="仿宋_GB2312"/>
          <w:b/>
          <w:bCs/>
          <w:sz w:val="32"/>
          <w:szCs w:val="32"/>
        </w:rPr>
        <w:t>信息网</w:t>
      </w:r>
      <w:r>
        <w:rPr>
          <w:rFonts w:hint="eastAsia" w:eastAsia="仿宋_GB2312"/>
          <w:sz w:val="32"/>
          <w:szCs w:val="32"/>
        </w:rPr>
        <w:t>，深化新型基础设施建设，新建5G基站200座。构建全域</w:t>
      </w:r>
      <w:r>
        <w:rPr>
          <w:rFonts w:hint="eastAsia" w:eastAsia="仿宋_GB2312"/>
          <w:b/>
          <w:bCs/>
          <w:sz w:val="32"/>
          <w:szCs w:val="32"/>
        </w:rPr>
        <w:t>物流网</w:t>
      </w:r>
      <w:r>
        <w:rPr>
          <w:rFonts w:hint="eastAsia" w:eastAsia="仿宋_GB2312"/>
          <w:sz w:val="32"/>
          <w:szCs w:val="32"/>
        </w:rPr>
        <w:t>，布局建设全区121个社区物流配送点。</w:t>
      </w:r>
    </w:p>
    <w:p>
      <w:pPr>
        <w:topLinePunct/>
        <w:adjustRightInd w:val="0"/>
        <w:snapToGrid w:val="0"/>
        <w:spacing w:line="592" w:lineRule="exact"/>
        <w:ind w:firstLine="640" w:firstLineChars="200"/>
        <w:outlineLvl w:val="1"/>
        <w:rPr>
          <w:rFonts w:eastAsia="楷体_GB2312"/>
          <w:sz w:val="32"/>
          <w:szCs w:val="32"/>
        </w:rPr>
      </w:pPr>
      <w:r>
        <w:rPr>
          <w:rFonts w:hint="eastAsia" w:eastAsia="楷体_GB2312"/>
          <w:sz w:val="32"/>
          <w:szCs w:val="32"/>
        </w:rPr>
        <w:t>（四）深化改革创新，赋能高质量发展“内生力”</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11.强化科技创新“驱动力”</w:t>
      </w:r>
    </w:p>
    <w:p>
      <w:pPr>
        <w:topLinePunct/>
        <w:adjustRightInd w:val="0"/>
        <w:snapToGrid w:val="0"/>
        <w:spacing w:line="592" w:lineRule="exact"/>
        <w:ind w:firstLine="640" w:firstLineChars="200"/>
        <w:rPr>
          <w:rFonts w:eastAsia="仿宋_GB2312"/>
          <w:b/>
          <w:bCs/>
          <w:spacing w:val="4"/>
          <w:sz w:val="32"/>
          <w:szCs w:val="32"/>
        </w:rPr>
      </w:pPr>
      <w:r>
        <w:rPr>
          <w:rFonts w:hint="eastAsia" w:eastAsia="仿宋_GB2312"/>
          <w:sz w:val="32"/>
          <w:szCs w:val="32"/>
        </w:rPr>
        <w:t>强化区域战略科技力量，促进</w:t>
      </w:r>
      <w:r>
        <w:rPr>
          <w:rFonts w:hint="eastAsia" w:eastAsia="仿宋_GB2312"/>
          <w:bCs/>
          <w:sz w:val="32"/>
          <w:szCs w:val="32"/>
        </w:rPr>
        <w:t>科技创新更好服务实体经济。</w:t>
      </w:r>
      <w:r>
        <w:rPr>
          <w:rFonts w:hint="eastAsia" w:eastAsia="仿宋_GB2312"/>
          <w:bCs/>
          <w:spacing w:val="4"/>
          <w:sz w:val="32"/>
          <w:szCs w:val="32"/>
        </w:rPr>
        <w:t>加大科技投入，</w:t>
      </w:r>
      <w:r>
        <w:rPr>
          <w:rFonts w:hint="eastAsia" w:eastAsia="仿宋_GB2312"/>
          <w:spacing w:val="4"/>
          <w:sz w:val="32"/>
          <w:szCs w:val="32"/>
        </w:rPr>
        <w:t>实现全社会R&amp;D经费投入15亿元以上，实施科技计划项目28项。强化企业创新主体地位，力争新增科技创新平台1个、</w:t>
      </w:r>
      <w:r>
        <w:rPr>
          <w:rFonts w:hint="eastAsia" w:eastAsia="仿宋_GB2312"/>
          <w:bCs/>
          <w:spacing w:val="4"/>
          <w:sz w:val="32"/>
          <w:szCs w:val="32"/>
        </w:rPr>
        <w:t>国家高新技术企业15家以上、市级以上孵化器2个以上。加快推进与上海飞镖等科创先进企业合作，服务解决企业“卡脖子”难题。推进</w:t>
      </w:r>
      <w:r>
        <w:rPr>
          <w:rFonts w:hint="eastAsia" w:eastAsia="仿宋_GB2312"/>
          <w:spacing w:val="4"/>
          <w:sz w:val="32"/>
          <w:szCs w:val="32"/>
        </w:rPr>
        <w:t>电信公众“昆明市区块链公共服务平台”项目，提升产业应用与监管精准化、标准化水平。持续引才聚才，完善人才绿卡服务机制，新增人才产业项目10个。</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12.提升营商环境“精准度”</w:t>
      </w:r>
    </w:p>
    <w:p>
      <w:pPr>
        <w:topLinePunct/>
        <w:adjustRightInd w:val="0"/>
        <w:snapToGrid w:val="0"/>
        <w:spacing w:line="592" w:lineRule="exact"/>
        <w:ind w:firstLine="640" w:firstLineChars="200"/>
        <w:rPr>
          <w:rFonts w:eastAsia="仿宋_GB2312"/>
          <w:bCs/>
          <w:sz w:val="32"/>
          <w:szCs w:val="32"/>
        </w:rPr>
      </w:pPr>
      <w:r>
        <w:rPr>
          <w:rFonts w:hint="eastAsia" w:eastAsia="仿宋_GB2312"/>
          <w:sz w:val="32"/>
          <w:szCs w:val="32"/>
        </w:rPr>
        <w:t>推动营商环境整体优化，在全区范围布置20台“e通办”政务服务自助设备。开展企业全生命周期服务，落实市级“一次办成一件事”服务改革试点工作，进一步推动25项自然人、18项法人全生命周期主题集成服务线上线下深度融合。上线“政企亲清通”服务平台。确保政务服务事项网上可办率达98%以上。企业开办时间压减至0.5个工作日以内。开展体验式监督，在全市率先试点营商环境民主党派（企业）观察站。大力实施中小微企业专项扶持工程和“四上企业”培育计划，</w:t>
      </w:r>
      <w:r>
        <w:rPr>
          <w:rFonts w:hint="eastAsia" w:eastAsia="仿宋_GB2312"/>
          <w:bCs/>
          <w:sz w:val="32"/>
          <w:szCs w:val="32"/>
        </w:rPr>
        <w:t>全年市场主体增长15%以上，新增“规上、限上”企业不少于100家。推动信用信息公开共享，不断增强金融服务中小微企业质效。</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13.深化全面改革“整体性”</w:t>
      </w:r>
    </w:p>
    <w:p>
      <w:pPr>
        <w:topLinePunct/>
        <w:adjustRightInd w:val="0"/>
        <w:snapToGrid w:val="0"/>
        <w:spacing w:line="592" w:lineRule="exact"/>
        <w:ind w:firstLine="640" w:firstLineChars="200"/>
        <w:rPr>
          <w:rFonts w:eastAsia="仿宋_GB2312"/>
          <w:sz w:val="32"/>
          <w:szCs w:val="32"/>
        </w:rPr>
      </w:pPr>
      <w:r>
        <w:rPr>
          <w:rFonts w:hint="eastAsia" w:eastAsia="仿宋_GB2312"/>
          <w:sz w:val="32"/>
          <w:szCs w:val="32"/>
        </w:rPr>
        <w:t>强化全链条改革工作落实，拓展金碧、棕树营民生事项审批服务试点改革。深入实施国企改革三年行动，全力推进西发展集团公司AA+信用提级，推动集团公司及各核心子公司向投、融、建、管综合运营型转型，提升国有资产运营管理质量和效益，全年完成融资不少于4</w:t>
      </w:r>
      <w:r>
        <w:rPr>
          <w:rFonts w:eastAsia="仿宋_GB2312"/>
          <w:sz w:val="32"/>
          <w:szCs w:val="32"/>
        </w:rPr>
        <w:t>5</w:t>
      </w:r>
      <w:r>
        <w:rPr>
          <w:rFonts w:hint="eastAsia" w:eastAsia="仿宋_GB2312"/>
          <w:sz w:val="32"/>
          <w:szCs w:val="32"/>
        </w:rPr>
        <w:t>亿元。制定2022年农村改革任务，推进农村集体经济发展壮大，有序开展农村不动产确权登记发证。稳妥推进教育、卫生等重点领域改革。</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14.拓展招商引资“开放度”</w:t>
      </w:r>
    </w:p>
    <w:p>
      <w:pPr>
        <w:pStyle w:val="26"/>
        <w:topLinePunct/>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仿宋_GB2312"/>
          <w:bCs/>
          <w:snapToGrid w:val="0"/>
          <w:kern w:val="0"/>
          <w:sz w:val="32"/>
          <w:szCs w:val="32"/>
          <w:lang w:val="zh-CN"/>
        </w:rPr>
        <w:t>加大全产业链“双招双引”。强力推进“一把手”招商工程，</w:t>
      </w:r>
      <w:r>
        <w:rPr>
          <w:rFonts w:hint="eastAsia" w:ascii="Times New Roman" w:hAnsi="Times New Roman" w:eastAsia="仿宋_GB2312"/>
          <w:sz w:val="32"/>
          <w:szCs w:val="32"/>
        </w:rPr>
        <w:t>全年主要领导带队外出招商不少于12次</w:t>
      </w:r>
      <w:r>
        <w:rPr>
          <w:rFonts w:hint="eastAsia" w:ascii="Times New Roman" w:hAnsi="Times New Roman" w:eastAsia="仿宋_GB2312"/>
          <w:bCs/>
          <w:snapToGrid w:val="0"/>
          <w:kern w:val="0"/>
          <w:sz w:val="32"/>
          <w:szCs w:val="32"/>
        </w:rPr>
        <w:t>。积极引入</w:t>
      </w:r>
      <w:r>
        <w:rPr>
          <w:rFonts w:hint="eastAsia" w:ascii="Times New Roman" w:hAnsi="Times New Roman" w:eastAsia="仿宋_GB2312"/>
          <w:sz w:val="32"/>
          <w:szCs w:val="32"/>
        </w:rPr>
        <w:t>清华海峡健康科技小镇等重点项目，着力产业链延链补链。</w:t>
      </w:r>
      <w:r>
        <w:rPr>
          <w:rFonts w:hint="eastAsia" w:ascii="Times New Roman" w:hAnsi="Times New Roman" w:eastAsia="仿宋_GB2312"/>
          <w:bCs/>
          <w:snapToGrid w:val="0"/>
          <w:kern w:val="0"/>
          <w:sz w:val="32"/>
          <w:szCs w:val="32"/>
        </w:rPr>
        <w:t>构建“中介招商、委托招商、以商招商”联动招商工作机制。实施</w:t>
      </w:r>
      <w:r>
        <w:rPr>
          <w:rFonts w:hint="eastAsia" w:ascii="Times New Roman" w:hAnsi="Times New Roman" w:eastAsia="仿宋_GB2312"/>
          <w:bCs/>
          <w:snapToGrid w:val="0"/>
          <w:kern w:val="0"/>
          <w:sz w:val="32"/>
          <w:szCs w:val="32"/>
          <w:lang w:val="zh-CN"/>
        </w:rPr>
        <w:t>龙头企业培引计划，</w:t>
      </w:r>
      <w:r>
        <w:rPr>
          <w:rFonts w:hint="eastAsia" w:ascii="Times New Roman" w:hAnsi="Times New Roman" w:eastAsia="仿宋_GB2312"/>
          <w:sz w:val="32"/>
          <w:szCs w:val="32"/>
        </w:rPr>
        <w:t>着力引进“三类”500强企业，加强靶向性、标杆性企业盯引，力争引进省（市）外到位资金150亿元以上，利用外资7000万美元以上。</w:t>
      </w:r>
    </w:p>
    <w:p>
      <w:pPr>
        <w:topLinePunct/>
        <w:adjustRightInd w:val="0"/>
        <w:snapToGrid w:val="0"/>
        <w:spacing w:line="592" w:lineRule="exact"/>
        <w:ind w:firstLine="640" w:firstLineChars="200"/>
        <w:outlineLvl w:val="1"/>
        <w:rPr>
          <w:rFonts w:eastAsia="楷体_GB2312"/>
          <w:sz w:val="32"/>
          <w:szCs w:val="32"/>
        </w:rPr>
      </w:pPr>
      <w:r>
        <w:rPr>
          <w:rFonts w:hint="eastAsia" w:eastAsia="楷体_GB2312"/>
          <w:sz w:val="32"/>
          <w:szCs w:val="32"/>
        </w:rPr>
        <w:t>（五）坚持规划引领，提升美丽城市“宜居度”</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15.提升发展空间“承载力”</w:t>
      </w:r>
    </w:p>
    <w:p>
      <w:pPr>
        <w:topLinePunct/>
        <w:adjustRightInd w:val="0"/>
        <w:snapToGrid w:val="0"/>
        <w:spacing w:line="592" w:lineRule="exact"/>
        <w:ind w:firstLine="640" w:firstLineChars="200"/>
        <w:rPr>
          <w:rFonts w:eastAsia="仿宋_GB2312"/>
          <w:b/>
          <w:bCs/>
          <w:sz w:val="32"/>
          <w:szCs w:val="32"/>
        </w:rPr>
      </w:pPr>
      <w:r>
        <w:rPr>
          <w:rStyle w:val="39"/>
          <w:rFonts w:hint="eastAsia" w:ascii="Times New Roman" w:hAnsi="Times New Roman" w:eastAsia="仿宋_GB2312"/>
          <w:sz w:val="32"/>
          <w:szCs w:val="32"/>
        </w:rPr>
        <w:t>高标准完成全区国土空间总体规划编制，优化多规合一的国土空间保护开发格局。</w:t>
      </w:r>
      <w:r>
        <w:rPr>
          <w:rFonts w:hint="eastAsia" w:eastAsia="仿宋_GB2312"/>
          <w:sz w:val="32"/>
          <w:szCs w:val="32"/>
        </w:rPr>
        <w:t>预留120公顷新增城乡建设用地及新增建设用地耕地，专项保障乡村振兴农村一二三产业融合用地。完成海口全域土地综合整治试点项目不少于15个、投资不少于10亿元。上半年完成长坡</w:t>
      </w:r>
      <w:r>
        <w:rPr>
          <w:rStyle w:val="39"/>
          <w:rFonts w:hint="eastAsia" w:ascii="Times New Roman" w:hAnsi="Times New Roman" w:eastAsia="仿宋_GB2312"/>
          <w:sz w:val="32"/>
          <w:szCs w:val="32"/>
        </w:rPr>
        <w:t>园区控制性详细规划调整</w:t>
      </w:r>
      <w:r>
        <w:rPr>
          <w:rStyle w:val="39"/>
          <w:rFonts w:hint="eastAsia" w:ascii="Times New Roman" w:hAnsi="Times New Roman" w:eastAsia="仿宋_GB2312"/>
          <w:sz w:val="32"/>
          <w:szCs w:val="32"/>
          <w:lang w:val="zh-CN"/>
        </w:rPr>
        <w:t>。</w:t>
      </w:r>
      <w:r>
        <w:rPr>
          <w:rFonts w:hint="eastAsia" w:eastAsia="仿宋_GB2312"/>
          <w:sz w:val="32"/>
          <w:szCs w:val="32"/>
        </w:rPr>
        <w:t>完成全区</w:t>
      </w:r>
      <w:r>
        <w:rPr>
          <w:rStyle w:val="39"/>
          <w:rFonts w:hint="eastAsia" w:ascii="Times New Roman" w:hAnsi="Times New Roman" w:eastAsia="仿宋_GB2312"/>
          <w:sz w:val="32"/>
          <w:szCs w:val="32"/>
          <w:lang w:val="zh-CN"/>
        </w:rPr>
        <w:t>重点片区</w:t>
      </w:r>
      <w:r>
        <w:rPr>
          <w:rStyle w:val="39"/>
          <w:rFonts w:hint="eastAsia" w:eastAsia="仿宋_GB2312"/>
          <w:sz w:val="32"/>
          <w:szCs w:val="32"/>
        </w:rPr>
        <w:t>开发</w:t>
      </w:r>
      <w:r>
        <w:rPr>
          <w:rStyle w:val="39"/>
          <w:rFonts w:hint="eastAsia" w:ascii="Times New Roman" w:hAnsi="Times New Roman" w:eastAsia="仿宋_GB2312"/>
          <w:sz w:val="32"/>
          <w:szCs w:val="32"/>
          <w:lang w:val="zh-CN"/>
        </w:rPr>
        <w:t>和城市更新</w:t>
      </w:r>
      <w:r>
        <w:rPr>
          <w:rStyle w:val="39"/>
          <w:rFonts w:hint="eastAsia" w:eastAsia="仿宋_GB2312"/>
          <w:sz w:val="32"/>
          <w:szCs w:val="32"/>
        </w:rPr>
        <w:t>改造</w:t>
      </w:r>
      <w:r>
        <w:rPr>
          <w:rFonts w:hint="eastAsia" w:eastAsia="仿宋_GB2312"/>
          <w:sz w:val="32"/>
          <w:szCs w:val="32"/>
        </w:rPr>
        <w:t>土地收储约1000亩，土地供应不少于3184亩，实现出让收入约145亿元。</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16.提升城市品质“高颜值”</w:t>
      </w:r>
    </w:p>
    <w:p>
      <w:pPr>
        <w:topLinePunct/>
        <w:adjustRightInd w:val="0"/>
        <w:snapToGrid w:val="0"/>
        <w:spacing w:line="592" w:lineRule="exact"/>
        <w:ind w:firstLine="640" w:firstLineChars="200"/>
        <w:rPr>
          <w:rFonts w:eastAsia="仿宋_GB2312"/>
          <w:b/>
          <w:bCs/>
          <w:sz w:val="32"/>
          <w:szCs w:val="32"/>
        </w:rPr>
      </w:pPr>
      <w:r>
        <w:rPr>
          <w:rFonts w:hint="eastAsia" w:eastAsia="仿宋_GB2312"/>
          <w:sz w:val="32"/>
          <w:szCs w:val="32"/>
        </w:rPr>
        <w:t>落实打造“中国春城”城市品牌，完成草海五号片区等15个街边小游园建设，新增城市绿地20公顷、公园绿地10公顷。</w:t>
      </w:r>
      <w:r>
        <w:rPr>
          <w:rFonts w:hint="eastAsia" w:eastAsia="仿宋_GB2312"/>
          <w:bCs/>
          <w:kern w:val="0"/>
          <w:sz w:val="32"/>
          <w:szCs w:val="32"/>
        </w:rPr>
        <w:t>实施城市有机更新行动，力争启动城中村6号、38号等城市更新改造项目，</w:t>
      </w:r>
      <w:r>
        <w:rPr>
          <w:rFonts w:hint="eastAsia" w:eastAsia="仿宋_GB2312"/>
          <w:sz w:val="32"/>
          <w:szCs w:val="32"/>
        </w:rPr>
        <w:t>完成5个烂尾楼项目化解整治，</w:t>
      </w:r>
      <w:r>
        <w:rPr>
          <w:rFonts w:hint="eastAsia" w:eastAsia="仿宋_GB2312"/>
          <w:bCs/>
          <w:kern w:val="0"/>
          <w:sz w:val="32"/>
          <w:szCs w:val="32"/>
        </w:rPr>
        <w:t>改造60万平方米、</w:t>
      </w:r>
      <w:r>
        <w:rPr>
          <w:rFonts w:eastAsia="仿宋_GB2312"/>
          <w:bCs/>
          <w:kern w:val="0"/>
          <w:sz w:val="32"/>
          <w:szCs w:val="32"/>
        </w:rPr>
        <w:t>109</w:t>
      </w:r>
      <w:r>
        <w:rPr>
          <w:rFonts w:hint="eastAsia" w:eastAsia="仿宋_GB2312"/>
          <w:bCs/>
          <w:kern w:val="0"/>
          <w:sz w:val="32"/>
          <w:szCs w:val="32"/>
        </w:rPr>
        <w:t>个老旧小区。</w:t>
      </w:r>
      <w:r>
        <w:rPr>
          <w:rFonts w:hint="eastAsia" w:eastAsia="仿宋_GB2312"/>
          <w:sz w:val="32"/>
          <w:szCs w:val="32"/>
        </w:rPr>
        <w:t>实施东寺街、书林街等15条以上支次道路、背街小巷环境提升整治。开展功能性照明设施改建补建项目。严格落实现有物管小区生活垃圾分类全覆盖，生活垃圾无害化处理率100%。</w:t>
      </w:r>
      <w:r>
        <w:rPr>
          <w:rFonts w:hint="eastAsia" w:eastAsia="仿宋_GB2312"/>
          <w:bCs/>
          <w:sz w:val="32"/>
        </w:rPr>
        <w:t>开展城市防洪排涝体系综合提升工程，完成</w:t>
      </w:r>
      <w:r>
        <w:rPr>
          <w:rFonts w:hint="eastAsia" w:eastAsia="仿宋_GB2312"/>
          <w:sz w:val="32"/>
          <w:szCs w:val="32"/>
        </w:rPr>
        <w:t>海绵城市建设2平方公里。</w:t>
      </w:r>
      <w:r>
        <w:rPr>
          <w:rFonts w:hint="eastAsia" w:eastAsia="仿宋_GB2312"/>
          <w:snapToGrid w:val="0"/>
          <w:spacing w:val="-6"/>
          <w:kern w:val="0"/>
          <w:sz w:val="32"/>
          <w:szCs w:val="32"/>
        </w:rPr>
        <w:t>完成二环内雨污分流主体建设。</w:t>
      </w:r>
    </w:p>
    <w:p>
      <w:pPr>
        <w:topLinePunct/>
        <w:adjustRightInd w:val="0"/>
        <w:snapToGrid w:val="0"/>
        <w:spacing w:line="592" w:lineRule="exact"/>
        <w:ind w:firstLine="640" w:firstLineChars="200"/>
        <w:outlineLvl w:val="1"/>
        <w:rPr>
          <w:rFonts w:eastAsia="楷体_GB2312"/>
          <w:sz w:val="32"/>
          <w:szCs w:val="32"/>
        </w:rPr>
      </w:pPr>
      <w:r>
        <w:rPr>
          <w:rFonts w:hint="eastAsia" w:eastAsia="楷体_GB2312"/>
          <w:sz w:val="32"/>
          <w:szCs w:val="32"/>
        </w:rPr>
        <w:t>（六）聚力普惠优质，提升</w:t>
      </w:r>
      <w:r>
        <w:rPr>
          <w:rFonts w:hint="eastAsia" w:eastAsia="楷体_GB2312"/>
          <w:kern w:val="0"/>
          <w:sz w:val="32"/>
          <w:szCs w:val="32"/>
        </w:rPr>
        <w:t>美好生活“幸福感”</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17.增强民生保障“踏实感”</w:t>
      </w:r>
    </w:p>
    <w:p>
      <w:pPr>
        <w:topLinePunct/>
        <w:adjustRightInd w:val="0"/>
        <w:snapToGrid w:val="0"/>
        <w:spacing w:line="592" w:lineRule="exact"/>
        <w:ind w:firstLine="640" w:firstLineChars="200"/>
        <w:rPr>
          <w:rFonts w:eastAsia="仿宋_GB2312"/>
          <w:b/>
          <w:bCs/>
          <w:sz w:val="32"/>
        </w:rPr>
      </w:pPr>
      <w:r>
        <w:rPr>
          <w:rFonts w:hint="eastAsia" w:eastAsia="仿宋_GB2312"/>
          <w:sz w:val="32"/>
          <w:szCs w:val="32"/>
        </w:rPr>
        <w:t>实施更加积极的就业政策，促进高校毕业生充分就业，支持就业困难人员灵活就业，延续实施失业保险“稳岗返还”政策。实现农村劳动力转移就业0.2万人，城镇新增就业2.81万人，城镇登记失业率控制在4.5%以内。推进实施全民参保计划，参保执行率保持在98%以上。持续深化“一老一小”服务，提升改造2个居家养老服务中心和互助养老服务站，实施500张家庭养老床位建设。集中开展养老机构安全和服务质量整治专项行动。建成“老年幸福食堂”10个以上。提升“儿童之家”服务能力。持续推进保障性住房建设，</w:t>
      </w:r>
      <w:r>
        <w:rPr>
          <w:rFonts w:hint="eastAsia" w:eastAsia="仿宋_GB2312"/>
          <w:bCs/>
          <w:kern w:val="0"/>
          <w:sz w:val="32"/>
          <w:szCs w:val="32"/>
        </w:rPr>
        <w:t>启动螺蛳湾等6个片区11个村回迁安置房建设。</w:t>
      </w:r>
      <w:r>
        <w:rPr>
          <w:rFonts w:hint="eastAsia" w:eastAsia="仿宋_GB2312"/>
          <w:sz w:val="32"/>
          <w:szCs w:val="32"/>
        </w:rPr>
        <w:t>集中力量办好8件惠民实事。</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18.提优教育体育“供给力”</w:t>
      </w:r>
    </w:p>
    <w:p>
      <w:pPr>
        <w:topLinePunct/>
        <w:adjustRightInd w:val="0"/>
        <w:snapToGrid w:val="0"/>
        <w:spacing w:line="592" w:lineRule="exact"/>
        <w:ind w:firstLine="640" w:firstLineChars="200"/>
        <w:rPr>
          <w:rFonts w:eastAsia="仿宋_GB2312"/>
          <w:kern w:val="0"/>
          <w:sz w:val="32"/>
          <w:szCs w:val="20"/>
        </w:rPr>
      </w:pPr>
      <w:r>
        <w:rPr>
          <w:rFonts w:hint="eastAsia" w:eastAsia="仿宋_GB2312"/>
          <w:sz w:val="32"/>
          <w:szCs w:val="32"/>
        </w:rPr>
        <w:t>深化教育教学改革，构建良好教育生态，推进“公参民”改革，深入推进“双减”和“五项管理”，确保实现教育教学质量和课后服务质量</w:t>
      </w:r>
      <w:r>
        <w:rPr>
          <w:rFonts w:hint="eastAsia" w:eastAsia="仿宋_GB2312"/>
          <w:kern w:val="0"/>
          <w:sz w:val="32"/>
          <w:szCs w:val="32"/>
        </w:rPr>
        <w:t>双提升。</w:t>
      </w:r>
      <w:r>
        <w:rPr>
          <w:rFonts w:hint="eastAsia" w:eastAsia="仿宋_GB2312"/>
          <w:sz w:val="32"/>
          <w:szCs w:val="32"/>
        </w:rPr>
        <w:t>公益普惠发展学前教育，全力推进涉农街道“一乡两公办”，公办及民办公费学位总体占比达到50%以上，创建省市级现代教育示范学校和等级幼儿园2所。</w:t>
      </w:r>
      <w:r>
        <w:rPr>
          <w:rFonts w:hint="eastAsia" w:eastAsia="仿宋_GB2312"/>
          <w:kern w:val="0"/>
          <w:sz w:val="32"/>
          <w:szCs w:val="32"/>
        </w:rPr>
        <w:t>优质均衡推进教育布局，</w:t>
      </w:r>
      <w:r>
        <w:rPr>
          <w:rFonts w:hint="eastAsia" w:eastAsia="仿宋_GB2312"/>
          <w:sz w:val="32"/>
          <w:szCs w:val="32"/>
        </w:rPr>
        <w:t>新开工云大附中西山学校初中部等9个新建项目，有序推进华东师范大学昆明实验学校小学部等10个前期项目。推动“职普融通”，加快推进区职业高级中学选址迁建。发展特殊教育与终身教育。扩大“1+N”常态化互动课堂覆盖面，</w:t>
      </w:r>
      <w:r>
        <w:rPr>
          <w:rFonts w:hint="eastAsia" w:eastAsia="仿宋_GB2312"/>
          <w:kern w:val="0"/>
          <w:sz w:val="32"/>
          <w:szCs w:val="32"/>
        </w:rPr>
        <w:t>试点实施5G条件下第二课堂建设。</w:t>
      </w:r>
      <w:r>
        <w:rPr>
          <w:rFonts w:hint="eastAsia" w:eastAsia="仿宋_GB2312"/>
          <w:sz w:val="32"/>
          <w:szCs w:val="32"/>
        </w:rPr>
        <w:t>深入实施“三名工程”，</w:t>
      </w:r>
      <w:r>
        <w:rPr>
          <w:rFonts w:hint="eastAsia" w:eastAsia="仿宋_GB2312"/>
          <w:bCs/>
          <w:snapToGrid w:val="0"/>
          <w:kern w:val="0"/>
          <w:sz w:val="32"/>
          <w:szCs w:val="32"/>
        </w:rPr>
        <w:t>引进名师4人。</w:t>
      </w:r>
      <w:r>
        <w:rPr>
          <w:rFonts w:hint="eastAsia" w:eastAsia="仿宋_GB2312"/>
          <w:kern w:val="0"/>
          <w:sz w:val="32"/>
          <w:szCs w:val="32"/>
        </w:rPr>
        <w:t>促进公共体育设施便民惠民，</w:t>
      </w:r>
      <w:r>
        <w:rPr>
          <w:rFonts w:hint="eastAsia" w:eastAsia="仿宋_GB2312"/>
          <w:sz w:val="32"/>
          <w:szCs w:val="32"/>
        </w:rPr>
        <w:t>新建健身路径5条，农民体育健身点2个，晨晚练健身场点8个</w:t>
      </w:r>
      <w:r>
        <w:rPr>
          <w:rFonts w:hint="eastAsia" w:eastAsia="仿宋_GB2312"/>
          <w:bCs/>
          <w:sz w:val="32"/>
          <w:szCs w:val="32"/>
        </w:rPr>
        <w:t>。</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19.提升健康西山“高品质”</w:t>
      </w:r>
    </w:p>
    <w:p>
      <w:pPr>
        <w:topLinePunct/>
        <w:adjustRightInd w:val="0"/>
        <w:snapToGrid w:val="0"/>
        <w:spacing w:line="592" w:lineRule="exact"/>
        <w:ind w:firstLine="640" w:firstLineChars="200"/>
        <w:rPr>
          <w:rFonts w:eastAsia="仿宋_GB2312"/>
          <w:sz w:val="32"/>
        </w:rPr>
      </w:pPr>
      <w:r>
        <w:rPr>
          <w:rStyle w:val="39"/>
          <w:rFonts w:hint="eastAsia" w:ascii="Times New Roman" w:hAnsi="Times New Roman" w:eastAsia="仿宋_GB2312"/>
          <w:kern w:val="0"/>
          <w:sz w:val="32"/>
          <w:szCs w:val="32"/>
          <w:lang w:val="zh-CN"/>
        </w:rPr>
        <w:t>提优公共卫生保障能力，</w:t>
      </w:r>
      <w:r>
        <w:rPr>
          <w:rFonts w:hint="eastAsia" w:eastAsia="仿宋_GB2312"/>
          <w:sz w:val="32"/>
          <w:szCs w:val="32"/>
        </w:rPr>
        <w:t>加快建设区人民医院三级综合医院。</w:t>
      </w:r>
      <w:r>
        <w:rPr>
          <w:rStyle w:val="39"/>
          <w:rFonts w:hint="eastAsia" w:ascii="Times New Roman" w:hAnsi="Times New Roman" w:eastAsia="仿宋_GB2312"/>
          <w:kern w:val="0"/>
          <w:sz w:val="32"/>
          <w:szCs w:val="32"/>
          <w:lang w:val="zh-CN"/>
        </w:rPr>
        <w:t>全面促进基层医疗机构提质达标</w:t>
      </w:r>
      <w:r>
        <w:rPr>
          <w:rFonts w:hint="eastAsia" w:eastAsia="仿宋_GB2312"/>
          <w:snapToGrid w:val="0"/>
          <w:kern w:val="0"/>
          <w:sz w:val="32"/>
          <w:szCs w:val="32"/>
        </w:rPr>
        <w:t>，</w:t>
      </w:r>
      <w:r>
        <w:rPr>
          <w:rFonts w:hint="eastAsia" w:eastAsia="仿宋_GB2312"/>
          <w:sz w:val="32"/>
          <w:szCs w:val="32"/>
        </w:rPr>
        <w:t>逐步完成区人民医院“五大中心”、省级临床重点专科建设。</w:t>
      </w:r>
      <w:r>
        <w:rPr>
          <w:rStyle w:val="39"/>
          <w:rFonts w:hint="eastAsia" w:ascii="Times New Roman" w:hAnsi="Times New Roman" w:eastAsia="仿宋_GB2312"/>
          <w:kern w:val="0"/>
          <w:sz w:val="32"/>
          <w:szCs w:val="32"/>
          <w:lang w:val="zh-CN"/>
        </w:rPr>
        <w:t>形成以“基层医疗服务机构（家庭医生）为网底、城市医疗服务机构为主体”的联动体系。依托驻区省、市医院和海埂片区疗养资源，打造一批康养一体的区域性特色中医医疗服务集群，</w:t>
      </w:r>
      <w:r>
        <w:rPr>
          <w:rFonts w:hint="eastAsia" w:eastAsia="仿宋_GB2312"/>
          <w:sz w:val="32"/>
          <w:szCs w:val="32"/>
          <w:lang w:val="zh-CN"/>
        </w:rPr>
        <w:t>力争基层医疗机构中医药服务覆盖率达100%。</w:t>
      </w:r>
      <w:r>
        <w:rPr>
          <w:rStyle w:val="39"/>
          <w:rFonts w:hint="eastAsia" w:ascii="Times New Roman" w:hAnsi="Times New Roman" w:eastAsia="仿宋_GB2312"/>
          <w:kern w:val="0"/>
          <w:sz w:val="32"/>
          <w:szCs w:val="32"/>
          <w:lang w:val="zh-CN"/>
        </w:rPr>
        <w:t>完善“治未病”服务体系，扎实做好传染病、慢性病防治结合工作。推动新的生育政策落地见效。</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20.塑造文化西山“品牌力”</w:t>
      </w:r>
    </w:p>
    <w:p>
      <w:pPr>
        <w:topLinePunct/>
        <w:adjustRightInd w:val="0"/>
        <w:snapToGrid w:val="0"/>
        <w:spacing w:line="592" w:lineRule="exact"/>
        <w:ind w:firstLine="640" w:firstLineChars="200"/>
        <w:rPr>
          <w:rStyle w:val="39"/>
          <w:rFonts w:ascii="Times New Roman" w:hAnsi="Times New Roman" w:eastAsia="仿宋_GB2312"/>
          <w:kern w:val="0"/>
          <w:sz w:val="32"/>
          <w:szCs w:val="32"/>
        </w:rPr>
      </w:pPr>
      <w:r>
        <w:rPr>
          <w:rStyle w:val="39"/>
          <w:rFonts w:hint="eastAsia" w:ascii="Times New Roman" w:hAnsi="Times New Roman" w:eastAsia="仿宋_GB2312"/>
          <w:kern w:val="0"/>
          <w:sz w:val="32"/>
          <w:szCs w:val="32"/>
          <w:lang w:val="zh-CN"/>
        </w:rPr>
        <w:t>实施文化消费提升工程，持续开展文化惠民活动。积极推进政府购买公共文化产品和服务，</w:t>
      </w:r>
      <w:r>
        <w:rPr>
          <w:rFonts w:hint="eastAsia" w:eastAsia="仿宋_GB2312"/>
          <w:kern w:val="0"/>
          <w:sz w:val="32"/>
          <w:szCs w:val="32"/>
        </w:rPr>
        <w:t>加快推进区图书馆、区科技馆等惠民项目建设，区体育馆完成建设并投入使用。</w:t>
      </w:r>
      <w:r>
        <w:rPr>
          <w:rStyle w:val="39"/>
          <w:rFonts w:hint="eastAsia" w:ascii="Times New Roman" w:hAnsi="Times New Roman" w:eastAsia="仿宋_GB2312"/>
          <w:kern w:val="0"/>
          <w:sz w:val="32"/>
          <w:szCs w:val="32"/>
          <w:lang w:val="zh-CN"/>
        </w:rPr>
        <w:t>推进</w:t>
      </w:r>
      <w:r>
        <w:rPr>
          <w:rStyle w:val="39"/>
          <w:rFonts w:hint="eastAsia" w:ascii="Times New Roman" w:hAnsi="Times New Roman" w:eastAsia="仿宋_GB2312"/>
          <w:kern w:val="0"/>
          <w:sz w:val="32"/>
          <w:szCs w:val="32"/>
        </w:rPr>
        <w:t>10</w:t>
      </w:r>
      <w:r>
        <w:rPr>
          <w:rStyle w:val="39"/>
          <w:rFonts w:hint="eastAsia" w:ascii="Times New Roman" w:hAnsi="Times New Roman" w:eastAsia="仿宋_GB2312"/>
          <w:kern w:val="0"/>
          <w:sz w:val="32"/>
          <w:szCs w:val="32"/>
          <w:lang w:val="zh-CN"/>
        </w:rPr>
        <w:t>个街道、</w:t>
      </w:r>
      <w:r>
        <w:rPr>
          <w:rStyle w:val="39"/>
          <w:rFonts w:hint="eastAsia" w:ascii="Times New Roman" w:hAnsi="Times New Roman" w:eastAsia="仿宋_GB2312"/>
          <w:kern w:val="0"/>
          <w:sz w:val="32"/>
          <w:szCs w:val="32"/>
        </w:rPr>
        <w:t>121个</w:t>
      </w:r>
      <w:r>
        <w:rPr>
          <w:rStyle w:val="39"/>
          <w:rFonts w:hint="eastAsia" w:ascii="Times New Roman" w:hAnsi="Times New Roman" w:eastAsia="仿宋_GB2312"/>
          <w:kern w:val="0"/>
          <w:sz w:val="32"/>
          <w:szCs w:val="32"/>
          <w:lang w:val="zh-CN"/>
        </w:rPr>
        <w:t>社区综合性文化服务中心提档升级。鼓励举办中国云南“异次元动漫”音乐节等文化</w:t>
      </w:r>
      <w:r>
        <w:rPr>
          <w:rStyle w:val="39"/>
          <w:rFonts w:hint="eastAsia" w:ascii="Times New Roman" w:hAnsi="Times New Roman" w:eastAsia="仿宋_GB2312"/>
          <w:kern w:val="0"/>
          <w:sz w:val="32"/>
          <w:szCs w:val="32"/>
        </w:rPr>
        <w:t>IP</w:t>
      </w:r>
      <w:r>
        <w:rPr>
          <w:rStyle w:val="39"/>
          <w:rFonts w:hint="eastAsia" w:ascii="Times New Roman" w:hAnsi="Times New Roman" w:eastAsia="仿宋_GB2312"/>
          <w:kern w:val="0"/>
          <w:sz w:val="32"/>
          <w:szCs w:val="32"/>
          <w:lang w:val="zh-CN"/>
        </w:rPr>
        <w:t>活动，</w:t>
      </w:r>
      <w:r>
        <w:rPr>
          <w:rFonts w:hint="eastAsia" w:eastAsia="仿宋_GB2312"/>
          <w:sz w:val="32"/>
          <w:szCs w:val="32"/>
        </w:rPr>
        <w:t>继续擦亮“西山睡美人”文化艺术节、“三月三”民俗文化节等文化品牌。</w:t>
      </w:r>
      <w:r>
        <w:rPr>
          <w:rStyle w:val="39"/>
          <w:rFonts w:hint="eastAsia" w:ascii="Times New Roman" w:hAnsi="Times New Roman" w:eastAsia="仿宋_GB2312"/>
          <w:kern w:val="0"/>
          <w:sz w:val="32"/>
          <w:szCs w:val="32"/>
          <w:lang w:val="zh-CN"/>
        </w:rPr>
        <w:t>深入开展全国科普示范县（市、区）创建工作。</w:t>
      </w:r>
      <w:r>
        <w:rPr>
          <w:rStyle w:val="39"/>
          <w:rFonts w:hint="eastAsia" w:ascii="Times New Roman" w:hAnsi="Times New Roman" w:eastAsia="仿宋_GB2312"/>
          <w:kern w:val="0"/>
          <w:sz w:val="32"/>
          <w:szCs w:val="32"/>
          <w:lang w:val="zh-TW"/>
        </w:rPr>
        <w:t>扎实推进民族团结进步示范创建工作。继续挖掘区内历史文化内涵，完成2项以上文物保护修缮。</w:t>
      </w:r>
      <w:r>
        <w:rPr>
          <w:rStyle w:val="39"/>
          <w:rFonts w:hint="eastAsia" w:eastAsia="仿宋_GB2312"/>
          <w:kern w:val="0"/>
          <w:sz w:val="32"/>
          <w:szCs w:val="32"/>
        </w:rPr>
        <w:t>启动西山区青少年活动中心建设。</w:t>
      </w:r>
    </w:p>
    <w:p>
      <w:pPr>
        <w:topLinePunct/>
        <w:adjustRightInd w:val="0"/>
        <w:snapToGrid w:val="0"/>
        <w:spacing w:line="592" w:lineRule="exact"/>
        <w:ind w:firstLine="640" w:firstLineChars="200"/>
        <w:outlineLvl w:val="1"/>
        <w:rPr>
          <w:rFonts w:eastAsia="楷体_GB2312"/>
          <w:sz w:val="32"/>
          <w:szCs w:val="32"/>
        </w:rPr>
      </w:pPr>
      <w:r>
        <w:rPr>
          <w:rFonts w:hint="eastAsia" w:eastAsia="楷体_GB2312"/>
          <w:sz w:val="32"/>
          <w:szCs w:val="32"/>
        </w:rPr>
        <w:t>（七）坚持绿色发展，打造绿色生态“升级版”</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21.强化绿色发展“低碳化”</w:t>
      </w:r>
    </w:p>
    <w:p>
      <w:pPr>
        <w:topLinePunct/>
        <w:adjustRightInd w:val="0"/>
        <w:snapToGrid w:val="0"/>
        <w:spacing w:line="592" w:lineRule="exact"/>
        <w:ind w:firstLine="640" w:firstLineChars="200"/>
        <w:rPr>
          <w:rFonts w:eastAsia="仿宋_GB2312"/>
          <w:kern w:val="0"/>
          <w:sz w:val="32"/>
          <w:szCs w:val="32"/>
        </w:rPr>
      </w:pPr>
      <w:r>
        <w:rPr>
          <w:rFonts w:hint="eastAsia" w:eastAsia="仿宋_GB2312"/>
          <w:kern w:val="0"/>
          <w:sz w:val="32"/>
          <w:szCs w:val="32"/>
        </w:rPr>
        <w:t>积极响应全国碳市场，培育绿色低碳新动能。实施工业领域“碳达峰”行动计划，大力发展绿色制造，开展绿色低碳技术和产品示范应用。实施工业能效、水效提升计划，坚决遏制“两高”项目盲目发展。完成市级下达的GDP能耗和单位GDP二氧化碳排放下降任务。</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22.推进绿色能源“可持续”</w:t>
      </w:r>
    </w:p>
    <w:p>
      <w:pPr>
        <w:topLinePunct/>
        <w:adjustRightInd w:val="0"/>
        <w:snapToGrid w:val="0"/>
        <w:spacing w:line="592" w:lineRule="exact"/>
        <w:ind w:firstLine="640" w:firstLineChars="200"/>
        <w:rPr>
          <w:rFonts w:eastAsia="仿宋_GB2312"/>
          <w:sz w:val="32"/>
          <w:szCs w:val="32"/>
        </w:rPr>
      </w:pPr>
      <w:r>
        <w:rPr>
          <w:rFonts w:hint="eastAsia" w:eastAsia="仿宋_GB2312"/>
          <w:sz w:val="32"/>
          <w:szCs w:val="32"/>
        </w:rPr>
        <w:t>推动绿色能源与绿色制造融合发展，加快“光伏+”新能源规划布局，着力推进光伏领跑者计划、光伏发电项目。支持中节能、中腾圣火等同类型企业建设“光伏+”产业示范区、“镁基锂电池”等新能源产业项目。</w:t>
      </w:r>
      <w:r>
        <w:rPr>
          <w:rFonts w:hint="eastAsia" w:eastAsia="仿宋_GB2312"/>
          <w:spacing w:val="-6"/>
          <w:sz w:val="32"/>
          <w:szCs w:val="32"/>
        </w:rPr>
        <w:t>鼓励华信金属、滇威新能源公司等电力用户特别是重点耗能企业利用既有屋顶建设分布式光伏电站。</w:t>
      </w:r>
      <w:r>
        <w:rPr>
          <w:rFonts w:hint="eastAsia" w:eastAsia="仿宋_GB2312"/>
          <w:sz w:val="32"/>
          <w:szCs w:val="32"/>
        </w:rPr>
        <w:t>推进农户、企业和楼宇实施分布式光伏项目建设降低能耗。</w:t>
      </w:r>
      <w:r>
        <w:rPr>
          <w:rFonts w:hint="eastAsia" w:eastAsia="仿宋_GB2312"/>
          <w:kern w:val="0"/>
          <w:sz w:val="32"/>
          <w:szCs w:val="32"/>
        </w:rPr>
        <w:t>确保建成充电桩800枪以上、换电站2座</w:t>
      </w:r>
      <w:r>
        <w:rPr>
          <w:rFonts w:hint="eastAsia" w:eastAsia="仿宋_GB2312"/>
          <w:sz w:val="32"/>
          <w:szCs w:val="32"/>
        </w:rPr>
        <w:t>。</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23.坚持生态发展“高标准”</w:t>
      </w:r>
    </w:p>
    <w:p>
      <w:pPr>
        <w:topLinePunct/>
        <w:adjustRightInd w:val="0"/>
        <w:snapToGrid w:val="0"/>
        <w:spacing w:line="592" w:lineRule="exact"/>
        <w:ind w:firstLine="640" w:firstLineChars="200"/>
        <w:rPr>
          <w:rFonts w:eastAsia="仿宋_GB2312"/>
          <w:kern w:val="0"/>
          <w:sz w:val="32"/>
          <w:szCs w:val="32"/>
        </w:rPr>
      </w:pPr>
      <w:r>
        <w:rPr>
          <w:rFonts w:hint="eastAsia" w:eastAsia="仿宋_GB2312"/>
          <w:kern w:val="0"/>
          <w:sz w:val="32"/>
          <w:szCs w:val="32"/>
        </w:rPr>
        <w:t>巩固污染防治攻坚成果，以更高标准打好蓝天、碧水、净土保卫战，力争中央第二轮环保督察交办反馈问题全部整改验收，积极创建国家生态文明建设示范区。实施“治气”行动，强化工业“三废”等两高企业的污染排放达标，确保空气质量优良率保持在99%以上。实施“治水”行动，坚持“退、减、调、治、管”，编制河湖岸线保护规划，清理清退滇池保护区内建构筑物。</w:t>
      </w:r>
      <w:r>
        <w:rPr>
          <w:rFonts w:hint="eastAsia" w:eastAsia="仿宋_GB2312"/>
          <w:sz w:val="32"/>
          <w:szCs w:val="32"/>
        </w:rPr>
        <w:t>加强出入滇</w:t>
      </w:r>
      <w:r>
        <w:rPr>
          <w:rFonts w:eastAsia="仿宋_GB2312"/>
          <w:sz w:val="32"/>
          <w:szCs w:val="32"/>
        </w:rPr>
        <w:t>11</w:t>
      </w:r>
      <w:r>
        <w:rPr>
          <w:rFonts w:hint="eastAsia" w:eastAsia="仿宋_GB2312"/>
          <w:sz w:val="32"/>
          <w:szCs w:val="32"/>
        </w:rPr>
        <w:t>条河道水质监测。打造</w:t>
      </w:r>
      <w:r>
        <w:rPr>
          <w:rFonts w:hint="eastAsia" w:eastAsia="仿宋_GB2312"/>
          <w:snapToGrid w:val="0"/>
          <w:kern w:val="0"/>
          <w:sz w:val="32"/>
          <w:szCs w:val="32"/>
        </w:rPr>
        <w:t>草海片区湖滨生态湿地屏障，提升改造</w:t>
      </w:r>
      <w:r>
        <w:rPr>
          <w:rFonts w:hint="eastAsia" w:eastAsia="仿宋_GB2312"/>
          <w:kern w:val="0"/>
          <w:sz w:val="32"/>
          <w:szCs w:val="32"/>
        </w:rPr>
        <w:t>西华、观音山南、观音山北1538亩湿地。建成环滇池慢行系统7.64公里</w:t>
      </w:r>
      <w:r>
        <w:rPr>
          <w:rFonts w:hint="eastAsia" w:eastAsia="仿宋_GB2312"/>
          <w:snapToGrid w:val="0"/>
          <w:kern w:val="0"/>
          <w:sz w:val="32"/>
          <w:szCs w:val="32"/>
        </w:rPr>
        <w:t>。</w:t>
      </w:r>
      <w:r>
        <w:rPr>
          <w:rFonts w:hint="eastAsia" w:eastAsia="仿宋_GB2312"/>
          <w:kern w:val="0"/>
          <w:sz w:val="32"/>
          <w:szCs w:val="32"/>
        </w:rPr>
        <w:t>持续做好饮用水水源地环境保护专项行动，确保地表水水质全面达标。实施“治山”行动，全面推行林长制，实现林长治。实施76.89万亩天然林资源保护管护，确保森林覆盖率保持在53.87%以上。实施“治土”行动，加强固体废物和新污染物治理，同步推进工业、农业和生活土壤污染源防治。</w:t>
      </w:r>
    </w:p>
    <w:p>
      <w:pPr>
        <w:topLinePunct/>
        <w:adjustRightInd w:val="0"/>
        <w:snapToGrid w:val="0"/>
        <w:spacing w:line="592" w:lineRule="exact"/>
        <w:ind w:firstLine="640" w:firstLineChars="200"/>
        <w:outlineLvl w:val="1"/>
        <w:rPr>
          <w:rFonts w:eastAsia="楷体_GB2312"/>
          <w:sz w:val="32"/>
          <w:szCs w:val="32"/>
        </w:rPr>
      </w:pPr>
      <w:r>
        <w:rPr>
          <w:rFonts w:hint="eastAsia" w:eastAsia="楷体_GB2312"/>
          <w:sz w:val="32"/>
          <w:szCs w:val="32"/>
        </w:rPr>
        <w:t>（八）聚力智慧韧性，提高社会治理“安全感”</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24.深化社会治理“精细化”</w:t>
      </w:r>
    </w:p>
    <w:p>
      <w:pPr>
        <w:tabs>
          <w:tab w:val="left" w:pos="542"/>
        </w:tabs>
        <w:topLinePunct/>
        <w:adjustRightInd w:val="0"/>
        <w:snapToGrid w:val="0"/>
        <w:spacing w:line="592" w:lineRule="exact"/>
        <w:ind w:firstLine="640" w:firstLineChars="200"/>
        <w:rPr>
          <w:rFonts w:eastAsia="仿宋_GB2312"/>
          <w:b/>
          <w:bCs/>
          <w:sz w:val="32"/>
          <w:szCs w:val="32"/>
        </w:rPr>
      </w:pPr>
      <w:r>
        <w:rPr>
          <w:rFonts w:hint="eastAsia" w:eastAsia="仿宋_GB2312"/>
          <w:sz w:val="32"/>
          <w:szCs w:val="32"/>
        </w:rPr>
        <w:t>提升城市“网格管理”精细化水平，优化“1+9+X”网格化模式，实现“一张网”治理。</w:t>
      </w:r>
      <w:r>
        <w:rPr>
          <w:rFonts w:hint="eastAsia" w:eastAsia="仿宋_GB2312"/>
          <w:kern w:val="0"/>
          <w:sz w:val="32"/>
          <w:szCs w:val="32"/>
        </w:rPr>
        <w:t>依托“智慧西山”指挥平台，</w:t>
      </w:r>
      <w:r>
        <w:rPr>
          <w:rFonts w:hint="eastAsia" w:eastAsia="仿宋_GB2312"/>
          <w:bCs/>
          <w:kern w:val="0"/>
          <w:sz w:val="32"/>
          <w:szCs w:val="32"/>
        </w:rPr>
        <w:t>推进“城市大脑”系统建设工程</w:t>
      </w:r>
      <w:r>
        <w:rPr>
          <w:rFonts w:hint="eastAsia" w:eastAsia="仿宋_GB2312"/>
          <w:kern w:val="0"/>
          <w:sz w:val="32"/>
          <w:szCs w:val="32"/>
        </w:rPr>
        <w:t>，实现政务和城市数据互联互通。</w:t>
      </w:r>
      <w:r>
        <w:rPr>
          <w:rFonts w:hint="eastAsia" w:eastAsia="仿宋_GB2312"/>
          <w:sz w:val="32"/>
          <w:szCs w:val="32"/>
        </w:rPr>
        <w:t>拓展智慧城市创新场景应用，以前卫街道四道坝社区为试点探索融合数据平台信息化，以大观路为试点探索提升城市治理智能化水平。深入探索“政—校—社”合作模式，推进“五社联动”项目20个。依托“西山e志愿”社会动员平台，整合辖区在职党员“双报到双服务双报告”三双力量，</w:t>
      </w:r>
      <w:r>
        <w:rPr>
          <w:rFonts w:hint="eastAsia" w:eastAsia="仿宋_GB2312"/>
          <w:snapToGrid w:val="0"/>
          <w:kern w:val="0"/>
          <w:sz w:val="32"/>
          <w:szCs w:val="32"/>
        </w:rPr>
        <w:t>提升社区</w:t>
      </w:r>
      <w:r>
        <w:rPr>
          <w:rFonts w:hint="eastAsia" w:eastAsia="仿宋_GB2312"/>
          <w:sz w:val="32"/>
          <w:szCs w:val="32"/>
        </w:rPr>
        <w:t>“楼栋长”“十户长”治理</w:t>
      </w:r>
      <w:r>
        <w:rPr>
          <w:rFonts w:hint="eastAsia" w:eastAsia="仿宋_GB2312"/>
          <w:snapToGrid w:val="0"/>
          <w:kern w:val="0"/>
          <w:sz w:val="32"/>
          <w:szCs w:val="32"/>
        </w:rPr>
        <w:t>综合</w:t>
      </w:r>
      <w:r>
        <w:rPr>
          <w:rFonts w:hint="eastAsia" w:eastAsia="仿宋_GB2312"/>
          <w:sz w:val="32"/>
          <w:szCs w:val="32"/>
        </w:rPr>
        <w:t>能力，打造2个以上省级基层社区治理示范点。</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25.筑牢公共安全“防护网”</w:t>
      </w:r>
    </w:p>
    <w:p>
      <w:pPr>
        <w:topLinePunct/>
        <w:adjustRightInd w:val="0"/>
        <w:snapToGrid w:val="0"/>
        <w:spacing w:line="592" w:lineRule="exact"/>
        <w:ind w:firstLine="640" w:firstLineChars="200"/>
        <w:rPr>
          <w:rFonts w:eastAsia="仿宋_GB2312"/>
          <w:bCs/>
          <w:sz w:val="32"/>
          <w:szCs w:val="32"/>
        </w:rPr>
      </w:pPr>
      <w:r>
        <w:rPr>
          <w:rFonts w:hint="eastAsia" w:eastAsia="仿宋_GB2312"/>
          <w:bCs/>
          <w:sz w:val="32"/>
          <w:szCs w:val="32"/>
        </w:rPr>
        <w:t>牢固树立总体国家安全观，推动高质量发展和高水平安全动态平衡。防范化解地方政府债务风险，坚决遏制新增地方政府隐性债务，筑牢防范系统性金融风险安全底线。打好</w:t>
      </w:r>
      <w:r>
        <w:rPr>
          <w:rFonts w:hint="eastAsia" w:eastAsia="仿宋_GB2312"/>
          <w:b/>
          <w:sz w:val="32"/>
          <w:szCs w:val="32"/>
        </w:rPr>
        <w:t>公共安全</w:t>
      </w:r>
      <w:r>
        <w:rPr>
          <w:rFonts w:hint="eastAsia" w:eastAsia="仿宋_GB2312"/>
          <w:bCs/>
          <w:sz w:val="32"/>
          <w:szCs w:val="32"/>
        </w:rPr>
        <w:t>“保卫战”，</w:t>
      </w:r>
      <w:r>
        <w:rPr>
          <w:rFonts w:hint="eastAsia" w:eastAsia="仿宋_GB2312"/>
          <w:sz w:val="32"/>
          <w:szCs w:val="32"/>
        </w:rPr>
        <w:t>全面构筑“打、防、管、控”安全防御体系。</w:t>
      </w:r>
      <w:r>
        <w:rPr>
          <w:rFonts w:hint="eastAsia" w:eastAsia="仿宋_GB2312"/>
          <w:kern w:val="0"/>
          <w:sz w:val="32"/>
          <w:szCs w:val="32"/>
        </w:rPr>
        <w:t>深入推进“五融五联”警种融合勤务机制，围绕“三线十二点”夯实网格化和微循环协作机制，保持高密度见警率、缩短接处警耗，保持主城四区通行效率最优。打好</w:t>
      </w:r>
      <w:r>
        <w:rPr>
          <w:rFonts w:hint="eastAsia" w:eastAsia="仿宋_GB2312"/>
          <w:b/>
          <w:bCs/>
          <w:sz w:val="32"/>
          <w:szCs w:val="32"/>
        </w:rPr>
        <w:t>违法犯罪</w:t>
      </w:r>
      <w:r>
        <w:rPr>
          <w:rFonts w:hint="eastAsia" w:eastAsia="仿宋_GB2312"/>
          <w:sz w:val="32"/>
          <w:szCs w:val="32"/>
        </w:rPr>
        <w:t>“攻坚战”，坚持</w:t>
      </w:r>
      <w:r>
        <w:rPr>
          <w:rFonts w:hint="eastAsia" w:eastAsia="仿宋_GB2312"/>
          <w:bCs/>
          <w:sz w:val="32"/>
          <w:szCs w:val="32"/>
        </w:rPr>
        <w:t>扫黑除恶常态化，坚持严打新型</w:t>
      </w:r>
      <w:r>
        <w:rPr>
          <w:rFonts w:hint="eastAsia" w:eastAsia="仿宋_GB2312"/>
          <w:sz w:val="32"/>
          <w:szCs w:val="32"/>
        </w:rPr>
        <w:t>电信网络诈骗</w:t>
      </w:r>
      <w:r>
        <w:rPr>
          <w:rFonts w:hint="eastAsia" w:eastAsia="仿宋_GB2312"/>
          <w:bCs/>
          <w:sz w:val="32"/>
          <w:szCs w:val="32"/>
        </w:rPr>
        <w:t>。</w:t>
      </w:r>
      <w:r>
        <w:rPr>
          <w:rFonts w:hint="eastAsia" w:eastAsia="仿宋_GB2312"/>
          <w:kern w:val="0"/>
          <w:sz w:val="32"/>
          <w:szCs w:val="32"/>
        </w:rPr>
        <w:t>打好</w:t>
      </w:r>
      <w:r>
        <w:rPr>
          <w:rFonts w:hint="eastAsia" w:eastAsia="仿宋_GB2312"/>
          <w:b/>
          <w:bCs/>
          <w:kern w:val="0"/>
          <w:sz w:val="32"/>
          <w:szCs w:val="32"/>
        </w:rPr>
        <w:t>矛盾化解</w:t>
      </w:r>
      <w:r>
        <w:rPr>
          <w:rFonts w:hint="eastAsia" w:eastAsia="仿宋_GB2312"/>
          <w:kern w:val="0"/>
          <w:sz w:val="32"/>
          <w:szCs w:val="32"/>
        </w:rPr>
        <w:t>“主动战”，</w:t>
      </w:r>
      <w:r>
        <w:rPr>
          <w:rFonts w:hint="eastAsia" w:eastAsia="仿宋_GB2312"/>
          <w:bCs/>
          <w:kern w:val="0"/>
          <w:sz w:val="32"/>
          <w:szCs w:val="32"/>
        </w:rPr>
        <w:t>坚持和发展新时代“枫桥经验”，</w:t>
      </w:r>
      <w:r>
        <w:rPr>
          <w:rFonts w:hint="eastAsia" w:eastAsia="仿宋_GB2312"/>
          <w:bCs/>
          <w:sz w:val="32"/>
          <w:szCs w:val="32"/>
        </w:rPr>
        <w:t>加快推进“一站式”矛盾纠纷调解中心建设，</w:t>
      </w:r>
      <w:r>
        <w:rPr>
          <w:rFonts w:hint="eastAsia" w:eastAsia="仿宋_GB2312"/>
          <w:sz w:val="32"/>
          <w:szCs w:val="32"/>
        </w:rPr>
        <w:t>形成“1+10+N”全网式诉源治理体系。</w:t>
      </w:r>
      <w:r>
        <w:rPr>
          <w:rFonts w:hint="eastAsia" w:eastAsia="仿宋_GB2312"/>
          <w:bCs/>
          <w:sz w:val="32"/>
          <w:szCs w:val="32"/>
        </w:rPr>
        <w:t>打好</w:t>
      </w:r>
      <w:r>
        <w:rPr>
          <w:rFonts w:hint="eastAsia" w:eastAsia="仿宋_GB2312"/>
          <w:b/>
          <w:sz w:val="32"/>
          <w:szCs w:val="32"/>
        </w:rPr>
        <w:t>社会防控</w:t>
      </w:r>
      <w:r>
        <w:rPr>
          <w:rFonts w:hint="eastAsia" w:eastAsia="仿宋_GB2312"/>
          <w:bCs/>
          <w:sz w:val="32"/>
          <w:szCs w:val="32"/>
        </w:rPr>
        <w:t>“整体战”，提高食品药品等关系人民健康安全保障水平，主要农产品综合检测合格率稳定在97%以上。防范遏制重特大安全生产事故，做好国家安全发展示范城市考核。</w:t>
      </w:r>
    </w:p>
    <w:p>
      <w:pPr>
        <w:topLinePunct/>
        <w:adjustRightInd w:val="0"/>
        <w:snapToGrid w:val="0"/>
        <w:spacing w:line="592" w:lineRule="exact"/>
        <w:ind w:firstLine="640" w:firstLineChars="200"/>
        <w:outlineLvl w:val="1"/>
        <w:rPr>
          <w:rFonts w:eastAsia="楷体_GB2312"/>
          <w:sz w:val="32"/>
          <w:szCs w:val="32"/>
        </w:rPr>
      </w:pPr>
      <w:r>
        <w:rPr>
          <w:rFonts w:hint="eastAsia" w:eastAsia="楷体_GB2312"/>
          <w:sz w:val="32"/>
          <w:szCs w:val="32"/>
        </w:rPr>
        <w:t>（九）坚持高位高效，确保重要任务“稳推进”</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26.推进疫情防控“常态化”</w:t>
      </w:r>
    </w:p>
    <w:p>
      <w:pPr>
        <w:topLinePunct/>
        <w:adjustRightInd w:val="0"/>
        <w:snapToGrid w:val="0"/>
        <w:spacing w:line="592" w:lineRule="exact"/>
        <w:ind w:firstLine="640" w:firstLineChars="200"/>
        <w:rPr>
          <w:rFonts w:eastAsia="仿宋_GB2312"/>
          <w:sz w:val="32"/>
          <w:szCs w:val="32"/>
        </w:rPr>
      </w:pPr>
      <w:r>
        <w:rPr>
          <w:rStyle w:val="39"/>
          <w:rFonts w:hint="eastAsia" w:ascii="Times New Roman" w:hAnsi="Times New Roman" w:eastAsia="仿宋_GB2312"/>
          <w:sz w:val="32"/>
          <w:szCs w:val="32"/>
        </w:rPr>
        <w:t>坚持“外防输入、内防反弹、严防输出”不动摇，坚持常态化精准防控和局部应急处置相结合，</w:t>
      </w:r>
      <w:r>
        <w:rPr>
          <w:rFonts w:hint="eastAsia" w:eastAsia="仿宋_GB2312"/>
          <w:sz w:val="32"/>
          <w:szCs w:val="32"/>
        </w:rPr>
        <w:t>常态化开展人员聚集区域和重点场所疫情管控，</w:t>
      </w:r>
      <w:r>
        <w:rPr>
          <w:rStyle w:val="39"/>
          <w:rFonts w:hint="eastAsia" w:ascii="Times New Roman" w:hAnsi="Times New Roman" w:eastAsia="仿宋_GB2312"/>
          <w:sz w:val="32"/>
          <w:szCs w:val="32"/>
        </w:rPr>
        <w:t>保持疫情防控高压态势。</w:t>
      </w:r>
      <w:r>
        <w:rPr>
          <w:rFonts w:hint="eastAsia" w:eastAsia="仿宋_GB2312"/>
          <w:sz w:val="32"/>
          <w:szCs w:val="32"/>
        </w:rPr>
        <w:t>疫苗接种“应接尽接”，增强区内核酸检测能力，实现48小时可完成一轮全区核酸检测。</w:t>
      </w:r>
      <w:r>
        <w:rPr>
          <w:rStyle w:val="39"/>
          <w:rFonts w:hint="eastAsia" w:ascii="Times New Roman" w:hAnsi="Times New Roman" w:eastAsia="仿宋_GB2312"/>
          <w:kern w:val="0"/>
          <w:sz w:val="32"/>
          <w:szCs w:val="32"/>
        </w:rPr>
        <w:t>完善公共卫生应急管理体系，</w:t>
      </w:r>
      <w:r>
        <w:rPr>
          <w:rFonts w:hint="eastAsia" w:eastAsia="仿宋_GB2312"/>
          <w:sz w:val="32"/>
          <w:szCs w:val="32"/>
        </w:rPr>
        <w:t>强化防疫物资和其他应急物资的储备保障，</w:t>
      </w:r>
      <w:r>
        <w:rPr>
          <w:rStyle w:val="39"/>
          <w:rFonts w:hint="eastAsia" w:ascii="Times New Roman" w:hAnsi="Times New Roman" w:eastAsia="仿宋_GB2312"/>
          <w:kern w:val="0"/>
          <w:sz w:val="32"/>
          <w:szCs w:val="32"/>
        </w:rPr>
        <w:t>提升公共健康安全应急响应能力。</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27.保障COP15大会“高水平”</w:t>
      </w:r>
    </w:p>
    <w:p>
      <w:pPr>
        <w:topLinePunct/>
        <w:adjustRightInd w:val="0"/>
        <w:snapToGrid w:val="0"/>
        <w:spacing w:line="592" w:lineRule="exact"/>
        <w:ind w:firstLine="640" w:firstLineChars="200"/>
        <w:rPr>
          <w:rFonts w:eastAsia="仿宋_GB2312"/>
          <w:sz w:val="32"/>
          <w:szCs w:val="32"/>
        </w:rPr>
      </w:pPr>
      <w:r>
        <w:rPr>
          <w:rFonts w:hint="eastAsia" w:eastAsia="仿宋_GB2312"/>
          <w:kern w:val="0"/>
          <w:sz w:val="32"/>
          <w:szCs w:val="32"/>
        </w:rPr>
        <w:t>全力保障COP15大会第二阶段顺利召开。</w:t>
      </w:r>
      <w:r>
        <w:rPr>
          <w:rFonts w:hint="eastAsia" w:eastAsia="仿宋_GB2312"/>
          <w:sz w:val="32"/>
          <w:szCs w:val="32"/>
        </w:rPr>
        <w:t>高标准做好市容环境提升提质工作，扎实推进主城市容环境美化、亮化、绿化，营造“环境净化、交通顺畅、生态优美、舒适宜居、安宁和谐”的城市形象。</w:t>
      </w:r>
      <w:r>
        <w:rPr>
          <w:rFonts w:hint="eastAsia" w:eastAsia="仿宋_GB2312"/>
          <w:kern w:val="0"/>
          <w:sz w:val="32"/>
          <w:szCs w:val="32"/>
        </w:rPr>
        <w:t>全面开展消防、交通和信访、维稳的社会防控网建设，统筹做好第二阶段会议安保工作，</w:t>
      </w:r>
      <w:r>
        <w:rPr>
          <w:rFonts w:hint="eastAsia" w:eastAsia="仿宋_GB2312"/>
          <w:sz w:val="32"/>
          <w:szCs w:val="32"/>
        </w:rPr>
        <w:t>营造良好社会参与氛围。</w:t>
      </w:r>
    </w:p>
    <w:p>
      <w:pPr>
        <w:pStyle w:val="26"/>
        <w:topLinePunct/>
        <w:adjustRightInd w:val="0"/>
        <w:snapToGrid w:val="0"/>
        <w:spacing w:line="592" w:lineRule="exact"/>
        <w:ind w:firstLine="640" w:firstLineChars="200"/>
        <w:outlineLvl w:val="1"/>
        <w:rPr>
          <w:rFonts w:ascii="Times New Roman" w:hAnsi="Times New Roman" w:eastAsia="楷体_GB2312"/>
          <w:sz w:val="32"/>
          <w:szCs w:val="32"/>
        </w:rPr>
      </w:pPr>
      <w:r>
        <w:rPr>
          <w:rFonts w:hint="eastAsia" w:ascii="Times New Roman" w:hAnsi="Times New Roman" w:eastAsia="楷体_GB2312"/>
          <w:sz w:val="32"/>
          <w:szCs w:val="32"/>
        </w:rPr>
        <w:t>（十）破除发展藩篱，研发西山发展“动力剂”</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28.机制制度立“西山创新”</w:t>
      </w:r>
    </w:p>
    <w:p>
      <w:pPr>
        <w:topLinePunct/>
        <w:adjustRightInd w:val="0"/>
        <w:snapToGrid w:val="0"/>
        <w:spacing w:line="592" w:lineRule="exact"/>
        <w:ind w:firstLine="640" w:firstLineChars="200"/>
        <w:rPr>
          <w:rFonts w:eastAsia="仿宋_GB2312"/>
          <w:sz w:val="32"/>
          <w:szCs w:val="32"/>
        </w:rPr>
      </w:pPr>
      <w:r>
        <w:rPr>
          <w:rFonts w:hint="eastAsia" w:eastAsia="仿宋_GB2312"/>
          <w:sz w:val="32"/>
          <w:szCs w:val="32"/>
        </w:rPr>
        <w:t>坚持守正创新、敢于创先。推动与安宁、富民城乡基础设施互联互通、区域一体化发展，促进省、市、区三级共建共享、公共服务、资源要素发挥和利用，拓宽加深城乡融合；按照“三个区分”和“四个有利”的要求，开拓和创造性地制定促进经济社会发展的新意见、新措施、新办法、新方式等长效工作机制；进一步创造发展新先机制。</w:t>
      </w:r>
    </w:p>
    <w:p>
      <w:pPr>
        <w:topLinePunct/>
        <w:adjustRightInd w:val="0"/>
        <w:snapToGrid w:val="0"/>
        <w:spacing w:line="592" w:lineRule="exact"/>
        <w:ind w:firstLine="643" w:firstLineChars="200"/>
        <w:outlineLvl w:val="2"/>
        <w:rPr>
          <w:rFonts w:eastAsia="仿宋_GB2312"/>
          <w:b/>
          <w:sz w:val="32"/>
          <w:szCs w:val="32"/>
        </w:rPr>
      </w:pPr>
      <w:r>
        <w:rPr>
          <w:rFonts w:hint="eastAsia" w:eastAsia="仿宋_GB2312"/>
          <w:b/>
          <w:bCs/>
          <w:sz w:val="32"/>
          <w:szCs w:val="32"/>
        </w:rPr>
        <w:t>29.规范工作建“西山标准”</w:t>
      </w:r>
    </w:p>
    <w:p>
      <w:pPr>
        <w:topLinePunct/>
        <w:adjustRightInd w:val="0"/>
        <w:snapToGrid w:val="0"/>
        <w:spacing w:line="592" w:lineRule="exact"/>
        <w:ind w:firstLine="640" w:firstLineChars="200"/>
        <w:rPr>
          <w:rFonts w:eastAsia="仿宋_GB2312"/>
          <w:sz w:val="32"/>
          <w:szCs w:val="32"/>
        </w:rPr>
      </w:pPr>
      <w:r>
        <w:rPr>
          <w:rFonts w:hint="eastAsia" w:eastAsia="仿宋_GB2312"/>
          <w:sz w:val="32"/>
          <w:szCs w:val="32"/>
        </w:rPr>
        <w:t>坚持服务优质、标准规范。数字技术赋能，推进区域善治，全力推进政务服务全事项全市最优，深刻解决招商引资、项目落地和规划建设的痼疾，高质量实现西山服务和审批的规范化、标准化，倡导“西山速度”。强化为各类人才和勤劳者提供更公平、便利、高效的城市公共服务，提升市民对西山发展的认同感和成就感；进一步夯实发展力量基础。</w:t>
      </w:r>
    </w:p>
    <w:p>
      <w:pPr>
        <w:topLinePunct/>
        <w:adjustRightInd w:val="0"/>
        <w:snapToGrid w:val="0"/>
        <w:spacing w:line="592" w:lineRule="exact"/>
        <w:ind w:firstLine="643" w:firstLineChars="200"/>
        <w:outlineLvl w:val="2"/>
        <w:rPr>
          <w:rFonts w:eastAsia="仿宋_GB2312"/>
          <w:b/>
          <w:bCs/>
          <w:sz w:val="32"/>
          <w:szCs w:val="32"/>
        </w:rPr>
      </w:pPr>
      <w:r>
        <w:rPr>
          <w:rFonts w:hint="eastAsia" w:eastAsia="仿宋_GB2312"/>
          <w:b/>
          <w:bCs/>
          <w:sz w:val="32"/>
          <w:szCs w:val="32"/>
        </w:rPr>
        <w:t>30.督察奖惩出“西山方法”</w:t>
      </w:r>
    </w:p>
    <w:p>
      <w:pPr>
        <w:topLinePunct/>
        <w:adjustRightInd w:val="0"/>
        <w:snapToGrid w:val="0"/>
        <w:spacing w:line="592" w:lineRule="exact"/>
        <w:ind w:firstLine="640" w:firstLineChars="200"/>
        <w:rPr>
          <w:rFonts w:eastAsia="仿宋_GB2312"/>
          <w:sz w:val="32"/>
          <w:szCs w:val="32"/>
        </w:rPr>
      </w:pPr>
      <w:r>
        <w:rPr>
          <w:rFonts w:hint="eastAsia" w:eastAsia="仿宋_GB2312"/>
          <w:sz w:val="32"/>
          <w:szCs w:val="32"/>
        </w:rPr>
        <w:t>坚持问题导向、结果评价，以重点项目、重点工作为抓手，健全常态化目标管理检查，落实“单元制、项目化”监督考核，通过渐进式、梯级式跟踪问效，对不称职干部处理和调整，激励广大干部担当作为。探索通过第三方评估、大数据应用等方式完善基层综合考评办法，在群众关心的“三资”管理、征地拆迁等领域，加大奖惩力度；进一步优化创业争先环境。</w:t>
      </w:r>
    </w:p>
    <w:p>
      <w:pPr>
        <w:topLinePunct/>
        <w:adjustRightInd w:val="0"/>
        <w:snapToGrid w:val="0"/>
        <w:spacing w:line="592" w:lineRule="exact"/>
        <w:ind w:firstLine="640" w:firstLineChars="200"/>
        <w:rPr>
          <w:rFonts w:eastAsia="仿宋_GB2312"/>
          <w:snapToGrid w:val="0"/>
          <w:sz w:val="32"/>
          <w:szCs w:val="32"/>
        </w:rPr>
      </w:pPr>
      <w:r>
        <w:rPr>
          <w:rFonts w:hint="eastAsia" w:eastAsia="仿宋_GB2312"/>
          <w:snapToGrid w:val="0"/>
          <w:sz w:val="32"/>
          <w:szCs w:val="32"/>
        </w:rPr>
        <w:t>各位代表、各位委员！2022年，我们将在区委区政府的坚强领导下，在区人大及其常委会的法律监督、工作监督和区政协的民主监督下，踔厉奋发、勇毅笃行、攻坚克难、开拓奋进，努力完成年度发展计划目标</w:t>
      </w:r>
      <w:r>
        <w:rPr>
          <w:rFonts w:hint="eastAsia" w:eastAsia="仿宋_GB2312"/>
          <w:sz w:val="32"/>
          <w:szCs w:val="32"/>
        </w:rPr>
        <w:t>，</w:t>
      </w:r>
      <w:r>
        <w:rPr>
          <w:rFonts w:hint="eastAsia" w:eastAsia="仿宋_GB2312"/>
          <w:snapToGrid w:val="0"/>
          <w:sz w:val="32"/>
          <w:szCs w:val="32"/>
        </w:rPr>
        <w:t>以优异成绩迎接党的二十大胜利召开。</w:t>
      </w:r>
    </w:p>
    <w:p>
      <w:pPr>
        <w:pStyle w:val="26"/>
        <w:topLinePunct/>
        <w:adjustRightInd w:val="0"/>
        <w:snapToGrid w:val="0"/>
        <w:spacing w:line="592" w:lineRule="exact"/>
        <w:ind w:firstLine="640" w:firstLineChars="200"/>
        <w:rPr>
          <w:rFonts w:ascii="Times New Roman" w:hAnsi="Times New Roman" w:eastAsia="仿宋_GB2312"/>
          <w:bCs/>
          <w:sz w:val="32"/>
          <w:szCs w:val="32"/>
        </w:rPr>
      </w:pPr>
    </w:p>
    <w:p>
      <w:pPr>
        <w:pStyle w:val="26"/>
        <w:topLinePunct/>
        <w:adjustRightInd w:val="0"/>
        <w:snapToGrid w:val="0"/>
        <w:spacing w:line="592" w:lineRule="exact"/>
        <w:ind w:firstLine="640" w:firstLineChars="200"/>
        <w:outlineLvl w:val="0"/>
        <w:rPr>
          <w:rFonts w:ascii="Times New Roman" w:hAnsi="Times New Roman" w:eastAsia="仿宋_GB2312"/>
          <w:bCs/>
          <w:sz w:val="32"/>
          <w:szCs w:val="32"/>
        </w:rPr>
      </w:pPr>
      <w:r>
        <w:rPr>
          <w:rFonts w:hint="eastAsia" w:ascii="Times New Roman" w:hAnsi="Times New Roman" w:eastAsia="仿宋_GB2312"/>
          <w:bCs/>
          <w:sz w:val="32"/>
          <w:szCs w:val="32"/>
        </w:rPr>
        <w:t>附件：1．名词解释</w:t>
      </w:r>
    </w:p>
    <w:p>
      <w:pPr>
        <w:pStyle w:val="26"/>
        <w:topLinePunct/>
        <w:adjustRightInd w:val="0"/>
        <w:snapToGrid w:val="0"/>
        <w:spacing w:line="592" w:lineRule="exact"/>
        <w:ind w:firstLine="1600" w:firstLineChars="500"/>
        <w:outlineLvl w:val="0"/>
        <w:rPr>
          <w:rFonts w:ascii="Times New Roman" w:hAnsi="Times New Roman" w:eastAsia="仿宋_GB2312"/>
          <w:bCs/>
          <w:spacing w:val="-2"/>
          <w:sz w:val="32"/>
          <w:szCs w:val="32"/>
        </w:rPr>
      </w:pPr>
      <w:r>
        <w:rPr>
          <w:rFonts w:hint="eastAsia" w:ascii="Times New Roman" w:hAnsi="Times New Roman" w:eastAsia="仿宋_GB2312"/>
          <w:bCs/>
          <w:sz w:val="32"/>
          <w:szCs w:val="32"/>
        </w:rPr>
        <w:t>2．</w:t>
      </w:r>
      <w:r>
        <w:rPr>
          <w:rFonts w:hint="eastAsia" w:ascii="Times New Roman" w:hAnsi="Times New Roman" w:eastAsia="仿宋_GB2312"/>
          <w:bCs/>
          <w:spacing w:val="-2"/>
          <w:sz w:val="32"/>
          <w:szCs w:val="32"/>
        </w:rPr>
        <w:t>2021年国民经济和社会发展计划重点工作任务和</w:t>
      </w:r>
    </w:p>
    <w:p>
      <w:pPr>
        <w:pStyle w:val="26"/>
        <w:topLinePunct/>
        <w:adjustRightInd w:val="0"/>
        <w:snapToGrid w:val="0"/>
        <w:spacing w:line="592" w:lineRule="exact"/>
        <w:ind w:firstLine="2080" w:firstLineChars="650"/>
        <w:outlineLvl w:val="0"/>
        <w:rPr>
          <w:rFonts w:ascii="Times New Roman" w:hAnsi="Times New Roman" w:eastAsia="仿宋_GB2312"/>
          <w:bCs/>
          <w:sz w:val="32"/>
          <w:szCs w:val="32"/>
        </w:rPr>
      </w:pPr>
      <w:r>
        <w:rPr>
          <w:rFonts w:hint="eastAsia" w:ascii="Times New Roman" w:hAnsi="Times New Roman" w:eastAsia="仿宋_GB2312"/>
          <w:bCs/>
          <w:sz w:val="32"/>
          <w:szCs w:val="32"/>
        </w:rPr>
        <w:t>目标执行情况</w:t>
      </w:r>
    </w:p>
    <w:p>
      <w:pPr>
        <w:pStyle w:val="26"/>
        <w:topLinePunct/>
        <w:adjustRightInd w:val="0"/>
        <w:snapToGrid w:val="0"/>
        <w:spacing w:line="592" w:lineRule="exact"/>
        <w:ind w:firstLine="1600" w:firstLineChars="500"/>
        <w:outlineLvl w:val="0"/>
        <w:rPr>
          <w:rFonts w:ascii="Times New Roman" w:hAnsi="Times New Roman" w:eastAsia="仿宋_GB2312"/>
          <w:bCs/>
          <w:spacing w:val="-2"/>
          <w:sz w:val="32"/>
          <w:szCs w:val="32"/>
        </w:rPr>
      </w:pPr>
      <w:r>
        <w:rPr>
          <w:rFonts w:hint="eastAsia" w:ascii="Times New Roman" w:hAnsi="Times New Roman" w:eastAsia="仿宋_GB2312"/>
          <w:bCs/>
          <w:sz w:val="32"/>
          <w:szCs w:val="32"/>
        </w:rPr>
        <w:t>3．</w:t>
      </w:r>
      <w:r>
        <w:rPr>
          <w:rFonts w:hint="eastAsia" w:ascii="Times New Roman" w:hAnsi="Times New Roman" w:eastAsia="仿宋_GB2312"/>
          <w:bCs/>
          <w:spacing w:val="-2"/>
          <w:sz w:val="32"/>
          <w:szCs w:val="32"/>
        </w:rPr>
        <w:t>2022年国民经济和社会发展计划重点工作任务和</w:t>
      </w:r>
    </w:p>
    <w:p>
      <w:pPr>
        <w:pStyle w:val="26"/>
        <w:topLinePunct/>
        <w:adjustRightInd w:val="0"/>
        <w:snapToGrid w:val="0"/>
        <w:spacing w:line="592" w:lineRule="exact"/>
        <w:ind w:firstLine="2080" w:firstLineChars="650"/>
        <w:outlineLvl w:val="0"/>
        <w:rPr>
          <w:rFonts w:ascii="Times New Roman" w:hAnsi="Times New Roman" w:eastAsia="仿宋_GB2312"/>
          <w:bCs/>
          <w:sz w:val="32"/>
          <w:szCs w:val="32"/>
        </w:rPr>
      </w:pPr>
      <w:r>
        <w:rPr>
          <w:rFonts w:hint="eastAsia" w:ascii="Times New Roman" w:hAnsi="Times New Roman" w:eastAsia="仿宋_GB2312"/>
          <w:bCs/>
          <w:sz w:val="32"/>
          <w:szCs w:val="32"/>
        </w:rPr>
        <w:t>目标</w:t>
      </w:r>
    </w:p>
    <w:p>
      <w:pPr>
        <w:pStyle w:val="26"/>
        <w:topLinePunct/>
        <w:adjustRightInd w:val="0"/>
        <w:snapToGrid w:val="0"/>
        <w:spacing w:line="592" w:lineRule="exact"/>
        <w:ind w:firstLine="1600" w:firstLineChars="500"/>
        <w:outlineLvl w:val="0"/>
        <w:rPr>
          <w:rFonts w:ascii="Times New Roman" w:hAnsi="Times New Roman" w:eastAsia="仿宋_GB2312"/>
          <w:bCs/>
          <w:sz w:val="32"/>
          <w:szCs w:val="32"/>
        </w:rPr>
      </w:pPr>
      <w:r>
        <w:rPr>
          <w:rFonts w:hint="eastAsia" w:ascii="Times New Roman" w:hAnsi="Times New Roman" w:eastAsia="仿宋_GB2312"/>
          <w:bCs/>
          <w:sz w:val="32"/>
          <w:szCs w:val="32"/>
        </w:rPr>
        <w:t>4．2022年西山区重点片区开发建设、城市更新改造</w:t>
      </w:r>
    </w:p>
    <w:p>
      <w:pPr>
        <w:pStyle w:val="26"/>
        <w:topLinePunct/>
        <w:adjustRightInd w:val="0"/>
        <w:snapToGrid w:val="0"/>
        <w:spacing w:line="592" w:lineRule="exact"/>
        <w:ind w:firstLine="2080" w:firstLineChars="650"/>
        <w:outlineLvl w:val="0"/>
        <w:rPr>
          <w:rFonts w:ascii="Times New Roman" w:hAnsi="Times New Roman" w:eastAsia="仿宋_GB2312"/>
          <w:bCs/>
          <w:sz w:val="32"/>
          <w:szCs w:val="32"/>
        </w:rPr>
      </w:pPr>
      <w:r>
        <w:rPr>
          <w:rFonts w:hint="eastAsia" w:ascii="Times New Roman" w:hAnsi="Times New Roman" w:eastAsia="仿宋_GB2312"/>
          <w:bCs/>
          <w:sz w:val="32"/>
          <w:szCs w:val="32"/>
        </w:rPr>
        <w:t>项目表</w:t>
      </w:r>
    </w:p>
    <w:p>
      <w:pPr>
        <w:pStyle w:val="26"/>
        <w:topLinePunct/>
        <w:adjustRightInd w:val="0"/>
        <w:snapToGrid w:val="0"/>
        <w:spacing w:line="592" w:lineRule="exact"/>
        <w:ind w:firstLine="1600" w:firstLineChars="500"/>
        <w:rPr>
          <w:rFonts w:ascii="Times New Roman" w:hAnsi="Times New Roman" w:eastAsia="仿宋_GB2312"/>
          <w:bCs/>
          <w:spacing w:val="-2"/>
          <w:sz w:val="32"/>
          <w:szCs w:val="32"/>
        </w:rPr>
      </w:pPr>
      <w:r>
        <w:rPr>
          <w:rFonts w:hint="eastAsia" w:ascii="Times New Roman" w:hAnsi="Times New Roman" w:eastAsia="仿宋_GB2312"/>
          <w:bCs/>
          <w:sz w:val="32"/>
          <w:szCs w:val="32"/>
        </w:rPr>
        <w:t>5．</w:t>
      </w:r>
      <w:r>
        <w:rPr>
          <w:rFonts w:hint="eastAsia" w:ascii="Times New Roman" w:hAnsi="Times New Roman" w:eastAsia="仿宋_GB2312"/>
          <w:bCs/>
          <w:spacing w:val="-2"/>
          <w:sz w:val="32"/>
          <w:szCs w:val="32"/>
        </w:rPr>
        <w:t>2021年西山区政府投资基本建设项目执行情况和</w:t>
      </w:r>
    </w:p>
    <w:p>
      <w:pPr>
        <w:pStyle w:val="26"/>
        <w:topLinePunct/>
        <w:adjustRightInd w:val="0"/>
        <w:snapToGrid w:val="0"/>
        <w:spacing w:line="592" w:lineRule="exact"/>
        <w:ind w:left="1915" w:leftChars="912" w:firstLine="160" w:firstLineChars="50"/>
        <w:outlineLvl w:val="0"/>
        <w:rPr>
          <w:rFonts w:ascii="Times New Roman" w:hAnsi="Times New Roman" w:eastAsia="仿宋_GB2312"/>
          <w:bCs/>
          <w:sz w:val="32"/>
          <w:szCs w:val="32"/>
        </w:rPr>
      </w:pPr>
      <w:r>
        <w:rPr>
          <w:rFonts w:hint="eastAsia" w:ascii="Times New Roman" w:hAnsi="Times New Roman" w:eastAsia="仿宋_GB2312"/>
          <w:bCs/>
          <w:sz w:val="32"/>
          <w:szCs w:val="32"/>
        </w:rPr>
        <w:t>2022年政府投资基本建设项目计划编制情况报告</w:t>
      </w:r>
    </w:p>
    <w:p>
      <w:pPr>
        <w:pStyle w:val="26"/>
        <w:topLinePunct/>
        <w:adjustRightInd w:val="0"/>
        <w:snapToGrid w:val="0"/>
        <w:spacing w:line="592" w:lineRule="exact"/>
        <w:ind w:left="1915" w:leftChars="912" w:firstLine="160" w:firstLineChars="50"/>
        <w:outlineLvl w:val="0"/>
        <w:rPr>
          <w:rFonts w:ascii="Times New Roman" w:hAnsi="Times New Roman" w:eastAsia="仿宋_GB2312"/>
          <w:bCs/>
          <w:w w:val="95"/>
          <w:sz w:val="32"/>
          <w:szCs w:val="32"/>
        </w:rPr>
      </w:pPr>
      <w:r>
        <w:rPr>
          <w:rFonts w:hint="eastAsia" w:ascii="Times New Roman" w:hAnsi="Times New Roman" w:eastAsia="仿宋_GB2312"/>
          <w:bCs/>
          <w:sz w:val="32"/>
          <w:szCs w:val="32"/>
        </w:rPr>
        <w:t>（附表1、2、3）</w:t>
      </w:r>
    </w:p>
    <w:p>
      <w:pPr>
        <w:topLinePunct/>
        <w:adjustRightInd w:val="0"/>
        <w:snapToGrid w:val="0"/>
        <w:spacing w:line="592" w:lineRule="exact"/>
        <w:rPr>
          <w:rFonts w:eastAsia="仿宋_GB2312"/>
          <w:bCs/>
          <w:w w:val="95"/>
          <w:sz w:val="32"/>
          <w:szCs w:val="32"/>
        </w:rPr>
      </w:pPr>
      <w:r>
        <w:rPr>
          <w:rFonts w:hint="eastAsia" w:eastAsia="仿宋_GB2312"/>
          <w:bCs/>
          <w:w w:val="95"/>
          <w:sz w:val="32"/>
          <w:szCs w:val="32"/>
        </w:rPr>
        <w:br w:type="page"/>
      </w:r>
    </w:p>
    <w:p>
      <w:pPr>
        <w:topLinePunct/>
        <w:adjustRightInd w:val="0"/>
        <w:snapToGrid w:val="0"/>
        <w:spacing w:line="592" w:lineRule="exact"/>
        <w:rPr>
          <w:rFonts w:eastAsia="黑体"/>
          <w:sz w:val="32"/>
          <w:szCs w:val="32"/>
        </w:rPr>
      </w:pPr>
      <w:r>
        <w:rPr>
          <w:rFonts w:hint="eastAsia" w:eastAsia="黑体"/>
          <w:sz w:val="32"/>
          <w:szCs w:val="32"/>
        </w:rPr>
        <w:t>附件1</w:t>
      </w:r>
    </w:p>
    <w:p>
      <w:pPr>
        <w:topLinePunct/>
        <w:adjustRightInd w:val="0"/>
        <w:snapToGrid w:val="0"/>
        <w:spacing w:line="592" w:lineRule="exact"/>
        <w:jc w:val="center"/>
        <w:rPr>
          <w:rFonts w:eastAsia="方正小标宋简体"/>
          <w:sz w:val="44"/>
          <w:szCs w:val="44"/>
        </w:rPr>
      </w:pPr>
    </w:p>
    <w:p>
      <w:pPr>
        <w:topLinePunct/>
        <w:adjustRightInd w:val="0"/>
        <w:snapToGrid w:val="0"/>
        <w:spacing w:line="592" w:lineRule="exact"/>
        <w:jc w:val="center"/>
        <w:outlineLvl w:val="0"/>
        <w:rPr>
          <w:rFonts w:eastAsia="方正小标宋简体"/>
          <w:sz w:val="44"/>
          <w:szCs w:val="44"/>
        </w:rPr>
      </w:pPr>
      <w:r>
        <w:rPr>
          <w:rFonts w:hint="eastAsia" w:eastAsia="方正小标宋简体"/>
          <w:sz w:val="44"/>
          <w:szCs w:val="44"/>
        </w:rPr>
        <w:t>名词解释</w:t>
      </w:r>
    </w:p>
    <w:p>
      <w:pPr>
        <w:topLinePunct/>
        <w:adjustRightInd w:val="0"/>
        <w:snapToGrid w:val="0"/>
        <w:spacing w:line="592" w:lineRule="exact"/>
        <w:jc w:val="center"/>
        <w:rPr>
          <w:rFonts w:eastAsia="方正小标宋简体"/>
          <w:sz w:val="44"/>
          <w:szCs w:val="44"/>
        </w:rPr>
      </w:pPr>
    </w:p>
    <w:p>
      <w:pPr>
        <w:topLinePunct/>
        <w:adjustRightInd w:val="0"/>
        <w:snapToGrid w:val="0"/>
        <w:spacing w:line="592" w:lineRule="exact"/>
        <w:ind w:firstLine="640" w:firstLineChars="200"/>
        <w:rPr>
          <w:rFonts w:eastAsia="仿宋_GB2312"/>
          <w:b/>
          <w:bCs/>
          <w:sz w:val="32"/>
          <w:szCs w:val="32"/>
        </w:rPr>
      </w:pPr>
      <w:r>
        <w:rPr>
          <w:rFonts w:hint="eastAsia" w:eastAsia="黑体"/>
          <w:bCs/>
          <w:sz w:val="32"/>
          <w:szCs w:val="32"/>
        </w:rPr>
        <w:t>1.三个功能定位：</w:t>
      </w:r>
      <w:r>
        <w:rPr>
          <w:rFonts w:hint="eastAsia" w:eastAsia="仿宋_GB2312"/>
          <w:sz w:val="32"/>
          <w:szCs w:val="32"/>
        </w:rPr>
        <w:t>云南政治中心服务承载区、山水都市品质区、现代服务业活力区。</w:t>
      </w:r>
    </w:p>
    <w:p>
      <w:pPr>
        <w:topLinePunct/>
        <w:adjustRightInd w:val="0"/>
        <w:snapToGrid w:val="0"/>
        <w:spacing w:line="592" w:lineRule="exact"/>
        <w:ind w:firstLine="640" w:firstLineChars="200"/>
        <w:rPr>
          <w:rFonts w:eastAsia="仿宋_GB2312"/>
          <w:sz w:val="32"/>
          <w:szCs w:val="32"/>
        </w:rPr>
      </w:pPr>
      <w:r>
        <w:rPr>
          <w:rFonts w:hint="eastAsia" w:eastAsia="黑体"/>
          <w:bCs/>
          <w:sz w:val="32"/>
          <w:szCs w:val="32"/>
        </w:rPr>
        <w:t>2.楼宇“1+2+N”服务管家团队：</w:t>
      </w:r>
      <w:r>
        <w:rPr>
          <w:rFonts w:hint="eastAsia" w:eastAsia="仿宋_GB2312"/>
          <w:snapToGrid w:val="0"/>
          <w:kern w:val="0"/>
          <w:sz w:val="32"/>
          <w:szCs w:val="32"/>
        </w:rPr>
        <w:t>“1”是指1个楼宇服务总管家（楼宇属地街道办事处工作人员）；“2”是指2个楼宇首席服务管家（楼宇业主或物业管理方、属地街道办事处工作人员）；“N”是指N个楼宇行业管家（区商务投资促进局、区政务服务局、区市场监管局等相关行业部门工作人员）。</w:t>
      </w:r>
    </w:p>
    <w:p>
      <w:pPr>
        <w:topLinePunct/>
        <w:adjustRightInd w:val="0"/>
        <w:snapToGrid w:val="0"/>
        <w:spacing w:line="592" w:lineRule="exact"/>
        <w:ind w:firstLine="640" w:firstLineChars="200"/>
        <w:rPr>
          <w:rFonts w:eastAsia="仿宋_GB2312"/>
          <w:sz w:val="32"/>
          <w:szCs w:val="32"/>
        </w:rPr>
      </w:pPr>
      <w:r>
        <w:rPr>
          <w:rFonts w:hint="eastAsia" w:eastAsia="黑体"/>
          <w:bCs/>
          <w:sz w:val="32"/>
          <w:szCs w:val="32"/>
        </w:rPr>
        <w:t>3.干部回乡规划乡村振兴行动：</w:t>
      </w:r>
      <w:r>
        <w:rPr>
          <w:rFonts w:hint="eastAsia" w:eastAsia="仿宋_GB2312"/>
          <w:sz w:val="32"/>
          <w:szCs w:val="32"/>
        </w:rPr>
        <w:t>坚持规划先行、干部带头，凝聚各方力量参与乡村振兴，高质量编制一个“科学实用、权威管用、易懂好用”的实用性村庄规划，形成一套“措施接地气、项目能落地、实施有保障”的乡村振兴方案。探索一条规划接地气、振兴有抓手、村庄大发展、群众得实惠、基层增活力、干部受锻炼的具有昆明特色的乡村振兴新路子，助推全市农业农村高质量发展，为全省乃至全国乡村振兴作出示范。</w:t>
      </w:r>
    </w:p>
    <w:p>
      <w:pPr>
        <w:topLinePunct/>
        <w:adjustRightInd w:val="0"/>
        <w:snapToGrid w:val="0"/>
        <w:spacing w:line="592" w:lineRule="exact"/>
        <w:ind w:firstLine="640" w:firstLineChars="200"/>
        <w:rPr>
          <w:rFonts w:eastAsia="仿宋_GB2312"/>
          <w:sz w:val="32"/>
          <w:szCs w:val="32"/>
        </w:rPr>
      </w:pPr>
      <w:r>
        <w:rPr>
          <w:rFonts w:hint="eastAsia" w:eastAsia="黑体"/>
          <w:bCs/>
          <w:sz w:val="32"/>
          <w:szCs w:val="32"/>
        </w:rPr>
        <w:t>4.“双招双引”：</w:t>
      </w:r>
      <w:r>
        <w:rPr>
          <w:rFonts w:hint="eastAsia" w:eastAsia="仿宋_GB2312"/>
          <w:kern w:val="0"/>
          <w:sz w:val="32"/>
          <w:szCs w:val="32"/>
        </w:rPr>
        <w:t>招才引智与招商引资。</w:t>
      </w:r>
    </w:p>
    <w:p>
      <w:pPr>
        <w:tabs>
          <w:tab w:val="left" w:pos="2920"/>
        </w:tabs>
        <w:topLinePunct/>
        <w:adjustRightInd w:val="0"/>
        <w:snapToGrid w:val="0"/>
        <w:spacing w:line="592" w:lineRule="exact"/>
        <w:ind w:firstLine="640" w:firstLineChars="200"/>
        <w:rPr>
          <w:rFonts w:eastAsia="仿宋_GB2312"/>
          <w:snapToGrid w:val="0"/>
          <w:sz w:val="32"/>
          <w:szCs w:val="32"/>
        </w:rPr>
      </w:pPr>
      <w:r>
        <w:rPr>
          <w:rFonts w:hint="eastAsia" w:eastAsia="黑体"/>
          <w:bCs/>
          <w:sz w:val="32"/>
          <w:szCs w:val="32"/>
        </w:rPr>
        <w:t>5.“1+10+X”：</w:t>
      </w:r>
      <w:r>
        <w:rPr>
          <w:rFonts w:hint="eastAsia" w:eastAsia="仿宋_GB2312"/>
          <w:kern w:val="0"/>
          <w:sz w:val="32"/>
          <w:szCs w:val="32"/>
        </w:rPr>
        <w:t>“1”指1个区级社工总站，“10”指10个街道社工站，“X”指X个社区社会分战。</w:t>
      </w:r>
    </w:p>
    <w:p>
      <w:pPr>
        <w:topLinePunct/>
        <w:adjustRightInd w:val="0"/>
        <w:snapToGrid w:val="0"/>
        <w:spacing w:line="592" w:lineRule="exact"/>
        <w:ind w:firstLine="640" w:firstLineChars="200"/>
        <w:rPr>
          <w:rFonts w:eastAsia="仿宋_GB2312"/>
          <w:sz w:val="32"/>
          <w:szCs w:val="32"/>
        </w:rPr>
      </w:pPr>
      <w:r>
        <w:rPr>
          <w:rFonts w:hint="eastAsia" w:eastAsia="黑体"/>
          <w:bCs/>
          <w:sz w:val="32"/>
          <w:szCs w:val="32"/>
        </w:rPr>
        <w:t>6.“五零”：</w:t>
      </w:r>
      <w:r>
        <w:rPr>
          <w:rFonts w:hint="eastAsia" w:eastAsia="仿宋_GB2312"/>
          <w:sz w:val="32"/>
          <w:szCs w:val="32"/>
        </w:rPr>
        <w:t>零上访、零事故、零命案、零纠纷、零盲区。</w:t>
      </w:r>
    </w:p>
    <w:p>
      <w:pPr>
        <w:pStyle w:val="18"/>
        <w:topLinePunct/>
        <w:adjustRightInd w:val="0"/>
        <w:snapToGrid w:val="0"/>
        <w:spacing w:line="592" w:lineRule="exact"/>
        <w:ind w:firstLine="640"/>
        <w:rPr>
          <w:rFonts w:ascii="Times New Roman"/>
        </w:rPr>
      </w:pPr>
      <w:r>
        <w:rPr>
          <w:rFonts w:hint="eastAsia" w:ascii="Times New Roman" w:eastAsia="黑体"/>
          <w:b w:val="0"/>
          <w:sz w:val="32"/>
          <w:szCs w:val="32"/>
        </w:rPr>
        <w:t>7.五项管理：</w:t>
      </w:r>
      <w:r>
        <w:rPr>
          <w:rFonts w:hint="eastAsia" w:ascii="Times New Roman"/>
          <w:b w:val="0"/>
          <w:bCs w:val="0"/>
          <w:sz w:val="32"/>
          <w:szCs w:val="32"/>
        </w:rPr>
        <w:t>手机管理、睡眠管理、读物管理、体质管理、作业管理。</w:t>
      </w:r>
    </w:p>
    <w:p>
      <w:pPr>
        <w:topLinePunct/>
        <w:adjustRightInd w:val="0"/>
        <w:snapToGrid w:val="0"/>
        <w:spacing w:line="592" w:lineRule="exact"/>
        <w:ind w:firstLine="640" w:firstLineChars="200"/>
        <w:jc w:val="left"/>
        <w:rPr>
          <w:rFonts w:eastAsia="仿宋_GB2312"/>
          <w:kern w:val="0"/>
          <w:sz w:val="32"/>
          <w:szCs w:val="32"/>
        </w:rPr>
      </w:pPr>
      <w:r>
        <w:rPr>
          <w:rFonts w:hint="eastAsia" w:eastAsia="黑体"/>
          <w:bCs/>
          <w:sz w:val="32"/>
          <w:szCs w:val="32"/>
        </w:rPr>
        <w:t>8.“1+N”互动课堂：</w:t>
      </w:r>
      <w:r>
        <w:rPr>
          <w:rFonts w:hint="eastAsia" w:eastAsia="仿宋_GB2312"/>
          <w:kern w:val="0"/>
          <w:sz w:val="32"/>
          <w:szCs w:val="32"/>
        </w:rPr>
        <w:t>优质学校教师在给本地学生上课的同时，通过音视频技术，将课堂内容推送到远端的1至多所教学资源薄弱学校。听课端的学生可以和主讲端的学生一样提问、回答、展示作业，进行完全的课堂学习，实现资源共享，促进教育的优质均衡发展。</w:t>
      </w:r>
    </w:p>
    <w:p>
      <w:pPr>
        <w:pStyle w:val="18"/>
        <w:topLinePunct/>
        <w:adjustRightInd w:val="0"/>
        <w:snapToGrid w:val="0"/>
        <w:spacing w:line="592" w:lineRule="exact"/>
        <w:ind w:firstLine="640"/>
        <w:rPr>
          <w:rFonts w:ascii="Times New Roman"/>
          <w:snapToGrid w:val="0"/>
          <w:kern w:val="0"/>
          <w:sz w:val="32"/>
          <w:szCs w:val="32"/>
        </w:rPr>
      </w:pPr>
      <w:r>
        <w:rPr>
          <w:rFonts w:hint="eastAsia" w:ascii="Times New Roman" w:eastAsia="黑体"/>
          <w:b w:val="0"/>
          <w:sz w:val="32"/>
          <w:szCs w:val="32"/>
        </w:rPr>
        <w:t>9.新型产业用地“M0或M4”：</w:t>
      </w:r>
      <w:r>
        <w:rPr>
          <w:rFonts w:hint="eastAsia" w:ascii="Times New Roman"/>
          <w:b w:val="0"/>
          <w:bCs w:val="0"/>
          <w:sz w:val="32"/>
          <w:szCs w:val="32"/>
        </w:rPr>
        <w:t>是指在工业用地（M类）中增设新型产业用地（M0）类型，用于建设产业用房和配套服务设施，更好地融合研发、创意、设计、中试、无污染生产等多种创新型产业功能。M4是高新技术产业用地。</w:t>
      </w:r>
    </w:p>
    <w:p>
      <w:pPr>
        <w:pStyle w:val="18"/>
        <w:topLinePunct/>
        <w:adjustRightInd w:val="0"/>
        <w:snapToGrid w:val="0"/>
        <w:spacing w:line="592" w:lineRule="exact"/>
        <w:ind w:firstLine="640"/>
        <w:rPr>
          <w:rFonts w:ascii="Times New Roman"/>
          <w:b w:val="0"/>
          <w:bCs w:val="0"/>
          <w:snapToGrid w:val="0"/>
          <w:kern w:val="0"/>
          <w:sz w:val="32"/>
          <w:szCs w:val="32"/>
        </w:rPr>
      </w:pPr>
      <w:r>
        <w:rPr>
          <w:rFonts w:hint="eastAsia" w:ascii="Times New Roman" w:eastAsia="黑体"/>
          <w:b w:val="0"/>
          <w:sz w:val="32"/>
          <w:szCs w:val="32"/>
        </w:rPr>
        <w:t>10.“情指勤督舆”：</w:t>
      </w:r>
      <w:r>
        <w:rPr>
          <w:rFonts w:hint="eastAsia" w:ascii="Times New Roman"/>
          <w:b w:val="0"/>
          <w:bCs w:val="0"/>
          <w:sz w:val="32"/>
          <w:szCs w:val="32"/>
        </w:rPr>
        <w:t>即构建“情报信息汇集深研、指挥调度高效灵敏、勤务运行科学规范、督导推动闭环运转、舆情导控全程融入”的一体化实战化警务体系。</w:t>
      </w:r>
    </w:p>
    <w:p>
      <w:pPr>
        <w:topLinePunct/>
        <w:adjustRightInd w:val="0"/>
        <w:snapToGrid w:val="0"/>
        <w:spacing w:line="592" w:lineRule="exact"/>
        <w:ind w:firstLine="640" w:firstLineChars="200"/>
        <w:jc w:val="left"/>
        <w:rPr>
          <w:rFonts w:eastAsia="仿宋_GB2312"/>
          <w:sz w:val="32"/>
          <w:szCs w:val="32"/>
        </w:rPr>
      </w:pPr>
      <w:r>
        <w:rPr>
          <w:rFonts w:hint="eastAsia" w:eastAsia="黑体"/>
          <w:bCs/>
          <w:sz w:val="32"/>
          <w:szCs w:val="32"/>
        </w:rPr>
        <w:t>11.“五融五联”：</w:t>
      </w:r>
      <w:r>
        <w:rPr>
          <w:rFonts w:hint="eastAsia" w:eastAsia="仿宋_GB2312"/>
          <w:sz w:val="32"/>
          <w:szCs w:val="32"/>
        </w:rPr>
        <w:t>交警、巡警、派出所实现“业务、勤务、装备、管理、制度”五大融合和工作“联动、联勤、联通、联指、联效”。</w:t>
      </w:r>
    </w:p>
    <w:p>
      <w:pPr>
        <w:topLinePunct/>
        <w:adjustRightInd w:val="0"/>
        <w:snapToGrid w:val="0"/>
        <w:spacing w:line="592" w:lineRule="exact"/>
        <w:ind w:firstLine="640" w:firstLineChars="200"/>
        <w:jc w:val="left"/>
        <w:rPr>
          <w:rFonts w:eastAsia="仿宋_GB2312"/>
          <w:sz w:val="32"/>
          <w:szCs w:val="32"/>
        </w:rPr>
      </w:pPr>
      <w:r>
        <w:rPr>
          <w:rFonts w:hint="eastAsia" w:eastAsia="黑体"/>
          <w:bCs/>
          <w:sz w:val="32"/>
          <w:szCs w:val="32"/>
        </w:rPr>
        <w:t>12.“五大”楼宇功能区：</w:t>
      </w:r>
      <w:r>
        <w:rPr>
          <w:rFonts w:hint="eastAsia" w:eastAsia="仿宋_GB2312"/>
          <w:sz w:val="32"/>
          <w:szCs w:val="32"/>
        </w:rPr>
        <w:t>引擎带动片区、核心支撑片区、特色发展片区、潜力发展片区、提升改造片区。</w:t>
      </w:r>
    </w:p>
    <w:p>
      <w:pPr>
        <w:topLinePunct/>
        <w:adjustRightInd w:val="0"/>
        <w:snapToGrid w:val="0"/>
        <w:spacing w:line="592" w:lineRule="exact"/>
        <w:ind w:firstLine="640" w:firstLineChars="200"/>
        <w:rPr>
          <w:rFonts w:eastAsia="仿宋_GB2312"/>
          <w:kern w:val="0"/>
          <w:sz w:val="32"/>
          <w:szCs w:val="32"/>
        </w:rPr>
      </w:pPr>
      <w:r>
        <w:rPr>
          <w:rFonts w:hint="eastAsia" w:eastAsia="黑体"/>
          <w:bCs/>
          <w:sz w:val="32"/>
          <w:szCs w:val="32"/>
        </w:rPr>
        <w:t>13.“多规合一”：</w:t>
      </w:r>
      <w:r>
        <w:rPr>
          <w:rFonts w:hint="eastAsia" w:eastAsia="仿宋_GB2312"/>
          <w:bCs/>
          <w:snapToGrid w:val="0"/>
          <w:kern w:val="0"/>
          <w:sz w:val="32"/>
          <w:szCs w:val="32"/>
        </w:rPr>
        <w:t>将国民经济和社会发展规划、城乡规划、土地利用规划、生态环境保护规划等多个规划统一到一个区域上，实现一个市县一本规划、一张蓝图，解决现有各类规划自成体系、内容冲突等问题。</w:t>
      </w:r>
    </w:p>
    <w:p>
      <w:pPr>
        <w:pStyle w:val="18"/>
        <w:topLinePunct/>
        <w:adjustRightInd w:val="0"/>
        <w:snapToGrid w:val="0"/>
        <w:spacing w:line="592" w:lineRule="exact"/>
        <w:ind w:firstLine="640"/>
        <w:rPr>
          <w:rFonts w:ascii="Times New Roman"/>
          <w:sz w:val="32"/>
          <w:szCs w:val="32"/>
        </w:rPr>
      </w:pPr>
      <w:r>
        <w:rPr>
          <w:rFonts w:hint="eastAsia" w:ascii="Times New Roman" w:eastAsia="黑体"/>
          <w:b w:val="0"/>
          <w:sz w:val="32"/>
          <w:szCs w:val="32"/>
        </w:rPr>
        <w:t>14.“治未病”：</w:t>
      </w:r>
      <w:r>
        <w:rPr>
          <w:rFonts w:hint="eastAsia" w:ascii="Times New Roman"/>
          <w:b w:val="0"/>
          <w:bCs w:val="0"/>
          <w:kern w:val="0"/>
          <w:sz w:val="32"/>
          <w:szCs w:val="32"/>
        </w:rPr>
        <w:t>采取相应的措施，防止疾病的发生发展。</w:t>
      </w:r>
    </w:p>
    <w:p>
      <w:pPr>
        <w:pStyle w:val="26"/>
        <w:topLinePunct/>
        <w:adjustRightInd w:val="0"/>
        <w:snapToGrid w:val="0"/>
        <w:spacing w:line="592"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黑体"/>
          <w:bCs/>
          <w:sz w:val="32"/>
          <w:szCs w:val="32"/>
        </w:rPr>
        <w:t>15.“五社联动”：</w:t>
      </w:r>
      <w:r>
        <w:rPr>
          <w:rFonts w:hint="eastAsia" w:ascii="Times New Roman" w:hAnsi="Times New Roman" w:eastAsia="仿宋_GB2312"/>
          <w:bCs/>
          <w:sz w:val="32"/>
          <w:szCs w:val="32"/>
        </w:rPr>
        <w:t>联动指的是社区、社会组织、社工、社会资源及社区自治组织的联动。以满足居民需求为导向，通过政府购买服务，实现社区治理的专业化、精细化，让社区居民生活更有质感，幸福指数提升。</w:t>
      </w:r>
    </w:p>
    <w:p>
      <w:pPr>
        <w:topLinePunct/>
        <w:adjustRightInd w:val="0"/>
        <w:snapToGrid w:val="0"/>
        <w:spacing w:line="592" w:lineRule="exact"/>
        <w:ind w:firstLine="640" w:firstLineChars="200"/>
        <w:rPr>
          <w:rFonts w:eastAsia="仿宋_GB2312"/>
          <w:sz w:val="32"/>
          <w:szCs w:val="32"/>
        </w:rPr>
      </w:pPr>
      <w:r>
        <w:rPr>
          <w:rFonts w:hint="eastAsia" w:eastAsia="黑体"/>
          <w:bCs/>
          <w:sz w:val="32"/>
          <w:szCs w:val="32"/>
        </w:rPr>
        <w:t>16.“1+10+N”的全网式诉源治理体系：</w:t>
      </w:r>
      <w:r>
        <w:rPr>
          <w:rFonts w:hint="eastAsia" w:eastAsia="仿宋_GB2312"/>
          <w:sz w:val="32"/>
          <w:szCs w:val="32"/>
        </w:rPr>
        <w:t>“1+10+N”的全网式诉源治理体系：2020年8月，西山法院成立全省首家诉源治理中心，运用云解纷在线调解平台、新视云信息交互一体机、微法院、互联网+智慧党建等信息化平台，与西山区辖区内10个街道办事处搭建专线，与社区、物业、交警、医疗机构、银行金融机构等架构信息交互系统，形成“1+10+N”的全网式诉源治理体</w:t>
      </w:r>
      <w:r>
        <w:rPr>
          <w:rFonts w:hint="eastAsia" w:eastAsia="仿宋_GB2312"/>
          <w:spacing w:val="2"/>
          <w:sz w:val="32"/>
          <w:szCs w:val="32"/>
        </w:rPr>
        <w:t>系，以法治思维主动参与化解经济社会发展中遇到的困难和问题，</w:t>
      </w:r>
      <w:r>
        <w:rPr>
          <w:rFonts w:hint="eastAsia" w:eastAsia="仿宋_GB2312"/>
          <w:sz w:val="32"/>
          <w:szCs w:val="32"/>
        </w:rPr>
        <w:t>助力基层治理。通过部署在法院、街道、社区、信访局、政务中心等地的调解终端和设备，方便人民群众就近、就地找到最合适的调解入口和资源。</w:t>
      </w:r>
    </w:p>
    <w:p>
      <w:pPr>
        <w:topLinePunct/>
        <w:adjustRightInd w:val="0"/>
        <w:snapToGrid w:val="0"/>
        <w:spacing w:line="592" w:lineRule="exact"/>
        <w:ind w:firstLine="640" w:firstLineChars="200"/>
      </w:pPr>
      <w:r>
        <w:rPr>
          <w:rFonts w:hint="eastAsia" w:eastAsia="黑体"/>
          <w:bCs/>
          <w:sz w:val="32"/>
          <w:szCs w:val="32"/>
        </w:rPr>
        <w:t>17.城市大脑：</w:t>
      </w:r>
      <w:r>
        <w:rPr>
          <w:rStyle w:val="47"/>
          <w:rFonts w:hint="eastAsia" w:ascii="Times New Roman" w:cs="Times New Roman"/>
          <w:color w:val="auto"/>
        </w:rPr>
        <w:t>城市大脑是</w:t>
      </w:r>
      <w:r>
        <w:rPr>
          <w:rFonts w:hint="eastAsia" w:eastAsia="仿宋_GB2312"/>
          <w:sz w:val="32"/>
          <w:szCs w:val="32"/>
        </w:rPr>
        <w:t>以城市治理、民生服务两大领域需求</w:t>
      </w:r>
      <w:r>
        <w:rPr>
          <w:rStyle w:val="47"/>
          <w:rFonts w:hint="eastAsia" w:ascii="Times New Roman" w:cs="Times New Roman"/>
          <w:color w:val="auto"/>
        </w:rPr>
        <w:t>，通过</w:t>
      </w:r>
      <w:r>
        <w:rPr>
          <w:rFonts w:hint="eastAsia" w:eastAsia="仿宋_GB2312"/>
          <w:sz w:val="32"/>
          <w:szCs w:val="32"/>
        </w:rPr>
        <w:t>全面汇聚融合城市各领域、各行业数据，深度挖掘数据价值，加强人工智能技术在各领域的场景应用，全面提升城市智能化水平，拓展智能化应用，提升政府效能。</w:t>
      </w:r>
    </w:p>
    <w:p>
      <w:pPr>
        <w:topLinePunct/>
        <w:adjustRightInd w:val="0"/>
        <w:snapToGrid w:val="0"/>
        <w:spacing w:line="592" w:lineRule="exact"/>
        <w:ind w:firstLine="640" w:firstLineChars="200"/>
        <w:rPr>
          <w:rFonts w:eastAsia="仿宋_GB2312"/>
          <w:sz w:val="32"/>
          <w:szCs w:val="32"/>
        </w:rPr>
      </w:pPr>
    </w:p>
    <w:p>
      <w:pPr>
        <w:pStyle w:val="26"/>
        <w:topLinePunct/>
        <w:adjustRightInd w:val="0"/>
        <w:snapToGrid w:val="0"/>
        <w:spacing w:line="592" w:lineRule="exact"/>
        <w:ind w:firstLine="0" w:firstLineChars="0"/>
        <w:rPr>
          <w:rFonts w:ascii="Times New Roman" w:hAnsi="Times New Roman" w:eastAsia="仿宋_GB2312"/>
          <w:bCs/>
          <w:sz w:val="32"/>
          <w:szCs w:val="32"/>
        </w:rPr>
        <w:sectPr>
          <w:headerReference r:id="rId3" w:type="default"/>
          <w:footerReference r:id="rId4" w:type="default"/>
          <w:footerReference r:id="rId5" w:type="even"/>
          <w:pgSz w:w="11906" w:h="16838"/>
          <w:pgMar w:top="1928" w:right="1531" w:bottom="1871" w:left="1531" w:header="1418" w:footer="1418" w:gutter="0"/>
          <w:cols w:space="720" w:num="1"/>
          <w:docGrid w:type="lines" w:linePitch="312" w:charSpace="0"/>
        </w:sectPr>
      </w:pPr>
    </w:p>
    <w:p>
      <w:pPr>
        <w:topLinePunct/>
        <w:adjustRightInd w:val="0"/>
        <w:snapToGrid w:val="0"/>
        <w:spacing w:line="592" w:lineRule="exact"/>
        <w:rPr>
          <w:rFonts w:eastAsia="黑体"/>
          <w:kern w:val="0"/>
          <w:sz w:val="32"/>
          <w:szCs w:val="44"/>
        </w:rPr>
      </w:pPr>
      <w:r>
        <w:rPr>
          <w:rFonts w:hint="eastAsia" w:eastAsia="黑体"/>
          <w:kern w:val="0"/>
          <w:sz w:val="32"/>
          <w:szCs w:val="44"/>
        </w:rPr>
        <w:t>附件2</w:t>
      </w:r>
    </w:p>
    <w:p>
      <w:pPr>
        <w:topLinePunct/>
        <w:adjustRightInd w:val="0"/>
        <w:snapToGrid w:val="0"/>
        <w:spacing w:line="592" w:lineRule="exact"/>
        <w:jc w:val="center"/>
        <w:rPr>
          <w:rFonts w:eastAsia="方正小标宋简体"/>
          <w:kern w:val="0"/>
          <w:sz w:val="44"/>
          <w:szCs w:val="44"/>
        </w:rPr>
      </w:pPr>
    </w:p>
    <w:p>
      <w:pPr>
        <w:topLinePunct/>
        <w:adjustRightInd w:val="0"/>
        <w:snapToGrid w:val="0"/>
        <w:spacing w:line="592"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昆明市西山区2021年国民经济和社会发展</w:t>
      </w:r>
    </w:p>
    <w:p>
      <w:pPr>
        <w:topLinePunct/>
        <w:adjustRightInd w:val="0"/>
        <w:snapToGrid w:val="0"/>
        <w:spacing w:line="592"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重点工作任务和目标执行情况</w:t>
      </w:r>
    </w:p>
    <w:p>
      <w:pPr>
        <w:topLinePunct/>
        <w:adjustRightInd w:val="0"/>
        <w:snapToGrid w:val="0"/>
        <w:spacing w:line="592" w:lineRule="exact"/>
        <w:jc w:val="center"/>
        <w:rPr>
          <w:rFonts w:eastAsia="方正小标宋简体"/>
          <w:kern w:val="0"/>
          <w:sz w:val="44"/>
          <w:szCs w:val="44"/>
        </w:rPr>
      </w:pPr>
    </w:p>
    <w:tbl>
      <w:tblPr>
        <w:tblStyle w:val="19"/>
        <w:tblW w:w="14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316"/>
        <w:gridCol w:w="717"/>
        <w:gridCol w:w="5154"/>
        <w:gridCol w:w="5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978"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黑体"/>
                <w:kern w:val="0"/>
                <w:sz w:val="18"/>
                <w:szCs w:val="18"/>
              </w:rPr>
              <w:t>一级名称</w:t>
            </w:r>
          </w:p>
        </w:tc>
        <w:tc>
          <w:tcPr>
            <w:tcW w:w="1316"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黑体"/>
                <w:kern w:val="0"/>
                <w:sz w:val="18"/>
                <w:szCs w:val="18"/>
              </w:rPr>
              <w:t>二级名称</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rFonts w:eastAsia="黑体"/>
                <w:kern w:val="0"/>
                <w:sz w:val="18"/>
                <w:szCs w:val="18"/>
              </w:rPr>
            </w:pPr>
            <w:r>
              <w:rPr>
                <w:rFonts w:hint="eastAsia" w:eastAsia="黑体"/>
                <w:kern w:val="0"/>
                <w:sz w:val="18"/>
                <w:szCs w:val="18"/>
              </w:rPr>
              <w:t>目标值</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rFonts w:eastAsia="黑体"/>
                <w:kern w:val="0"/>
                <w:sz w:val="18"/>
                <w:szCs w:val="18"/>
              </w:rPr>
            </w:pPr>
            <w:r>
              <w:rPr>
                <w:rFonts w:hint="eastAsia" w:eastAsia="黑体"/>
                <w:kern w:val="0"/>
                <w:sz w:val="18"/>
                <w:szCs w:val="1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8" w:type="dxa"/>
            <w:vMerge w:val="restart"/>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r>
              <w:rPr>
                <w:rFonts w:hint="eastAsia" w:eastAsia="仿宋_GB2312"/>
                <w:b/>
                <w:bCs/>
                <w:kern w:val="0"/>
                <w:sz w:val="18"/>
                <w:szCs w:val="18"/>
              </w:rPr>
              <w:t>一、主要经济指标</w:t>
            </w:r>
          </w:p>
        </w:tc>
        <w:tc>
          <w:tcPr>
            <w:tcW w:w="131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地区生产总值</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增长8.5%以上</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7%左右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rFonts w:eastAsia="仿宋_GB2312"/>
                <w:spacing w:val="-14"/>
                <w:kern w:val="0"/>
                <w:sz w:val="18"/>
                <w:szCs w:val="18"/>
              </w:rPr>
            </w:pPr>
            <w:r>
              <w:rPr>
                <w:rFonts w:hint="eastAsia" w:eastAsia="仿宋_GB2312"/>
                <w:spacing w:val="-14"/>
                <w:kern w:val="0"/>
                <w:sz w:val="18"/>
                <w:szCs w:val="18"/>
              </w:rPr>
              <w:t>一般公共预算收入</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增长3.5%以上</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500419万元，7.1%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规模以上固定资产投资</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实现正增长</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400亿元左右，约-23.5%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规模以上工业增加值</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增长3%</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限额以上社会消费品零售额</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高于全市增长水平</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eastAsia="仿宋_GB2312"/>
                <w:kern w:val="0"/>
                <w:sz w:val="18"/>
                <w:szCs w:val="18"/>
              </w:rPr>
              <w:t>13</w:t>
            </w:r>
            <w:r>
              <w:rPr>
                <w:rFonts w:hint="eastAsia"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城镇常住居民人均可支配收入</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增长6%左右</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农村常住居民人均可支配收入</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增长7%左右</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城镇登记失业率控制在</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4.5%以内</w:t>
            </w:r>
          </w:p>
        </w:tc>
        <w:tc>
          <w:tcPr>
            <w:tcW w:w="5896"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8" w:type="dxa"/>
            <w:shd w:val="clear" w:color="auto" w:fill="auto"/>
            <w:tcMar>
              <w:left w:w="28" w:type="dxa"/>
              <w:right w:w="28" w:type="dxa"/>
            </w:tcMar>
            <w:vAlign w:val="center"/>
          </w:tcPr>
          <w:p>
            <w:pPr>
              <w:widowControl/>
              <w:topLinePunct/>
              <w:adjustRightInd w:val="0"/>
              <w:snapToGrid w:val="0"/>
              <w:spacing w:line="240" w:lineRule="atLeast"/>
              <w:jc w:val="left"/>
              <w:rPr>
                <w:b/>
                <w:bCs/>
                <w:kern w:val="0"/>
                <w:sz w:val="18"/>
                <w:szCs w:val="18"/>
              </w:rPr>
            </w:pPr>
            <w:r>
              <w:rPr>
                <w:rFonts w:hint="eastAsia" w:eastAsia="仿宋_GB2312"/>
                <w:b/>
                <w:bCs/>
                <w:kern w:val="0"/>
                <w:sz w:val="18"/>
                <w:szCs w:val="18"/>
              </w:rPr>
              <w:t>二、强化中枢门户区功能，积极融入发展新格局</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1．突出高质量发展目标引领</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1．全力以赴冲刺地区生产总值千亿目标；</w:t>
            </w:r>
          </w:p>
          <w:p>
            <w:pPr>
              <w:widowControl/>
              <w:topLinePunct/>
              <w:adjustRightInd w:val="0"/>
              <w:snapToGrid w:val="0"/>
              <w:spacing w:line="240" w:lineRule="atLeast"/>
              <w:rPr>
                <w:kern w:val="0"/>
                <w:sz w:val="18"/>
                <w:szCs w:val="18"/>
              </w:rPr>
            </w:pPr>
            <w:r>
              <w:rPr>
                <w:rFonts w:hint="eastAsia" w:eastAsia="仿宋_GB2312"/>
                <w:kern w:val="0"/>
                <w:sz w:val="18"/>
                <w:szCs w:val="18"/>
              </w:rPr>
              <w:t>2．强化实体经济宏观政策帮扶，制定出台加快现代服务业发展扶持政策，出台促消费稳增长政策措施。</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1.全年预计实现地区生产总值970亿元，同比增长7%左右；</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2.兑现系列稳增长扶持补助资金1.27亿元；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3.发放普惠小微信用贷款53.25亿元；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4.新增减税降费6.47亿元；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5.补贴稳岗返还1307.6万元；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6.降低实体经济成本14.89亿元；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7.新增企业8591户，较去年同期增加499户，增长6.17%；新增个体工商户10965户，较上年同期增加836户，增长8.25%；</w:t>
            </w:r>
          </w:p>
          <w:p>
            <w:pPr>
              <w:widowControl/>
              <w:topLinePunct/>
              <w:adjustRightInd w:val="0"/>
              <w:snapToGrid w:val="0"/>
              <w:spacing w:line="240" w:lineRule="atLeast"/>
              <w:rPr>
                <w:kern w:val="0"/>
                <w:sz w:val="18"/>
                <w:szCs w:val="18"/>
              </w:rPr>
            </w:pPr>
            <w:r>
              <w:rPr>
                <w:rFonts w:hint="eastAsia" w:eastAsia="仿宋_GB2312"/>
                <w:kern w:val="0"/>
                <w:sz w:val="18"/>
                <w:szCs w:val="18"/>
              </w:rPr>
              <w:t>8.城市竞争力不断增强，位列2021年赛迪中国高质量百强区第89位。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8" w:type="dxa"/>
            <w:vMerge w:val="restart"/>
            <w:shd w:val="clear" w:color="auto" w:fill="auto"/>
            <w:tcMar>
              <w:left w:w="28" w:type="dxa"/>
              <w:right w:w="28" w:type="dxa"/>
            </w:tcMar>
            <w:vAlign w:val="center"/>
          </w:tcPr>
          <w:p>
            <w:pPr>
              <w:widowControl/>
              <w:topLinePunct/>
              <w:adjustRightInd w:val="0"/>
              <w:snapToGrid w:val="0"/>
              <w:spacing w:line="240" w:lineRule="atLeast"/>
              <w:rPr>
                <w:b/>
                <w:bCs/>
                <w:kern w:val="0"/>
                <w:sz w:val="18"/>
                <w:szCs w:val="18"/>
              </w:rPr>
            </w:pPr>
            <w:r>
              <w:rPr>
                <w:rFonts w:hint="eastAsia" w:eastAsia="仿宋_GB2312"/>
                <w:b/>
                <w:bCs/>
                <w:kern w:val="0"/>
                <w:sz w:val="18"/>
                <w:szCs w:val="18"/>
              </w:rPr>
              <w:t>三、赋能“4×3”产业，构筑现代服务业活力区发展新优势</w:t>
            </w:r>
          </w:p>
        </w:tc>
        <w:tc>
          <w:tcPr>
            <w:tcW w:w="1316" w:type="dxa"/>
            <w:vMerge w:val="restart"/>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2．加速构建“4×3”产业矩阵</w:t>
            </w: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房地产</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1．加快滇池半山、宝能九玺等32个在建项目建设，实现佳皓苑、上华苑等29个项目新开工。</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w:t>
            </w:r>
            <w:r>
              <w:rPr>
                <w:rFonts w:hint="eastAsia" w:eastAsia="仿宋_GB2312"/>
                <w:spacing w:val="-6"/>
                <w:kern w:val="0"/>
                <w:sz w:val="18"/>
                <w:szCs w:val="18"/>
              </w:rPr>
              <w:t>推进马街摩尔城、碧鸡名城等10个问题项目取得实质性进展；</w:t>
            </w:r>
          </w:p>
          <w:p>
            <w:pPr>
              <w:widowControl/>
              <w:topLinePunct/>
              <w:adjustRightInd w:val="0"/>
              <w:snapToGrid w:val="0"/>
              <w:spacing w:line="240" w:lineRule="atLeast"/>
              <w:rPr>
                <w:kern w:val="0"/>
                <w:sz w:val="18"/>
                <w:szCs w:val="18"/>
              </w:rPr>
            </w:pPr>
            <w:r>
              <w:rPr>
                <w:rFonts w:hint="eastAsia" w:eastAsia="仿宋_GB2312"/>
                <w:kern w:val="0"/>
                <w:sz w:val="18"/>
                <w:szCs w:val="18"/>
              </w:rPr>
              <w:t>3．实现建筑业总产值增长25%。</w:t>
            </w:r>
          </w:p>
        </w:tc>
        <w:tc>
          <w:tcPr>
            <w:tcW w:w="589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1.坚持”房住不炒“，推广使用”昆明市房屋租赁登记备案”小程序，房地产市场平稳健康发展。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新型</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化工</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1．打造中轻依兰精细磷化工产业园；</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2．精细磷化工产值达到7亿元以上；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3．新型化工产业产值达到5亿元以上；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4．探索主城都市工业发展，力争培育都市轻工业楼宇1幢；</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5．文笔山风电和2个污水厂项目实现产值0.5亿元；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6．规模以下工业增加值增长3%；</w:t>
            </w:r>
          </w:p>
          <w:p>
            <w:pPr>
              <w:widowControl/>
              <w:topLinePunct/>
              <w:adjustRightInd w:val="0"/>
              <w:snapToGrid w:val="0"/>
              <w:spacing w:line="240" w:lineRule="atLeast"/>
              <w:rPr>
                <w:kern w:val="0"/>
                <w:sz w:val="18"/>
                <w:szCs w:val="18"/>
              </w:rPr>
            </w:pPr>
            <w:r>
              <w:rPr>
                <w:rFonts w:hint="eastAsia" w:eastAsia="仿宋_GB2312"/>
                <w:kern w:val="0"/>
                <w:sz w:val="18"/>
                <w:szCs w:val="18"/>
              </w:rPr>
              <w:t>7．完成海口工业园区整合优化提升。</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1.工业经济韧性彰显，规模以上工业增加值增长15%左右；</w:t>
            </w:r>
          </w:p>
          <w:p>
            <w:pPr>
              <w:widowControl/>
              <w:topLinePunct/>
              <w:adjustRightInd w:val="0"/>
              <w:snapToGrid w:val="0"/>
              <w:spacing w:line="240" w:lineRule="atLeast"/>
              <w:rPr>
                <w:kern w:val="0"/>
                <w:sz w:val="18"/>
                <w:szCs w:val="18"/>
              </w:rPr>
            </w:pPr>
            <w:r>
              <w:rPr>
                <w:rFonts w:hint="eastAsia" w:eastAsia="仿宋_GB2312"/>
                <w:kern w:val="0"/>
                <w:sz w:val="18"/>
                <w:szCs w:val="18"/>
              </w:rPr>
              <w:t>2.福石科技精细磷化工项目有序推进。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装备</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智造</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w:t>
            </w:r>
            <w:r>
              <w:rPr>
                <w:rFonts w:hint="eastAsia" w:eastAsia="仿宋_GB2312"/>
                <w:spacing w:val="-4"/>
                <w:kern w:val="0"/>
                <w:sz w:val="18"/>
                <w:szCs w:val="18"/>
              </w:rPr>
              <w:t>加快发展新能源客车二期项目，推动中烟异地技改项目投产达效；</w:t>
            </w:r>
          </w:p>
          <w:p>
            <w:pPr>
              <w:widowControl/>
              <w:topLinePunct/>
              <w:adjustRightInd w:val="0"/>
              <w:snapToGrid w:val="0"/>
              <w:spacing w:line="240" w:lineRule="atLeast"/>
              <w:rPr>
                <w:kern w:val="0"/>
                <w:sz w:val="18"/>
                <w:szCs w:val="18"/>
              </w:rPr>
            </w:pPr>
            <w:r>
              <w:rPr>
                <w:rFonts w:hint="eastAsia" w:eastAsia="仿宋_GB2312"/>
                <w:kern w:val="0"/>
                <w:sz w:val="18"/>
                <w:szCs w:val="18"/>
              </w:rPr>
              <w:t>2．装备制造业总产值达到50亿元以上。</w:t>
            </w:r>
          </w:p>
        </w:tc>
        <w:tc>
          <w:tcPr>
            <w:tcW w:w="589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中烟异地技改项目加快建设。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大健康</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1．培育打造1—2个区级大健康特色示范基地；</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2．实施培育柏寿老年公寓、白鱼口村美丽康养度假基地等重点医疗康养综合体；</w:t>
            </w:r>
          </w:p>
          <w:p>
            <w:pPr>
              <w:widowControl/>
              <w:topLinePunct/>
              <w:adjustRightInd w:val="0"/>
              <w:snapToGrid w:val="0"/>
              <w:spacing w:line="240" w:lineRule="atLeast"/>
              <w:rPr>
                <w:kern w:val="0"/>
                <w:sz w:val="18"/>
                <w:szCs w:val="18"/>
              </w:rPr>
            </w:pPr>
            <w:r>
              <w:rPr>
                <w:rFonts w:hint="eastAsia" w:eastAsia="仿宋_GB2312"/>
                <w:kern w:val="0"/>
                <w:sz w:val="18"/>
                <w:szCs w:val="18"/>
              </w:rPr>
              <w:t>3．力争大健康产业增加值增长10%以上。</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1.大健康产业高标准推进，制定出台《西山区大健康人才+产业项目一体化引进培育办法（试行）》；</w:t>
            </w:r>
          </w:p>
          <w:p>
            <w:pPr>
              <w:widowControl/>
              <w:topLinePunct/>
              <w:adjustRightInd w:val="0"/>
              <w:snapToGrid w:val="0"/>
              <w:spacing w:line="240" w:lineRule="atLeast"/>
              <w:rPr>
                <w:kern w:val="0"/>
                <w:sz w:val="18"/>
                <w:szCs w:val="18"/>
              </w:rPr>
            </w:pPr>
            <w:r>
              <w:rPr>
                <w:rFonts w:hint="eastAsia" w:eastAsia="仿宋_GB2312"/>
                <w:kern w:val="0"/>
                <w:sz w:val="18"/>
                <w:szCs w:val="18"/>
              </w:rPr>
              <w:t>2.大健康产业增加值预计达1</w:t>
            </w:r>
            <w:r>
              <w:rPr>
                <w:rFonts w:eastAsia="仿宋_GB2312"/>
                <w:kern w:val="0"/>
                <w:sz w:val="18"/>
                <w:szCs w:val="18"/>
              </w:rPr>
              <w:t>90</w:t>
            </w:r>
            <w:r>
              <w:rPr>
                <w:rFonts w:hint="eastAsia" w:eastAsia="仿宋_GB2312"/>
                <w:kern w:val="0"/>
                <w:sz w:val="18"/>
                <w:szCs w:val="18"/>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数字</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经济</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1．探索打造1—2家特色数字经济产业园；</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2．互联网和相关服务、软件和信息技术服务业营业收入增长20%；</w:t>
            </w:r>
          </w:p>
          <w:p>
            <w:pPr>
              <w:widowControl/>
              <w:topLinePunct/>
              <w:adjustRightInd w:val="0"/>
              <w:snapToGrid w:val="0"/>
              <w:spacing w:line="240" w:lineRule="atLeast"/>
              <w:rPr>
                <w:kern w:val="0"/>
                <w:sz w:val="18"/>
                <w:szCs w:val="18"/>
              </w:rPr>
            </w:pPr>
            <w:r>
              <w:rPr>
                <w:rFonts w:hint="eastAsia" w:eastAsia="仿宋_GB2312"/>
                <w:kern w:val="0"/>
                <w:sz w:val="18"/>
                <w:szCs w:val="18"/>
              </w:rPr>
              <w:t>3．科学研究和技术服务业营业收入增长30%。</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1.数字经济赋能发展，8户企业成功申报昆明市数字经济发展及信息产业示范项目；</w:t>
            </w:r>
          </w:p>
          <w:p>
            <w:pPr>
              <w:widowControl/>
              <w:topLinePunct/>
              <w:adjustRightInd w:val="0"/>
              <w:snapToGrid w:val="0"/>
              <w:spacing w:line="240" w:lineRule="atLeast"/>
              <w:rPr>
                <w:kern w:val="0"/>
                <w:sz w:val="18"/>
                <w:szCs w:val="18"/>
              </w:rPr>
            </w:pPr>
            <w:r>
              <w:rPr>
                <w:rFonts w:hint="eastAsia" w:eastAsia="仿宋_GB2312"/>
                <w:kern w:val="0"/>
                <w:sz w:val="18"/>
                <w:szCs w:val="18"/>
              </w:rPr>
              <w:t>2.规模以上互联网和相关服务、软件和信息技术服务业营业收入实现10.25亿元。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服务</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贸易</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1．重点打造云投中心、昆钢大厦等5个以上星级楼宇；</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2．新培育总部企业2家以上；</w:t>
            </w:r>
          </w:p>
          <w:p>
            <w:pPr>
              <w:widowControl/>
              <w:topLinePunct/>
              <w:adjustRightInd w:val="0"/>
              <w:snapToGrid w:val="0"/>
              <w:spacing w:line="240" w:lineRule="atLeast"/>
              <w:rPr>
                <w:kern w:val="0"/>
                <w:sz w:val="18"/>
                <w:szCs w:val="18"/>
              </w:rPr>
            </w:pPr>
            <w:r>
              <w:rPr>
                <w:rFonts w:hint="eastAsia" w:eastAsia="仿宋_GB2312"/>
                <w:kern w:val="0"/>
                <w:sz w:val="18"/>
                <w:szCs w:val="18"/>
              </w:rPr>
              <w:t>3．实现保有税收千万元楼宇和亿元楼宇量有增长。</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1.楼宇产业生态圈逐步拓展，楼宇“1+2+N”服务管家团队实现全区覆盖；</w:t>
            </w:r>
          </w:p>
          <w:p>
            <w:pPr>
              <w:widowControl/>
              <w:topLinePunct/>
              <w:adjustRightInd w:val="0"/>
              <w:snapToGrid w:val="0"/>
              <w:spacing w:line="240" w:lineRule="atLeast"/>
              <w:rPr>
                <w:kern w:val="0"/>
                <w:sz w:val="18"/>
                <w:szCs w:val="18"/>
              </w:rPr>
            </w:pPr>
            <w:r>
              <w:rPr>
                <w:rFonts w:hint="eastAsia" w:eastAsia="仿宋_GB2312"/>
                <w:kern w:val="0"/>
                <w:sz w:val="18"/>
                <w:szCs w:val="18"/>
              </w:rPr>
              <w:t>2.新增税收亿元楼宇2幢，千万元楼宇2幢，共有税收亿元楼宇9幢、千万元楼宇17幢，新增总部企业3户。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8" w:type="dxa"/>
            <w:vMerge w:val="continue"/>
            <w:shd w:val="clear" w:color="auto" w:fill="auto"/>
            <w:tcMar>
              <w:left w:w="28" w:type="dxa"/>
              <w:right w:w="28" w:type="dxa"/>
            </w:tcMar>
            <w:vAlign w:val="center"/>
          </w:tcPr>
          <w:p>
            <w:pPr>
              <w:topLinePunct/>
              <w:adjustRightInd w:val="0"/>
              <w:snapToGrid w:val="0"/>
              <w:spacing w:line="240" w:lineRule="atLeast"/>
              <w:jc w:val="center"/>
              <w:rPr>
                <w:b/>
                <w:bCs/>
                <w:kern w:val="0"/>
                <w:sz w:val="18"/>
                <w:szCs w:val="18"/>
              </w:rPr>
            </w:pPr>
          </w:p>
        </w:tc>
        <w:tc>
          <w:tcPr>
            <w:tcW w:w="1316" w:type="dxa"/>
            <w:vMerge w:val="continue"/>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商贸</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物流</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1．打造昆明融创文旅城、南亚风情第壹城等“八大夜间经济示范街区”，力争滇池后海步行街入围省级示范试点；</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2．运输业营业收入增长不低于5%；</w:t>
            </w:r>
          </w:p>
          <w:p>
            <w:pPr>
              <w:widowControl/>
              <w:topLinePunct/>
              <w:adjustRightInd w:val="0"/>
              <w:snapToGrid w:val="0"/>
              <w:spacing w:line="240" w:lineRule="atLeast"/>
              <w:rPr>
                <w:kern w:val="0"/>
                <w:sz w:val="18"/>
                <w:szCs w:val="18"/>
              </w:rPr>
            </w:pPr>
            <w:r>
              <w:rPr>
                <w:rFonts w:hint="eastAsia" w:eastAsia="仿宋_GB2312"/>
                <w:kern w:val="0"/>
                <w:sz w:val="18"/>
                <w:szCs w:val="18"/>
              </w:rPr>
              <w:t>3．装卸搬运和仓储业营业收入增速10%。</w:t>
            </w:r>
          </w:p>
        </w:tc>
        <w:tc>
          <w:tcPr>
            <w:tcW w:w="589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物流服务体系持续健全，昆明中禄农副产品交易中心项目稳步推进。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8" w:type="dxa"/>
            <w:vMerge w:val="continue"/>
            <w:shd w:val="clear" w:color="auto" w:fill="auto"/>
            <w:tcMar>
              <w:left w:w="28" w:type="dxa"/>
              <w:right w:w="28" w:type="dxa"/>
            </w:tcMar>
            <w:vAlign w:val="center"/>
          </w:tcPr>
          <w:p>
            <w:pPr>
              <w:topLinePunct/>
              <w:adjustRightInd w:val="0"/>
              <w:snapToGrid w:val="0"/>
              <w:spacing w:line="240" w:lineRule="atLeast"/>
              <w:jc w:val="center"/>
              <w:rPr>
                <w:b/>
                <w:bCs/>
                <w:kern w:val="0"/>
                <w:sz w:val="18"/>
                <w:szCs w:val="18"/>
              </w:rPr>
            </w:pPr>
          </w:p>
        </w:tc>
        <w:tc>
          <w:tcPr>
            <w:tcW w:w="1316" w:type="dxa"/>
            <w:vMerge w:val="continue"/>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文化</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创意</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1．确保文化及相关产业增加值达60亿元；</w:t>
            </w:r>
          </w:p>
          <w:p>
            <w:pPr>
              <w:widowControl/>
              <w:topLinePunct/>
              <w:adjustRightInd w:val="0"/>
              <w:snapToGrid w:val="0"/>
              <w:spacing w:line="240" w:lineRule="atLeast"/>
              <w:rPr>
                <w:kern w:val="0"/>
                <w:sz w:val="18"/>
                <w:szCs w:val="18"/>
              </w:rPr>
            </w:pPr>
            <w:r>
              <w:rPr>
                <w:rFonts w:hint="eastAsia" w:eastAsia="仿宋_GB2312"/>
                <w:kern w:val="0"/>
                <w:sz w:val="18"/>
                <w:szCs w:val="18"/>
              </w:rPr>
              <w:t>2．推进春雨937等文创园区、烟雨影视传媒等文创产业示范基地建设。</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1.大力打造文创特色品牌，新增区级文化创意产业园区2家、区级产业融合发展示范基地1家；</w:t>
            </w:r>
          </w:p>
          <w:p>
            <w:pPr>
              <w:widowControl/>
              <w:topLinePunct/>
              <w:adjustRightInd w:val="0"/>
              <w:snapToGrid w:val="0"/>
              <w:spacing w:line="240" w:lineRule="atLeast"/>
              <w:rPr>
                <w:kern w:val="0"/>
                <w:sz w:val="18"/>
                <w:szCs w:val="18"/>
              </w:rPr>
            </w:pPr>
            <w:r>
              <w:rPr>
                <w:rFonts w:hint="eastAsia" w:eastAsia="仿宋_GB2312"/>
                <w:kern w:val="0"/>
                <w:sz w:val="18"/>
                <w:szCs w:val="18"/>
              </w:rPr>
              <w:t>2.文化产业增加值预计实现63亿元。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主题</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旅游</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1．力争推动不少于5个“半山酒店”、旅游营地落地建设；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2．完成西山风景区主游路人行步道项目建设；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3．完成西山风景区“5A”级旅游景区省级初评；</w:t>
            </w:r>
          </w:p>
          <w:p>
            <w:pPr>
              <w:widowControl/>
              <w:topLinePunct/>
              <w:adjustRightInd w:val="0"/>
              <w:snapToGrid w:val="0"/>
              <w:spacing w:line="240" w:lineRule="atLeast"/>
              <w:rPr>
                <w:kern w:val="0"/>
                <w:sz w:val="18"/>
                <w:szCs w:val="18"/>
              </w:rPr>
            </w:pPr>
            <w:r>
              <w:rPr>
                <w:rFonts w:hint="eastAsia" w:eastAsia="仿宋_GB2312"/>
                <w:kern w:val="0"/>
                <w:sz w:val="18"/>
                <w:szCs w:val="18"/>
              </w:rPr>
              <w:t>4．实现旅游接待总人数增长10%，旅游总收入增长5%。</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1.旅游业回暖复苏，腾云获评昆明市智慧旅游企创中心；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2.西山景区健康步道（一期）建成；</w:t>
            </w:r>
          </w:p>
          <w:p>
            <w:pPr>
              <w:widowControl/>
              <w:topLinePunct/>
              <w:adjustRightInd w:val="0"/>
              <w:snapToGrid w:val="0"/>
              <w:spacing w:line="240" w:lineRule="atLeast"/>
              <w:rPr>
                <w:kern w:val="0"/>
                <w:sz w:val="18"/>
                <w:szCs w:val="18"/>
              </w:rPr>
            </w:pPr>
            <w:r>
              <w:rPr>
                <w:rFonts w:hint="eastAsia" w:eastAsia="仿宋_GB2312"/>
                <w:kern w:val="0"/>
                <w:sz w:val="18"/>
                <w:szCs w:val="18"/>
              </w:rPr>
              <w:t>3.乡村旅游业态不断丰富，累计接待游客2297.42万人次，实现旅游收入290亿元。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8" w:type="dxa"/>
            <w:vMerge w:val="restart"/>
            <w:shd w:val="clear" w:color="auto" w:fill="auto"/>
            <w:tcMar>
              <w:left w:w="28" w:type="dxa"/>
              <w:right w:w="28" w:type="dxa"/>
            </w:tcMar>
            <w:vAlign w:val="center"/>
          </w:tcPr>
          <w:p>
            <w:pPr>
              <w:topLinePunct/>
              <w:adjustRightInd w:val="0"/>
              <w:snapToGrid w:val="0"/>
              <w:spacing w:line="240" w:lineRule="atLeast"/>
              <w:rPr>
                <w:b/>
                <w:bCs/>
                <w:kern w:val="0"/>
                <w:sz w:val="18"/>
                <w:szCs w:val="18"/>
              </w:rPr>
            </w:pPr>
            <w:r>
              <w:rPr>
                <w:rFonts w:hint="eastAsia" w:eastAsia="仿宋_GB2312"/>
                <w:b/>
                <w:bCs/>
                <w:kern w:val="0"/>
                <w:sz w:val="18"/>
                <w:szCs w:val="18"/>
              </w:rPr>
              <w:t>三、赋能“4×3”产业，构筑现代服务业活力区发展新优势</w:t>
            </w:r>
          </w:p>
        </w:tc>
        <w:tc>
          <w:tcPr>
            <w:tcW w:w="1316" w:type="dxa"/>
            <w:vMerge w:val="restart"/>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2．加速构建“4×3”产业矩阵</w:t>
            </w: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生态</w:t>
            </w:r>
            <w:r>
              <w:rPr>
                <w:rFonts w:hint="eastAsia" w:eastAsia="仿宋_GB2312"/>
                <w:kern w:val="0"/>
                <w:sz w:val="18"/>
                <w:szCs w:val="18"/>
              </w:rPr>
              <w:br w:type="page"/>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农业</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1．实施高原特色都市现代农业“四园、二业”培育工程；</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2．推进“西山区特色水果产业基地建设”项目；</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3．力争打造1—2个“农业综合体”；</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4．培育壮大龙头企业3家以上；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5．新认证“三品一标”产品3个以上；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6．新增农民专业合作社2个；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7．新增培育家庭农场5个以上；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8．实现农业总产值增长20%以上；</w:t>
            </w:r>
          </w:p>
          <w:p>
            <w:pPr>
              <w:widowControl/>
              <w:topLinePunct/>
              <w:adjustRightInd w:val="0"/>
              <w:snapToGrid w:val="0"/>
              <w:spacing w:line="240" w:lineRule="atLeast"/>
              <w:rPr>
                <w:kern w:val="0"/>
                <w:sz w:val="18"/>
                <w:szCs w:val="18"/>
              </w:rPr>
            </w:pPr>
            <w:r>
              <w:rPr>
                <w:rFonts w:hint="eastAsia" w:eastAsia="仿宋_GB2312"/>
                <w:kern w:val="0"/>
                <w:sz w:val="18"/>
                <w:szCs w:val="18"/>
              </w:rPr>
              <w:br w:type="page"/>
            </w:r>
            <w:r>
              <w:rPr>
                <w:rFonts w:hint="eastAsia" w:eastAsia="仿宋_GB2312"/>
                <w:kern w:val="0"/>
                <w:sz w:val="18"/>
                <w:szCs w:val="18"/>
              </w:rPr>
              <w:t>9．打造高原特色都市现代农业核心示范区。</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1.绿色食品牌战略深入实施，4家企业产品列入省级“绿色食品牌”目录；</w:t>
            </w:r>
            <w:r>
              <w:rPr>
                <w:rFonts w:hint="eastAsia" w:eastAsia="仿宋_GB2312"/>
                <w:kern w:val="0"/>
                <w:sz w:val="18"/>
                <w:szCs w:val="18"/>
              </w:rPr>
              <w:br w:type="page"/>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2.5家企业基地被评为区级“绿色食品牌”产业基地；</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3.累计农业龙头企业达45家；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4.累计“三品一标”认证企业（合作社）达18家；</w:t>
            </w:r>
          </w:p>
          <w:p>
            <w:pPr>
              <w:widowControl/>
              <w:topLinePunct/>
              <w:adjustRightInd w:val="0"/>
              <w:snapToGrid w:val="0"/>
              <w:spacing w:line="240" w:lineRule="atLeast"/>
              <w:rPr>
                <w:kern w:val="0"/>
                <w:sz w:val="18"/>
                <w:szCs w:val="18"/>
              </w:rPr>
            </w:pPr>
            <w:r>
              <w:rPr>
                <w:rFonts w:hint="eastAsia" w:eastAsia="仿宋_GB2312"/>
                <w:kern w:val="0"/>
                <w:sz w:val="18"/>
                <w:szCs w:val="18"/>
              </w:rPr>
              <w:br w:type="page"/>
            </w:r>
            <w:r>
              <w:rPr>
                <w:rFonts w:hint="eastAsia" w:eastAsia="仿宋_GB2312"/>
                <w:kern w:val="0"/>
                <w:sz w:val="18"/>
                <w:szCs w:val="18"/>
              </w:rPr>
              <w:t>5.累计认证产品41个。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金融</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结算</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1．实现中国人寿保险股份有限公司云南省分公司迁驻，力争渤海银行云南省分行落户西山；</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2．力争实现金融业增加值150亿元；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3．新增各类金融机构5户以上；</w:t>
            </w:r>
          </w:p>
          <w:p>
            <w:pPr>
              <w:widowControl/>
              <w:topLinePunct/>
              <w:adjustRightInd w:val="0"/>
              <w:snapToGrid w:val="0"/>
              <w:spacing w:line="240" w:lineRule="atLeast"/>
              <w:rPr>
                <w:kern w:val="0"/>
                <w:sz w:val="18"/>
                <w:szCs w:val="18"/>
              </w:rPr>
            </w:pPr>
            <w:r>
              <w:rPr>
                <w:rFonts w:hint="eastAsia" w:eastAsia="仿宋_GB2312"/>
                <w:kern w:val="0"/>
                <w:sz w:val="18"/>
                <w:szCs w:val="18"/>
              </w:rPr>
              <w:t>4．人民币存贷款余额增长20%以上。</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1.人寿云南分公司和渤海银行已落地；</w:t>
            </w:r>
          </w:p>
          <w:p>
            <w:pPr>
              <w:widowControl/>
              <w:topLinePunct/>
              <w:adjustRightInd w:val="0"/>
              <w:snapToGrid w:val="0"/>
              <w:spacing w:line="240" w:lineRule="atLeast"/>
              <w:rPr>
                <w:rFonts w:eastAsia="仿宋_GB2312"/>
                <w:kern w:val="0"/>
                <w:sz w:val="18"/>
                <w:szCs w:val="18"/>
              </w:rPr>
            </w:pPr>
            <w:r>
              <w:rPr>
                <w:rFonts w:eastAsia="仿宋_GB2312"/>
                <w:kern w:val="0"/>
                <w:sz w:val="18"/>
                <w:szCs w:val="18"/>
              </w:rPr>
              <w:t>2.</w:t>
            </w:r>
            <w:r>
              <w:rPr>
                <w:rFonts w:hint="eastAsia" w:eastAsia="仿宋_GB2312"/>
                <w:kern w:val="0"/>
                <w:sz w:val="18"/>
                <w:szCs w:val="18"/>
              </w:rPr>
              <w:t>金融业增加值预计达145亿元；</w:t>
            </w:r>
          </w:p>
          <w:p>
            <w:pPr>
              <w:pStyle w:val="26"/>
              <w:ind w:firstLine="0" w:firstLineChars="0"/>
              <w:rPr>
                <w:rFonts w:ascii="Times New Roman" w:hAnsi="Times New Roman" w:eastAsia="仿宋_GB2312"/>
                <w:kern w:val="0"/>
                <w:sz w:val="18"/>
                <w:szCs w:val="18"/>
              </w:rPr>
            </w:pPr>
            <w:r>
              <w:rPr>
                <w:rFonts w:hint="eastAsia" w:ascii="Times New Roman" w:hAnsi="Times New Roman" w:eastAsia="仿宋_GB2312"/>
                <w:kern w:val="0"/>
                <w:sz w:val="18"/>
                <w:szCs w:val="18"/>
              </w:rPr>
              <w:t>3</w:t>
            </w:r>
            <w:r>
              <w:rPr>
                <w:rFonts w:ascii="Times New Roman" w:hAnsi="Times New Roman" w:eastAsia="仿宋_GB2312"/>
                <w:kern w:val="0"/>
                <w:sz w:val="18"/>
                <w:szCs w:val="18"/>
              </w:rPr>
              <w:t>.</w:t>
            </w:r>
            <w:r>
              <w:rPr>
                <w:rFonts w:hint="eastAsia" w:ascii="Times New Roman" w:hAnsi="Times New Roman" w:eastAsia="仿宋_GB2312"/>
                <w:kern w:val="0"/>
                <w:sz w:val="18"/>
                <w:szCs w:val="18"/>
              </w:rPr>
              <w:t>人民币贷款预计增长1</w:t>
            </w:r>
            <w:r>
              <w:rPr>
                <w:rFonts w:ascii="Times New Roman" w:hAnsi="Times New Roman" w:eastAsia="仿宋_GB2312"/>
                <w:kern w:val="0"/>
                <w:sz w:val="18"/>
                <w:szCs w:val="18"/>
              </w:rPr>
              <w:t>7</w:t>
            </w:r>
            <w:r>
              <w:rPr>
                <w:rFonts w:hint="eastAsia" w:ascii="Times New Roman" w:hAnsi="Times New Roman" w:eastAsia="仿宋_GB2312"/>
                <w:kern w:val="0"/>
                <w:sz w:val="18"/>
                <w:szCs w:val="18"/>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军民</w:t>
            </w:r>
          </w:p>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融合</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1．发展先进装备制造一体化工程和产品；</w:t>
            </w:r>
          </w:p>
          <w:p>
            <w:pPr>
              <w:widowControl/>
              <w:topLinePunct/>
              <w:adjustRightInd w:val="0"/>
              <w:snapToGrid w:val="0"/>
              <w:spacing w:line="240" w:lineRule="atLeast"/>
              <w:rPr>
                <w:kern w:val="0"/>
                <w:sz w:val="18"/>
                <w:szCs w:val="18"/>
              </w:rPr>
            </w:pPr>
            <w:r>
              <w:rPr>
                <w:rFonts w:hint="eastAsia" w:eastAsia="仿宋_GB2312"/>
                <w:kern w:val="0"/>
                <w:sz w:val="18"/>
                <w:szCs w:val="18"/>
              </w:rPr>
              <w:t>2．打造海口军民融合产业发展基地。</w:t>
            </w:r>
          </w:p>
        </w:tc>
        <w:tc>
          <w:tcPr>
            <w:tcW w:w="589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军民融合有序发展。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8" w:type="dxa"/>
            <w:vMerge w:val="restart"/>
            <w:shd w:val="clear" w:color="auto" w:fill="auto"/>
            <w:tcMar>
              <w:left w:w="28" w:type="dxa"/>
              <w:right w:w="28" w:type="dxa"/>
            </w:tcMar>
            <w:vAlign w:val="center"/>
          </w:tcPr>
          <w:p>
            <w:pPr>
              <w:widowControl/>
              <w:topLinePunct/>
              <w:adjustRightInd w:val="0"/>
              <w:snapToGrid w:val="0"/>
              <w:spacing w:line="240" w:lineRule="atLeast"/>
              <w:rPr>
                <w:b/>
                <w:bCs/>
                <w:kern w:val="0"/>
                <w:sz w:val="18"/>
                <w:szCs w:val="18"/>
              </w:rPr>
            </w:pPr>
            <w:r>
              <w:rPr>
                <w:rFonts w:hint="eastAsia" w:eastAsia="仿宋_GB2312"/>
                <w:b/>
                <w:bCs/>
                <w:kern w:val="0"/>
                <w:sz w:val="18"/>
                <w:szCs w:val="18"/>
              </w:rPr>
              <w:t>四、聚力投资消费双提升，持续扩大内需新动力</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3．增强投资增长后劲</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1．力争争取65亿元上级资金和地方政府专项债券支持；</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2．实施政府投资基本建设项目94项，年度计划投资37.76亿元；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3．社会性投资项目229项，年度计划投资500亿元；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4．年度完成固定资产投资不少于515亿元；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5．推进云南省癌症中心重大公共卫生项目建设；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6．提速中国东盟生命科学先进实验区项目前期工作；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7．力争启动西山区粮食和应急物资储备仓库等应急保障项目开工建设；</w:t>
            </w:r>
          </w:p>
          <w:p>
            <w:pPr>
              <w:widowControl/>
              <w:topLinePunct/>
              <w:adjustRightInd w:val="0"/>
              <w:snapToGrid w:val="0"/>
              <w:spacing w:line="240" w:lineRule="atLeast"/>
              <w:rPr>
                <w:kern w:val="0"/>
                <w:sz w:val="18"/>
                <w:szCs w:val="18"/>
              </w:rPr>
            </w:pPr>
            <w:r>
              <w:rPr>
                <w:rFonts w:hint="eastAsia" w:eastAsia="仿宋_GB2312"/>
                <w:kern w:val="0"/>
                <w:sz w:val="18"/>
                <w:szCs w:val="18"/>
              </w:rPr>
              <w:t>8．力争白鱼口片区彩云湾项目落地建设。</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1.投资建设便利度持续提升，企业投资备案类项目实现全程网办、即时办结。政府投资审批类项目平均2天内办结，比法定时限压缩90%以上，比承诺时限压缩60%；</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2.采用“绿色审批通道”办理社会民生、应急保障等项目37项，计划总投资68.31亿元；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3.项目资金保障力度持续增强，共争取到中央和省级项目资金12.75亿元，位居主城五区第一；</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4.成功申报专项债券项目4个，发行地方政府专债券18.75亿元，发行额度位居全市第二；</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5.投资结构持续优化，基础设施投资同比增长30.3%；</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6.产业投资占比较去年同期提高21.8个百分点；</w:t>
            </w:r>
          </w:p>
          <w:p>
            <w:pPr>
              <w:widowControl/>
              <w:topLinePunct/>
              <w:adjustRightInd w:val="0"/>
              <w:snapToGrid w:val="0"/>
              <w:spacing w:line="240" w:lineRule="atLeast"/>
              <w:rPr>
                <w:kern w:val="0"/>
                <w:sz w:val="18"/>
                <w:szCs w:val="18"/>
              </w:rPr>
            </w:pPr>
            <w:r>
              <w:rPr>
                <w:rFonts w:hint="eastAsia" w:eastAsia="仿宋_GB2312"/>
                <w:kern w:val="0"/>
                <w:sz w:val="18"/>
                <w:szCs w:val="18"/>
              </w:rPr>
              <w:t>7.全年投资总量预计超400亿元，约占全市总量的11.3%，位列全市第三。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4．促进消费扩容升级</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1．实现社会消费品批发和零售业商品销售额分别增长25%、10%以上；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2．实现住宿和餐饮业营业额分别增长15%以上；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3．实现生产性服务业营业收入增速达12%以上；</w:t>
            </w:r>
          </w:p>
          <w:p>
            <w:pPr>
              <w:widowControl/>
              <w:topLinePunct/>
              <w:adjustRightInd w:val="0"/>
              <w:snapToGrid w:val="0"/>
              <w:spacing w:line="240" w:lineRule="atLeast"/>
              <w:rPr>
                <w:kern w:val="0"/>
                <w:sz w:val="18"/>
                <w:szCs w:val="18"/>
              </w:rPr>
            </w:pPr>
            <w:r>
              <w:rPr>
                <w:rFonts w:hint="eastAsia" w:eastAsia="仿宋_GB2312"/>
                <w:kern w:val="0"/>
                <w:sz w:val="18"/>
                <w:szCs w:val="18"/>
              </w:rPr>
              <w:t>4．实现生活性服务业营业收入增速达15%以上。</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1.新型消费模式加速涌现，云纺电子商务产业园获评“国家电子商务示范基地”；</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2.全区现有电子商务企业数1400余家，店铺数23000余家，实现网络零售额45.79亿元；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3.打造各具特色的夜间经济示范街区，云纺、南亚第壹城等重点区域初具规模；</w:t>
            </w:r>
          </w:p>
          <w:p>
            <w:pPr>
              <w:widowControl/>
              <w:topLinePunct/>
              <w:adjustRightInd w:val="0"/>
              <w:snapToGrid w:val="0"/>
              <w:spacing w:line="240" w:lineRule="atLeast"/>
              <w:rPr>
                <w:kern w:val="0"/>
                <w:sz w:val="18"/>
                <w:szCs w:val="18"/>
              </w:rPr>
            </w:pPr>
            <w:r>
              <w:rPr>
                <w:rFonts w:hint="eastAsia" w:eastAsia="仿宋_GB2312"/>
                <w:kern w:val="0"/>
                <w:sz w:val="18"/>
                <w:szCs w:val="18"/>
              </w:rPr>
              <w:t>4.昆明融创滇池后海商业步行街列入第二批省级步行街改造提升试点。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jc w:val="center"/>
        </w:trPr>
        <w:tc>
          <w:tcPr>
            <w:tcW w:w="978" w:type="dxa"/>
            <w:vMerge w:val="restart"/>
            <w:shd w:val="clear" w:color="auto" w:fill="auto"/>
            <w:tcMar>
              <w:left w:w="28" w:type="dxa"/>
              <w:right w:w="28" w:type="dxa"/>
            </w:tcMar>
            <w:vAlign w:val="center"/>
          </w:tcPr>
          <w:p>
            <w:pPr>
              <w:topLinePunct/>
              <w:adjustRightInd w:val="0"/>
              <w:snapToGrid w:val="0"/>
              <w:spacing w:line="240" w:lineRule="atLeast"/>
              <w:jc w:val="left"/>
              <w:rPr>
                <w:b/>
                <w:bCs/>
                <w:kern w:val="0"/>
                <w:sz w:val="18"/>
                <w:szCs w:val="18"/>
              </w:rPr>
            </w:pPr>
            <w:r>
              <w:rPr>
                <w:rFonts w:hint="eastAsia" w:eastAsia="仿宋_GB2312"/>
                <w:b/>
                <w:bCs/>
                <w:kern w:val="0"/>
                <w:sz w:val="18"/>
                <w:szCs w:val="18"/>
              </w:rPr>
              <w:t>五、聚焦创新改革，壮大经济发展新动能</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5．提升科技创新引领力</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1．力争全社会研究与试验发展经费投入增长10%以上；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2．实施科技计划项目不少于25项；</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3．力争新认定高新技术企业8家以上；</w:t>
            </w:r>
          </w:p>
          <w:p>
            <w:pPr>
              <w:widowControl/>
              <w:topLinePunct/>
              <w:adjustRightInd w:val="0"/>
              <w:snapToGrid w:val="0"/>
              <w:spacing w:line="240" w:lineRule="atLeast"/>
              <w:rPr>
                <w:kern w:val="0"/>
                <w:sz w:val="18"/>
                <w:szCs w:val="18"/>
              </w:rPr>
            </w:pPr>
            <w:r>
              <w:rPr>
                <w:rFonts w:hint="eastAsia" w:eastAsia="仿宋_GB2312"/>
                <w:kern w:val="0"/>
                <w:sz w:val="18"/>
                <w:szCs w:val="18"/>
              </w:rPr>
              <w:t>4．加快推进构建云南—新加坡技术转移通道。</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1.持续推进以科技创新为核心的全面创新。实施科技计划项目25项；</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2.投入全社会研究与试验发展（R&amp;D）经费14.51亿元；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3.培育推荐87家企业申报高新技术企业认定，推荐量同比上年增长51%，累计拥有量达135家；</w:t>
            </w:r>
          </w:p>
          <w:p>
            <w:pPr>
              <w:widowControl/>
              <w:topLinePunct/>
              <w:adjustRightInd w:val="0"/>
              <w:snapToGrid w:val="0"/>
              <w:spacing w:line="240" w:lineRule="atLeast"/>
              <w:rPr>
                <w:kern w:val="0"/>
                <w:sz w:val="18"/>
                <w:szCs w:val="18"/>
              </w:rPr>
            </w:pPr>
            <w:r>
              <w:rPr>
                <w:rFonts w:hint="eastAsia" w:eastAsia="仿宋_GB2312"/>
                <w:kern w:val="0"/>
                <w:sz w:val="18"/>
                <w:szCs w:val="18"/>
              </w:rPr>
              <w:t>4.</w:t>
            </w:r>
            <w:r>
              <w:rPr>
                <w:rFonts w:hint="eastAsia" w:eastAsia="仿宋_GB2312"/>
                <w:spacing w:val="-8"/>
                <w:kern w:val="0"/>
                <w:sz w:val="18"/>
                <w:szCs w:val="18"/>
              </w:rPr>
              <w:t>支持企业研究开发和技术创新，规模以上科学研究和技术服务业营业收入实现20亿元，顺利通过国家知识产权强县工程示范验收。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jc w:val="center"/>
        </w:trPr>
        <w:tc>
          <w:tcPr>
            <w:tcW w:w="978" w:type="dxa"/>
            <w:vMerge w:val="continue"/>
            <w:shd w:val="clear" w:color="auto" w:fill="auto"/>
            <w:tcMar>
              <w:left w:w="28" w:type="dxa"/>
              <w:right w:w="28" w:type="dxa"/>
            </w:tcMar>
            <w:vAlign w:val="center"/>
          </w:tcPr>
          <w:p>
            <w:pPr>
              <w:topLinePunct/>
              <w:adjustRightInd w:val="0"/>
              <w:snapToGrid w:val="0"/>
              <w:spacing w:line="240" w:lineRule="atLeast"/>
              <w:jc w:val="left"/>
              <w:rPr>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6．打造一流营商环境</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1．确保企业设立登记时限压缩为0.5个工作日；</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2．全年新增市场主体6000家；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3．安排扶持补助市场主体资金1亿元；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4．完成重点高频事项“一件事一次办”主题集成服务20个以上；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5．推荐申报云南省民营小巨人、成长型中小企业认定4家；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6．实现民营经济增加值增长5%；</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7．创新打造“亲企在线”营商环境服务平台，实现政务服务精准供给；</w:t>
            </w:r>
          </w:p>
          <w:p>
            <w:pPr>
              <w:widowControl/>
              <w:topLinePunct/>
              <w:adjustRightInd w:val="0"/>
              <w:snapToGrid w:val="0"/>
              <w:spacing w:line="240" w:lineRule="atLeast"/>
              <w:rPr>
                <w:kern w:val="0"/>
                <w:sz w:val="18"/>
                <w:szCs w:val="18"/>
              </w:rPr>
            </w:pPr>
            <w:r>
              <w:rPr>
                <w:rFonts w:hint="eastAsia" w:eastAsia="仿宋_GB2312"/>
                <w:kern w:val="0"/>
                <w:sz w:val="18"/>
                <w:szCs w:val="18"/>
              </w:rPr>
              <w:t>8．开展营商环境第三方评价，用好用活政务服务“好差评”综合评价。</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w:t>
            </w:r>
            <w:r>
              <w:rPr>
                <w:rFonts w:hint="eastAsia" w:eastAsia="仿宋_GB2312"/>
                <w:spacing w:val="-10"/>
                <w:kern w:val="0"/>
                <w:sz w:val="18"/>
                <w:szCs w:val="18"/>
              </w:rPr>
              <w:t>全面落实市场准入负面清单制度，市场准入效能评估位居全省县（市、区）前列；</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2.深入推进政务服务“一网、一门、一次”改革，10个街道为民服务中心全部实现应用省统建政务服务平台“一网通办”，发布政务服务事项9</w:t>
            </w:r>
            <w:r>
              <w:rPr>
                <w:rFonts w:eastAsia="仿宋_GB2312"/>
                <w:kern w:val="0"/>
                <w:sz w:val="18"/>
                <w:szCs w:val="18"/>
              </w:rPr>
              <w:t>74</w:t>
            </w:r>
            <w:r>
              <w:rPr>
                <w:rFonts w:hint="eastAsia" w:eastAsia="仿宋_GB2312"/>
                <w:kern w:val="0"/>
                <w:sz w:val="18"/>
                <w:szCs w:val="18"/>
              </w:rPr>
              <w:t>项，9</w:t>
            </w:r>
            <w:r>
              <w:rPr>
                <w:rFonts w:eastAsia="仿宋_GB2312"/>
                <w:kern w:val="0"/>
                <w:sz w:val="18"/>
                <w:szCs w:val="18"/>
              </w:rPr>
              <w:t>14</w:t>
            </w:r>
            <w:r>
              <w:rPr>
                <w:rFonts w:hint="eastAsia" w:eastAsia="仿宋_GB2312"/>
                <w:kern w:val="0"/>
                <w:sz w:val="18"/>
                <w:szCs w:val="18"/>
              </w:rPr>
              <w:t>项实现全程网办，全程网办率达</w:t>
            </w:r>
            <w:r>
              <w:rPr>
                <w:rFonts w:eastAsia="仿宋_GB2312"/>
                <w:kern w:val="0"/>
                <w:sz w:val="18"/>
                <w:szCs w:val="18"/>
              </w:rPr>
              <w:t>93.83</w:t>
            </w:r>
            <w:r>
              <w:rPr>
                <w:rFonts w:hint="eastAsia" w:eastAsia="仿宋_GB2312"/>
                <w:kern w:val="0"/>
                <w:sz w:val="18"/>
                <w:szCs w:val="18"/>
              </w:rPr>
              <w:t>%；</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3.进驻区级政务大厅“一门”办理事项</w:t>
            </w:r>
            <w:r>
              <w:rPr>
                <w:rFonts w:eastAsia="仿宋_GB2312"/>
                <w:kern w:val="0"/>
                <w:sz w:val="18"/>
                <w:szCs w:val="18"/>
              </w:rPr>
              <w:t>974</w:t>
            </w:r>
            <w:r>
              <w:rPr>
                <w:rFonts w:hint="eastAsia" w:eastAsia="仿宋_GB2312"/>
                <w:kern w:val="0"/>
                <w:sz w:val="18"/>
                <w:szCs w:val="18"/>
              </w:rPr>
              <w:t>项；</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4.梳理“最多跑一次”事项</w:t>
            </w:r>
            <w:r>
              <w:rPr>
                <w:rFonts w:eastAsia="仿宋_GB2312"/>
                <w:kern w:val="0"/>
                <w:sz w:val="18"/>
                <w:szCs w:val="18"/>
              </w:rPr>
              <w:t>974</w:t>
            </w:r>
            <w:r>
              <w:rPr>
                <w:rFonts w:hint="eastAsia" w:eastAsia="仿宋_GB2312"/>
                <w:kern w:val="0"/>
                <w:sz w:val="18"/>
                <w:szCs w:val="18"/>
              </w:rPr>
              <w:t>项，网办47.13万件；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5.加入市级“云上办”联盟，实现134项事项“跨省通办”，办理“跨省通办”事项</w:t>
            </w:r>
            <w:r>
              <w:rPr>
                <w:rFonts w:eastAsia="仿宋_GB2312"/>
                <w:kern w:val="0"/>
                <w:sz w:val="18"/>
                <w:szCs w:val="18"/>
              </w:rPr>
              <w:t>1856</w:t>
            </w:r>
            <w:r>
              <w:rPr>
                <w:rFonts w:hint="eastAsia" w:eastAsia="仿宋_GB2312"/>
                <w:kern w:val="0"/>
                <w:sz w:val="18"/>
                <w:szCs w:val="18"/>
              </w:rPr>
              <w:t>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6.企业开办服务实现“一窗通”，总申报量8054户；</w:t>
            </w:r>
          </w:p>
          <w:p>
            <w:pPr>
              <w:widowControl/>
              <w:topLinePunct/>
              <w:adjustRightInd w:val="0"/>
              <w:snapToGrid w:val="0"/>
              <w:spacing w:line="240" w:lineRule="atLeast"/>
              <w:rPr>
                <w:kern w:val="0"/>
                <w:sz w:val="18"/>
                <w:szCs w:val="18"/>
              </w:rPr>
            </w:pPr>
            <w:r>
              <w:rPr>
                <w:rFonts w:hint="eastAsia" w:eastAsia="仿宋_GB2312"/>
                <w:kern w:val="0"/>
                <w:sz w:val="18"/>
                <w:szCs w:val="18"/>
              </w:rPr>
              <w:t>7.实现285个非接触式涉税缴费事项一网办。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jc w:val="center"/>
        </w:trPr>
        <w:tc>
          <w:tcPr>
            <w:tcW w:w="978" w:type="dxa"/>
            <w:vMerge w:val="continue"/>
            <w:shd w:val="clear" w:color="auto" w:fill="auto"/>
            <w:tcMar>
              <w:left w:w="28" w:type="dxa"/>
              <w:right w:w="28" w:type="dxa"/>
            </w:tcMar>
            <w:vAlign w:val="center"/>
          </w:tcPr>
          <w:p>
            <w:pPr>
              <w:topLinePunct/>
              <w:adjustRightInd w:val="0"/>
              <w:snapToGrid w:val="0"/>
              <w:spacing w:line="240" w:lineRule="atLeast"/>
              <w:jc w:val="left"/>
              <w:rPr>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7．全面深化改革攻坚</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1．编制西山区政务服务事项基本目录，动态调整权责清单；</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2．加快推进设立度假区海埂街道办事处，做好度假区海埂片区社会管理和市场经济主体服务工作；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3．进一步深化国资和国企改革，支持西发展集团公司积极申报AA+级信用等级资质；</w:t>
            </w:r>
          </w:p>
          <w:p>
            <w:pPr>
              <w:widowControl/>
              <w:topLinePunct/>
              <w:adjustRightInd w:val="0"/>
              <w:snapToGrid w:val="0"/>
              <w:spacing w:line="240" w:lineRule="atLeast"/>
              <w:rPr>
                <w:kern w:val="0"/>
                <w:sz w:val="18"/>
                <w:szCs w:val="18"/>
              </w:rPr>
            </w:pPr>
            <w:r>
              <w:rPr>
                <w:rFonts w:hint="eastAsia" w:eastAsia="仿宋_GB2312"/>
                <w:kern w:val="0"/>
                <w:sz w:val="18"/>
                <w:szCs w:val="18"/>
              </w:rPr>
              <w:br w:type="page"/>
            </w:r>
            <w:r>
              <w:rPr>
                <w:rFonts w:hint="eastAsia" w:eastAsia="仿宋_GB2312"/>
                <w:kern w:val="0"/>
                <w:sz w:val="18"/>
                <w:szCs w:val="18"/>
              </w:rPr>
              <w:t>4．全年完成融资60亿元。</w:t>
            </w:r>
          </w:p>
        </w:tc>
        <w:tc>
          <w:tcPr>
            <w:tcW w:w="5896" w:type="dxa"/>
            <w:shd w:val="clear" w:color="auto" w:fill="auto"/>
            <w:tcMar>
              <w:left w:w="28" w:type="dxa"/>
              <w:right w:w="28" w:type="dxa"/>
            </w:tcMar>
            <w:vAlign w:val="center"/>
          </w:tcPr>
          <w:p>
            <w:pPr>
              <w:widowControl/>
              <w:topLinePunct/>
              <w:adjustRightInd w:val="0"/>
              <w:snapToGrid w:val="0"/>
              <w:spacing w:line="220" w:lineRule="exact"/>
              <w:rPr>
                <w:rFonts w:eastAsia="仿宋_GB2312"/>
                <w:kern w:val="0"/>
                <w:sz w:val="18"/>
                <w:szCs w:val="18"/>
              </w:rPr>
            </w:pPr>
            <w:r>
              <w:rPr>
                <w:rFonts w:hint="eastAsia" w:eastAsia="仿宋_GB2312"/>
                <w:kern w:val="0"/>
                <w:sz w:val="18"/>
                <w:szCs w:val="18"/>
              </w:rPr>
              <w:t>1. 推进基层整合审批服务执法力量改革试点，赋权金碧、棕树营街道“一枚印章管审批（服务）”政务服务事项3</w:t>
            </w:r>
            <w:r>
              <w:rPr>
                <w:rFonts w:eastAsia="仿宋_GB2312"/>
                <w:kern w:val="0"/>
                <w:sz w:val="18"/>
                <w:szCs w:val="18"/>
              </w:rPr>
              <w:t>5</w:t>
            </w:r>
            <w:r>
              <w:rPr>
                <w:rFonts w:hint="eastAsia" w:eastAsia="仿宋_GB2312"/>
                <w:kern w:val="0"/>
                <w:sz w:val="18"/>
                <w:szCs w:val="18"/>
              </w:rPr>
              <w:t>项，受理办结各类审批（服务）业务3</w:t>
            </w:r>
            <w:r>
              <w:rPr>
                <w:rFonts w:eastAsia="仿宋_GB2312"/>
                <w:kern w:val="0"/>
                <w:sz w:val="18"/>
                <w:szCs w:val="18"/>
              </w:rPr>
              <w:t>2971</w:t>
            </w:r>
            <w:r>
              <w:rPr>
                <w:rFonts w:hint="eastAsia" w:eastAsia="仿宋_GB2312"/>
                <w:kern w:val="0"/>
                <w:sz w:val="18"/>
                <w:szCs w:val="18"/>
              </w:rPr>
              <w:t>件，同比增长1</w:t>
            </w:r>
            <w:r>
              <w:rPr>
                <w:rFonts w:eastAsia="仿宋_GB2312"/>
                <w:kern w:val="0"/>
                <w:sz w:val="18"/>
                <w:szCs w:val="18"/>
              </w:rPr>
              <w:t>18%</w:t>
            </w:r>
            <w:r>
              <w:rPr>
                <w:rFonts w:hint="eastAsia" w:eastAsia="仿宋_GB2312"/>
                <w:kern w:val="0"/>
                <w:sz w:val="18"/>
                <w:szCs w:val="18"/>
              </w:rPr>
              <w:t>。“一支队伍管执法”相对集中行使行政处罚权等行政权力事项3</w:t>
            </w:r>
            <w:r>
              <w:rPr>
                <w:rFonts w:eastAsia="仿宋_GB2312"/>
                <w:kern w:val="0"/>
                <w:sz w:val="18"/>
                <w:szCs w:val="18"/>
              </w:rPr>
              <w:t>47</w:t>
            </w:r>
            <w:r>
              <w:rPr>
                <w:rFonts w:hint="eastAsia" w:eastAsia="仿宋_GB2312"/>
                <w:kern w:val="0"/>
                <w:sz w:val="18"/>
                <w:szCs w:val="18"/>
              </w:rPr>
              <w:t>项；</w:t>
            </w:r>
          </w:p>
          <w:p>
            <w:pPr>
              <w:widowControl/>
              <w:topLinePunct/>
              <w:adjustRightInd w:val="0"/>
              <w:snapToGrid w:val="0"/>
              <w:spacing w:line="220" w:lineRule="exac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w:t>
            </w:r>
            <w:r>
              <w:rPr>
                <w:rFonts w:hint="eastAsia" w:eastAsia="仿宋_GB2312"/>
                <w:spacing w:val="-6"/>
                <w:kern w:val="0"/>
                <w:sz w:val="18"/>
                <w:szCs w:val="18"/>
              </w:rPr>
              <w:t>持续深化“放管服”改革，直接取消行政审批事项3项，审批改为备案4项；</w:t>
            </w:r>
          </w:p>
          <w:p>
            <w:pPr>
              <w:widowControl/>
              <w:topLinePunct/>
              <w:adjustRightInd w:val="0"/>
              <w:snapToGrid w:val="0"/>
              <w:spacing w:line="220" w:lineRule="exac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3.规范提速相对集中行政许可，受理行政许可328件，办结率100%，审批时限压缩87%；</w:t>
            </w:r>
          </w:p>
          <w:p>
            <w:pPr>
              <w:widowControl/>
              <w:topLinePunct/>
              <w:adjustRightInd w:val="0"/>
              <w:snapToGrid w:val="0"/>
              <w:spacing w:line="220" w:lineRule="exac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4.房地一体农村不动产确权登记工作全面启动；</w:t>
            </w:r>
          </w:p>
          <w:p>
            <w:pPr>
              <w:widowControl/>
              <w:topLinePunct/>
              <w:adjustRightInd w:val="0"/>
              <w:snapToGrid w:val="0"/>
              <w:spacing w:line="220" w:lineRule="exac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5.农村宅基地管理工作稳慎推进；</w:t>
            </w:r>
          </w:p>
          <w:p>
            <w:pPr>
              <w:widowControl/>
              <w:topLinePunct/>
              <w:adjustRightInd w:val="0"/>
              <w:snapToGrid w:val="0"/>
              <w:spacing w:line="220" w:lineRule="exact"/>
              <w:rPr>
                <w:kern w:val="0"/>
                <w:sz w:val="18"/>
                <w:szCs w:val="18"/>
              </w:rPr>
            </w:pPr>
            <w:r>
              <w:rPr>
                <w:rFonts w:hint="eastAsia" w:eastAsia="仿宋_GB2312"/>
                <w:kern w:val="0"/>
                <w:sz w:val="18"/>
                <w:szCs w:val="18"/>
              </w:rPr>
              <w:br w:type="page"/>
            </w:r>
            <w:r>
              <w:rPr>
                <w:rFonts w:hint="eastAsia" w:eastAsia="仿宋_GB2312"/>
                <w:kern w:val="0"/>
                <w:sz w:val="18"/>
                <w:szCs w:val="18"/>
              </w:rPr>
              <w:t>6.推动国企改革可持续发展，融资完成2</w:t>
            </w:r>
            <w:r>
              <w:rPr>
                <w:rFonts w:eastAsia="仿宋_GB2312"/>
                <w:kern w:val="0"/>
                <w:sz w:val="18"/>
                <w:szCs w:val="18"/>
              </w:rPr>
              <w:t>3.66</w:t>
            </w:r>
            <w:r>
              <w:rPr>
                <w:rFonts w:hint="eastAsia" w:eastAsia="仿宋_GB2312"/>
                <w:kern w:val="0"/>
                <w:sz w:val="18"/>
                <w:szCs w:val="18"/>
              </w:rPr>
              <w:t>亿元，完成任务的5</w:t>
            </w:r>
            <w:r>
              <w:rPr>
                <w:rFonts w:eastAsia="仿宋_GB2312"/>
                <w:kern w:val="0"/>
                <w:sz w:val="18"/>
                <w:szCs w:val="18"/>
              </w:rPr>
              <w:t>9.29</w:t>
            </w:r>
            <w:r>
              <w:rPr>
                <w:rFonts w:hint="eastAsia"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8．大力实施新开放举措</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1．引进一批高品质的数字经济、大健康、服务贸易等产业项目；</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2．引进三类500强企业和行业龙头企业、总部企业；</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3．力争引进市外到位资金130亿元以上；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4．实际利用外资6000万美元以上；</w:t>
            </w:r>
          </w:p>
          <w:p>
            <w:pPr>
              <w:widowControl/>
              <w:topLinePunct/>
              <w:adjustRightInd w:val="0"/>
              <w:snapToGrid w:val="0"/>
              <w:spacing w:line="240" w:lineRule="atLeast"/>
              <w:rPr>
                <w:kern w:val="0"/>
                <w:sz w:val="18"/>
                <w:szCs w:val="18"/>
              </w:rPr>
            </w:pPr>
            <w:r>
              <w:rPr>
                <w:rFonts w:hint="eastAsia" w:eastAsia="仿宋_GB2312"/>
                <w:kern w:val="0"/>
                <w:sz w:val="18"/>
                <w:szCs w:val="18"/>
              </w:rPr>
              <w:t>5．坚持“双招双引”，打造人才管理综合服务示范基地。</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1.坚持“一把手”招商，主要领导带队赴深圳、上海等地累计招商6次；</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2.深入开展“双招双引”，出台《西山区加强招</w:t>
            </w:r>
            <w:r>
              <w:rPr>
                <w:rFonts w:hint="eastAsia" w:eastAsia="仿宋_GB2312"/>
                <w:spacing w:val="-6"/>
                <w:kern w:val="0"/>
                <w:sz w:val="18"/>
                <w:szCs w:val="18"/>
              </w:rPr>
              <w:t>商引资促进产业高质量发展的若干政策（试行）》《西山区人才绿卡管理服务办法（试行）》；</w:t>
            </w:r>
          </w:p>
          <w:p>
            <w:pPr>
              <w:widowControl/>
              <w:topLinePunct/>
              <w:adjustRightInd w:val="0"/>
              <w:snapToGrid w:val="0"/>
              <w:spacing w:line="240" w:lineRule="atLeast"/>
              <w:rPr>
                <w:rFonts w:eastAsia="仿宋_GB2312"/>
                <w:spacing w:val="-8"/>
                <w:kern w:val="0"/>
                <w:sz w:val="18"/>
                <w:szCs w:val="18"/>
              </w:rPr>
            </w:pPr>
            <w:r>
              <w:rPr>
                <w:rFonts w:hint="eastAsia" w:eastAsia="仿宋_GB2312"/>
                <w:kern w:val="0"/>
                <w:sz w:val="18"/>
                <w:szCs w:val="18"/>
              </w:rPr>
              <w:t>3.首批面向社会聘任29名“双</w:t>
            </w:r>
            <w:r>
              <w:rPr>
                <w:rFonts w:hint="eastAsia" w:eastAsia="仿宋_GB2312"/>
                <w:spacing w:val="-8"/>
                <w:kern w:val="0"/>
                <w:sz w:val="18"/>
                <w:szCs w:val="18"/>
              </w:rPr>
              <w:t>招双引”特使和专员，引进高层次人才69人，引进省、市外项目24个，省、市外到位资金178.45亿元，外资项目2个，实际利用外资</w:t>
            </w:r>
            <w:r>
              <w:rPr>
                <w:rFonts w:eastAsia="仿宋_GB2312"/>
                <w:spacing w:val="-8"/>
                <w:kern w:val="0"/>
                <w:sz w:val="18"/>
                <w:szCs w:val="18"/>
              </w:rPr>
              <w:t>1.8</w:t>
            </w:r>
            <w:r>
              <w:rPr>
                <w:rFonts w:hint="eastAsia" w:eastAsia="仿宋_GB2312"/>
                <w:spacing w:val="-8"/>
                <w:kern w:val="0"/>
                <w:sz w:val="18"/>
                <w:szCs w:val="18"/>
              </w:rPr>
              <w:t>亿美元；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4.新登记备案外商投资企业37家；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5.新备案对外贸易经营者59户。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978" w:type="dxa"/>
            <w:vMerge w:val="restart"/>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r>
              <w:rPr>
                <w:rFonts w:hint="eastAsia" w:eastAsia="仿宋_GB2312"/>
                <w:b/>
                <w:bCs/>
                <w:kern w:val="0"/>
                <w:sz w:val="18"/>
                <w:szCs w:val="18"/>
              </w:rPr>
              <w:t>六、统筹规划建设，实现城乡品质新提升</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9．拓展新发展空间</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1．高质量开展国土空间总体规划编制工作；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2．科学划定生态保护红线、永久基本农田及城镇开发边界；</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3．高标准编制和修订滇池西岸局部区域、花红园片区、春雨路沿线、长坡产业新城等重点区域控规，尽快实现全区城镇建设用地控规全覆盖；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4．编制村庄布局规划，实现各具发展特色的实用性村庄规划应编尽编；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5．全面完成草海北片区剩余1139亩和47万平方米土地房屋征收拆迁工作；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6．加快推进城中村29号片区、38号片区等16个片区城市更新改造，力争完成拆迁227万平方米以上；</w:t>
            </w:r>
          </w:p>
          <w:p>
            <w:pPr>
              <w:widowControl/>
              <w:topLinePunct/>
              <w:adjustRightInd w:val="0"/>
              <w:snapToGrid w:val="0"/>
              <w:spacing w:line="240" w:lineRule="atLeast"/>
              <w:rPr>
                <w:kern w:val="0"/>
                <w:sz w:val="18"/>
                <w:szCs w:val="18"/>
              </w:rPr>
            </w:pPr>
            <w:r>
              <w:rPr>
                <w:rFonts w:hint="eastAsia" w:eastAsia="仿宋_GB2312"/>
                <w:kern w:val="0"/>
                <w:sz w:val="18"/>
                <w:szCs w:val="18"/>
              </w:rPr>
              <w:t>7．实现土地收储1300亩以上、土地供应2106亩以上、土地交易价款170亿元。</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1.高水平编制完成《西山区国民经济和社会发展第十四个五年规划和二</w:t>
            </w:r>
            <w:r>
              <w:rPr>
                <w:rFonts w:hint="eastAsia" w:eastAsia="微软雅黑"/>
                <w:kern w:val="0"/>
                <w:sz w:val="18"/>
                <w:szCs w:val="18"/>
              </w:rPr>
              <w:t>〇</w:t>
            </w:r>
            <w:r>
              <w:rPr>
                <w:rFonts w:hint="eastAsia" w:eastAsia="仿宋_GB2312"/>
                <w:kern w:val="0"/>
                <w:sz w:val="18"/>
                <w:szCs w:val="18"/>
              </w:rPr>
              <w:t>三五年远景目标纲要》；</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2.完成国土空间规划前期专题初稿，试划“三条控制线”，区级国土空间总体规划框架性内容初步形成；</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3.海口全域土地综合整治试点有序推进，项目申报区总规模786.56公顷，预期整理复垦建设用地面积287公顷，可节余建设用地面积190公顷；</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4.主城区控制性详细规划编制成果逐步完善；</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5.春雨路沿线1号地块、城市更新改造45、46号片区第一批次控规经市规委审议通过；</w:t>
            </w:r>
          </w:p>
          <w:p>
            <w:pPr>
              <w:widowControl/>
              <w:topLinePunct/>
              <w:adjustRightInd w:val="0"/>
              <w:snapToGrid w:val="0"/>
              <w:spacing w:line="240" w:lineRule="atLeast"/>
              <w:rPr>
                <w:kern w:val="0"/>
                <w:sz w:val="18"/>
                <w:szCs w:val="18"/>
              </w:rPr>
            </w:pPr>
            <w:r>
              <w:rPr>
                <w:rFonts w:hint="eastAsia" w:eastAsia="仿宋_GB2312"/>
                <w:kern w:val="0"/>
                <w:sz w:val="18"/>
                <w:szCs w:val="18"/>
              </w:rPr>
              <w:t>6.实现土地收储1767.33亩、供应1193.76亩、交易价款36.98亿元。土地供应交易完成率分别为5</w:t>
            </w:r>
            <w:r>
              <w:rPr>
                <w:rFonts w:eastAsia="仿宋_GB2312"/>
                <w:kern w:val="0"/>
                <w:sz w:val="18"/>
                <w:szCs w:val="18"/>
              </w:rPr>
              <w:t>6.6</w:t>
            </w:r>
            <w:r>
              <w:rPr>
                <w:rFonts w:hint="eastAsia" w:eastAsia="仿宋_GB2312"/>
                <w:kern w:val="0"/>
                <w:sz w:val="18"/>
                <w:szCs w:val="18"/>
              </w:rPr>
              <w:t>%、2</w:t>
            </w:r>
            <w:r>
              <w:rPr>
                <w:rFonts w:eastAsia="仿宋_GB2312"/>
                <w:kern w:val="0"/>
                <w:sz w:val="18"/>
                <w:szCs w:val="18"/>
              </w:rPr>
              <w:t>1.7</w:t>
            </w:r>
            <w:r>
              <w:rPr>
                <w:rFonts w:hint="eastAsia"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vMerge w:val="restart"/>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10．优化基础资源能源配置</w:t>
            </w: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路网</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1．加快渝昆高铁昆明西客站项目核心区域征地拆迁，推进站城一体化建设；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2．实施绿荫大道等15条城市道路建设，提升整治大观路、滇池路等23条道路；</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3．力争打通1号路、陆家路等断头路；</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4．启动主城至团结城市干道链接工程和西册公路建设；</w:t>
            </w:r>
          </w:p>
          <w:p>
            <w:pPr>
              <w:widowControl/>
              <w:topLinePunct/>
              <w:adjustRightInd w:val="0"/>
              <w:snapToGrid w:val="0"/>
              <w:spacing w:line="240" w:lineRule="atLeast"/>
              <w:rPr>
                <w:kern w:val="0"/>
                <w:sz w:val="18"/>
                <w:szCs w:val="18"/>
              </w:rPr>
            </w:pPr>
            <w:r>
              <w:rPr>
                <w:rFonts w:hint="eastAsia" w:eastAsia="仿宋_GB2312"/>
                <w:kern w:val="0"/>
                <w:sz w:val="18"/>
                <w:szCs w:val="18"/>
              </w:rPr>
              <w:t>5．将三个涉农街道县、乡、村道路融入农村公路智能化APP管理。</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1.渝昆高铁昆明西客站综合交通枢纽项目有序推进；</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2.完成兴团大道（北段）项目前期；</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3.西山89号路、采莲路等</w:t>
            </w:r>
            <w:r>
              <w:rPr>
                <w:rFonts w:eastAsia="仿宋_GB2312"/>
                <w:kern w:val="0"/>
                <w:sz w:val="18"/>
                <w:szCs w:val="18"/>
              </w:rPr>
              <w:t>7</w:t>
            </w:r>
            <w:r>
              <w:rPr>
                <w:rFonts w:hint="eastAsia" w:eastAsia="仿宋_GB2312"/>
                <w:kern w:val="0"/>
                <w:sz w:val="18"/>
                <w:szCs w:val="18"/>
              </w:rPr>
              <w:t>条道路建成通车；</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4.西二环春苑小区人行天桥建成；</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5.启动建设环滇池绿道慢行系统；</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6.中桃、浑团公路修缮完成；</w:t>
            </w:r>
          </w:p>
          <w:p>
            <w:pPr>
              <w:widowControl/>
              <w:topLinePunct/>
              <w:adjustRightInd w:val="0"/>
              <w:snapToGrid w:val="0"/>
              <w:spacing w:line="240" w:lineRule="atLeast"/>
              <w:rPr>
                <w:kern w:val="0"/>
                <w:sz w:val="18"/>
                <w:szCs w:val="18"/>
              </w:rPr>
            </w:pPr>
            <w:r>
              <w:rPr>
                <w:rFonts w:hint="eastAsia" w:eastAsia="仿宋_GB2312"/>
                <w:kern w:val="0"/>
                <w:sz w:val="18"/>
                <w:szCs w:val="18"/>
              </w:rPr>
              <w:t>7.申报创建省级“四好农村路”示范县（区）。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vMerge w:val="continue"/>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水网</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1．全力推动海口集镇、白沙地至碧鸡关和省委党校片区市政供水工程开工建设；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2．完成牛鼻村水库建设；</w:t>
            </w:r>
          </w:p>
          <w:p>
            <w:pPr>
              <w:widowControl/>
              <w:topLinePunct/>
              <w:adjustRightInd w:val="0"/>
              <w:snapToGrid w:val="0"/>
              <w:spacing w:line="240" w:lineRule="atLeast"/>
              <w:rPr>
                <w:kern w:val="0"/>
                <w:sz w:val="18"/>
                <w:szCs w:val="18"/>
              </w:rPr>
            </w:pPr>
            <w:r>
              <w:rPr>
                <w:rFonts w:hint="eastAsia" w:eastAsia="仿宋_GB2312"/>
                <w:kern w:val="0"/>
                <w:sz w:val="18"/>
                <w:szCs w:val="18"/>
              </w:rPr>
              <w:t>3．启动黑荞母、云龙寺、力哨等水库除险加固工程。</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1.推进西山区智慧水务建设；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2.牛鼻村水库扩建和黑泥凹、富善大闸水库完成除险加固；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3.启动云龙寺等5座小型水库除险加固工程；</w:t>
            </w:r>
          </w:p>
          <w:p>
            <w:pPr>
              <w:widowControl/>
              <w:topLinePunct/>
              <w:adjustRightInd w:val="0"/>
              <w:snapToGrid w:val="0"/>
              <w:spacing w:line="240" w:lineRule="atLeast"/>
              <w:rPr>
                <w:kern w:val="0"/>
                <w:sz w:val="18"/>
                <w:szCs w:val="18"/>
              </w:rPr>
            </w:pPr>
            <w:r>
              <w:rPr>
                <w:rFonts w:hint="eastAsia" w:eastAsia="仿宋_GB2312"/>
                <w:kern w:val="0"/>
                <w:sz w:val="18"/>
                <w:szCs w:val="18"/>
              </w:rPr>
              <w:t>4.投资3000万元实施涉农街道19个村组饮水安全保障提升工程。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vMerge w:val="continue"/>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能源网</w:t>
            </w:r>
          </w:p>
        </w:tc>
        <w:tc>
          <w:tcPr>
            <w:tcW w:w="5154"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1．完成西山区城市生活垃圾焚烧发电改扩建项目；</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2．推广安装农村太阳能热水器786套、节柴灶406眼；</w:t>
            </w:r>
          </w:p>
          <w:p>
            <w:pPr>
              <w:widowControl/>
              <w:topLinePunct/>
              <w:adjustRightInd w:val="0"/>
              <w:snapToGrid w:val="0"/>
              <w:spacing w:line="240" w:lineRule="atLeast"/>
              <w:rPr>
                <w:kern w:val="0"/>
                <w:sz w:val="18"/>
                <w:szCs w:val="18"/>
              </w:rPr>
            </w:pPr>
            <w:r>
              <w:rPr>
                <w:rFonts w:hint="eastAsia" w:eastAsia="仿宋_GB2312"/>
                <w:kern w:val="0"/>
                <w:sz w:val="18"/>
                <w:szCs w:val="18"/>
              </w:rPr>
              <w:t>3．继续开展天然气推广利用及“燃气下乡”工作。</w:t>
            </w:r>
          </w:p>
        </w:tc>
        <w:tc>
          <w:tcPr>
            <w:tcW w:w="589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建成公用充电桩538枪、自用交流充电桩212枪、换电站3座，新能源设施建设及保有量居全市前列。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vMerge w:val="continue"/>
            <w:tcMar>
              <w:left w:w="28" w:type="dxa"/>
              <w:right w:w="28" w:type="dxa"/>
            </w:tcMar>
            <w:vAlign w:val="center"/>
          </w:tcPr>
          <w:p>
            <w:pPr>
              <w:widowControl/>
              <w:topLinePunct/>
              <w:adjustRightInd w:val="0"/>
              <w:snapToGrid w:val="0"/>
              <w:spacing w:line="240" w:lineRule="atLeast"/>
              <w:rPr>
                <w:rFonts w:eastAsia="仿宋_GB2312"/>
                <w:kern w:val="0"/>
                <w:sz w:val="18"/>
                <w:szCs w:val="18"/>
              </w:rPr>
            </w:pPr>
          </w:p>
        </w:tc>
        <w:tc>
          <w:tcPr>
            <w:tcW w:w="717" w:type="dxa"/>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互联网</w:t>
            </w:r>
          </w:p>
        </w:tc>
        <w:tc>
          <w:tcPr>
            <w:tcW w:w="5154"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实现主城区范围5G网络全覆盖，努力实现光网全覆盖。</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5G基站新建239个，累计建成1466个。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9" w:hRule="atLeast"/>
          <w:jc w:val="center"/>
        </w:trPr>
        <w:tc>
          <w:tcPr>
            <w:tcW w:w="978" w:type="dxa"/>
            <w:vMerge w:val="restart"/>
            <w:shd w:val="clear" w:color="auto" w:fill="auto"/>
            <w:tcMar>
              <w:left w:w="28" w:type="dxa"/>
              <w:right w:w="28" w:type="dxa"/>
            </w:tcMar>
            <w:vAlign w:val="center"/>
          </w:tcPr>
          <w:p>
            <w:pPr>
              <w:topLinePunct/>
              <w:adjustRightInd w:val="0"/>
              <w:snapToGrid w:val="0"/>
              <w:spacing w:line="240" w:lineRule="atLeast"/>
              <w:jc w:val="left"/>
              <w:rPr>
                <w:rFonts w:eastAsia="仿宋_GB2312"/>
                <w:b/>
                <w:bCs/>
                <w:kern w:val="0"/>
                <w:sz w:val="18"/>
                <w:szCs w:val="18"/>
              </w:rPr>
            </w:pPr>
            <w:r>
              <w:rPr>
                <w:rFonts w:hint="eastAsia" w:eastAsia="仿宋_GB2312"/>
                <w:b/>
                <w:bCs/>
                <w:kern w:val="0"/>
                <w:sz w:val="18"/>
                <w:szCs w:val="18"/>
              </w:rPr>
              <w:t>六、统筹规划建设，实现城乡品质新提升</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11．持续提升城乡整体人居品质</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1．扩大垃圾分类社区覆盖面，垃圾无害化处理率保持在100%；</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2．打造广福路等10个“最美大街、最美小巷、最美游园”；</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3．实施城市更新行动，完成25万平方米10个老旧小区改造，完成拆临拆违100万平方米，完成高</w:t>
            </w:r>
            <w:r>
              <w:rPr>
                <w:rFonts w:hint="eastAsia" w:eastAsia="方正仿宋_GBK"/>
                <w:kern w:val="0"/>
                <w:sz w:val="18"/>
                <w:szCs w:val="18"/>
              </w:rPr>
              <w:t>峣</w:t>
            </w:r>
            <w:r>
              <w:rPr>
                <w:rFonts w:hint="eastAsia" w:eastAsia="仿宋_GB2312"/>
                <w:kern w:val="0"/>
                <w:sz w:val="18"/>
                <w:szCs w:val="18"/>
              </w:rPr>
              <w:t>村、苏家村、龙门村等1057栋建筑物外立面改造；</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4．完成环滇池草海廊道慢行系统建设，加快推进环湖路闭环工程；</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5．全面优化提升海埂大坝对岸可视范围景观，完成翠峰公园、高</w:t>
            </w:r>
            <w:r>
              <w:rPr>
                <w:rFonts w:hint="eastAsia" w:eastAsia="仿宋"/>
                <w:kern w:val="0"/>
                <w:sz w:val="18"/>
                <w:szCs w:val="18"/>
              </w:rPr>
              <w:t>峣</w:t>
            </w:r>
            <w:r>
              <w:rPr>
                <w:rFonts w:hint="eastAsia" w:eastAsia="仿宋_GB2312"/>
                <w:kern w:val="0"/>
                <w:sz w:val="18"/>
                <w:szCs w:val="18"/>
              </w:rPr>
              <w:t>立交区绿化提升改造；</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6．设置立体花坛20组；</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7．新增城市绿地300亩以上；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8．完成海绵城市建设0.2平方公里；</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9．建设美丽宜居乡村9个；</w:t>
            </w:r>
          </w:p>
          <w:p>
            <w:pPr>
              <w:widowControl/>
              <w:topLinePunct/>
              <w:adjustRightInd w:val="0"/>
              <w:snapToGrid w:val="0"/>
              <w:spacing w:line="240" w:lineRule="atLeast"/>
              <w:rPr>
                <w:kern w:val="0"/>
                <w:sz w:val="18"/>
                <w:szCs w:val="18"/>
              </w:rPr>
            </w:pPr>
            <w:r>
              <w:rPr>
                <w:rFonts w:hint="eastAsia" w:eastAsia="仿宋_GB2312"/>
                <w:kern w:val="0"/>
                <w:sz w:val="18"/>
                <w:szCs w:val="18"/>
              </w:rPr>
              <w:br w:type="page"/>
            </w:r>
            <w:r>
              <w:rPr>
                <w:rFonts w:hint="eastAsia" w:eastAsia="仿宋_GB2312"/>
                <w:kern w:val="0"/>
                <w:sz w:val="18"/>
                <w:szCs w:val="18"/>
              </w:rPr>
              <w:t>10．申报创建国家级、省级森林乡村5个。</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1.高质量完成COP15第一阶段会议市容环境提升整治；</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2.常态化巩固文明城市创建成果；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3.翠峰公园一期基本建成；</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4.新增城市绿地</w:t>
            </w:r>
            <w:r>
              <w:rPr>
                <w:rFonts w:eastAsia="仿宋_GB2312"/>
                <w:kern w:val="0"/>
                <w:sz w:val="18"/>
                <w:szCs w:val="18"/>
              </w:rPr>
              <w:t>20</w:t>
            </w:r>
            <w:r>
              <w:rPr>
                <w:rFonts w:hint="eastAsia" w:eastAsia="仿宋_GB2312"/>
                <w:kern w:val="0"/>
                <w:sz w:val="18"/>
                <w:szCs w:val="18"/>
              </w:rPr>
              <w:t>公顷、公园绿地12公顷；</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5.提升改造南文广场、福文化主题公园；</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6.荣获昆明市2021年度美丽街巷、最美游园第二名；</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7.城乡生活垃圾分类试点有序推进，垃圾无害化处理率达100%；</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8.爱国卫生“7+1专项行动”成效显著；</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9.累计建成洗手设施962座；</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10.完成滇池西岸面山洪水拦截及水环境综合治理项目及14个淹水点整治；</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11.实施防洪排涝体系综合提升工程19个；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12.建成海绵城市3.08平方公里；</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13.改造9个交通拥堵节点，城市早晚高峰拥堵指数同比下降13.2%，实现主城四区通行效率最高；</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14.马家营、工人新村等11个老旧小区改造竣工交付；</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15.完成城市更新改造拆迁117.6万平方米；</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br w:type="page"/>
            </w:r>
            <w:r>
              <w:rPr>
                <w:rFonts w:hint="eastAsia" w:eastAsia="仿宋_GB2312"/>
                <w:kern w:val="0"/>
                <w:sz w:val="18"/>
                <w:szCs w:val="18"/>
              </w:rPr>
              <w:t>16.累计治理拆除违法违规建筑</w:t>
            </w:r>
            <w:r>
              <w:rPr>
                <w:rFonts w:eastAsia="仿宋_GB2312"/>
                <w:kern w:val="0"/>
                <w:sz w:val="18"/>
                <w:szCs w:val="18"/>
              </w:rPr>
              <w:t>138.19</w:t>
            </w:r>
            <w:r>
              <w:rPr>
                <w:rFonts w:hint="eastAsia" w:eastAsia="仿宋_GB2312"/>
                <w:kern w:val="0"/>
                <w:sz w:val="18"/>
                <w:szCs w:val="18"/>
              </w:rPr>
              <w:t>万平方米；</w:t>
            </w:r>
          </w:p>
          <w:p>
            <w:pPr>
              <w:pStyle w:val="26"/>
              <w:ind w:firstLine="0" w:firstLineChars="0"/>
              <w:rPr>
                <w:rFonts w:ascii="Times New Roman" w:hAnsi="Times New Roman" w:eastAsia="仿宋_GB2312"/>
                <w:kern w:val="0"/>
                <w:sz w:val="18"/>
                <w:szCs w:val="18"/>
              </w:rPr>
            </w:pPr>
            <w:r>
              <w:rPr>
                <w:rFonts w:hint="eastAsia" w:ascii="Times New Roman" w:hAnsi="Times New Roman" w:eastAsia="仿宋_GB2312"/>
                <w:kern w:val="0"/>
                <w:sz w:val="18"/>
                <w:szCs w:val="18"/>
              </w:rPr>
              <w:t>17.处置化解老螺蛳湾二期等烂尾楼项目5个。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9"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12．全面推进乡村振兴战略</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1．完善贫困人口动态管理工作，确保无返贫和新增贫困；</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2．落实好乡村振兴“百千万”工程，打造精品示范村3个，力争打造市级都市驱动型乡村振兴美丽宜居示范村1个；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3．打造林下中药材科技、昆明团结鑫现代苹果采摘休闲、睿野采摘3个示范园；</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4．实施乡村饮水项目30个；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5．实施交通改善工程2项；</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6．实施农村“厕所革命”旱厕提升改造132座；</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7．完成三个涉农街道办事处93个自然村农村污水收集治理设施建设，实施各类建设项目不少于50件；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8．年度投入涉农资金不少于3亿元；</w:t>
            </w:r>
          </w:p>
          <w:p>
            <w:pPr>
              <w:widowControl/>
              <w:topLinePunct/>
              <w:adjustRightInd w:val="0"/>
              <w:snapToGrid w:val="0"/>
              <w:spacing w:line="240" w:lineRule="atLeast"/>
              <w:rPr>
                <w:kern w:val="0"/>
                <w:sz w:val="18"/>
                <w:szCs w:val="18"/>
              </w:rPr>
            </w:pPr>
            <w:r>
              <w:rPr>
                <w:rFonts w:hint="eastAsia" w:eastAsia="仿宋_GB2312"/>
                <w:kern w:val="0"/>
                <w:sz w:val="18"/>
                <w:szCs w:val="18"/>
              </w:rPr>
              <w:t>9．稳妥推进农村宅基地制度改革，落实好第二轮土地承包到期后再延长三十年政策。</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1.脱贫攻坚成果持续巩固，乡村振兴有效衔接，区乡村振兴局挂牌成立；</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2.防止返贫监测帮扶对象拓展为所有涉农低收入困难群众；</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3.投入500万元对口帮扶寻甸、东川、维西实施农村基础设施、产业发展等建设项目12个；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4.开展“干部回乡规划乡村振兴行动”；</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5.开展</w:t>
            </w:r>
            <w:r>
              <w:rPr>
                <w:rFonts w:eastAsia="仿宋_GB2312"/>
                <w:kern w:val="0"/>
                <w:sz w:val="18"/>
                <w:szCs w:val="18"/>
              </w:rPr>
              <w:t>35</w:t>
            </w:r>
            <w:r>
              <w:rPr>
                <w:rFonts w:hint="eastAsia" w:eastAsia="仿宋_GB2312"/>
                <w:kern w:val="0"/>
                <w:sz w:val="18"/>
                <w:szCs w:val="18"/>
              </w:rPr>
              <w:t>个涉农社区“1+5”规划（方案）编制工作；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6.建成10个美丽宜居乡村；</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7.农村人居环境整治持续推进，改建农村无害化卫生户厕9179座，农村卫生户厕覆盖率达90%以上，完成108座农村公厕提升改造，实现所有自然村拥有1座以上卫生水冲公厕；</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8.村庄污水收集处理设施实现全覆盖；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9.碧鸡观音山社区获评市级精品示范村，海口中平社区成功创建省级美丽宜居乡村示范村；</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10.实施高素质农民培育工程，培育专业生产型高素质农民150人；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11.城乡区域发展协调性增强，城乡居民收入比由“十二五”末的2.27下降至2.08。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5" w:hRule="atLeast"/>
          <w:jc w:val="center"/>
        </w:trPr>
        <w:tc>
          <w:tcPr>
            <w:tcW w:w="978" w:type="dxa"/>
            <w:vMerge w:val="restart"/>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r>
              <w:rPr>
                <w:rFonts w:hint="eastAsia" w:eastAsia="仿宋_GB2312"/>
                <w:b/>
                <w:bCs/>
                <w:kern w:val="0"/>
                <w:sz w:val="18"/>
                <w:szCs w:val="18"/>
              </w:rPr>
              <w:t>七、优质民生供给，共享社会发展新成效</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13．加强稳就业与社会保障</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1．推动西山区青年（大学生）创业园争创省级园区；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2．实施就业优先战略和积极就业政策，确保零就业家庭实现动态清零；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3．确保实名登记高校毕业生就业率达到90%以上；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4．提供有效就业岗位2.4万个；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5．城镇新增就业2.9万人以上；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6．农村劳动力转移培训0.8万人；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7．社会保险执行率达100%以上，努力实现社会保险法定人群全覆盖；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8．提升改造城乡居家养老服务中心和农村互助养老服务站3个，新增养老床位600个以上；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9．实现草海45、46号地块回迁安置房交房；</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10．加快推进草海北片区37号回迁安置房地块供应；</w:t>
            </w:r>
          </w:p>
          <w:p>
            <w:pPr>
              <w:widowControl/>
              <w:topLinePunct/>
              <w:adjustRightInd w:val="0"/>
              <w:snapToGrid w:val="0"/>
              <w:spacing w:line="240" w:lineRule="atLeast"/>
              <w:rPr>
                <w:kern w:val="0"/>
                <w:sz w:val="18"/>
                <w:szCs w:val="18"/>
              </w:rPr>
            </w:pPr>
            <w:r>
              <w:rPr>
                <w:rFonts w:hint="eastAsia" w:eastAsia="仿宋_GB2312"/>
                <w:kern w:val="0"/>
                <w:sz w:val="18"/>
                <w:szCs w:val="18"/>
              </w:rPr>
              <w:t>11．力争碧鸡街道“四退三还一护”A、B地块安置房完成分配。</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1.就业优先政策持续强化，投入就业补助资金</w:t>
            </w:r>
            <w:r>
              <w:rPr>
                <w:rFonts w:eastAsia="仿宋_GB2312"/>
                <w:kern w:val="0"/>
                <w:sz w:val="18"/>
                <w:szCs w:val="18"/>
              </w:rPr>
              <w:t>3914.88</w:t>
            </w:r>
            <w:r>
              <w:rPr>
                <w:rFonts w:hint="eastAsia" w:eastAsia="仿宋_GB2312"/>
                <w:kern w:val="0"/>
                <w:sz w:val="18"/>
                <w:szCs w:val="18"/>
              </w:rPr>
              <w:t>万元，完成农村劳动力转移就业2887人，实现城镇新增就业33664人，城镇登记失业率3.69%；</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2.政校企合作共建省级青年大学生创业园，52个在园项目累计带动就业962人；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3.深入实施全民参保计划，基本社会保险覆盖82.98万人次，参保覆盖率达98%以上；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4.持续做好“一老一小”服务保障，区综合福利院正式运营，设立床位274张；</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5.完成113户困难老人家庭适老化改造；</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6.备案4家民办养老机构，新增各类养老床位762张；</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7.建立区级失能照护中心，护理床位比例达100%；</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8.建立老年幸福食堂10个；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9.建立为老助餐服务点23家；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10.适度普惠性儿童服务保障体系逐步建立；</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11.保障性住房供给有效扩大，完成螺蛳湾棚户区、卢家营等直管公房安置169户；</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12.交付18号、52号片区（A、D地块）回迁安置房2959套、30.</w:t>
            </w:r>
            <w:r>
              <w:rPr>
                <w:rFonts w:eastAsia="仿宋_GB2312"/>
                <w:kern w:val="0"/>
                <w:sz w:val="18"/>
                <w:szCs w:val="18"/>
              </w:rPr>
              <w:t>8</w:t>
            </w:r>
            <w:r>
              <w:rPr>
                <w:rFonts w:hint="eastAsia" w:eastAsia="仿宋_GB2312"/>
                <w:kern w:val="0"/>
                <w:sz w:val="18"/>
                <w:szCs w:val="18"/>
              </w:rPr>
              <w:t>3万平方米，启动建设11号、27号片区二期回迁安置房；</w:t>
            </w:r>
          </w:p>
          <w:p>
            <w:pPr>
              <w:pStyle w:val="26"/>
              <w:ind w:firstLine="0" w:firstLineChars="0"/>
              <w:rPr>
                <w:rFonts w:ascii="Times New Roman" w:hAnsi="Times New Roman"/>
              </w:rPr>
            </w:pPr>
            <w:r>
              <w:rPr>
                <w:rFonts w:hint="eastAsia" w:ascii="Times New Roman" w:hAnsi="Times New Roman" w:eastAsia="仿宋_GB2312"/>
                <w:kern w:val="0"/>
                <w:sz w:val="18"/>
                <w:szCs w:val="18"/>
              </w:rPr>
              <w:t>13.推动29号棚户区改造、长坡物流园区安置房二期稳步建设。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5"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14．发力教育体育扩优补短</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1．推进云南衡水实验学校西山学校、昆一中金岸中学创建省一级三等高完中，全力推进昆明市第五中学、西山区实验中学晋级升等；</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2．实施“一乡一公办、一村一幼”工程，完成第一批小区配建幼儿园申办普惠性幼儿园工作；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3．力争西山区第三、第五幼儿园正式办园；</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4．晋级升等省一级示范园2所以上；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5．确保涉农街道公办幼儿园开学招生，公办及普惠性幼儿园在园人数占比保持在85%以上；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6．确保中央民大附中西山小学等5个学校建成投入使用；</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7．继续推进西山区职业高级中学迁址新建等25个学校建设项目前期工作；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8．新引进名师名长4名以上；</w:t>
            </w:r>
          </w:p>
          <w:p>
            <w:pPr>
              <w:widowControl/>
              <w:topLinePunct/>
              <w:adjustRightInd w:val="0"/>
              <w:snapToGrid w:val="0"/>
              <w:spacing w:line="240" w:lineRule="atLeast"/>
              <w:rPr>
                <w:kern w:val="0"/>
                <w:sz w:val="18"/>
                <w:szCs w:val="18"/>
              </w:rPr>
            </w:pPr>
            <w:r>
              <w:rPr>
                <w:rFonts w:hint="eastAsia" w:eastAsia="仿宋_GB2312"/>
                <w:kern w:val="0"/>
                <w:sz w:val="18"/>
                <w:szCs w:val="18"/>
              </w:rPr>
              <w:br w:type="page"/>
            </w:r>
            <w:r>
              <w:rPr>
                <w:rFonts w:hint="eastAsia" w:eastAsia="仿宋_GB2312"/>
                <w:kern w:val="0"/>
                <w:sz w:val="18"/>
                <w:szCs w:val="18"/>
              </w:rPr>
              <w:t>9．推进实施全区公办中小学“1＋N”远程互动课堂工程。</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1.推进教育改革，“双减”政策和“五项管理”实现全区小学100%覆盖；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2.教育支出持续保持12%以上增速；</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3.教育资源优质均衡布局，新增公办幼儿园4所、普惠性民办幼儿园5所，启动建设海口片区第二所公办幼儿园，公办及普惠性幼儿园的在园人数占比保持在85%以上；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4.华东师范大学昆明实验学校实现招生，</w:t>
            </w:r>
            <w:r>
              <w:rPr>
                <w:rFonts w:hint="eastAsia" w:eastAsia="仿宋_GB2312"/>
                <w:kern w:val="0"/>
                <w:sz w:val="18"/>
                <w:szCs w:val="18"/>
              </w:rPr>
              <w:br w:type="page"/>
            </w:r>
            <w:r>
              <w:rPr>
                <w:rFonts w:hint="eastAsia" w:eastAsia="仿宋_GB2312"/>
                <w:kern w:val="0"/>
                <w:sz w:val="18"/>
                <w:szCs w:val="18"/>
              </w:rPr>
              <w:t>中央民大附中西山小学等6所学校开工建设；</w:t>
            </w:r>
            <w:r>
              <w:rPr>
                <w:rFonts w:hint="eastAsia" w:eastAsia="仿宋_GB2312"/>
                <w:kern w:val="0"/>
                <w:sz w:val="18"/>
                <w:szCs w:val="18"/>
              </w:rPr>
              <w:br w:type="page"/>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5.昆一中金岸中学创建成为省一级三等完全中学；</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6.新增公办学前教育学位1530个，新增义务教育阶段学位4800个，新增高中学位1650个；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7.中职学校“双证书”取证率达99%；</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8.引进名师7名、名校1所、名长1人；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9.“1+N”城乡互动课堂教学一期建成投入使用，新增“1+N”精品教学直录播教室24间，开展“数字教材”试点；</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10.首家市级乡村“复兴少年宫”落户龙潭中心学校；</w:t>
            </w:r>
          </w:p>
          <w:p>
            <w:pPr>
              <w:widowControl/>
              <w:topLinePunct/>
              <w:adjustRightInd w:val="0"/>
              <w:snapToGrid w:val="0"/>
              <w:spacing w:line="240" w:lineRule="atLeast"/>
              <w:rPr>
                <w:kern w:val="0"/>
                <w:sz w:val="18"/>
                <w:szCs w:val="18"/>
              </w:rPr>
            </w:pPr>
            <w:r>
              <w:rPr>
                <w:rFonts w:hint="eastAsia" w:eastAsia="仿宋_GB2312"/>
                <w:kern w:val="0"/>
                <w:sz w:val="18"/>
                <w:szCs w:val="18"/>
              </w:rPr>
              <w:br w:type="page"/>
            </w:r>
            <w:r>
              <w:rPr>
                <w:rFonts w:hint="eastAsia" w:eastAsia="仿宋_GB2312"/>
                <w:kern w:val="0"/>
                <w:sz w:val="18"/>
                <w:szCs w:val="18"/>
              </w:rPr>
              <w:t>11.新建健身路径10条，农民体育健身点2个。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2" w:hRule="atLeast"/>
          <w:jc w:val="center"/>
        </w:trPr>
        <w:tc>
          <w:tcPr>
            <w:tcW w:w="978" w:type="dxa"/>
            <w:vMerge w:val="restart"/>
            <w:shd w:val="clear" w:color="auto" w:fill="auto"/>
            <w:tcMar>
              <w:left w:w="28" w:type="dxa"/>
              <w:right w:w="28" w:type="dxa"/>
            </w:tcMar>
            <w:vAlign w:val="center"/>
          </w:tcPr>
          <w:p>
            <w:pPr>
              <w:topLinePunct/>
              <w:adjustRightInd w:val="0"/>
              <w:snapToGrid w:val="0"/>
              <w:spacing w:line="240" w:lineRule="atLeast"/>
              <w:jc w:val="left"/>
              <w:rPr>
                <w:rFonts w:eastAsia="仿宋_GB2312"/>
                <w:b/>
                <w:bCs/>
                <w:kern w:val="0"/>
                <w:sz w:val="18"/>
                <w:szCs w:val="18"/>
              </w:rPr>
            </w:pPr>
            <w:r>
              <w:rPr>
                <w:rFonts w:hint="eastAsia" w:eastAsia="仿宋_GB2312"/>
                <w:b/>
                <w:bCs/>
                <w:kern w:val="0"/>
                <w:sz w:val="18"/>
                <w:szCs w:val="18"/>
              </w:rPr>
              <w:t>七、优质民生供给，共享社会发展新成效</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15．全面推进“健康西山”建设</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1．做好常态化疫情防控；</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2．加快推进区重大传染病救治能力和疾控机构核心能力“双提升”工程项目建设；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3．建成2个规范化核酸检测实验室；</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4．促进优质医疗资源扩容和区域均衡布局，编制基层医疗卫生资源布点布局规划；</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5．推进区人民医院晋升三级甲等综合医院；</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6．启动区级妇幼保健机构能力达标创建工作；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7．力争80%的社区卫生服务中心创成省级甲等；</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8．加快推进草海中医馆、白沙地片区一期配套社区医院建设项目；</w:t>
            </w:r>
          </w:p>
          <w:p>
            <w:pPr>
              <w:widowControl/>
              <w:topLinePunct/>
              <w:adjustRightInd w:val="0"/>
              <w:snapToGrid w:val="0"/>
              <w:spacing w:line="240" w:lineRule="atLeast"/>
              <w:rPr>
                <w:kern w:val="0"/>
                <w:sz w:val="18"/>
                <w:szCs w:val="18"/>
              </w:rPr>
            </w:pPr>
            <w:r>
              <w:rPr>
                <w:rFonts w:hint="eastAsia" w:eastAsia="仿宋_GB2312"/>
                <w:kern w:val="0"/>
                <w:sz w:val="18"/>
                <w:szCs w:val="18"/>
              </w:rPr>
              <w:t>9．全面推广应用医保电子凭证。</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1.常态化疫情防控扎实有力，全区累计接种疫苗219万剂次，接种100万人；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2.草海中医馆全面建成；</w:t>
            </w:r>
          </w:p>
          <w:p>
            <w:pPr>
              <w:pStyle w:val="26"/>
              <w:ind w:firstLine="0" w:firstLineChars="0"/>
              <w:rPr>
                <w:rFonts w:ascii="Times New Roman" w:hAnsi="Times New Roman"/>
              </w:rPr>
            </w:pPr>
            <w:r>
              <w:rPr>
                <w:rFonts w:hint="eastAsia" w:ascii="Times New Roman" w:hAnsi="Times New Roman" w:eastAsia="仿宋_GB2312"/>
                <w:kern w:val="0"/>
                <w:sz w:val="18"/>
                <w:szCs w:val="18"/>
              </w:rPr>
              <w:t>3.区人民医院三级综合医院新建项目有序推进；</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4.持续推进区人民医院危急重症“五大中心”建设，胸痛、卒中、创伤、危重孕产妇救治中心通过验收；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5.基层医疗服务提质增效，70%社区卫生服务中心创建成为省级甲等；</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6.新建成4个社区“慢病管理中心”和1个“心血管救助站”；</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7.建立“4+X”家庭医生团队367个，家庭医生签约人数约19万，履约率达95%以上；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8.全面开展长期护理保险试点；</w:t>
            </w:r>
          </w:p>
          <w:p>
            <w:pPr>
              <w:widowControl/>
              <w:topLinePunct/>
              <w:adjustRightInd w:val="0"/>
              <w:snapToGrid w:val="0"/>
              <w:spacing w:line="240" w:lineRule="atLeast"/>
              <w:rPr>
                <w:kern w:val="0"/>
                <w:sz w:val="18"/>
                <w:szCs w:val="18"/>
              </w:rPr>
            </w:pPr>
            <w:r>
              <w:rPr>
                <w:rFonts w:hint="eastAsia" w:eastAsia="仿宋_GB2312"/>
                <w:kern w:val="0"/>
                <w:sz w:val="18"/>
                <w:szCs w:val="18"/>
              </w:rPr>
              <w:t>9.基本医疗保险覆盖53.34万人，全民医保实现“应保尽保”。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2" w:hRule="atLeast"/>
          <w:jc w:val="center"/>
        </w:trPr>
        <w:tc>
          <w:tcPr>
            <w:tcW w:w="978" w:type="dxa"/>
            <w:vMerge w:val="continue"/>
            <w:shd w:val="clear" w:color="auto" w:fill="auto"/>
            <w:tcMar>
              <w:left w:w="28" w:type="dxa"/>
              <w:right w:w="28" w:type="dxa"/>
            </w:tcMar>
            <w:vAlign w:val="center"/>
          </w:tcPr>
          <w:p>
            <w:pPr>
              <w:widowControl/>
              <w:topLinePunct/>
              <w:adjustRightInd w:val="0"/>
              <w:snapToGrid w:val="0"/>
              <w:spacing w:line="240" w:lineRule="atLeast"/>
              <w:jc w:val="left"/>
              <w:rPr>
                <w:rFonts w:eastAsia="仿宋_GB2312"/>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16．着力提升公共文化服务水平</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1．全面推进街道及社区综合性文化服务中心达标升级；</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2．高质量开展“西山睡美人”文化艺术节、西山音乐节、西山区文化大讲堂等品牌文化活动；</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3．加快推进区图书馆新馆建设，实现滇池博物馆新馆开馆；</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4．完成国保“中央电工器材厂一厂旧址”、市保“裴氏楼”2个重点保护单位抢险和修缮工程；</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5．完成第八批国保、省保，第七批市保标志碑和说明碑更换及第五批区保“四有”工作；</w:t>
            </w:r>
          </w:p>
          <w:p>
            <w:pPr>
              <w:widowControl/>
              <w:topLinePunct/>
              <w:adjustRightInd w:val="0"/>
              <w:snapToGrid w:val="0"/>
              <w:spacing w:line="240" w:lineRule="atLeast"/>
              <w:rPr>
                <w:kern w:val="0"/>
                <w:sz w:val="18"/>
                <w:szCs w:val="18"/>
              </w:rPr>
            </w:pPr>
            <w:r>
              <w:rPr>
                <w:rFonts w:hint="eastAsia" w:eastAsia="仿宋_GB2312"/>
                <w:kern w:val="0"/>
                <w:sz w:val="18"/>
                <w:szCs w:val="18"/>
              </w:rPr>
              <w:t>6．完成区文化馆提升改造暨新时代文明实践中心建设。</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1.投入基层公共文化服务专项资金1922万元，公共文化服务供给有效提升；</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2.创新推出“春节不打烊”等线上公共文化服务；</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3.投入250万元发放三批文化惠民消费券；</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4.持续开展“文化大篷车千乡万里行”等文化文艺惠民演出；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5.完成滇池博物馆开馆；</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6.有序推进区图书馆新馆建设、区文化馆提升改造；</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7.掐丝珐琅彩画等7名非遗项目传承人成功申报为市级第五批传承人；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8.完成国保石龙坝水电站“十三五”国家文化和自然遗产保护利用设施建设。</w:t>
            </w:r>
          </w:p>
          <w:p>
            <w:pPr>
              <w:widowControl/>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2" w:hRule="atLeast"/>
          <w:jc w:val="center"/>
        </w:trPr>
        <w:tc>
          <w:tcPr>
            <w:tcW w:w="978" w:type="dxa"/>
            <w:vMerge w:val="restart"/>
            <w:shd w:val="clear" w:color="auto" w:fill="auto"/>
            <w:tcMar>
              <w:left w:w="28" w:type="dxa"/>
              <w:right w:w="28" w:type="dxa"/>
            </w:tcMar>
            <w:vAlign w:val="center"/>
          </w:tcPr>
          <w:p>
            <w:pPr>
              <w:widowControl/>
              <w:topLinePunct/>
              <w:adjustRightInd w:val="0"/>
              <w:snapToGrid w:val="0"/>
              <w:spacing w:line="240" w:lineRule="atLeast"/>
              <w:jc w:val="left"/>
              <w:rPr>
                <w:b/>
                <w:bCs/>
                <w:kern w:val="0"/>
                <w:sz w:val="18"/>
                <w:szCs w:val="18"/>
              </w:rPr>
            </w:pPr>
            <w:r>
              <w:rPr>
                <w:rFonts w:hint="eastAsia" w:eastAsia="仿宋_GB2312"/>
                <w:b/>
                <w:bCs/>
                <w:kern w:val="0"/>
                <w:sz w:val="18"/>
                <w:szCs w:val="18"/>
              </w:rPr>
              <w:t>八、推动绿色发展，促进山水都市品质区新发展</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17．加快推动绿色低碳发展</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1．实现新增公务车全部使用新能源汽车；</w:t>
            </w:r>
            <w:r>
              <w:rPr>
                <w:rFonts w:hint="eastAsia" w:eastAsia="仿宋_GB2312"/>
                <w:kern w:val="0"/>
                <w:sz w:val="18"/>
                <w:szCs w:val="18"/>
              </w:rPr>
              <w:br w:type="page"/>
            </w:r>
            <w:r>
              <w:rPr>
                <w:rFonts w:hint="eastAsia" w:eastAsia="仿宋_GB2312"/>
                <w:kern w:val="0"/>
                <w:sz w:val="18"/>
                <w:szCs w:val="18"/>
              </w:rPr>
              <w:t>2．新建换电站6座、公共充电桩716枪；</w:t>
            </w:r>
            <w:r>
              <w:rPr>
                <w:rFonts w:hint="eastAsia" w:eastAsia="仿宋_GB2312"/>
                <w:kern w:val="0"/>
                <w:sz w:val="18"/>
                <w:szCs w:val="18"/>
              </w:rPr>
              <w:br w:type="page"/>
            </w:r>
            <w:r>
              <w:rPr>
                <w:rFonts w:hint="eastAsia" w:eastAsia="仿宋_GB2312"/>
                <w:kern w:val="0"/>
                <w:sz w:val="18"/>
                <w:szCs w:val="18"/>
              </w:rPr>
              <w:t>3．开展绿色社区、绿色学校、宁静小区创建工作；</w:t>
            </w:r>
            <w:r>
              <w:rPr>
                <w:rFonts w:hint="eastAsia" w:eastAsia="仿宋_GB2312"/>
                <w:kern w:val="0"/>
                <w:sz w:val="18"/>
                <w:szCs w:val="18"/>
              </w:rPr>
              <w:br w:type="page"/>
            </w:r>
            <w:r>
              <w:rPr>
                <w:rFonts w:hint="eastAsia" w:eastAsia="仿宋_GB2312"/>
                <w:kern w:val="0"/>
                <w:sz w:val="18"/>
                <w:szCs w:val="18"/>
              </w:rPr>
              <w:t>4．完成市级下达的单位GDP能耗、单位GDP二氧化碳排放年度目标任务。</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1.绿色发展空间持续扩大，深化能源消耗总量和强度“双控”行动，单位GDP能耗预计同比下降3.8%；</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2.遴选能效“领跑者”，1户企业申报环保装备制造业规范条件企业；</w:t>
            </w:r>
          </w:p>
          <w:p>
            <w:pPr>
              <w:widowControl/>
              <w:topLinePunct/>
              <w:adjustRightInd w:val="0"/>
              <w:snapToGrid w:val="0"/>
              <w:spacing w:line="240" w:lineRule="atLeast"/>
              <w:rPr>
                <w:kern w:val="0"/>
                <w:sz w:val="18"/>
                <w:szCs w:val="18"/>
              </w:rPr>
            </w:pPr>
            <w:r>
              <w:rPr>
                <w:rFonts w:hint="eastAsia" w:eastAsia="仿宋_GB2312"/>
                <w:kern w:val="0"/>
                <w:sz w:val="18"/>
                <w:szCs w:val="18"/>
              </w:rPr>
              <w:br w:type="page"/>
            </w:r>
            <w:r>
              <w:rPr>
                <w:rFonts w:hint="eastAsia" w:eastAsia="仿宋_GB2312"/>
                <w:kern w:val="0"/>
                <w:sz w:val="18"/>
                <w:szCs w:val="18"/>
              </w:rPr>
              <w:t>3.推广绿色建筑，建筑节能设计标准执行率达100%，施工阶段执行率达97%以上。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2"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18．持续加强生态环境治理</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1．启动实施二环内雨污分流改造工程等4大类11项“十四五”滇池保护治理项目，完成滇池西岸面山洪水拦截及水环境综合治理；</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2．抓好长江经济带生态环境突出问题和螳螂川流域磷污染问题整改治理，推进螳螂川水环境提升改造项目建设；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3．开展河道污染源排查和饮用水水源地环境保护专项行动，申报建设“美丽河道”9条；</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4．开展好挥发性有机物治理工作，强化工业企业大气污染排放监管监测，确保空气优良率保持在99%以上；</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5．力争全面完成滇池一级保护区内公共单位搬迁，新增湿地面积1279亩；</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6．开展“五采区”生态治理，督促7个省级、19个区级关停矿山治理修复；</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7．加大农业面源污染治理和化肥农药减量、土壤污染防治力度；</w:t>
            </w:r>
          </w:p>
          <w:p>
            <w:pPr>
              <w:widowControl/>
              <w:topLinePunct/>
              <w:adjustRightInd w:val="0"/>
              <w:snapToGrid w:val="0"/>
              <w:spacing w:line="240" w:lineRule="atLeast"/>
              <w:rPr>
                <w:kern w:val="0"/>
                <w:sz w:val="18"/>
                <w:szCs w:val="18"/>
              </w:rPr>
            </w:pPr>
            <w:r>
              <w:rPr>
                <w:rFonts w:hint="eastAsia" w:eastAsia="仿宋_GB2312"/>
                <w:kern w:val="0"/>
                <w:sz w:val="18"/>
                <w:szCs w:val="18"/>
              </w:rPr>
              <w:t>8．完成义务植树79万株，改造棋盘山国家森林公园1600亩，确保天然林面积保有量稳定在31337.43公顷以上，森林覆盖率稳定在52.88%。</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1.扎实做好施工工地、餐馆、渣土运输大气污染防治，空气质量优良率达99.4%；</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2.河湖“清四乱”常态化，实现河（湖）长制全覆盖；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3.28个地表水监测断面整体水质达标率达71.4%；</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4.螳螂川水质明显改善；</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5.金家河、大墨雨水库等4个河湖成功申报为市级“美丽河湖”；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6.全面启动二环内149个排水单元（362个老旧小区）雨污分流改造；</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7.开展跨界河湖保护治理，与五华区等7个县区签订跨区河湖管理保护协调合作协议；</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8.持续推进“十年禁渔”工作；</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9.持续开展滇池湖滨生态带建设“四退三还一护”；</w:t>
            </w:r>
          </w:p>
          <w:p>
            <w:pPr>
              <w:widowControl/>
              <w:topLinePunct/>
              <w:adjustRightInd w:val="0"/>
              <w:snapToGrid w:val="0"/>
              <w:spacing w:line="240" w:lineRule="atLeast"/>
            </w:pPr>
            <w:r>
              <w:rPr>
                <w:rFonts w:hint="eastAsia" w:eastAsia="仿宋_GB2312"/>
                <w:kern w:val="0"/>
                <w:sz w:val="18"/>
                <w:szCs w:val="18"/>
              </w:rPr>
              <w:t>10.完成新河湿地、草海北片区等3791亩湿地新建和提升，环草海生态湿地基本闭合；</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11.扎实做好中央第二轮生态环境保护督察交办件整改、验收、销号；</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12.清理整治滇池沿岸违规违建点位202个，拆除67个点位23.32万平方米建（构）筑物；</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13.农业面源污染防治减量增效；</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14.建成绿色防控示范面积1200亩；有效管护天然林76.89万亩，森林覆盖率达53.87%；</w:t>
            </w:r>
          </w:p>
          <w:p>
            <w:pPr>
              <w:widowControl/>
              <w:topLinePunct/>
              <w:adjustRightInd w:val="0"/>
              <w:snapToGrid w:val="0"/>
              <w:spacing w:line="240" w:lineRule="atLeast"/>
            </w:pPr>
            <w:r>
              <w:rPr>
                <w:rFonts w:hint="eastAsia" w:eastAsia="仿宋_GB2312"/>
                <w:kern w:val="0"/>
                <w:sz w:val="18"/>
                <w:szCs w:val="18"/>
              </w:rPr>
              <w:t>15.尖山磷矿汤家山、松山矿段纳入国家级绿色矿山名录。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8" w:type="dxa"/>
            <w:vMerge w:val="restart"/>
            <w:shd w:val="clear" w:color="auto" w:fill="auto"/>
            <w:tcMar>
              <w:left w:w="28" w:type="dxa"/>
              <w:right w:w="28" w:type="dxa"/>
            </w:tcMar>
            <w:vAlign w:val="center"/>
          </w:tcPr>
          <w:p>
            <w:pPr>
              <w:widowControl/>
              <w:topLinePunct/>
              <w:adjustRightInd w:val="0"/>
              <w:snapToGrid w:val="0"/>
              <w:spacing w:line="240" w:lineRule="atLeast"/>
              <w:rPr>
                <w:b/>
                <w:bCs/>
                <w:kern w:val="0"/>
                <w:sz w:val="18"/>
                <w:szCs w:val="18"/>
              </w:rPr>
            </w:pPr>
            <w:r>
              <w:rPr>
                <w:rFonts w:hint="eastAsia" w:eastAsia="仿宋_GB2312"/>
                <w:b/>
                <w:bCs/>
                <w:kern w:val="0"/>
                <w:sz w:val="18"/>
                <w:szCs w:val="18"/>
              </w:rPr>
              <w:t>九、建设法治平安西山，提升政治中心服务承载区新效能</w:t>
            </w: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19．持续深化社会治理创新</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1．加快市域社会治理现代化试点建设；</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2．推进“1+9+X”网格化治理模式，建立“一格一长多员”体系；</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3．以前卫街道四道坝社区为试点探索融合数据平台信息化，以大观路为试点，探索推动城市治理智能化水平，实现城市可视化智慧管理；</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4．加大政府购买服务力度，推动实现街道社会工作服务站全覆盖；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5．打造“创新社区治理试点”12个，推广“三社联动”社区治理项目14个；</w:t>
            </w:r>
          </w:p>
          <w:p>
            <w:pPr>
              <w:widowControl/>
              <w:topLinePunct/>
              <w:adjustRightInd w:val="0"/>
              <w:snapToGrid w:val="0"/>
              <w:spacing w:line="240" w:lineRule="atLeast"/>
              <w:rPr>
                <w:kern w:val="0"/>
                <w:sz w:val="18"/>
                <w:szCs w:val="18"/>
              </w:rPr>
            </w:pPr>
            <w:r>
              <w:rPr>
                <w:rFonts w:hint="eastAsia" w:eastAsia="仿宋_GB2312"/>
                <w:kern w:val="0"/>
                <w:sz w:val="18"/>
                <w:szCs w:val="18"/>
              </w:rPr>
              <w:t>6．完成创建民族团结示范区建设。</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1.深化“1+9+X”网格化精细治理，受理网格案件49万余件；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2.深化基层治理创新，制定运用共商、共建、共治、共享“四共”工作法，有效化解碧鸡广场治理难题；</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3.社区“楼栋长”、乡村“十户长”制度实现121个社区全覆盖；</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4.8个小区完成百佳示范小区创建；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5.探索“社工站+”多元力量参与治理模式，形成“1+10+X”三级治理服务体系，拥有社区服务类社会组织35家；</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6.棕树营街道六合社区新入选第二批省级城乡社区治理现代化试点，碧鸡街道“活化共治—观音山社区总体营造计划”被列为2021年度市级社会治理创新重点项目。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78" w:type="dxa"/>
            <w:vMerge w:val="continue"/>
            <w:tcMar>
              <w:left w:w="28" w:type="dxa"/>
              <w:right w:w="28" w:type="dxa"/>
            </w:tcMar>
            <w:vAlign w:val="center"/>
          </w:tcPr>
          <w:p>
            <w:pPr>
              <w:widowControl/>
              <w:topLinePunct/>
              <w:adjustRightInd w:val="0"/>
              <w:snapToGrid w:val="0"/>
              <w:spacing w:line="240" w:lineRule="atLeast"/>
              <w:jc w:val="left"/>
              <w:rPr>
                <w:b/>
                <w:bCs/>
                <w:kern w:val="0"/>
                <w:sz w:val="18"/>
                <w:szCs w:val="18"/>
              </w:rPr>
            </w:pPr>
          </w:p>
        </w:tc>
        <w:tc>
          <w:tcPr>
            <w:tcW w:w="1316" w:type="dxa"/>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20．维护社会安全和谐稳定</w:t>
            </w:r>
          </w:p>
        </w:tc>
        <w:tc>
          <w:tcPr>
            <w:tcW w:w="5871" w:type="dxa"/>
            <w:gridSpan w:val="2"/>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1．防范化解重大安全风险，确保政治、经济、生态、民生等重点领域安全；</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2．坚持扫黑除恶“长效常治”，继续开展“三查三告知一宣传”专项行动；</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3．实现福海滇池路2个派出所和西山一体化办案中心投入使用；</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4．推进“雪亮工程”（二期）项目、智慧安防小区和无发案小区建设，深化“五零”创建；</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5．持续推进流动人口及出租房管理工作，加强流动人口智慧化服务管理，推广“智慧化城中村”、“电子门牌”、“3355”管控模式；</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6．保障“两个大会”圆满举办；</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7．坚决遏制较大安全生产事故发生；</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8．坚持粮食和物资储备“宁可储而不用、不能用而无备”，全面提高粮食和物资储备安全保障能力；</w:t>
            </w:r>
          </w:p>
          <w:p>
            <w:pPr>
              <w:widowControl/>
              <w:topLinePunct/>
              <w:adjustRightInd w:val="0"/>
              <w:snapToGrid w:val="0"/>
              <w:spacing w:line="240" w:lineRule="atLeast"/>
              <w:rPr>
                <w:kern w:val="0"/>
                <w:sz w:val="18"/>
                <w:szCs w:val="18"/>
              </w:rPr>
            </w:pPr>
            <w:r>
              <w:rPr>
                <w:rFonts w:hint="eastAsia" w:eastAsia="仿宋_GB2312"/>
                <w:kern w:val="0"/>
                <w:sz w:val="18"/>
                <w:szCs w:val="18"/>
              </w:rPr>
              <w:t>9．全力冲刺创建国家食品安全示范城市。</w:t>
            </w:r>
          </w:p>
        </w:tc>
        <w:tc>
          <w:tcPr>
            <w:tcW w:w="5896" w:type="dxa"/>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1.打造全国首个总体国家安全观主题地铁展厅；</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2.常态化开展扫黑除恶，始终保持对黑恶势力违法犯罪打击的高压态势；</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3.坚持群防群治，警情总量在主城四区持续保持最低；</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4.率先在全省区县推进“情指勤督舆”一体化改革，建立“五融五联”警务融合体系，街面见警率同比提高40%，街面违法犯罪警情同比下降14%，再创新低，实现357天“两抢”零接报；</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5.严打新型电信网络诈骗犯罪，推广应用“金钟罩”反诈系统，止付涉案金额2.31亿元；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6.创建“五零”社区44个、“五零”企业单位170个；</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7.建成智慧安防小区838个，零发案率99.41%，位居主城五区第一；</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8.建成全市第一家执法办案管理中心；</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9.“雪亮工程”二期基本建成；</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10.坚持和发展新时代“枫桥经验”；</w:t>
            </w:r>
          </w:p>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11.“一站式”矛盾纠纷调解中心建设加快推进；</w:t>
            </w:r>
          </w:p>
          <w:p>
            <w:pPr>
              <w:widowControl/>
              <w:topLinePunct/>
              <w:adjustRightInd w:val="0"/>
              <w:snapToGrid w:val="0"/>
              <w:spacing w:line="240" w:lineRule="atLeast"/>
              <w:rPr>
                <w:kern w:val="0"/>
                <w:sz w:val="18"/>
                <w:szCs w:val="18"/>
              </w:rPr>
            </w:pPr>
            <w:r>
              <w:rPr>
                <w:rFonts w:hint="eastAsia" w:eastAsia="仿宋_GB2312"/>
                <w:kern w:val="0"/>
                <w:sz w:val="18"/>
                <w:szCs w:val="18"/>
              </w:rPr>
              <w:t>12.完成7家社区应急（减灾）服务站标准化建设，公共安全应急管理能力持续提升，全年未发生重大及以上安全生产事故。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65" w:type="dxa"/>
            <w:gridSpan w:val="4"/>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b/>
                <w:bCs/>
                <w:kern w:val="0"/>
                <w:sz w:val="18"/>
                <w:szCs w:val="18"/>
              </w:rPr>
              <w:t>合计188项重点工作任务和目标</w:t>
            </w:r>
          </w:p>
        </w:tc>
        <w:tc>
          <w:tcPr>
            <w:tcW w:w="5896" w:type="dxa"/>
            <w:shd w:val="clear" w:color="auto" w:fill="auto"/>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b/>
                <w:bCs/>
                <w:kern w:val="0"/>
                <w:sz w:val="18"/>
                <w:szCs w:val="18"/>
              </w:rPr>
              <w:t>合计1</w:t>
            </w:r>
            <w:r>
              <w:rPr>
                <w:rFonts w:eastAsia="仿宋_GB2312"/>
                <w:b/>
                <w:bCs/>
                <w:kern w:val="0"/>
                <w:sz w:val="18"/>
                <w:szCs w:val="18"/>
              </w:rPr>
              <w:t>90</w:t>
            </w:r>
            <w:r>
              <w:rPr>
                <w:rFonts w:hint="eastAsia" w:eastAsia="仿宋_GB2312"/>
                <w:b/>
                <w:bCs/>
                <w:kern w:val="0"/>
                <w:sz w:val="18"/>
                <w:szCs w:val="18"/>
              </w:rPr>
              <w:t>项重点工作任务和目标</w:t>
            </w:r>
          </w:p>
        </w:tc>
      </w:tr>
    </w:tbl>
    <w:p>
      <w:pPr>
        <w:pStyle w:val="26"/>
        <w:ind w:firstLine="424"/>
        <w:rPr>
          <w:rFonts w:ascii="Times New Roman" w:hAnsi="Times New Roman" w:eastAsia="仿宋_GB2312"/>
        </w:rPr>
      </w:pPr>
    </w:p>
    <w:p>
      <w:pPr>
        <w:pStyle w:val="26"/>
        <w:adjustRightInd w:val="0"/>
        <w:snapToGrid w:val="0"/>
        <w:spacing w:line="100" w:lineRule="exact"/>
        <w:ind w:firstLine="424"/>
        <w:rPr>
          <w:rFonts w:ascii="Times New Roman" w:hAnsi="Times New Roman" w:eastAsia="仿宋_GB2312"/>
        </w:rPr>
      </w:pPr>
    </w:p>
    <w:p>
      <w:pPr>
        <w:pStyle w:val="26"/>
        <w:adjustRightInd w:val="0"/>
        <w:snapToGrid w:val="0"/>
        <w:spacing w:line="100" w:lineRule="exact"/>
        <w:ind w:firstLine="424"/>
        <w:rPr>
          <w:rFonts w:ascii="Times New Roman" w:hAnsi="Times New Roman" w:eastAsia="仿宋_GB2312"/>
        </w:rPr>
      </w:pPr>
      <w:r>
        <w:rPr>
          <w:rFonts w:hint="eastAsia" w:ascii="Times New Roman" w:hAnsi="Times New Roman" w:eastAsia="仿宋_GB2312"/>
        </w:rPr>
        <w:br w:type="page"/>
      </w:r>
    </w:p>
    <w:p>
      <w:pPr>
        <w:widowControl/>
        <w:adjustRightInd w:val="0"/>
        <w:snapToGrid w:val="0"/>
        <w:spacing w:line="592" w:lineRule="exact"/>
        <w:rPr>
          <w:rFonts w:eastAsia="黑体"/>
          <w:kern w:val="0"/>
          <w:sz w:val="32"/>
          <w:szCs w:val="32"/>
        </w:rPr>
      </w:pPr>
      <w:r>
        <w:rPr>
          <w:rFonts w:hint="eastAsia" w:eastAsia="黑体"/>
          <w:kern w:val="0"/>
          <w:sz w:val="32"/>
          <w:szCs w:val="32"/>
        </w:rPr>
        <w:t>附件3</w:t>
      </w:r>
    </w:p>
    <w:p>
      <w:pPr>
        <w:widowControl/>
        <w:adjustRightInd w:val="0"/>
        <w:snapToGrid w:val="0"/>
        <w:spacing w:line="592" w:lineRule="exact"/>
        <w:jc w:val="center"/>
        <w:rPr>
          <w:rFonts w:eastAsia="方正小标宋简体"/>
          <w:kern w:val="0"/>
          <w:sz w:val="18"/>
          <w:szCs w:val="18"/>
        </w:rPr>
      </w:pPr>
    </w:p>
    <w:p>
      <w:pPr>
        <w:widowControl/>
        <w:adjustRightInd w:val="0"/>
        <w:snapToGrid w:val="0"/>
        <w:spacing w:line="592"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昆明市西山区2022年国民经济和社会发展重点工作任务和目标</w:t>
      </w:r>
    </w:p>
    <w:p>
      <w:pPr>
        <w:pStyle w:val="26"/>
        <w:adjustRightInd w:val="0"/>
        <w:snapToGrid w:val="0"/>
        <w:spacing w:line="592" w:lineRule="exact"/>
        <w:ind w:firstLine="424"/>
        <w:rPr>
          <w:rFonts w:ascii="Times New Roman" w:hAnsi="Times New Roman" w:eastAsia="仿宋_GB2312"/>
        </w:rPr>
      </w:pPr>
    </w:p>
    <w:tbl>
      <w:tblPr>
        <w:tblStyle w:val="19"/>
        <w:tblW w:w="13098" w:type="dxa"/>
        <w:jc w:val="center"/>
        <w:tblInd w:w="0" w:type="dxa"/>
        <w:tblLayout w:type="fixed"/>
        <w:tblCellMar>
          <w:top w:w="0" w:type="dxa"/>
          <w:left w:w="108" w:type="dxa"/>
          <w:bottom w:w="0" w:type="dxa"/>
          <w:right w:w="108" w:type="dxa"/>
        </w:tblCellMar>
      </w:tblPr>
      <w:tblGrid>
        <w:gridCol w:w="1123"/>
        <w:gridCol w:w="2983"/>
        <w:gridCol w:w="567"/>
        <w:gridCol w:w="600"/>
        <w:gridCol w:w="7825"/>
      </w:tblGrid>
      <w:tr>
        <w:tblPrEx>
          <w:tblLayout w:type="fixed"/>
          <w:tblCellMar>
            <w:top w:w="0" w:type="dxa"/>
            <w:left w:w="108" w:type="dxa"/>
            <w:bottom w:w="0" w:type="dxa"/>
            <w:right w:w="108" w:type="dxa"/>
          </w:tblCellMar>
        </w:tblPrEx>
        <w:trPr>
          <w:trHeight w:val="306" w:hRule="atLeast"/>
          <w:tblHeader/>
          <w:jc w:val="center"/>
        </w:trPr>
        <w:tc>
          <w:tcPr>
            <w:tcW w:w="112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黑体"/>
                <w:kern w:val="0"/>
                <w:sz w:val="18"/>
                <w:szCs w:val="18"/>
              </w:rPr>
            </w:pPr>
            <w:r>
              <w:rPr>
                <w:rFonts w:hint="eastAsia" w:eastAsia="黑体"/>
                <w:kern w:val="0"/>
                <w:sz w:val="18"/>
                <w:szCs w:val="18"/>
              </w:rPr>
              <w:t>一级名称</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黑体"/>
                <w:kern w:val="0"/>
                <w:sz w:val="18"/>
                <w:szCs w:val="18"/>
              </w:rPr>
            </w:pPr>
            <w:r>
              <w:rPr>
                <w:rFonts w:hint="eastAsia" w:eastAsia="黑体"/>
                <w:kern w:val="0"/>
                <w:sz w:val="18"/>
                <w:szCs w:val="18"/>
              </w:rPr>
              <w:t>二级名称</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黑体"/>
                <w:kern w:val="0"/>
                <w:sz w:val="18"/>
                <w:szCs w:val="18"/>
              </w:rPr>
            </w:pPr>
            <w:r>
              <w:rPr>
                <w:rFonts w:hint="eastAsia" w:eastAsia="黑体"/>
                <w:kern w:val="0"/>
                <w:sz w:val="18"/>
                <w:szCs w:val="18"/>
              </w:rPr>
              <w:t>目标值</w:t>
            </w:r>
          </w:p>
        </w:tc>
      </w:tr>
      <w:tr>
        <w:tblPrEx>
          <w:tblLayout w:type="fixed"/>
          <w:tblCellMar>
            <w:top w:w="0" w:type="dxa"/>
            <w:left w:w="108" w:type="dxa"/>
            <w:bottom w:w="0" w:type="dxa"/>
            <w:right w:w="108" w:type="dxa"/>
          </w:tblCellMar>
        </w:tblPrEx>
        <w:trPr>
          <w:trHeight w:val="306"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b/>
                <w:bCs/>
                <w:kern w:val="0"/>
                <w:sz w:val="18"/>
                <w:szCs w:val="18"/>
              </w:rPr>
            </w:pPr>
            <w:r>
              <w:rPr>
                <w:rFonts w:hint="eastAsia" w:eastAsia="仿宋_GB2312"/>
                <w:b/>
                <w:bCs/>
                <w:kern w:val="0"/>
                <w:sz w:val="18"/>
                <w:szCs w:val="18"/>
              </w:rPr>
              <w:t>一、主要经济指标</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地区生产总值（%）</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hint="eastAsia" w:eastAsia="仿宋_GB2312"/>
                <w:kern w:val="0"/>
                <w:sz w:val="18"/>
                <w:szCs w:val="18"/>
              </w:rPr>
              <w:t>7以上</w:t>
            </w:r>
          </w:p>
        </w:tc>
      </w:tr>
      <w:tr>
        <w:tblPrEx>
          <w:tblLayout w:type="fixed"/>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rFonts w:eastAsia="仿宋_GB2312"/>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一般公共预算收入（%）</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hint="eastAsia" w:eastAsia="仿宋_GB2312"/>
                <w:kern w:val="0"/>
                <w:sz w:val="18"/>
                <w:szCs w:val="18"/>
              </w:rPr>
              <w:t>3.8</w:t>
            </w:r>
          </w:p>
        </w:tc>
      </w:tr>
      <w:tr>
        <w:tblPrEx>
          <w:tblLayout w:type="fixed"/>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rFonts w:eastAsia="仿宋_GB2312"/>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规模以上固定资产投资（不含农户）增速（%）</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hint="eastAsia"/>
                <w:kern w:val="0"/>
                <w:sz w:val="18"/>
                <w:szCs w:val="18"/>
              </w:rPr>
              <w:t>正增长</w:t>
            </w:r>
          </w:p>
        </w:tc>
      </w:tr>
      <w:tr>
        <w:tblPrEx>
          <w:tblLayout w:type="fixed"/>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rFonts w:eastAsia="仿宋_GB2312"/>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规模以上工业增加值（%）</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hint="eastAsia" w:eastAsia="仿宋_GB2312"/>
                <w:kern w:val="0"/>
                <w:sz w:val="18"/>
                <w:szCs w:val="18"/>
              </w:rPr>
              <w:t>6以上</w:t>
            </w:r>
          </w:p>
        </w:tc>
      </w:tr>
      <w:tr>
        <w:tblPrEx>
          <w:tblLayout w:type="fixed"/>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rFonts w:eastAsia="仿宋_GB2312"/>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限额以上社会消费品零售额（%）</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hint="eastAsia" w:eastAsia="仿宋_GB2312"/>
                <w:kern w:val="0"/>
                <w:sz w:val="18"/>
                <w:szCs w:val="18"/>
              </w:rPr>
              <w:t>10左右</w:t>
            </w:r>
          </w:p>
        </w:tc>
      </w:tr>
      <w:tr>
        <w:tblPrEx>
          <w:tblLayout w:type="fixed"/>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rFonts w:eastAsia="仿宋_GB2312"/>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城镇登记失业率控制在（%）</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hint="eastAsia" w:eastAsia="仿宋_GB2312"/>
                <w:kern w:val="0"/>
                <w:sz w:val="18"/>
                <w:szCs w:val="18"/>
              </w:rPr>
              <w:t>4.5</w:t>
            </w:r>
          </w:p>
        </w:tc>
      </w:tr>
      <w:tr>
        <w:tblPrEx>
          <w:tblLayout w:type="fixed"/>
          <w:tblCellMar>
            <w:top w:w="0" w:type="dxa"/>
            <w:left w:w="108" w:type="dxa"/>
            <w:bottom w:w="0" w:type="dxa"/>
            <w:right w:w="108" w:type="dxa"/>
          </w:tblCellMar>
        </w:tblPrEx>
        <w:trPr>
          <w:trHeight w:val="306"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二、坚持稳中求进，保持高质量发展“稳定力”</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1.增强“三个定位”“引领力”</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00" w:lineRule="exact"/>
              <w:rPr>
                <w:rFonts w:eastAsia="仿宋_GB2312"/>
                <w:kern w:val="0"/>
                <w:sz w:val="18"/>
                <w:szCs w:val="18"/>
              </w:rPr>
            </w:pPr>
            <w:r>
              <w:rPr>
                <w:rFonts w:hint="eastAsia" w:eastAsia="仿宋_GB2312"/>
                <w:kern w:val="0"/>
                <w:sz w:val="18"/>
                <w:szCs w:val="18"/>
              </w:rPr>
              <w:t>1.保持战略定力，锚定聚能提升发展，走好“十四五”发展第二步，促进宏观经济稳健前行；</w:t>
            </w:r>
          </w:p>
          <w:p>
            <w:pPr>
              <w:widowControl/>
              <w:adjustRightInd w:val="0"/>
              <w:snapToGrid w:val="0"/>
              <w:spacing w:line="200" w:lineRule="exact"/>
              <w:rPr>
                <w:rFonts w:eastAsia="仿宋_GB2312"/>
                <w:kern w:val="0"/>
                <w:sz w:val="18"/>
                <w:szCs w:val="18"/>
              </w:rPr>
            </w:pPr>
            <w:r>
              <w:rPr>
                <w:rFonts w:hint="eastAsia" w:eastAsia="仿宋_GB2312"/>
                <w:kern w:val="0"/>
                <w:sz w:val="18"/>
                <w:szCs w:val="18"/>
              </w:rPr>
              <w:t>2.保持政策定力，落实好大规模、阶段性、组合式减税降费政策，进一步提升市场主体减税降费获得感；</w:t>
            </w:r>
          </w:p>
          <w:p>
            <w:pPr>
              <w:widowControl/>
              <w:adjustRightInd w:val="0"/>
              <w:snapToGrid w:val="0"/>
              <w:spacing w:line="200" w:lineRule="exact"/>
              <w:rPr>
                <w:rFonts w:eastAsia="仿宋_GB2312"/>
                <w:kern w:val="0"/>
                <w:sz w:val="18"/>
                <w:szCs w:val="18"/>
              </w:rPr>
            </w:pPr>
            <w:r>
              <w:rPr>
                <w:rFonts w:hint="eastAsia" w:eastAsia="仿宋_GB2312"/>
                <w:kern w:val="0"/>
                <w:sz w:val="18"/>
                <w:szCs w:val="18"/>
              </w:rPr>
              <w:t>3.保持市场主体活力，更大力度支持实体经济发展，实施“市场主体倍增”计划，培育壮大专精特新“小巨人”制造业单项冠军等中小企业，制定支持中小微企业高质量发展扶持政策。</w:t>
            </w:r>
          </w:p>
        </w:tc>
      </w:tr>
      <w:tr>
        <w:tblPrEx>
          <w:tblLayout w:type="fixed"/>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hint="eastAsia" w:eastAsia="仿宋_GB2312"/>
                <w:kern w:val="0"/>
                <w:sz w:val="18"/>
                <w:szCs w:val="18"/>
              </w:rPr>
              <w:t>2.提升“4×3”产业“链接力”</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hint="eastAsia" w:eastAsia="仿宋_GB2312"/>
                <w:kern w:val="0"/>
                <w:sz w:val="18"/>
                <w:szCs w:val="18"/>
              </w:rPr>
              <w:t>着力稳链</w:t>
            </w: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房地产</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hint="eastAsia" w:eastAsia="仿宋_GB2312"/>
                <w:kern w:val="0"/>
                <w:sz w:val="18"/>
                <w:szCs w:val="18"/>
              </w:rPr>
              <w:t>1.坚持“房住不炒”，支持商品房市场更好满足购房者的合理住房需求;</w:t>
            </w:r>
          </w:p>
          <w:p>
            <w:pPr>
              <w:widowControl/>
              <w:adjustRightInd w:val="0"/>
              <w:snapToGrid w:val="0"/>
              <w:spacing w:line="240" w:lineRule="atLeast"/>
              <w:rPr>
                <w:rFonts w:eastAsia="仿宋_GB2312"/>
                <w:kern w:val="0"/>
                <w:sz w:val="18"/>
                <w:szCs w:val="18"/>
              </w:rPr>
            </w:pPr>
            <w:r>
              <w:rPr>
                <w:rFonts w:hint="eastAsia" w:eastAsia="仿宋_GB2312"/>
                <w:kern w:val="0"/>
                <w:sz w:val="18"/>
                <w:szCs w:val="18"/>
              </w:rPr>
              <w:t>2.稳妥化解草海回迁安置房等62个项目（小区）不动产权证登记问题;</w:t>
            </w:r>
          </w:p>
          <w:p>
            <w:pPr>
              <w:widowControl/>
              <w:adjustRightInd w:val="0"/>
              <w:snapToGrid w:val="0"/>
              <w:spacing w:line="240" w:lineRule="atLeast"/>
              <w:rPr>
                <w:kern w:val="0"/>
                <w:sz w:val="18"/>
                <w:szCs w:val="18"/>
              </w:rPr>
            </w:pPr>
            <w:r>
              <w:rPr>
                <w:rFonts w:hint="eastAsia" w:eastAsia="仿宋_GB2312"/>
                <w:kern w:val="0"/>
                <w:sz w:val="18"/>
                <w:szCs w:val="18"/>
              </w:rPr>
              <w:t>3.促进房地产业健康发展和良性循环。</w:t>
            </w:r>
          </w:p>
        </w:tc>
      </w:tr>
      <w:tr>
        <w:tblPrEx>
          <w:tblLayout w:type="fixed"/>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新型化工</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00" w:lineRule="exact"/>
              <w:rPr>
                <w:rFonts w:eastAsia="仿宋_GB2312"/>
                <w:kern w:val="0"/>
                <w:sz w:val="18"/>
                <w:szCs w:val="18"/>
              </w:rPr>
            </w:pPr>
            <w:r>
              <w:rPr>
                <w:rFonts w:hint="eastAsia" w:eastAsia="仿宋_GB2312"/>
                <w:kern w:val="0"/>
                <w:sz w:val="18"/>
                <w:szCs w:val="18"/>
              </w:rPr>
              <w:t>1.全力推进中化学与海口工业园区合作;</w:t>
            </w:r>
          </w:p>
          <w:p>
            <w:pPr>
              <w:widowControl/>
              <w:adjustRightInd w:val="0"/>
              <w:snapToGrid w:val="0"/>
              <w:spacing w:line="200" w:lineRule="exact"/>
              <w:rPr>
                <w:rFonts w:eastAsia="仿宋_GB2312"/>
                <w:kern w:val="0"/>
                <w:sz w:val="18"/>
                <w:szCs w:val="18"/>
              </w:rPr>
            </w:pPr>
            <w:r>
              <w:rPr>
                <w:rFonts w:hint="eastAsia" w:eastAsia="仿宋_GB2312"/>
                <w:kern w:val="0"/>
                <w:sz w:val="18"/>
                <w:szCs w:val="18"/>
              </w:rPr>
              <w:t>2.支持海口磷业、三环化工等磷业增效和技改项目不少于20个，支持投资超30亿元的项目早开工早投产；</w:t>
            </w:r>
          </w:p>
          <w:p>
            <w:pPr>
              <w:widowControl/>
              <w:adjustRightInd w:val="0"/>
              <w:snapToGrid w:val="0"/>
              <w:spacing w:line="200" w:lineRule="exact"/>
              <w:rPr>
                <w:kern w:val="0"/>
                <w:sz w:val="18"/>
                <w:szCs w:val="18"/>
              </w:rPr>
            </w:pPr>
            <w:r>
              <w:rPr>
                <w:rFonts w:hint="eastAsia" w:eastAsia="仿宋_GB2312"/>
                <w:kern w:val="0"/>
                <w:sz w:val="18"/>
                <w:szCs w:val="18"/>
              </w:rPr>
              <w:t>3.鼓励汉素研发工业大麻新产品。</w:t>
            </w:r>
          </w:p>
        </w:tc>
      </w:tr>
      <w:tr>
        <w:tblPrEx>
          <w:tblLayout w:type="fixed"/>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装备智造</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hint="eastAsia" w:eastAsia="仿宋_GB2312"/>
                <w:kern w:val="0"/>
                <w:sz w:val="18"/>
                <w:szCs w:val="18"/>
              </w:rPr>
              <w:t>1.推动制造业数字化转型向纵深扩展；</w:t>
            </w:r>
          </w:p>
          <w:p>
            <w:pPr>
              <w:widowControl/>
              <w:adjustRightInd w:val="0"/>
              <w:snapToGrid w:val="0"/>
              <w:spacing w:line="240" w:lineRule="atLeast"/>
              <w:rPr>
                <w:kern w:val="0"/>
                <w:sz w:val="18"/>
                <w:szCs w:val="18"/>
              </w:rPr>
            </w:pPr>
            <w:r>
              <w:rPr>
                <w:rFonts w:hint="eastAsia" w:eastAsia="仿宋_GB2312"/>
                <w:kern w:val="0"/>
                <w:sz w:val="18"/>
                <w:szCs w:val="18"/>
              </w:rPr>
              <w:t>2.先进装备智造产值占规模以上工业总产值比重提升至23%。</w:t>
            </w:r>
          </w:p>
        </w:tc>
      </w:tr>
      <w:tr>
        <w:tblPrEx>
          <w:tblLayout w:type="fixed"/>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hint="eastAsia" w:eastAsia="仿宋_GB2312"/>
                <w:kern w:val="0"/>
                <w:sz w:val="18"/>
                <w:szCs w:val="18"/>
              </w:rPr>
              <w:t>着力补链</w:t>
            </w: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文化创意</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hint="eastAsia" w:eastAsia="仿宋_GB2312"/>
                <w:kern w:val="0"/>
                <w:sz w:val="18"/>
                <w:szCs w:val="18"/>
              </w:rPr>
              <w:t>1.实施文化产业集聚提升工程，打造1家“省级文化产业示范园区”；</w:t>
            </w:r>
          </w:p>
          <w:p>
            <w:pPr>
              <w:widowControl/>
              <w:adjustRightInd w:val="0"/>
              <w:snapToGrid w:val="0"/>
              <w:spacing w:line="240" w:lineRule="atLeas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2.建立“区级文化创意产业重点项目库”；</w:t>
            </w:r>
          </w:p>
          <w:p>
            <w:pPr>
              <w:widowControl/>
              <w:adjustRightInd w:val="0"/>
              <w:snapToGrid w:val="0"/>
              <w:spacing w:line="240" w:lineRule="atLeast"/>
              <w:rPr>
                <w:kern w:val="0"/>
                <w:sz w:val="18"/>
                <w:szCs w:val="18"/>
              </w:rPr>
            </w:pPr>
            <w:r>
              <w:rPr>
                <w:rFonts w:hint="eastAsia" w:eastAsia="仿宋_GB2312"/>
                <w:kern w:val="0"/>
                <w:sz w:val="18"/>
                <w:szCs w:val="18"/>
              </w:rPr>
              <w:br w:type="page"/>
            </w:r>
            <w:r>
              <w:rPr>
                <w:rFonts w:hint="eastAsia" w:eastAsia="仿宋_GB2312"/>
                <w:kern w:val="0"/>
                <w:sz w:val="18"/>
                <w:szCs w:val="18"/>
              </w:rPr>
              <w:t>3.确保文化及相关产业增加值达66亿元以上。</w:t>
            </w:r>
          </w:p>
        </w:tc>
      </w:tr>
      <w:tr>
        <w:tblPrEx>
          <w:tblLayout w:type="fixed"/>
          <w:tblCellMar>
            <w:top w:w="0" w:type="dxa"/>
            <w:left w:w="108" w:type="dxa"/>
            <w:bottom w:w="0" w:type="dxa"/>
            <w:right w:w="108" w:type="dxa"/>
          </w:tblCellMar>
        </w:tblPrEx>
        <w:trPr>
          <w:trHeight w:val="306"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商贸物流</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hint="eastAsia" w:eastAsia="仿宋_GB2312"/>
                <w:kern w:val="0"/>
                <w:sz w:val="18"/>
                <w:szCs w:val="18"/>
              </w:rPr>
              <w:t>发展智慧商贸服务业，推动“八大商圈”提质升级，加快海伦堡中央广场等商圈建设。</w:t>
            </w:r>
          </w:p>
        </w:tc>
      </w:tr>
      <w:tr>
        <w:tblPrEx>
          <w:tblLayout w:type="fixed"/>
          <w:tblCellMar>
            <w:top w:w="0" w:type="dxa"/>
            <w:left w:w="108" w:type="dxa"/>
            <w:bottom w:w="0" w:type="dxa"/>
            <w:right w:w="108" w:type="dxa"/>
          </w:tblCellMar>
        </w:tblPrEx>
        <w:trPr>
          <w:trHeight w:val="964"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二、坚持稳中求进，保持高质量发展“稳定力”</w:t>
            </w:r>
          </w:p>
        </w:tc>
        <w:tc>
          <w:tcPr>
            <w:tcW w:w="298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hint="eastAsia" w:eastAsia="仿宋_GB2312"/>
                <w:kern w:val="0"/>
                <w:sz w:val="18"/>
                <w:szCs w:val="18"/>
              </w:rPr>
              <w:t>2．提升4×3产业“链接力”</w:t>
            </w: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hint="eastAsia" w:eastAsia="仿宋_GB2312"/>
                <w:kern w:val="0"/>
                <w:sz w:val="18"/>
                <w:szCs w:val="18"/>
              </w:rPr>
              <w:t>着力补链</w:t>
            </w: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主题旅游</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1.丰富主题旅游场景，加快全域旅游示范区创建；</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2.编制完成《西山区旅游发展远景规划》，启动实施西山景区健康步道（二期）改造工程；</w:t>
            </w:r>
          </w:p>
          <w:p>
            <w:pPr>
              <w:widowControl/>
              <w:adjustRightInd w:val="0"/>
              <w:snapToGrid w:val="0"/>
              <w:spacing w:line="220" w:lineRule="exact"/>
              <w:jc w:val="left"/>
              <w:rPr>
                <w:kern w:val="0"/>
                <w:sz w:val="18"/>
                <w:szCs w:val="18"/>
              </w:rPr>
            </w:pPr>
            <w:r>
              <w:rPr>
                <w:rFonts w:hint="eastAsia" w:eastAsia="仿宋_GB2312"/>
                <w:kern w:val="0"/>
                <w:sz w:val="18"/>
                <w:szCs w:val="18"/>
              </w:rPr>
              <w:t>3.推进旅游业总收入持续增长。</w:t>
            </w:r>
          </w:p>
        </w:tc>
      </w:tr>
      <w:tr>
        <w:tblPrEx>
          <w:tblLayout w:type="fixed"/>
          <w:tblCellMar>
            <w:top w:w="0" w:type="dxa"/>
            <w:left w:w="108" w:type="dxa"/>
            <w:bottom w:w="0" w:type="dxa"/>
            <w:right w:w="108" w:type="dxa"/>
          </w:tblCellMar>
        </w:tblPrEx>
        <w:trPr>
          <w:trHeight w:val="964"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hint="eastAsia" w:eastAsia="仿宋_GB2312"/>
                <w:kern w:val="0"/>
                <w:sz w:val="18"/>
                <w:szCs w:val="18"/>
              </w:rPr>
              <w:t>着力延链</w:t>
            </w: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生态农业</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1.坚持“大产业+新主体+新平台”发展思路；</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2.壮大绿色食品牌，推进特色水果产业基地、林下中药材科技示范园、巨石寨休闲观光农场建设；</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3.培育壮大龙头企业3家以上，新增家庭农场5个以上。</w:t>
            </w:r>
          </w:p>
        </w:tc>
      </w:tr>
      <w:tr>
        <w:tblPrEx>
          <w:tblLayout w:type="fixed"/>
          <w:tblCellMar>
            <w:top w:w="0" w:type="dxa"/>
            <w:left w:w="108" w:type="dxa"/>
            <w:bottom w:w="0" w:type="dxa"/>
            <w:right w:w="108" w:type="dxa"/>
          </w:tblCellMar>
        </w:tblPrEx>
        <w:trPr>
          <w:trHeight w:val="964"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金融结算</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1.加快金融集聚；</w:t>
            </w:r>
          </w:p>
          <w:p>
            <w:pPr>
              <w:widowControl/>
              <w:adjustRightInd w:val="0"/>
              <w:snapToGrid w:val="0"/>
              <w:spacing w:line="220" w:lineRule="exact"/>
              <w:jc w:val="left"/>
              <w:rPr>
                <w:rFonts w:eastAsia="仿宋_GB2312"/>
                <w:spacing w:val="-6"/>
                <w:kern w:val="0"/>
                <w:sz w:val="18"/>
                <w:szCs w:val="18"/>
              </w:rPr>
            </w:pPr>
            <w:r>
              <w:rPr>
                <w:rFonts w:hint="eastAsia" w:eastAsia="仿宋_GB2312"/>
                <w:kern w:val="0"/>
                <w:sz w:val="18"/>
                <w:szCs w:val="18"/>
              </w:rPr>
              <w:t>2.</w:t>
            </w:r>
            <w:r>
              <w:rPr>
                <w:rFonts w:hint="eastAsia" w:eastAsia="仿宋_GB2312"/>
                <w:spacing w:val="-6"/>
                <w:kern w:val="0"/>
                <w:sz w:val="18"/>
                <w:szCs w:val="18"/>
              </w:rPr>
              <w:t>一季度实现渤海银行云南分行开业，新增各类金融机构5户以上；</w:t>
            </w:r>
          </w:p>
          <w:p>
            <w:pPr>
              <w:widowControl/>
              <w:adjustRightInd w:val="0"/>
              <w:snapToGrid w:val="0"/>
              <w:spacing w:line="220" w:lineRule="exact"/>
              <w:jc w:val="left"/>
              <w:rPr>
                <w:rFonts w:eastAsia="仿宋_GB2312"/>
                <w:kern w:val="0"/>
                <w:sz w:val="18"/>
                <w:szCs w:val="18"/>
              </w:rPr>
            </w:pPr>
            <w:r>
              <w:rPr>
                <w:rFonts w:hint="eastAsia" w:eastAsia="仿宋_GB2312"/>
                <w:spacing w:val="-6"/>
                <w:kern w:val="0"/>
                <w:sz w:val="18"/>
                <w:szCs w:val="18"/>
              </w:rPr>
              <w:t>3.力争实现金融业增加值不低于155亿元。</w:t>
            </w:r>
          </w:p>
        </w:tc>
      </w:tr>
      <w:tr>
        <w:tblPrEx>
          <w:tblLayout w:type="fixed"/>
          <w:tblCellMar>
            <w:top w:w="0" w:type="dxa"/>
            <w:left w:w="108" w:type="dxa"/>
            <w:bottom w:w="0" w:type="dxa"/>
            <w:right w:w="108" w:type="dxa"/>
          </w:tblCellMar>
        </w:tblPrEx>
        <w:trPr>
          <w:trHeight w:val="964"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军民融合</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依托海口云南西仪公司、云光发展集团有限公司技术研发优势，培育引导上下游企业，打造海口军民融合产业发展基地。</w:t>
            </w:r>
          </w:p>
        </w:tc>
      </w:tr>
      <w:tr>
        <w:tblPrEx>
          <w:tblLayout w:type="fixed"/>
          <w:tblCellMar>
            <w:top w:w="0" w:type="dxa"/>
            <w:left w:w="108" w:type="dxa"/>
            <w:bottom w:w="0" w:type="dxa"/>
            <w:right w:w="108" w:type="dxa"/>
          </w:tblCellMar>
        </w:tblPrEx>
        <w:trPr>
          <w:trHeight w:val="964"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hint="eastAsia" w:eastAsia="仿宋_GB2312"/>
                <w:kern w:val="0"/>
                <w:sz w:val="18"/>
                <w:szCs w:val="18"/>
              </w:rPr>
              <w:t>着力强链</w:t>
            </w: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大健康产业</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1.拓展大健康产业链，突出“医养食药游”全产业链融合发展；</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2.落地建设云南白药集团健康医疗中心，实体化运行团结中医药产业；</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3.转型升级发展卧云山生态文旅产业；</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4.新增医养结合机构4家；</w:t>
            </w:r>
          </w:p>
          <w:p>
            <w:pPr>
              <w:widowControl/>
              <w:adjustRightInd w:val="0"/>
              <w:snapToGrid w:val="0"/>
              <w:spacing w:line="220" w:lineRule="exact"/>
              <w:jc w:val="left"/>
              <w:rPr>
                <w:kern w:val="0"/>
                <w:sz w:val="18"/>
                <w:szCs w:val="18"/>
              </w:rPr>
            </w:pPr>
            <w:r>
              <w:rPr>
                <w:rFonts w:hint="eastAsia" w:eastAsia="仿宋_GB2312"/>
                <w:kern w:val="0"/>
                <w:sz w:val="18"/>
                <w:szCs w:val="18"/>
              </w:rPr>
              <w:t>5.大健康产业增加值增长6%以上。</w:t>
            </w:r>
          </w:p>
        </w:tc>
      </w:tr>
      <w:tr>
        <w:tblPrEx>
          <w:tblLayout w:type="fixed"/>
          <w:tblCellMar>
            <w:top w:w="0" w:type="dxa"/>
            <w:left w:w="108" w:type="dxa"/>
            <w:bottom w:w="0" w:type="dxa"/>
            <w:right w:w="108" w:type="dxa"/>
          </w:tblCellMar>
        </w:tblPrEx>
        <w:trPr>
          <w:trHeight w:val="964"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数字经济</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1.全力推进数字经济先行区创建工作，加速推动腾云信息“数字文旅产业园”、百度“智能交通”等项目落地；</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2.构建以“电子信息、智能制造”为核心的产业加速器；</w:t>
            </w:r>
          </w:p>
          <w:p>
            <w:pPr>
              <w:widowControl/>
              <w:adjustRightInd w:val="0"/>
              <w:snapToGrid w:val="0"/>
              <w:spacing w:line="220" w:lineRule="exact"/>
              <w:jc w:val="left"/>
              <w:rPr>
                <w:kern w:val="0"/>
                <w:sz w:val="18"/>
                <w:szCs w:val="18"/>
              </w:rPr>
            </w:pPr>
            <w:r>
              <w:rPr>
                <w:rFonts w:hint="eastAsia" w:eastAsia="仿宋_GB2312"/>
                <w:kern w:val="0"/>
                <w:sz w:val="18"/>
                <w:szCs w:val="18"/>
              </w:rPr>
              <w:t>3.实现规模以上互联网和相关服务、软件和信息技术服务业营业收入增长10%以上。</w:t>
            </w:r>
          </w:p>
        </w:tc>
      </w:tr>
      <w:tr>
        <w:tblPrEx>
          <w:tblLayout w:type="fixed"/>
          <w:tblCellMar>
            <w:top w:w="0" w:type="dxa"/>
            <w:left w:w="108" w:type="dxa"/>
            <w:bottom w:w="0" w:type="dxa"/>
            <w:right w:w="108" w:type="dxa"/>
          </w:tblCellMar>
        </w:tblPrEx>
        <w:trPr>
          <w:trHeight w:val="964"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6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hint="eastAsia" w:eastAsia="仿宋_GB2312"/>
                <w:kern w:val="0"/>
                <w:sz w:val="18"/>
                <w:szCs w:val="18"/>
              </w:rPr>
              <w:t>服务贸易</w:t>
            </w:r>
          </w:p>
        </w:tc>
        <w:tc>
          <w:tcPr>
            <w:tcW w:w="782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1.联动滇池旅游度假区，发挥楼宇“1+2+N”服务管家团队效能；</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2.推动“五大”楼宇功能区建设；</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3..建立“闲置楼宇”资源库，有效激活总部企业“领头羊”效应；</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4.新培育总部企业2家以上；</w:t>
            </w:r>
          </w:p>
          <w:p>
            <w:pPr>
              <w:widowControl/>
              <w:adjustRightInd w:val="0"/>
              <w:snapToGrid w:val="0"/>
              <w:spacing w:line="220" w:lineRule="exact"/>
              <w:jc w:val="left"/>
              <w:rPr>
                <w:kern w:val="0"/>
                <w:sz w:val="18"/>
                <w:szCs w:val="18"/>
              </w:rPr>
            </w:pPr>
            <w:r>
              <w:rPr>
                <w:rFonts w:hint="eastAsia" w:eastAsia="仿宋_GB2312"/>
                <w:kern w:val="0"/>
                <w:sz w:val="18"/>
                <w:szCs w:val="18"/>
              </w:rPr>
              <w:br w:type="page"/>
            </w:r>
            <w:r>
              <w:rPr>
                <w:rFonts w:hint="eastAsia" w:eastAsia="仿宋_GB2312"/>
                <w:kern w:val="0"/>
                <w:sz w:val="18"/>
                <w:szCs w:val="18"/>
              </w:rPr>
              <w:t>5.实现税收千万元楼宇和亿元楼宇保有量有增长。</w:t>
            </w:r>
          </w:p>
        </w:tc>
      </w:tr>
      <w:tr>
        <w:tblPrEx>
          <w:tblLayout w:type="fixed"/>
          <w:tblCellMar>
            <w:top w:w="0" w:type="dxa"/>
            <w:left w:w="108" w:type="dxa"/>
            <w:bottom w:w="0" w:type="dxa"/>
            <w:right w:w="108" w:type="dxa"/>
          </w:tblCellMar>
        </w:tblPrEx>
        <w:trPr>
          <w:trHeight w:val="964"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3.增强新型消费“支撑力”</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1.激发数字消费活力，提升传统消费能级；</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2.发挥好云纺国家电子商务示范基地聚集优势，孵化电商产业集群，加速流量经济发展；</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3.丰富夜间商贸业态，重点打造东西寺塔、大悦城—云纺等夜间经济示范街区；</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4.设立1—3个新能源汽车销售聚集区，加快大宗消费发展；</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5.加快农村电子商务体系和快递物流配送体系建设；</w:t>
            </w:r>
          </w:p>
          <w:p>
            <w:pPr>
              <w:widowControl/>
              <w:adjustRightInd w:val="0"/>
              <w:snapToGrid w:val="0"/>
              <w:spacing w:line="220" w:lineRule="exact"/>
              <w:jc w:val="left"/>
              <w:rPr>
                <w:kern w:val="0"/>
                <w:sz w:val="18"/>
                <w:szCs w:val="18"/>
              </w:rPr>
            </w:pPr>
            <w:r>
              <w:rPr>
                <w:rFonts w:hint="eastAsia" w:eastAsia="仿宋_GB2312"/>
                <w:kern w:val="0"/>
                <w:sz w:val="18"/>
                <w:szCs w:val="18"/>
              </w:rPr>
              <w:t>6.实施“西山农产”品牌计划，增加绿色优质农产品供给，进一步释放农村消费市场潜力。</w:t>
            </w:r>
          </w:p>
        </w:tc>
      </w:tr>
      <w:tr>
        <w:tblPrEx>
          <w:tblLayout w:type="fixed"/>
          <w:tblCellMar>
            <w:top w:w="0" w:type="dxa"/>
            <w:left w:w="108" w:type="dxa"/>
            <w:bottom w:w="0" w:type="dxa"/>
            <w:right w:w="108" w:type="dxa"/>
          </w:tblCellMar>
        </w:tblPrEx>
        <w:trPr>
          <w:trHeight w:val="1191" w:hRule="atLeast"/>
          <w:jc w:val="center"/>
        </w:trPr>
        <w:tc>
          <w:tcPr>
            <w:tcW w:w="112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二、坚持稳中求进，保持高质量发展“稳定力”</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4.推进乡村振兴“高质量”</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1.精准帮扶“三类”（脱贫不稳定户、边缘易致贫户、突发严重困难户）群体，确保不发生规模性返贫；</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2.深入推进“干部回乡规划乡村振兴行动”，一季度指导完成“五个振兴”方案编制印发，全年完成25个实用性村庄规划编制，开展团结章百等3个乡村振兴示范村规划设计；</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3.实现滇池沿线农村卫生厕所普及率达95%以上，村内户外道路硬化100%；</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4.落实农村宅基地联审联管机制；</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5.深入推进优质粮食工程，实现粮食总产1.2万吨，牢牢守住粮食安全底线；</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6.打造乡村振兴特色产业，加快发展“农业+文旅”都市休闲农业，打造碧鸡、海口、团结等休闲目的地，实现休闲农业和乡村旅游业收入增长；</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7.城乡居民收入比由2.08降至2.06，实现城乡更加均衡发展，推进实现共同富裕。</w:t>
            </w:r>
          </w:p>
        </w:tc>
      </w:tr>
      <w:tr>
        <w:tblPrEx>
          <w:tblLayout w:type="fixed"/>
          <w:tblCellMar>
            <w:top w:w="0" w:type="dxa"/>
            <w:left w:w="108" w:type="dxa"/>
            <w:bottom w:w="0" w:type="dxa"/>
            <w:right w:w="108" w:type="dxa"/>
          </w:tblCellMar>
        </w:tblPrEx>
        <w:trPr>
          <w:trHeight w:val="1191"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三、加快园区开发，提升高质量发展“开拓力”</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5.打造开发园区“新引擎”</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1.一季度基本完成西山产业开发园区总体规划编制和申报；</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2.整合打造海口工业园区、长坡园区、团结片区“一区三片”的省级开发园区；</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3.促进工业发展全面转型升级，塑造集约化、高品质、工业上楼的“产业新城”空间新形态；</w:t>
            </w:r>
          </w:p>
          <w:p>
            <w:pPr>
              <w:widowControl/>
              <w:adjustRightInd w:val="0"/>
              <w:snapToGrid w:val="0"/>
              <w:spacing w:line="240" w:lineRule="atLeast"/>
              <w:jc w:val="left"/>
              <w:rPr>
                <w:kern w:val="0"/>
                <w:sz w:val="18"/>
                <w:szCs w:val="18"/>
              </w:rPr>
            </w:pPr>
            <w:r>
              <w:rPr>
                <w:rFonts w:hint="eastAsia" w:eastAsia="仿宋_GB2312"/>
                <w:kern w:val="0"/>
                <w:sz w:val="18"/>
                <w:szCs w:val="18"/>
              </w:rPr>
              <w:t>4.聚焦绿色制造、创新孵化，加快形成新的产业发展高地。</w:t>
            </w:r>
          </w:p>
        </w:tc>
      </w:tr>
      <w:tr>
        <w:tblPrEx>
          <w:tblLayout w:type="fixed"/>
          <w:tblCellMar>
            <w:top w:w="0" w:type="dxa"/>
            <w:left w:w="108" w:type="dxa"/>
            <w:bottom w:w="0" w:type="dxa"/>
            <w:right w:w="108" w:type="dxa"/>
          </w:tblCellMar>
        </w:tblPrEx>
        <w:trPr>
          <w:trHeight w:val="1191"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6.培育新兴产业“新动能”</w:t>
            </w: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海口工业园区</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1全力推进海口全域土地综合整治试点，力争年内新增工业用地2000亩；</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2.二季度省级工业园区新产业规划通过审核；</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3.推进福石科技公司精细磷化工产业园开工建设；</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4.实现中烟异地技改项目竣工投产；</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5.着力培育精细磷化工、新材料和先进装备制造集群；</w:t>
            </w:r>
          </w:p>
          <w:p>
            <w:pPr>
              <w:widowControl/>
              <w:adjustRightInd w:val="0"/>
              <w:snapToGrid w:val="0"/>
              <w:spacing w:line="240" w:lineRule="atLeast"/>
              <w:jc w:val="left"/>
              <w:rPr>
                <w:kern w:val="0"/>
                <w:sz w:val="18"/>
                <w:szCs w:val="18"/>
              </w:rPr>
            </w:pPr>
            <w:r>
              <w:rPr>
                <w:rFonts w:hint="eastAsia" w:eastAsia="仿宋_GB2312"/>
                <w:kern w:val="0"/>
                <w:sz w:val="18"/>
                <w:szCs w:val="18"/>
              </w:rPr>
              <w:t>6.打造成为全省具有示范效果的新型工业园区。</w:t>
            </w:r>
          </w:p>
        </w:tc>
      </w:tr>
      <w:tr>
        <w:tblPrEx>
          <w:tblLayout w:type="fixed"/>
          <w:tblCellMar>
            <w:top w:w="0" w:type="dxa"/>
            <w:left w:w="108" w:type="dxa"/>
            <w:bottom w:w="0" w:type="dxa"/>
            <w:right w:w="108" w:type="dxa"/>
          </w:tblCellMar>
        </w:tblPrEx>
        <w:trPr>
          <w:trHeight w:val="1191"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长坡园区</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1.争取上半年完成长坡园区省级绿色低碳产业园、新能源产业园申报；</w:t>
            </w:r>
          </w:p>
          <w:p>
            <w:pPr>
              <w:widowControl/>
              <w:adjustRightInd w:val="0"/>
              <w:snapToGrid w:val="0"/>
              <w:spacing w:line="240" w:lineRule="atLeast"/>
              <w:jc w:val="left"/>
              <w:rPr>
                <w:kern w:val="0"/>
                <w:sz w:val="18"/>
                <w:szCs w:val="18"/>
              </w:rPr>
            </w:pPr>
            <w:r>
              <w:rPr>
                <w:rFonts w:hint="eastAsia" w:eastAsia="仿宋_GB2312"/>
                <w:kern w:val="0"/>
                <w:sz w:val="18"/>
                <w:szCs w:val="18"/>
              </w:rPr>
              <w:t>2.打造昆明西部集“科创、文创、绿创”为一体的产业新城。</w:t>
            </w:r>
          </w:p>
        </w:tc>
      </w:tr>
      <w:tr>
        <w:tblPrEx>
          <w:tblLayout w:type="fixed"/>
          <w:tblCellMar>
            <w:top w:w="0" w:type="dxa"/>
            <w:left w:w="108" w:type="dxa"/>
            <w:bottom w:w="0" w:type="dxa"/>
            <w:right w:w="108" w:type="dxa"/>
          </w:tblCellMar>
        </w:tblPrEx>
        <w:trPr>
          <w:trHeight w:val="1191"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团结片区</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打造以高原特色都市农业为基础、大健康产业为主导、智慧物流产业为特色的绿色产业片区，塑造西部绿色增长极。</w:t>
            </w:r>
          </w:p>
        </w:tc>
      </w:tr>
      <w:tr>
        <w:tblPrEx>
          <w:tblLayout w:type="fixed"/>
          <w:tblCellMar>
            <w:top w:w="0" w:type="dxa"/>
            <w:left w:w="108" w:type="dxa"/>
            <w:bottom w:w="0" w:type="dxa"/>
            <w:right w:w="108" w:type="dxa"/>
          </w:tblCellMar>
        </w:tblPrEx>
        <w:trPr>
          <w:trHeight w:val="1191"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7.三片开发拓展“新空间”</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1.落实新兴产业用地政策，.试行产业用地“已补就用、限退转用、先租后让、边用边让”，弹性供应用地；</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2.实现海口、长坡、团结片区“M0或M4”新型产业用地新突破，年内产业用地开工建设不少于2000亩；</w:t>
            </w:r>
          </w:p>
          <w:p>
            <w:pPr>
              <w:widowControl/>
              <w:adjustRightInd w:val="0"/>
              <w:snapToGrid w:val="0"/>
              <w:spacing w:line="240" w:lineRule="atLeast"/>
              <w:jc w:val="left"/>
              <w:rPr>
                <w:kern w:val="0"/>
                <w:sz w:val="18"/>
                <w:szCs w:val="18"/>
              </w:rPr>
            </w:pPr>
            <w:r>
              <w:rPr>
                <w:rFonts w:hint="eastAsia" w:eastAsia="仿宋_GB2312"/>
                <w:kern w:val="0"/>
                <w:sz w:val="18"/>
                <w:szCs w:val="18"/>
              </w:rPr>
              <w:t>3.力争新规划区级产业开发园区规划总面积达</w:t>
            </w:r>
            <w:r>
              <w:rPr>
                <w:rFonts w:eastAsia="仿宋_GB2312"/>
                <w:kern w:val="0"/>
                <w:sz w:val="18"/>
                <w:szCs w:val="18"/>
              </w:rPr>
              <w:t>35</w:t>
            </w:r>
            <w:r>
              <w:rPr>
                <w:rFonts w:hint="eastAsia" w:eastAsia="仿宋_GB2312"/>
                <w:kern w:val="0"/>
                <w:sz w:val="18"/>
                <w:szCs w:val="18"/>
              </w:rPr>
              <w:t>平方公里，其中海口片区23.9平方公里、长坡片区</w:t>
            </w:r>
            <w:r>
              <w:rPr>
                <w:rFonts w:eastAsia="仿宋_GB2312"/>
                <w:kern w:val="0"/>
                <w:sz w:val="18"/>
                <w:szCs w:val="18"/>
              </w:rPr>
              <w:t>7.1</w:t>
            </w:r>
            <w:r>
              <w:rPr>
                <w:rFonts w:hint="eastAsia" w:eastAsia="仿宋_GB2312"/>
                <w:kern w:val="0"/>
                <w:sz w:val="18"/>
                <w:szCs w:val="18"/>
              </w:rPr>
              <w:t>平方公里、团结片区4平方公里。</w:t>
            </w:r>
          </w:p>
        </w:tc>
      </w:tr>
      <w:tr>
        <w:tblPrEx>
          <w:tblLayout w:type="fixed"/>
          <w:tblCellMar>
            <w:top w:w="0" w:type="dxa"/>
            <w:left w:w="108" w:type="dxa"/>
            <w:bottom w:w="0" w:type="dxa"/>
            <w:right w:w="108" w:type="dxa"/>
          </w:tblCellMar>
        </w:tblPrEx>
        <w:trPr>
          <w:trHeight w:val="1117"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topLinePunct/>
              <w:adjustRightInd w:val="0"/>
              <w:snapToGrid w:val="0"/>
              <w:spacing w:line="240" w:lineRule="atLeast"/>
              <w:rPr>
                <w:b/>
                <w:bCs/>
                <w:kern w:val="0"/>
                <w:sz w:val="18"/>
                <w:szCs w:val="18"/>
              </w:rPr>
            </w:pPr>
            <w:r>
              <w:rPr>
                <w:rFonts w:hint="eastAsia" w:eastAsia="仿宋_GB2312"/>
                <w:b/>
                <w:bCs/>
                <w:kern w:val="0"/>
                <w:sz w:val="18"/>
                <w:szCs w:val="18"/>
              </w:rPr>
              <w:t>四、坚持投资拉动，打好基础建设适度“超前量”</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8.谋划储备项目“扩投资”</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1.适度超前开展基础设施投资，发挥政府投资引导作用，鼓励和引导民间资本参与项目建设；</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2.推进实施投资项目309项，计划总投资2128.9亿元，年度计划投资432.1亿元；</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3.建立健全投资项目动态储备库，系统整理近三年来完成立项备案、可行性研究报告初审、已安排前期工作经费及已同意开展前期工作的项目，实行月监测、季增补、半年报告、年度调整，不断充实项目支撑。</w:t>
            </w:r>
          </w:p>
        </w:tc>
      </w:tr>
      <w:tr>
        <w:tblPrEx>
          <w:tblLayout w:type="fixed"/>
          <w:tblCellMar>
            <w:top w:w="0" w:type="dxa"/>
            <w:left w:w="108" w:type="dxa"/>
            <w:bottom w:w="0" w:type="dxa"/>
            <w:right w:w="108" w:type="dxa"/>
          </w:tblCellMar>
        </w:tblPrEx>
        <w:trPr>
          <w:trHeight w:val="111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9.强化要素保障“稳投资”</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1.全年安排项目前期工作经费不少于8000万元；</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2.积极争取上级资金支持不少于8亿元；</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3.争取发行地方政府专项债券12亿元；</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4.对省、市、区重点项目、增强产业链接力项目和重点招商引资项目，进一步创新审批模式，建立联审联批及“绿色审批通道”制度；</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5进一步压缩项目审批时限，社会投资一般性建设项目压缩到60个工作日，工业类建设项目压缩到55个工作日，社会投资方出让土地类建设项目压缩到45个工作日。</w:t>
            </w:r>
          </w:p>
        </w:tc>
      </w:tr>
      <w:tr>
        <w:tblPrEx>
          <w:tblLayout w:type="fixed"/>
          <w:tblCellMar>
            <w:top w:w="0" w:type="dxa"/>
            <w:left w:w="108" w:type="dxa"/>
            <w:bottom w:w="0" w:type="dxa"/>
            <w:right w:w="108" w:type="dxa"/>
          </w:tblCellMar>
        </w:tblPrEx>
        <w:trPr>
          <w:trHeight w:val="111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40" w:lineRule="atLeast"/>
              <w:rPr>
                <w:b/>
                <w:bCs/>
                <w:kern w:val="0"/>
                <w:sz w:val="18"/>
                <w:szCs w:val="18"/>
              </w:rPr>
            </w:pPr>
          </w:p>
        </w:tc>
        <w:tc>
          <w:tcPr>
            <w:tcW w:w="2983" w:type="dxa"/>
            <w:vMerge w:val="restart"/>
            <w:tcBorders>
              <w:top w:val="single" w:color="auto" w:sz="4" w:space="0"/>
              <w:left w:val="nil"/>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10.增强五网设施“保障力”</w:t>
            </w:r>
          </w:p>
          <w:p>
            <w:pPr>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优化综合交通网</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1.持续推进渝昆高铁昆明西客站综合交通枢纽项目和昆安高速下层B段、兴团大道（北段）、绿荫大道等7条道路建设；</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2.上半年完成益宁路下穿贯通项目征地拆迁，推进益宁路下穿成昆铁路南段建设；</w:t>
            </w:r>
          </w:p>
          <w:p>
            <w:pPr>
              <w:widowControl/>
              <w:adjustRightInd w:val="0"/>
              <w:snapToGrid w:val="0"/>
              <w:spacing w:line="240" w:lineRule="atLeast"/>
              <w:jc w:val="left"/>
              <w:rPr>
                <w:kern w:val="0"/>
                <w:sz w:val="18"/>
                <w:szCs w:val="18"/>
              </w:rPr>
            </w:pPr>
            <w:r>
              <w:rPr>
                <w:rFonts w:hint="eastAsia" w:eastAsia="仿宋_GB2312"/>
                <w:kern w:val="0"/>
                <w:sz w:val="18"/>
                <w:szCs w:val="18"/>
              </w:rPr>
              <w:t>3.优化提质23条重要城市道路。</w:t>
            </w:r>
          </w:p>
        </w:tc>
      </w:tr>
      <w:tr>
        <w:tblPrEx>
          <w:tblLayout w:type="fixed"/>
          <w:tblCellMar>
            <w:top w:w="0" w:type="dxa"/>
            <w:left w:w="108" w:type="dxa"/>
            <w:bottom w:w="0" w:type="dxa"/>
            <w:right w:w="108" w:type="dxa"/>
          </w:tblCellMar>
        </w:tblPrEx>
        <w:trPr>
          <w:trHeight w:val="1117" w:hRule="atLeast"/>
          <w:jc w:val="center"/>
        </w:trPr>
        <w:tc>
          <w:tcPr>
            <w:tcW w:w="1123" w:type="dxa"/>
            <w:vMerge w:val="continue"/>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left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提质城乡水网</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1.持续推进农业水价综合改革；</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2.大力推进城乡一体化农村供水保障工程建设；</w:t>
            </w:r>
          </w:p>
          <w:p>
            <w:pPr>
              <w:pStyle w:val="26"/>
              <w:ind w:firstLine="0" w:firstLineChars="0"/>
              <w:rPr>
                <w:rFonts w:ascii="Times New Roman" w:hAnsi="Times New Roman"/>
                <w:kern w:val="0"/>
                <w:sz w:val="18"/>
                <w:szCs w:val="18"/>
              </w:rPr>
            </w:pPr>
            <w:r>
              <w:rPr>
                <w:rFonts w:hint="eastAsia" w:ascii="Times New Roman" w:hAnsi="Times New Roman" w:eastAsia="仿宋_GB2312"/>
                <w:kern w:val="0"/>
                <w:sz w:val="18"/>
                <w:szCs w:val="18"/>
              </w:rPr>
              <w:t>3.加快推进海口自来水厂及88座农村生活污水处理设施建设。</w:t>
            </w:r>
          </w:p>
        </w:tc>
      </w:tr>
      <w:tr>
        <w:tblPrEx>
          <w:tblLayout w:type="fixed"/>
          <w:tblCellMar>
            <w:top w:w="0" w:type="dxa"/>
            <w:left w:w="108" w:type="dxa"/>
            <w:bottom w:w="0" w:type="dxa"/>
            <w:right w:w="108" w:type="dxa"/>
          </w:tblCellMar>
        </w:tblPrEx>
        <w:trPr>
          <w:trHeight w:val="111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left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拓展低碳能源网</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1.实现城市生活垃圾焚烧发电改扩建项目竣工投产；</w:t>
            </w:r>
          </w:p>
          <w:p>
            <w:pPr>
              <w:widowControl/>
              <w:adjustRightInd w:val="0"/>
              <w:snapToGrid w:val="0"/>
              <w:spacing w:line="240" w:lineRule="atLeast"/>
              <w:jc w:val="left"/>
              <w:rPr>
                <w:kern w:val="0"/>
                <w:sz w:val="18"/>
                <w:szCs w:val="18"/>
              </w:rPr>
            </w:pPr>
            <w:r>
              <w:rPr>
                <w:rFonts w:hint="eastAsia" w:eastAsia="仿宋_GB2312"/>
                <w:kern w:val="0"/>
                <w:sz w:val="18"/>
                <w:szCs w:val="18"/>
              </w:rPr>
              <w:t>2.新能源新增发电量增长20%。</w:t>
            </w:r>
          </w:p>
        </w:tc>
      </w:tr>
      <w:tr>
        <w:tblPrEx>
          <w:tblLayout w:type="fixed"/>
          <w:tblCellMar>
            <w:top w:w="0" w:type="dxa"/>
            <w:left w:w="108" w:type="dxa"/>
            <w:bottom w:w="0" w:type="dxa"/>
            <w:right w:w="108" w:type="dxa"/>
          </w:tblCellMar>
        </w:tblPrEx>
        <w:trPr>
          <w:trHeight w:val="111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left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扩大信息网</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1.扩大新型信息网；</w:t>
            </w:r>
          </w:p>
          <w:p>
            <w:pPr>
              <w:widowControl/>
              <w:adjustRightInd w:val="0"/>
              <w:snapToGrid w:val="0"/>
              <w:spacing w:line="240" w:lineRule="atLeast"/>
              <w:jc w:val="left"/>
              <w:rPr>
                <w:kern w:val="0"/>
                <w:sz w:val="18"/>
                <w:szCs w:val="18"/>
              </w:rPr>
            </w:pPr>
            <w:r>
              <w:rPr>
                <w:rFonts w:hint="eastAsia" w:eastAsia="仿宋_GB2312"/>
                <w:kern w:val="0"/>
                <w:sz w:val="18"/>
                <w:szCs w:val="18"/>
              </w:rPr>
              <w:t>2.深化新型基础设施建设，新建5G基站200座。</w:t>
            </w:r>
          </w:p>
        </w:tc>
      </w:tr>
      <w:tr>
        <w:tblPrEx>
          <w:tblLayout w:type="fixed"/>
          <w:tblCellMar>
            <w:top w:w="0" w:type="dxa"/>
            <w:left w:w="108" w:type="dxa"/>
            <w:bottom w:w="0" w:type="dxa"/>
            <w:right w:w="108" w:type="dxa"/>
          </w:tblCellMar>
        </w:tblPrEx>
        <w:trPr>
          <w:trHeight w:val="111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构建全域物流网</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布局建设全区121个社区物流配送点。</w:t>
            </w:r>
          </w:p>
        </w:tc>
      </w:tr>
      <w:tr>
        <w:tblPrEx>
          <w:tblLayout w:type="fixed"/>
          <w:tblCellMar>
            <w:top w:w="0" w:type="dxa"/>
            <w:left w:w="108" w:type="dxa"/>
            <w:bottom w:w="0" w:type="dxa"/>
            <w:right w:w="108" w:type="dxa"/>
          </w:tblCellMar>
        </w:tblPrEx>
        <w:trPr>
          <w:trHeight w:val="20"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五、深化改革创新，赋能高质量发展“内生力”</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11.强化科技创新“驱动力”</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1.加大科技投入，实现全社会R&amp;D经费投入15亿元以上；</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2.实施科技计划项目28项；</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3.强化企业创新主体地位，力争新增科技创新平台1个、国家高新技术企业15家以上、市级以上孵化器2个以上；</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4.加快推进与上海飞镖等科创先进企业合作，服务解决企业“卡脖子”难题；</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5.推进电信公众“昆明市区块链公共服务平台”项目，提升产业应用与监管精准化、标准化水平；</w:t>
            </w:r>
          </w:p>
          <w:p>
            <w:pPr>
              <w:widowControl/>
              <w:adjustRightInd w:val="0"/>
              <w:snapToGrid w:val="0"/>
              <w:spacing w:line="240" w:lineRule="atLeast"/>
              <w:jc w:val="left"/>
              <w:rPr>
                <w:kern w:val="0"/>
                <w:sz w:val="18"/>
                <w:szCs w:val="18"/>
              </w:rPr>
            </w:pPr>
            <w:r>
              <w:rPr>
                <w:rFonts w:hint="eastAsia" w:eastAsia="仿宋_GB2312"/>
                <w:kern w:val="0"/>
                <w:sz w:val="18"/>
                <w:szCs w:val="18"/>
              </w:rPr>
              <w:br w:type="page"/>
            </w:r>
            <w:r>
              <w:rPr>
                <w:rFonts w:hint="eastAsia" w:eastAsia="仿宋_GB2312"/>
                <w:kern w:val="0"/>
                <w:sz w:val="18"/>
                <w:szCs w:val="18"/>
              </w:rPr>
              <w:t>6.持续引才聚才，完善人才绿卡服务机制，新增人才产业项目10个。</w:t>
            </w:r>
          </w:p>
        </w:tc>
      </w:tr>
      <w:tr>
        <w:tblPrEx>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12.提升营商环境“精准度”</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1.推动营商环境整体优化，在全区范围内布置20台“e通办”政务服务自助设备；</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2.开展企业全生命周期服务，落实市级“一次办成一件事”服务改革试点工作；</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3.进一步推动25项自然人、18项法人全生命周期主题集成服务线上线下深度融合；</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4.上线“政企亲清通”服务平台；</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5.确保政务服务事项网上可办率达98%以上；</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6.企业开办时间压减至0.5个工作日；</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7.开展体验式监督，在全市率先试点营商环境民主党派（企业）观察站；</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8.大力实施中小微企业专项扶持工程和“四上企业”培育计划；</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9.全年市场主体增长15%以上，新增“规上、限上”企业不少于100家；</w:t>
            </w:r>
          </w:p>
          <w:p>
            <w:pPr>
              <w:widowControl/>
              <w:adjustRightInd w:val="0"/>
              <w:snapToGrid w:val="0"/>
              <w:spacing w:line="240" w:lineRule="atLeast"/>
              <w:jc w:val="left"/>
              <w:rPr>
                <w:kern w:val="0"/>
                <w:sz w:val="18"/>
                <w:szCs w:val="18"/>
              </w:rPr>
            </w:pPr>
            <w:r>
              <w:rPr>
                <w:rFonts w:hint="eastAsia" w:eastAsia="仿宋_GB2312"/>
                <w:kern w:val="0"/>
                <w:sz w:val="18"/>
                <w:szCs w:val="18"/>
              </w:rPr>
              <w:t>10.推动信用信息公开共享，不断增强金融服务中小微企业质效。</w:t>
            </w:r>
          </w:p>
        </w:tc>
      </w:tr>
      <w:tr>
        <w:tblPrEx>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13.深化全面改革“整体性”</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1.强化全链条改革工作落实；</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2.拓展金碧、棕树营民生事项审批服务试点改革；</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3.深入实施国企改革三年行动，全力推进西发展集团公司AA+信用提级，推动集团公司及各核心子公司向投、融、建、管综合运营型转型，提升国有资产运营管理质量和效益，全年完成融资不少于4</w:t>
            </w:r>
            <w:r>
              <w:rPr>
                <w:rFonts w:eastAsia="仿宋_GB2312"/>
                <w:kern w:val="0"/>
                <w:sz w:val="18"/>
                <w:szCs w:val="18"/>
              </w:rPr>
              <w:t>5</w:t>
            </w:r>
            <w:r>
              <w:rPr>
                <w:rFonts w:hint="eastAsia" w:eastAsia="仿宋_GB2312"/>
                <w:kern w:val="0"/>
                <w:sz w:val="18"/>
                <w:szCs w:val="18"/>
              </w:rPr>
              <w:t>亿元；</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4.制定2022年农村改革任务，推进农村集体经济发展壮大，有序开展农村不动产确权登记发证；</w:t>
            </w:r>
          </w:p>
          <w:p>
            <w:pPr>
              <w:widowControl/>
              <w:adjustRightInd w:val="0"/>
              <w:snapToGrid w:val="0"/>
              <w:spacing w:line="240" w:lineRule="atLeast"/>
              <w:jc w:val="left"/>
              <w:rPr>
                <w:kern w:val="0"/>
                <w:sz w:val="18"/>
                <w:szCs w:val="18"/>
              </w:rPr>
            </w:pPr>
            <w:r>
              <w:rPr>
                <w:rFonts w:hint="eastAsia" w:eastAsia="仿宋_GB2312"/>
                <w:kern w:val="0"/>
                <w:sz w:val="18"/>
                <w:szCs w:val="18"/>
              </w:rPr>
              <w:t>5.稳妥推进教育、卫生等重点领域改革。</w:t>
            </w:r>
          </w:p>
        </w:tc>
      </w:tr>
      <w:tr>
        <w:tblPrEx>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14.拓展招商引资“开放度”</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1.加大全产业链“双招双引”；</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2.强力推进“一把手”招商工程，全年主要领导带队外出招商不少于12次；</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3.积极引入清华海峡健康科技小镇等重点项目，着力产业链延链补链；</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4.构建“中介招商、委托招商、以商招商”联动招商工作机制；</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5.实施龙头企业培引计划，着力引进“三类”500强企业，加强靶向性、标杆性企业盯引；</w:t>
            </w:r>
          </w:p>
          <w:p>
            <w:pPr>
              <w:widowControl/>
              <w:adjustRightInd w:val="0"/>
              <w:snapToGrid w:val="0"/>
              <w:spacing w:line="240" w:lineRule="atLeast"/>
              <w:jc w:val="left"/>
              <w:rPr>
                <w:kern w:val="0"/>
                <w:sz w:val="18"/>
                <w:szCs w:val="18"/>
              </w:rPr>
            </w:pPr>
            <w:r>
              <w:rPr>
                <w:rFonts w:hint="eastAsia" w:eastAsia="仿宋_GB2312"/>
                <w:kern w:val="0"/>
                <w:sz w:val="18"/>
                <w:szCs w:val="18"/>
              </w:rPr>
              <w:t>6.力争引进省（市）外到位资金150亿元以上，利用外资7000万美元以上。</w:t>
            </w:r>
          </w:p>
        </w:tc>
      </w:tr>
      <w:tr>
        <w:tblPrEx>
          <w:tblLayout w:type="fixed"/>
          <w:tblCellMar>
            <w:top w:w="0" w:type="dxa"/>
            <w:left w:w="108" w:type="dxa"/>
            <w:bottom w:w="0" w:type="dxa"/>
            <w:right w:w="108" w:type="dxa"/>
          </w:tblCellMar>
        </w:tblPrEx>
        <w:trPr>
          <w:trHeight w:val="20" w:hRule="atLeast"/>
          <w:jc w:val="center"/>
        </w:trPr>
        <w:tc>
          <w:tcPr>
            <w:tcW w:w="112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六、坚持规划引领，提升美丽城市“宜居度”</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15.提升发展空间“承载力”</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1.高标准完成全区国土空间总体规划编制，优化多规合一的国土空间保护开发格局；</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2.预留120公顷新增城乡建设用地及新增建设用地耕地，专项保障乡村振兴农村一二三产业融合用地；</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3.完成海口全域土地综合整治试点项目不少于15个、投资不少于10亿元；</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4.上半年完成长坡园区控制性详细规划调整；</w:t>
            </w:r>
          </w:p>
          <w:p>
            <w:pPr>
              <w:widowControl/>
              <w:adjustRightInd w:val="0"/>
              <w:snapToGrid w:val="0"/>
              <w:spacing w:line="240" w:lineRule="atLeast"/>
              <w:jc w:val="left"/>
              <w:rPr>
                <w:kern w:val="0"/>
                <w:sz w:val="18"/>
                <w:szCs w:val="18"/>
              </w:rPr>
            </w:pPr>
            <w:r>
              <w:rPr>
                <w:rFonts w:hint="eastAsia" w:eastAsia="仿宋_GB2312"/>
                <w:kern w:val="0"/>
                <w:sz w:val="18"/>
                <w:szCs w:val="18"/>
              </w:rPr>
              <w:t>5.完成全区重点片区开发和城市更新改造土地收储约1000亩，土地供应不少于3184亩，实现出让收入约145亿元。</w:t>
            </w:r>
          </w:p>
        </w:tc>
      </w:tr>
      <w:tr>
        <w:tblPrEx>
          <w:tblLayout w:type="fixed"/>
          <w:tblCellMar>
            <w:top w:w="0" w:type="dxa"/>
            <w:left w:w="108" w:type="dxa"/>
            <w:bottom w:w="0" w:type="dxa"/>
            <w:right w:w="108" w:type="dxa"/>
          </w:tblCellMar>
        </w:tblPrEx>
        <w:trPr>
          <w:trHeight w:val="20" w:hRule="atLeast"/>
          <w:jc w:val="center"/>
        </w:trPr>
        <w:tc>
          <w:tcPr>
            <w:tcW w:w="112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六、坚持规划引领，提升美丽城市“宜居度”</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16.提升城市品质“高颜值”</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1.落实打造“中国春城”城市品牌；</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2.完成草海五号片区等15个街边小游园建设，新增城市绿地20公顷、公园绿地10公顷；</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3.实施城市有机更新行动，力争启动城中村6号、38号等城市更新改造项目；</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w:t>
            </w:r>
            <w:r>
              <w:rPr>
                <w:rFonts w:hint="eastAsia" w:eastAsia="仿宋_GB2312"/>
                <w:kern w:val="0"/>
                <w:sz w:val="18"/>
                <w:szCs w:val="18"/>
              </w:rPr>
              <w:br w:type="page"/>
            </w:r>
            <w:r>
              <w:rPr>
                <w:rFonts w:hint="eastAsia" w:eastAsia="仿宋_GB2312"/>
                <w:kern w:val="0"/>
                <w:sz w:val="18"/>
                <w:szCs w:val="18"/>
              </w:rPr>
              <w:t>改造60万平方米、</w:t>
            </w:r>
            <w:r>
              <w:rPr>
                <w:rFonts w:eastAsia="仿宋_GB2312"/>
                <w:kern w:val="0"/>
                <w:sz w:val="18"/>
                <w:szCs w:val="18"/>
              </w:rPr>
              <w:t>109</w:t>
            </w:r>
            <w:r>
              <w:rPr>
                <w:rFonts w:hint="eastAsia" w:eastAsia="仿宋_GB2312"/>
                <w:kern w:val="0"/>
                <w:sz w:val="18"/>
                <w:szCs w:val="18"/>
              </w:rPr>
              <w:t>个老旧小区；</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5.实施东寺街、书林街等15条以上支次道路、背街小巷环境提升整治；</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6.开展功能性照明设施改建补建项目；</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7.严格落实现有物管小区生活垃圾分类全覆盖，生活垃圾无害化处理率100%；</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8.开展城市防洪排涝体系综合提升工程，完成海绵城市建设2平方公里；</w:t>
            </w:r>
          </w:p>
          <w:p>
            <w:pPr>
              <w:widowControl/>
              <w:adjustRightInd w:val="0"/>
              <w:snapToGrid w:val="0"/>
              <w:spacing w:line="220" w:lineRule="exact"/>
              <w:jc w:val="left"/>
              <w:rPr>
                <w:kern w:val="0"/>
                <w:sz w:val="18"/>
                <w:szCs w:val="18"/>
              </w:rPr>
            </w:pPr>
            <w:r>
              <w:rPr>
                <w:rFonts w:hint="eastAsia" w:eastAsia="仿宋_GB2312"/>
                <w:kern w:val="0"/>
                <w:sz w:val="18"/>
                <w:szCs w:val="18"/>
              </w:rPr>
              <w:br w:type="page"/>
            </w:r>
            <w:r>
              <w:rPr>
                <w:rFonts w:hint="eastAsia" w:eastAsia="仿宋_GB2312"/>
                <w:kern w:val="0"/>
                <w:sz w:val="18"/>
                <w:szCs w:val="18"/>
              </w:rPr>
              <w:t>9.完成二环内雨污分流主体建设。</w:t>
            </w:r>
          </w:p>
        </w:tc>
      </w:tr>
      <w:tr>
        <w:tblPrEx>
          <w:tblLayout w:type="fixed"/>
          <w:tblCellMar>
            <w:top w:w="0" w:type="dxa"/>
            <w:left w:w="108" w:type="dxa"/>
            <w:bottom w:w="0" w:type="dxa"/>
            <w:right w:w="108" w:type="dxa"/>
          </w:tblCellMar>
        </w:tblPrEx>
        <w:trPr>
          <w:trHeight w:val="20"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七、聚力普惠优质，提升美好生活“幸福感”</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17.增强民生保障“踏实感”</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1.实施更加积极的就业政策，促进高校毕业生充分就业，支持就业困难人员灵活就业，延续实施失业保险“稳岗返还”政策；</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2.实现农村劳动力转移就业0.2万人，城镇新增就业2.81万人，城镇登记失业率控制在4.5%以内；</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3.推进实施全民参保计划，参保执行率保持在98%以上；</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4.持续深化“一老一小”服务，提升改造2个居家养老服务中心和互助养老服务站，实施500张家庭养老床位建设；</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5.集中开展养老机构安全和服务质量整治专项行动；</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6.建成“老年幸福食堂”10个以上；</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7.提升“儿童之家”服务能力；</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8.持续推进保障性住房建设，启动螺蛳湾等6个片区11个村回迁安置房建设；</w:t>
            </w:r>
          </w:p>
          <w:p>
            <w:pPr>
              <w:widowControl/>
              <w:adjustRightInd w:val="0"/>
              <w:snapToGrid w:val="0"/>
              <w:spacing w:line="220" w:lineRule="exact"/>
              <w:jc w:val="left"/>
              <w:rPr>
                <w:kern w:val="0"/>
                <w:sz w:val="18"/>
                <w:szCs w:val="18"/>
              </w:rPr>
            </w:pPr>
            <w:r>
              <w:rPr>
                <w:rFonts w:hint="eastAsia" w:eastAsia="仿宋_GB2312"/>
                <w:kern w:val="0"/>
                <w:sz w:val="18"/>
                <w:szCs w:val="18"/>
              </w:rPr>
              <w:t>9.集中力量办好8件惠民实事。</w:t>
            </w:r>
          </w:p>
        </w:tc>
      </w:tr>
      <w:tr>
        <w:tblPrEx>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18.提优教育体育“供给力”</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1.深化教育教学改革，构建良好教育生态，推进“公参民”改革，深入推进“双减”和“五项管理”，确保实现教育教学质量和课后服务质量双提升；</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2.公益普惠发展学前教育，全力推进涉农街道“一乡两公办”，公办及民办公费学位总体占比达到50%以上，创建省市级现代教育示范学校和等级幼儿园2所；</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3.优质均衡推进教育布局，新开工云大附中西山学校初中部等9个新建项目，有序推进华东师范大学昆明实验学校小学部等10个前期项目；</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4.推动“职普融通”，加快推进区职业高级中学选址迁建；</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5.发展特殊教育与终身教育；</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6.扩大“1+N”常态化互动课堂覆盖面，试点实施5G条件下第二课堂建设；</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7.深入实施‘三名工程’，引进名师4人；</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8.促进公共体育设施便民惠民，新建健身路径5条，农民体育健身点2个，晨晚练健身场点8个。</w:t>
            </w:r>
          </w:p>
        </w:tc>
      </w:tr>
      <w:tr>
        <w:tblPrEx>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19.提升健康西山“高品质”</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1.提优公共卫生保障能力，加快建设区人民医院三级综合医院；</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2.全面促进基层医疗机构提质达标，逐步完成区人民医院“五大中心”、省级临床重点专科建设；</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3.形成以“基层医疗服务机构（家庭医生）为网底、城市医疗服务机构为主体”的联动体系；</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4.依托驻区省、市医院和海埂片区疗养资源，打造一批康养一体的区域性特色中医医疗服务集群，力争基层医疗机构中医药服务覆盖率达100%；</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5.完善“治未病”服务体系，扎实做好传染病、慢性病防治结合工作；</w:t>
            </w:r>
          </w:p>
          <w:p>
            <w:pPr>
              <w:widowControl/>
              <w:adjustRightInd w:val="0"/>
              <w:snapToGrid w:val="0"/>
              <w:spacing w:line="220" w:lineRule="exact"/>
              <w:jc w:val="left"/>
              <w:rPr>
                <w:kern w:val="0"/>
                <w:sz w:val="18"/>
                <w:szCs w:val="18"/>
              </w:rPr>
            </w:pPr>
            <w:r>
              <w:rPr>
                <w:rFonts w:hint="eastAsia" w:eastAsia="仿宋_GB2312"/>
                <w:kern w:val="0"/>
                <w:sz w:val="18"/>
                <w:szCs w:val="18"/>
              </w:rPr>
              <w:br w:type="page"/>
            </w:r>
            <w:r>
              <w:rPr>
                <w:rFonts w:hint="eastAsia" w:eastAsia="仿宋_GB2312"/>
                <w:kern w:val="0"/>
                <w:sz w:val="18"/>
                <w:szCs w:val="18"/>
              </w:rPr>
              <w:t>6.推动新的生育政策落地见效。</w:t>
            </w:r>
          </w:p>
        </w:tc>
      </w:tr>
      <w:tr>
        <w:tblPrEx>
          <w:tblLayout w:type="fixed"/>
          <w:tblCellMar>
            <w:top w:w="0" w:type="dxa"/>
            <w:left w:w="108" w:type="dxa"/>
            <w:bottom w:w="0" w:type="dxa"/>
            <w:right w:w="108" w:type="dxa"/>
          </w:tblCellMar>
        </w:tblPrEx>
        <w:trPr>
          <w:trHeight w:val="850" w:hRule="atLeast"/>
          <w:jc w:val="center"/>
        </w:trPr>
        <w:tc>
          <w:tcPr>
            <w:tcW w:w="112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rPr>
                <w:b/>
                <w:bCs/>
                <w:kern w:val="0"/>
                <w:sz w:val="18"/>
                <w:szCs w:val="18"/>
              </w:rPr>
            </w:pPr>
            <w:r>
              <w:rPr>
                <w:rFonts w:hint="eastAsia" w:eastAsia="仿宋_GB2312"/>
                <w:b/>
                <w:bCs/>
                <w:kern w:val="0"/>
                <w:sz w:val="18"/>
                <w:szCs w:val="18"/>
              </w:rPr>
              <w:t>七、聚力普惠优质，提升美好生活“幸福感”</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left"/>
              <w:rPr>
                <w:kern w:val="0"/>
                <w:sz w:val="18"/>
                <w:szCs w:val="18"/>
              </w:rPr>
            </w:pPr>
            <w:r>
              <w:rPr>
                <w:rFonts w:hint="eastAsia" w:eastAsia="仿宋_GB2312"/>
                <w:kern w:val="0"/>
                <w:sz w:val="18"/>
                <w:szCs w:val="18"/>
              </w:rPr>
              <w:t>20.塑造文化西山“品牌力”</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30" w:lineRule="exact"/>
              <w:jc w:val="left"/>
              <w:rPr>
                <w:rFonts w:eastAsia="仿宋_GB2312"/>
                <w:kern w:val="0"/>
                <w:sz w:val="18"/>
                <w:szCs w:val="18"/>
              </w:rPr>
            </w:pPr>
            <w:r>
              <w:rPr>
                <w:rFonts w:hint="eastAsia"/>
              </w:rPr>
              <w:t>1.</w:t>
            </w:r>
            <w:r>
              <w:rPr>
                <w:rFonts w:hint="eastAsia" w:eastAsia="仿宋_GB2312"/>
                <w:kern w:val="0"/>
                <w:sz w:val="18"/>
                <w:szCs w:val="18"/>
              </w:rPr>
              <w:t>实施文化消费提升工程，持续开展文化惠民活动，积极推进政府购买公共文化产品和服务；</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2.加快推进区图书馆、区科技馆等惠民项目建设，区体育馆完成建设并投入使用；</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3.推进10个街道、121个社区综合性文化服务中心提档升级；</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4.鼓励举办中国云南“异次元动漫”音乐节等文化IP活动，继续擦亮“西山睡美人”文化艺术节、“三月三”民俗文化节等文化品牌；</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5.深入开展全国科普示范县（市、区）创建工作；</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6.扎实推进民族团结进步示范创建工作；</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7.继续挖掘区内历史文化内涵，完成2项以上文物保护修缮；</w:t>
            </w:r>
          </w:p>
          <w:p>
            <w:pPr>
              <w:pStyle w:val="26"/>
              <w:ind w:firstLine="0" w:firstLineChars="0"/>
              <w:rPr>
                <w:rFonts w:ascii="Times New Roman" w:hAnsi="Times New Roman"/>
              </w:rPr>
            </w:pPr>
            <w:r>
              <w:rPr>
                <w:rFonts w:hint="eastAsia" w:ascii="Times New Roman" w:hAnsi="Times New Roman" w:eastAsia="仿宋_GB2312"/>
                <w:kern w:val="0"/>
                <w:sz w:val="18"/>
                <w:szCs w:val="18"/>
              </w:rPr>
              <w:t>8.启动西山区青少年活动中心建设。</w:t>
            </w:r>
          </w:p>
        </w:tc>
      </w:tr>
      <w:tr>
        <w:tblPrEx>
          <w:tblLayout w:type="fixed"/>
          <w:tblCellMar>
            <w:top w:w="0" w:type="dxa"/>
            <w:left w:w="108" w:type="dxa"/>
            <w:bottom w:w="0" w:type="dxa"/>
            <w:right w:w="108" w:type="dxa"/>
          </w:tblCellMar>
        </w:tblPrEx>
        <w:trPr>
          <w:trHeight w:val="850"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rPr>
                <w:b/>
                <w:bCs/>
                <w:kern w:val="0"/>
                <w:sz w:val="18"/>
                <w:szCs w:val="18"/>
              </w:rPr>
            </w:pPr>
            <w:r>
              <w:rPr>
                <w:rFonts w:hint="eastAsia" w:eastAsia="仿宋_GB2312"/>
                <w:b/>
                <w:bCs/>
                <w:kern w:val="0"/>
                <w:sz w:val="18"/>
                <w:szCs w:val="18"/>
              </w:rPr>
              <w:t>八、坚持绿色发展，打造绿色生态“升级版”</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left"/>
              <w:rPr>
                <w:kern w:val="0"/>
                <w:sz w:val="18"/>
                <w:szCs w:val="18"/>
              </w:rPr>
            </w:pPr>
            <w:r>
              <w:rPr>
                <w:rFonts w:hint="eastAsia" w:eastAsia="仿宋_GB2312"/>
                <w:kern w:val="0"/>
                <w:sz w:val="18"/>
                <w:szCs w:val="18"/>
              </w:rPr>
              <w:t>21.强化绿色发展“低碳化”</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1.积极响应全国碳市场，培育绿色低碳新动能，实施工业领域“碳达峰”行动计划，大力发展绿色制造，开展绿色低碳技术和产品示范应用，实施工业能效、水效提升计划；</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2.坚决遏制“两高”项目盲目发展；</w:t>
            </w:r>
          </w:p>
          <w:p>
            <w:pPr>
              <w:widowControl/>
              <w:adjustRightInd w:val="0"/>
              <w:snapToGrid w:val="0"/>
              <w:spacing w:line="230" w:lineRule="exact"/>
              <w:jc w:val="left"/>
              <w:rPr>
                <w:kern w:val="0"/>
                <w:sz w:val="18"/>
                <w:szCs w:val="18"/>
              </w:rPr>
            </w:pPr>
            <w:r>
              <w:rPr>
                <w:rFonts w:hint="eastAsia" w:eastAsia="仿宋_GB2312"/>
                <w:kern w:val="0"/>
                <w:sz w:val="18"/>
                <w:szCs w:val="18"/>
              </w:rPr>
              <w:t>3.完成市级下达的GDP能耗和单位GDP二氧化碳排放下降任务。</w:t>
            </w:r>
          </w:p>
        </w:tc>
      </w:tr>
      <w:tr>
        <w:tblPrEx>
          <w:tblLayout w:type="fixed"/>
          <w:tblCellMar>
            <w:top w:w="0" w:type="dxa"/>
            <w:left w:w="108" w:type="dxa"/>
            <w:bottom w:w="0" w:type="dxa"/>
            <w:right w:w="108" w:type="dxa"/>
          </w:tblCellMar>
        </w:tblPrEx>
        <w:trPr>
          <w:trHeight w:val="85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left"/>
              <w:rPr>
                <w:kern w:val="0"/>
                <w:sz w:val="18"/>
                <w:szCs w:val="18"/>
              </w:rPr>
            </w:pPr>
            <w:r>
              <w:rPr>
                <w:rFonts w:hint="eastAsia" w:eastAsia="仿宋_GB2312"/>
                <w:kern w:val="0"/>
                <w:sz w:val="18"/>
                <w:szCs w:val="18"/>
              </w:rPr>
              <w:t>22.推进绿色能源“可持续”</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1.推动绿色能源与绿色制造融合发展，加快“光伏+”新能源规划布局，着力推进光伏领跑者计划、光伏发电项目；</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2.支持中节能、中腾圣火等同类型企业建设“光伏+”产业示范区、“镁基锂电池”等新能源产业项目；</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3.鼓励华信金属、滇威新能源公司等电力用户特别是重点耗能企业利用既有屋顶建设分布式光伏电站；</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4.推进农户、企业和楼宇实施分布式光伏项目建设降低能耗；</w:t>
            </w:r>
          </w:p>
          <w:p>
            <w:pPr>
              <w:widowControl/>
              <w:adjustRightInd w:val="0"/>
              <w:snapToGrid w:val="0"/>
              <w:spacing w:line="230" w:lineRule="exact"/>
              <w:jc w:val="left"/>
              <w:rPr>
                <w:kern w:val="0"/>
                <w:sz w:val="18"/>
                <w:szCs w:val="18"/>
              </w:rPr>
            </w:pPr>
            <w:r>
              <w:rPr>
                <w:rFonts w:hint="eastAsia" w:eastAsia="仿宋_GB2312"/>
                <w:kern w:val="0"/>
                <w:sz w:val="18"/>
                <w:szCs w:val="18"/>
              </w:rPr>
              <w:t>5.确保建成充电桩</w:t>
            </w:r>
            <w:r>
              <w:rPr>
                <w:rFonts w:eastAsia="仿宋_GB2312"/>
                <w:kern w:val="0"/>
                <w:sz w:val="18"/>
                <w:szCs w:val="18"/>
              </w:rPr>
              <w:t>1100</w:t>
            </w:r>
            <w:r>
              <w:rPr>
                <w:rFonts w:hint="eastAsia" w:eastAsia="仿宋_GB2312"/>
                <w:kern w:val="0"/>
                <w:sz w:val="18"/>
                <w:szCs w:val="18"/>
              </w:rPr>
              <w:t>枪以上、换电站</w:t>
            </w:r>
            <w:r>
              <w:rPr>
                <w:rFonts w:eastAsia="仿宋_GB2312"/>
                <w:kern w:val="0"/>
                <w:sz w:val="18"/>
                <w:szCs w:val="18"/>
              </w:rPr>
              <w:t>3</w:t>
            </w:r>
            <w:r>
              <w:rPr>
                <w:rFonts w:hint="eastAsia" w:eastAsia="仿宋_GB2312"/>
                <w:kern w:val="0"/>
                <w:sz w:val="18"/>
                <w:szCs w:val="18"/>
              </w:rPr>
              <w:t>座。</w:t>
            </w:r>
          </w:p>
        </w:tc>
      </w:tr>
      <w:tr>
        <w:tblPrEx>
          <w:tblLayout w:type="fixed"/>
          <w:tblCellMar>
            <w:top w:w="0" w:type="dxa"/>
            <w:left w:w="108" w:type="dxa"/>
            <w:bottom w:w="0" w:type="dxa"/>
            <w:right w:w="108" w:type="dxa"/>
          </w:tblCellMar>
        </w:tblPrEx>
        <w:trPr>
          <w:trHeight w:val="85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rPr>
                <w:b/>
                <w:bCs/>
                <w:kern w:val="0"/>
                <w:sz w:val="18"/>
                <w:szCs w:val="18"/>
              </w:rPr>
            </w:pPr>
          </w:p>
        </w:tc>
        <w:tc>
          <w:tcPr>
            <w:tcW w:w="298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rPr>
                <w:rFonts w:eastAsia="仿宋_GB2312"/>
                <w:kern w:val="0"/>
                <w:sz w:val="18"/>
                <w:szCs w:val="18"/>
              </w:rPr>
            </w:pPr>
            <w:r>
              <w:rPr>
                <w:rFonts w:hint="eastAsia" w:eastAsia="仿宋_GB2312"/>
                <w:kern w:val="0"/>
                <w:sz w:val="18"/>
                <w:szCs w:val="18"/>
              </w:rPr>
              <w:t>23.坚持生态发展“高标准”</w:t>
            </w: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center"/>
              <w:rPr>
                <w:kern w:val="0"/>
                <w:sz w:val="18"/>
                <w:szCs w:val="18"/>
              </w:rPr>
            </w:pPr>
            <w:r>
              <w:rPr>
                <w:rFonts w:hint="eastAsia" w:eastAsia="仿宋_GB2312"/>
                <w:kern w:val="0"/>
                <w:sz w:val="18"/>
                <w:szCs w:val="18"/>
              </w:rPr>
              <w:t>治气行动</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left"/>
              <w:rPr>
                <w:rFonts w:eastAsia="仿宋_GB2312"/>
                <w:kern w:val="0"/>
                <w:sz w:val="18"/>
                <w:szCs w:val="18"/>
              </w:rPr>
            </w:pPr>
            <w:r>
              <w:rPr>
                <w:rFonts w:hint="eastAsia" w:eastAsia="仿宋_GB2312"/>
                <w:kern w:val="0"/>
                <w:sz w:val="18"/>
                <w:szCs w:val="18"/>
              </w:rPr>
              <w:t>1.强化工业“三废”等两高企业的污染排放达标；</w:t>
            </w:r>
          </w:p>
          <w:p>
            <w:pPr>
              <w:widowControl/>
              <w:adjustRightInd w:val="0"/>
              <w:snapToGrid w:val="0"/>
              <w:spacing w:line="240" w:lineRule="exact"/>
              <w:jc w:val="left"/>
              <w:rPr>
                <w:kern w:val="0"/>
                <w:sz w:val="18"/>
                <w:szCs w:val="18"/>
              </w:rPr>
            </w:pPr>
            <w:r>
              <w:rPr>
                <w:rFonts w:hint="eastAsia" w:eastAsia="仿宋_GB2312"/>
                <w:kern w:val="0"/>
                <w:sz w:val="18"/>
                <w:szCs w:val="18"/>
              </w:rPr>
              <w:t>2.确保空气质量优良率保持在99%以上。</w:t>
            </w:r>
          </w:p>
        </w:tc>
      </w:tr>
      <w:tr>
        <w:tblPrEx>
          <w:tblLayout w:type="fixed"/>
          <w:tblCellMar>
            <w:top w:w="0" w:type="dxa"/>
            <w:left w:w="108" w:type="dxa"/>
            <w:bottom w:w="0" w:type="dxa"/>
            <w:right w:w="108" w:type="dxa"/>
          </w:tblCellMar>
        </w:tblPrEx>
        <w:trPr>
          <w:trHeight w:val="85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center"/>
              <w:rPr>
                <w:kern w:val="0"/>
                <w:sz w:val="18"/>
                <w:szCs w:val="18"/>
              </w:rPr>
            </w:pPr>
            <w:r>
              <w:rPr>
                <w:rFonts w:hint="eastAsia" w:eastAsia="仿宋_GB2312"/>
                <w:kern w:val="0"/>
                <w:sz w:val="18"/>
                <w:szCs w:val="18"/>
              </w:rPr>
              <w:t>治水行动</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left"/>
              <w:rPr>
                <w:rFonts w:eastAsia="仿宋_GB2312"/>
                <w:kern w:val="0"/>
                <w:sz w:val="18"/>
                <w:szCs w:val="18"/>
              </w:rPr>
            </w:pPr>
            <w:r>
              <w:rPr>
                <w:rFonts w:hint="eastAsia" w:eastAsia="仿宋_GB2312"/>
                <w:kern w:val="0"/>
                <w:sz w:val="18"/>
                <w:szCs w:val="18"/>
              </w:rPr>
              <w:t>1.坚持“退、减、调、治、管”，编制河湖岸线保护规划，清理清退滇池保护区内建构筑物；</w:t>
            </w:r>
          </w:p>
          <w:p>
            <w:pPr>
              <w:widowControl/>
              <w:adjustRightInd w:val="0"/>
              <w:snapToGrid w:val="0"/>
              <w:spacing w:line="24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2.加强出入滇1</w:t>
            </w:r>
            <w:r>
              <w:rPr>
                <w:rFonts w:eastAsia="仿宋_GB2312"/>
                <w:kern w:val="0"/>
                <w:sz w:val="18"/>
                <w:szCs w:val="18"/>
              </w:rPr>
              <w:t>1</w:t>
            </w:r>
            <w:r>
              <w:rPr>
                <w:rFonts w:hint="eastAsia" w:eastAsia="仿宋_GB2312"/>
                <w:kern w:val="0"/>
                <w:sz w:val="18"/>
                <w:szCs w:val="18"/>
              </w:rPr>
              <w:t>条河道水质监测；</w:t>
            </w:r>
          </w:p>
          <w:p>
            <w:pPr>
              <w:widowControl/>
              <w:adjustRightInd w:val="0"/>
              <w:snapToGrid w:val="0"/>
              <w:spacing w:line="24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3.打造草海片区湖滨生态湿地屏障，提升改造西华、观音山南、观音山北1538亩湿地；</w:t>
            </w:r>
          </w:p>
          <w:p>
            <w:pPr>
              <w:pStyle w:val="26"/>
              <w:ind w:firstLine="0" w:firstLineChars="0"/>
              <w:rPr>
                <w:rFonts w:eastAsia="仿宋_GB2312"/>
              </w:rPr>
            </w:pPr>
            <w:r>
              <w:rPr>
                <w:rFonts w:hint="eastAsia" w:ascii="Times New Roman" w:hAnsi="Times New Roman" w:eastAsia="仿宋_GB2312"/>
                <w:kern w:val="0"/>
                <w:sz w:val="18"/>
                <w:szCs w:val="18"/>
              </w:rPr>
              <w:t>4.建成环滇池慢性系统7.64公里；</w:t>
            </w:r>
          </w:p>
          <w:p>
            <w:pPr>
              <w:widowControl/>
              <w:adjustRightInd w:val="0"/>
              <w:snapToGrid w:val="0"/>
              <w:spacing w:line="240" w:lineRule="exact"/>
              <w:jc w:val="left"/>
              <w:rPr>
                <w:rFonts w:eastAsia="仿宋_GB2312"/>
                <w:kern w:val="0"/>
                <w:sz w:val="18"/>
                <w:szCs w:val="18"/>
              </w:rPr>
            </w:pPr>
            <w:r>
              <w:rPr>
                <w:rFonts w:hint="eastAsia" w:eastAsia="仿宋_GB2312"/>
                <w:kern w:val="0"/>
                <w:sz w:val="18"/>
                <w:szCs w:val="18"/>
              </w:rPr>
              <w:br w:type="page"/>
            </w:r>
            <w:r>
              <w:rPr>
                <w:rFonts w:hint="eastAsia" w:eastAsia="仿宋_GB2312"/>
                <w:kern w:val="0"/>
                <w:sz w:val="18"/>
                <w:szCs w:val="18"/>
              </w:rPr>
              <w:t>5.持续做好饮用水水源地环境保护专项行动，确保地表水水质全面达标。</w:t>
            </w:r>
          </w:p>
        </w:tc>
      </w:tr>
      <w:tr>
        <w:tblPrEx>
          <w:tblLayout w:type="fixed"/>
          <w:tblCellMar>
            <w:top w:w="0" w:type="dxa"/>
            <w:left w:w="108" w:type="dxa"/>
            <w:bottom w:w="0" w:type="dxa"/>
            <w:right w:w="108" w:type="dxa"/>
          </w:tblCellMar>
        </w:tblPrEx>
        <w:trPr>
          <w:trHeight w:val="85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center"/>
              <w:rPr>
                <w:kern w:val="0"/>
                <w:sz w:val="18"/>
                <w:szCs w:val="18"/>
              </w:rPr>
            </w:pPr>
            <w:r>
              <w:rPr>
                <w:rFonts w:hint="eastAsia" w:eastAsia="仿宋_GB2312"/>
                <w:kern w:val="0"/>
                <w:sz w:val="18"/>
                <w:szCs w:val="18"/>
              </w:rPr>
              <w:t>治山行动</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left"/>
              <w:rPr>
                <w:rFonts w:eastAsia="仿宋_GB2312"/>
                <w:kern w:val="0"/>
                <w:sz w:val="18"/>
                <w:szCs w:val="18"/>
              </w:rPr>
            </w:pPr>
            <w:r>
              <w:rPr>
                <w:rFonts w:hint="eastAsia" w:eastAsia="仿宋_GB2312"/>
                <w:kern w:val="0"/>
                <w:sz w:val="18"/>
                <w:szCs w:val="18"/>
              </w:rPr>
              <w:t>1.全面推行林长制，实现林长治；</w:t>
            </w:r>
          </w:p>
          <w:p>
            <w:pPr>
              <w:widowControl/>
              <w:adjustRightInd w:val="0"/>
              <w:snapToGrid w:val="0"/>
              <w:spacing w:line="240" w:lineRule="exact"/>
              <w:jc w:val="left"/>
              <w:rPr>
                <w:kern w:val="0"/>
                <w:sz w:val="18"/>
                <w:szCs w:val="18"/>
              </w:rPr>
            </w:pPr>
            <w:r>
              <w:rPr>
                <w:rFonts w:hint="eastAsia" w:eastAsia="仿宋_GB2312"/>
                <w:kern w:val="0"/>
                <w:sz w:val="18"/>
                <w:szCs w:val="18"/>
              </w:rPr>
              <w:t>2.实施76.89万亩天然林资源保护管护，确保森林覆盖率保持在53.87%以上。</w:t>
            </w:r>
          </w:p>
        </w:tc>
      </w:tr>
      <w:tr>
        <w:tblPrEx>
          <w:tblLayout w:type="fixed"/>
          <w:tblCellMar>
            <w:top w:w="0" w:type="dxa"/>
            <w:left w:w="108" w:type="dxa"/>
            <w:bottom w:w="0" w:type="dxa"/>
            <w:right w:w="108" w:type="dxa"/>
          </w:tblCellMar>
        </w:tblPrEx>
        <w:trPr>
          <w:trHeight w:val="85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exac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center"/>
              <w:rPr>
                <w:kern w:val="0"/>
                <w:sz w:val="18"/>
                <w:szCs w:val="18"/>
              </w:rPr>
            </w:pPr>
            <w:r>
              <w:rPr>
                <w:rFonts w:hint="eastAsia" w:eastAsia="仿宋_GB2312"/>
                <w:kern w:val="0"/>
                <w:sz w:val="18"/>
                <w:szCs w:val="18"/>
              </w:rPr>
              <w:t>治土行动</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exact"/>
              <w:jc w:val="left"/>
              <w:rPr>
                <w:rFonts w:eastAsia="仿宋_GB2312"/>
                <w:kern w:val="0"/>
                <w:sz w:val="18"/>
                <w:szCs w:val="18"/>
              </w:rPr>
            </w:pPr>
            <w:r>
              <w:rPr>
                <w:rFonts w:hint="eastAsia" w:eastAsia="仿宋_GB2312"/>
                <w:kern w:val="0"/>
                <w:sz w:val="18"/>
                <w:szCs w:val="18"/>
              </w:rPr>
              <w:t>1.加强固体废物和新污染物治理；</w:t>
            </w:r>
          </w:p>
          <w:p>
            <w:pPr>
              <w:widowControl/>
              <w:adjustRightInd w:val="0"/>
              <w:snapToGrid w:val="0"/>
              <w:spacing w:line="240" w:lineRule="exact"/>
              <w:jc w:val="left"/>
              <w:rPr>
                <w:rFonts w:eastAsia="仿宋_GB2312"/>
                <w:kern w:val="0"/>
                <w:sz w:val="18"/>
                <w:szCs w:val="18"/>
              </w:rPr>
            </w:pPr>
            <w:r>
              <w:rPr>
                <w:rFonts w:hint="eastAsia" w:eastAsia="仿宋_GB2312"/>
                <w:kern w:val="0"/>
                <w:sz w:val="18"/>
                <w:szCs w:val="18"/>
              </w:rPr>
              <w:t>2.提高磷石膏综合利用率；</w:t>
            </w:r>
          </w:p>
          <w:p>
            <w:pPr>
              <w:widowControl/>
              <w:adjustRightInd w:val="0"/>
              <w:snapToGrid w:val="0"/>
              <w:spacing w:line="240" w:lineRule="exact"/>
              <w:jc w:val="left"/>
              <w:rPr>
                <w:rFonts w:eastAsia="仿宋_GB2312"/>
                <w:kern w:val="0"/>
                <w:sz w:val="18"/>
                <w:szCs w:val="18"/>
              </w:rPr>
            </w:pPr>
            <w:r>
              <w:rPr>
                <w:rFonts w:eastAsia="仿宋_GB2312"/>
                <w:kern w:val="0"/>
                <w:sz w:val="18"/>
                <w:szCs w:val="18"/>
              </w:rPr>
              <w:t>3.</w:t>
            </w:r>
            <w:r>
              <w:rPr>
                <w:rFonts w:hint="eastAsia" w:eastAsia="仿宋_GB2312"/>
                <w:kern w:val="0"/>
                <w:sz w:val="18"/>
                <w:szCs w:val="18"/>
              </w:rPr>
              <w:t>同步推进工业、农业和生活土壤污染源防治；</w:t>
            </w:r>
          </w:p>
          <w:p>
            <w:pPr>
              <w:widowControl/>
              <w:adjustRightInd w:val="0"/>
              <w:snapToGrid w:val="0"/>
              <w:spacing w:line="240" w:lineRule="exact"/>
              <w:jc w:val="left"/>
              <w:rPr>
                <w:kern w:val="0"/>
                <w:sz w:val="18"/>
                <w:szCs w:val="18"/>
              </w:rPr>
            </w:pPr>
            <w:r>
              <w:rPr>
                <w:rFonts w:hint="eastAsia" w:eastAsia="仿宋_GB2312"/>
                <w:kern w:val="0"/>
                <w:sz w:val="18"/>
                <w:szCs w:val="18"/>
              </w:rPr>
              <w:t>4</w:t>
            </w:r>
            <w:r>
              <w:rPr>
                <w:rFonts w:eastAsia="仿宋_GB2312"/>
                <w:kern w:val="0"/>
                <w:sz w:val="18"/>
                <w:szCs w:val="18"/>
              </w:rPr>
              <w:t>.</w:t>
            </w:r>
            <w:r>
              <w:rPr>
                <w:rFonts w:hint="eastAsia" w:eastAsia="仿宋_GB2312"/>
                <w:kern w:val="0"/>
                <w:sz w:val="18"/>
                <w:szCs w:val="18"/>
              </w:rPr>
              <w:t>大力发展循环经济。</w:t>
            </w:r>
          </w:p>
        </w:tc>
      </w:tr>
      <w:tr>
        <w:tblPrEx>
          <w:tblLayout w:type="fixed"/>
          <w:tblCellMar>
            <w:top w:w="0" w:type="dxa"/>
            <w:left w:w="108" w:type="dxa"/>
            <w:bottom w:w="0" w:type="dxa"/>
            <w:right w:w="108" w:type="dxa"/>
          </w:tblCellMar>
        </w:tblPrEx>
        <w:trPr>
          <w:trHeight w:val="1077"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adjustRightInd w:val="0"/>
              <w:snapToGrid w:val="0"/>
              <w:spacing w:line="240" w:lineRule="atLeast"/>
              <w:rPr>
                <w:b/>
                <w:bCs/>
                <w:kern w:val="0"/>
                <w:sz w:val="18"/>
                <w:szCs w:val="18"/>
              </w:rPr>
            </w:pPr>
            <w:r>
              <w:rPr>
                <w:rFonts w:hint="eastAsia" w:eastAsia="仿宋_GB2312"/>
                <w:b/>
                <w:bCs/>
                <w:kern w:val="0"/>
                <w:sz w:val="18"/>
                <w:szCs w:val="18"/>
              </w:rPr>
              <w:t>九、聚力智慧韧性，提高社会治理“安全感”</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kern w:val="0"/>
                <w:sz w:val="18"/>
                <w:szCs w:val="18"/>
              </w:rPr>
            </w:pPr>
            <w:r>
              <w:rPr>
                <w:rFonts w:hint="eastAsia" w:eastAsia="仿宋_GB2312"/>
                <w:kern w:val="0"/>
                <w:sz w:val="18"/>
                <w:szCs w:val="18"/>
              </w:rPr>
              <w:t>24.深化社会治理“精细化”</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1.提升城市“网格管理”精细化水平，优化“1+9+X”网格化模式，实现“一张网”治理；</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2.依托“智慧西山”指挥平台，推进“城市大脑”系统建设工程，实现政务和城市数据互联互通；</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3.拓展智慧城市创新场景应用，以前卫街道四道坝社区为试点探索融合数据平台信息化，以大观路为试点探索提升城市治理智能化水平；</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4.深入探索“政—校—社”合作模式，推进“五社联动”项目20个；</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5.依托“西山e志愿”社会动员平台，整合辖区在职党员“双报到双服务双报告”三双力量；</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6.提升社区“楼栋长”“十户长”治理综合能力；</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7.打造2个以上省级基层社区治理示范点。</w:t>
            </w:r>
          </w:p>
        </w:tc>
      </w:tr>
      <w:tr>
        <w:tblPrEx>
          <w:tblLayout w:type="fixed"/>
          <w:tblCellMar>
            <w:top w:w="0" w:type="dxa"/>
            <w:left w:w="108" w:type="dxa"/>
            <w:bottom w:w="0" w:type="dxa"/>
            <w:right w:w="108" w:type="dxa"/>
          </w:tblCellMar>
        </w:tblPrEx>
        <w:trPr>
          <w:trHeight w:val="1077" w:hRule="atLeast"/>
          <w:jc w:val="center"/>
        </w:trPr>
        <w:tc>
          <w:tcPr>
            <w:tcW w:w="1123" w:type="dxa"/>
            <w:vMerge w:val="continue"/>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hint="eastAsia" w:eastAsia="仿宋_GB2312"/>
                <w:kern w:val="0"/>
                <w:sz w:val="18"/>
                <w:szCs w:val="18"/>
              </w:rPr>
              <w:t>25.筑牢公共安全“防护网”</w:t>
            </w: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rPr>
                <w:spacing w:val="-6"/>
                <w:kern w:val="0"/>
                <w:sz w:val="18"/>
                <w:szCs w:val="18"/>
              </w:rPr>
            </w:pPr>
            <w:r>
              <w:rPr>
                <w:rFonts w:hint="eastAsia" w:eastAsia="仿宋_GB2312"/>
                <w:spacing w:val="-6"/>
                <w:kern w:val="0"/>
                <w:sz w:val="18"/>
                <w:szCs w:val="18"/>
              </w:rPr>
              <w:t>公共安全保卫战</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1.全面构筑“打、防、管、控”安全防御体系；</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2.深入推进“五融五联”警种融合勤务机制；</w:t>
            </w:r>
          </w:p>
          <w:p>
            <w:pPr>
              <w:widowControl/>
              <w:adjustRightInd w:val="0"/>
              <w:snapToGrid w:val="0"/>
              <w:spacing w:line="220" w:lineRule="exact"/>
              <w:jc w:val="left"/>
              <w:rPr>
                <w:kern w:val="0"/>
                <w:sz w:val="18"/>
                <w:szCs w:val="18"/>
              </w:rPr>
            </w:pPr>
            <w:r>
              <w:rPr>
                <w:rFonts w:hint="eastAsia" w:eastAsia="仿宋_GB2312"/>
                <w:kern w:val="0"/>
                <w:sz w:val="18"/>
                <w:szCs w:val="18"/>
              </w:rPr>
              <w:t>3.围绕“三线十二点”夯实网格化和微循环协作机制，保持高密度见警率、缩短接处警耗，保持主城四区通行效率最优。</w:t>
            </w:r>
          </w:p>
        </w:tc>
      </w:tr>
      <w:tr>
        <w:tblPrEx>
          <w:tblLayout w:type="fixed"/>
          <w:tblCellMar>
            <w:top w:w="0" w:type="dxa"/>
            <w:left w:w="108" w:type="dxa"/>
            <w:bottom w:w="0" w:type="dxa"/>
            <w:right w:w="108" w:type="dxa"/>
          </w:tblCellMar>
        </w:tblPrEx>
        <w:trPr>
          <w:trHeight w:val="107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rPr>
                <w:rFonts w:eastAsia="仿宋_GB2312"/>
                <w:spacing w:val="-6"/>
                <w:kern w:val="0"/>
                <w:sz w:val="18"/>
                <w:szCs w:val="18"/>
              </w:rPr>
            </w:pPr>
            <w:r>
              <w:rPr>
                <w:rFonts w:hint="eastAsia" w:eastAsia="仿宋_GB2312"/>
                <w:spacing w:val="-6"/>
                <w:kern w:val="0"/>
                <w:sz w:val="18"/>
                <w:szCs w:val="18"/>
              </w:rPr>
              <w:t>违法犯罪攻坚战</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1.坚持扫黑除恶常态化；</w:t>
            </w:r>
          </w:p>
          <w:p>
            <w:pPr>
              <w:widowControl/>
              <w:adjustRightInd w:val="0"/>
              <w:snapToGrid w:val="0"/>
              <w:spacing w:line="220" w:lineRule="exact"/>
              <w:jc w:val="left"/>
              <w:rPr>
                <w:kern w:val="0"/>
                <w:sz w:val="18"/>
                <w:szCs w:val="18"/>
              </w:rPr>
            </w:pPr>
            <w:r>
              <w:rPr>
                <w:rFonts w:hint="eastAsia" w:eastAsia="仿宋_GB2312"/>
                <w:kern w:val="0"/>
                <w:sz w:val="18"/>
                <w:szCs w:val="18"/>
              </w:rPr>
              <w:t>2.坚持严打新型电信网络诈骗。</w:t>
            </w:r>
          </w:p>
        </w:tc>
      </w:tr>
      <w:tr>
        <w:tblPrEx>
          <w:tblLayout w:type="fixed"/>
          <w:tblCellMar>
            <w:top w:w="0" w:type="dxa"/>
            <w:left w:w="108" w:type="dxa"/>
            <w:bottom w:w="0" w:type="dxa"/>
            <w:right w:w="108" w:type="dxa"/>
          </w:tblCellMar>
        </w:tblPrEx>
        <w:trPr>
          <w:trHeight w:val="107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rPr>
                <w:rFonts w:eastAsia="仿宋_GB2312"/>
                <w:spacing w:val="-6"/>
                <w:kern w:val="0"/>
                <w:sz w:val="18"/>
                <w:szCs w:val="18"/>
              </w:rPr>
            </w:pPr>
            <w:r>
              <w:rPr>
                <w:rFonts w:hint="eastAsia" w:eastAsia="仿宋_GB2312"/>
                <w:spacing w:val="-6"/>
                <w:kern w:val="0"/>
                <w:sz w:val="18"/>
                <w:szCs w:val="18"/>
              </w:rPr>
              <w:t>矛盾化解主动战</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1.坚持和发展新时代“枫桥经验”；</w:t>
            </w:r>
          </w:p>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2.加快推进“一站式”矛盾纠纷调解中心建设；</w:t>
            </w:r>
          </w:p>
          <w:p>
            <w:pPr>
              <w:widowControl/>
              <w:adjustRightInd w:val="0"/>
              <w:snapToGrid w:val="0"/>
              <w:spacing w:line="220" w:lineRule="exact"/>
              <w:jc w:val="left"/>
              <w:rPr>
                <w:kern w:val="0"/>
                <w:sz w:val="18"/>
                <w:szCs w:val="18"/>
              </w:rPr>
            </w:pPr>
            <w:r>
              <w:rPr>
                <w:rFonts w:hint="eastAsia" w:eastAsia="仿宋_GB2312"/>
                <w:kern w:val="0"/>
                <w:sz w:val="18"/>
                <w:szCs w:val="18"/>
              </w:rPr>
              <w:t>3.形成“1+10+N”全网式诉源治理体系。</w:t>
            </w:r>
          </w:p>
        </w:tc>
      </w:tr>
      <w:tr>
        <w:tblPrEx>
          <w:tblLayout w:type="fixed"/>
          <w:tblCellMar>
            <w:top w:w="0" w:type="dxa"/>
            <w:left w:w="108" w:type="dxa"/>
            <w:bottom w:w="0" w:type="dxa"/>
            <w:right w:w="108" w:type="dxa"/>
          </w:tblCellMar>
        </w:tblPrEx>
        <w:trPr>
          <w:trHeight w:val="107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jc w:val="left"/>
              <w:rPr>
                <w:rFonts w:eastAsia="仿宋_GB2312"/>
                <w:kern w:val="0"/>
                <w:sz w:val="18"/>
                <w:szCs w:val="18"/>
              </w:rPr>
            </w:pPr>
          </w:p>
        </w:tc>
        <w:tc>
          <w:tcPr>
            <w:tcW w:w="56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rPr>
                <w:rFonts w:eastAsia="仿宋_GB2312"/>
                <w:spacing w:val="-6"/>
                <w:kern w:val="0"/>
                <w:sz w:val="18"/>
                <w:szCs w:val="18"/>
              </w:rPr>
            </w:pPr>
            <w:r>
              <w:rPr>
                <w:rFonts w:hint="eastAsia" w:eastAsia="仿宋_GB2312"/>
                <w:spacing w:val="-6"/>
                <w:kern w:val="0"/>
                <w:sz w:val="18"/>
                <w:szCs w:val="18"/>
              </w:rPr>
              <w:t>社会防控整体战</w:t>
            </w:r>
          </w:p>
        </w:tc>
        <w:tc>
          <w:tcPr>
            <w:tcW w:w="842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20" w:lineRule="exact"/>
              <w:jc w:val="left"/>
              <w:rPr>
                <w:rFonts w:eastAsia="仿宋_GB2312"/>
                <w:kern w:val="0"/>
                <w:sz w:val="18"/>
                <w:szCs w:val="18"/>
              </w:rPr>
            </w:pPr>
            <w:r>
              <w:rPr>
                <w:rFonts w:hint="eastAsia" w:eastAsia="仿宋_GB2312"/>
                <w:kern w:val="0"/>
                <w:sz w:val="18"/>
                <w:szCs w:val="18"/>
              </w:rPr>
              <w:t>1.提高食品药品等关系人民健康安全保障水平，主要农产品综合检测合格率稳定在97%以上；</w:t>
            </w:r>
          </w:p>
          <w:p>
            <w:pPr>
              <w:widowControl/>
              <w:adjustRightInd w:val="0"/>
              <w:snapToGrid w:val="0"/>
              <w:spacing w:line="220" w:lineRule="exact"/>
              <w:jc w:val="left"/>
              <w:rPr>
                <w:kern w:val="0"/>
                <w:sz w:val="18"/>
                <w:szCs w:val="18"/>
              </w:rPr>
            </w:pPr>
            <w:r>
              <w:rPr>
                <w:rFonts w:hint="eastAsia" w:eastAsia="仿宋_GB2312"/>
                <w:kern w:val="0"/>
                <w:sz w:val="18"/>
                <w:szCs w:val="18"/>
              </w:rPr>
              <w:br w:type="page"/>
            </w:r>
            <w:r>
              <w:rPr>
                <w:rFonts w:hint="eastAsia" w:eastAsia="仿宋_GB2312"/>
                <w:kern w:val="0"/>
                <w:sz w:val="18"/>
                <w:szCs w:val="18"/>
              </w:rPr>
              <w:t>2.防范遏制重特大安全生产事故，做好国家安全发展示范城市考核。</w:t>
            </w:r>
          </w:p>
        </w:tc>
      </w:tr>
      <w:tr>
        <w:tblPrEx>
          <w:tblLayout w:type="fixed"/>
          <w:tblCellMar>
            <w:top w:w="0" w:type="dxa"/>
            <w:left w:w="108" w:type="dxa"/>
            <w:bottom w:w="0" w:type="dxa"/>
            <w:right w:w="108" w:type="dxa"/>
          </w:tblCellMar>
        </w:tblPrEx>
        <w:trPr>
          <w:trHeight w:val="1077"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十、坚持高位高效，确保重要任务“稳推进”</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26.推进疫情防控“常态化”</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1.坚持“外防输入、内防反弹、严防输出”不动摇，</w:t>
            </w:r>
            <w:r>
              <w:rPr>
                <w:rFonts w:hint="eastAsia" w:eastAsia="仿宋_GB2312"/>
                <w:spacing w:val="-4"/>
                <w:kern w:val="0"/>
                <w:sz w:val="18"/>
                <w:szCs w:val="18"/>
              </w:rPr>
              <w:t>坚持常态化精准防控和局部应急处置相结合，常态化开展人员聚集区域和重点场所疫情管控，保持疫情防控高压态势；</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2.疫苗接种“应接尽接”，增强区内核酸检测能力，实现48小时可完成一轮全区核酸检测；</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3.完善公共卫生应急管理体系，强化防疫物资和其他应急物资的储备保障，提升公共健康安全应急响应能力。</w:t>
            </w:r>
          </w:p>
        </w:tc>
      </w:tr>
      <w:tr>
        <w:tblPrEx>
          <w:tblLayout w:type="fixed"/>
          <w:tblCellMar>
            <w:top w:w="0" w:type="dxa"/>
            <w:left w:w="108" w:type="dxa"/>
            <w:bottom w:w="0" w:type="dxa"/>
            <w:right w:w="108" w:type="dxa"/>
          </w:tblCellMar>
        </w:tblPrEx>
        <w:trPr>
          <w:trHeight w:val="1077"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27.保障COP15大会“高水平”</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1.全力保障COP15大会第二阶段顺利召开；</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2.高标准做好市容环境提升提质工作，扎实推进主城市容环境美化、亮化、绿化，营造“环境净化、交通顺畅、生态优美、舒适宜居、安宁和谐”的城市形象；</w:t>
            </w:r>
          </w:p>
          <w:p>
            <w:pPr>
              <w:widowControl/>
              <w:adjustRightInd w:val="0"/>
              <w:snapToGrid w:val="0"/>
              <w:spacing w:line="230" w:lineRule="exact"/>
              <w:jc w:val="left"/>
              <w:rPr>
                <w:rFonts w:eastAsia="仿宋_GB2312"/>
                <w:kern w:val="0"/>
                <w:sz w:val="18"/>
                <w:szCs w:val="18"/>
              </w:rPr>
            </w:pPr>
            <w:r>
              <w:rPr>
                <w:rFonts w:hint="eastAsia" w:eastAsia="仿宋_GB2312"/>
                <w:kern w:val="0"/>
                <w:sz w:val="18"/>
                <w:szCs w:val="18"/>
              </w:rPr>
              <w:t>3.全面开展消防、交通和信访、维稳的社会防控网建设；</w:t>
            </w:r>
          </w:p>
          <w:p>
            <w:pPr>
              <w:widowControl/>
              <w:adjustRightInd w:val="0"/>
              <w:snapToGrid w:val="0"/>
              <w:spacing w:line="230" w:lineRule="exact"/>
              <w:jc w:val="left"/>
              <w:rPr>
                <w:kern w:val="0"/>
                <w:sz w:val="18"/>
                <w:szCs w:val="18"/>
              </w:rPr>
            </w:pPr>
            <w:r>
              <w:rPr>
                <w:rFonts w:hint="eastAsia" w:eastAsia="仿宋_GB2312"/>
                <w:kern w:val="0"/>
                <w:sz w:val="18"/>
                <w:szCs w:val="18"/>
              </w:rPr>
              <w:t>4.统筹做好第二阶段会议安保工作，营造良好社会参与氛围。</w:t>
            </w:r>
          </w:p>
        </w:tc>
      </w:tr>
      <w:tr>
        <w:tblPrEx>
          <w:tblLayout w:type="fixed"/>
          <w:tblCellMar>
            <w:top w:w="0" w:type="dxa"/>
            <w:left w:w="108" w:type="dxa"/>
            <w:bottom w:w="0" w:type="dxa"/>
            <w:right w:w="108" w:type="dxa"/>
          </w:tblCellMar>
        </w:tblPrEx>
        <w:trPr>
          <w:trHeight w:val="20" w:hRule="atLeast"/>
          <w:jc w:val="center"/>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b/>
                <w:bCs/>
                <w:kern w:val="0"/>
                <w:sz w:val="18"/>
                <w:szCs w:val="18"/>
              </w:rPr>
            </w:pPr>
            <w:r>
              <w:rPr>
                <w:rFonts w:hint="eastAsia" w:eastAsia="仿宋_GB2312"/>
                <w:b/>
                <w:bCs/>
                <w:kern w:val="0"/>
                <w:sz w:val="18"/>
                <w:szCs w:val="18"/>
              </w:rPr>
              <w:t>十一、破除发展藩篱，研发西山发展“动力剂”</w:t>
            </w: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28.体制机制立“西山创新”</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hint="eastAsia" w:eastAsia="仿宋_GB2312"/>
                <w:kern w:val="0"/>
                <w:sz w:val="18"/>
                <w:szCs w:val="18"/>
              </w:rPr>
              <w:t>1</w:t>
            </w:r>
            <w:r>
              <w:rPr>
                <w:rFonts w:eastAsia="仿宋_GB2312"/>
                <w:kern w:val="0"/>
                <w:sz w:val="18"/>
                <w:szCs w:val="18"/>
              </w:rPr>
              <w:t>.</w:t>
            </w:r>
            <w:r>
              <w:rPr>
                <w:rFonts w:hint="eastAsia" w:eastAsia="仿宋_GB2312"/>
                <w:kern w:val="0"/>
                <w:sz w:val="18"/>
                <w:szCs w:val="18"/>
              </w:rPr>
              <w:t>坚持守正创新、敢于创先；</w:t>
            </w:r>
          </w:p>
          <w:p>
            <w:pPr>
              <w:widowControl/>
              <w:adjustRightInd w:val="0"/>
              <w:snapToGrid w:val="0"/>
              <w:spacing w:line="240" w:lineRule="atLeast"/>
              <w:rPr>
                <w:rFonts w:eastAsia="仿宋_GB2312"/>
                <w:kern w:val="0"/>
                <w:sz w:val="18"/>
                <w:szCs w:val="18"/>
              </w:rPr>
            </w:pPr>
            <w:r>
              <w:rPr>
                <w:rFonts w:hint="eastAsia" w:eastAsia="仿宋_GB2312"/>
                <w:kern w:val="0"/>
                <w:sz w:val="18"/>
                <w:szCs w:val="18"/>
              </w:rPr>
              <w:t>2</w:t>
            </w:r>
            <w:r>
              <w:rPr>
                <w:rFonts w:eastAsia="仿宋_GB2312"/>
                <w:kern w:val="0"/>
                <w:sz w:val="18"/>
                <w:szCs w:val="18"/>
              </w:rPr>
              <w:t>.</w:t>
            </w:r>
            <w:r>
              <w:rPr>
                <w:rFonts w:hint="eastAsia" w:eastAsia="仿宋_GB2312"/>
                <w:kern w:val="0"/>
                <w:sz w:val="18"/>
                <w:szCs w:val="18"/>
              </w:rPr>
              <w:t>推动与安宁、富民城乡基础设施互联互通、区域一体化发展，促进省、市、区三级共建共享、公共服务、资源要素发挥和利用，拓宽加深城乡融合；</w:t>
            </w:r>
          </w:p>
          <w:p>
            <w:pPr>
              <w:widowControl/>
              <w:adjustRightInd w:val="0"/>
              <w:snapToGrid w:val="0"/>
              <w:spacing w:line="240" w:lineRule="atLeast"/>
              <w:rPr>
                <w:rFonts w:eastAsia="仿宋_GB2312"/>
                <w:kern w:val="0"/>
                <w:sz w:val="18"/>
                <w:szCs w:val="18"/>
              </w:rPr>
            </w:pPr>
            <w:r>
              <w:rPr>
                <w:rFonts w:hint="eastAsia" w:eastAsia="仿宋_GB2312"/>
                <w:kern w:val="0"/>
                <w:sz w:val="18"/>
                <w:szCs w:val="18"/>
              </w:rPr>
              <w:t>3</w:t>
            </w:r>
            <w:r>
              <w:rPr>
                <w:rFonts w:eastAsia="仿宋_GB2312"/>
                <w:kern w:val="0"/>
                <w:sz w:val="18"/>
                <w:szCs w:val="18"/>
              </w:rPr>
              <w:t>.</w:t>
            </w:r>
            <w:r>
              <w:rPr>
                <w:rFonts w:hint="eastAsia" w:eastAsia="仿宋_GB2312"/>
                <w:kern w:val="0"/>
                <w:sz w:val="18"/>
                <w:szCs w:val="18"/>
              </w:rPr>
              <w:t>按照“三个区分”和“四个有利”的要求，开拓和创造性地制定促进经济社会发展的新意见、新措施、新办法、新方式等长效工作机制；</w:t>
            </w:r>
          </w:p>
          <w:p>
            <w:pPr>
              <w:widowControl/>
              <w:adjustRightInd w:val="0"/>
              <w:snapToGrid w:val="0"/>
              <w:spacing w:line="240" w:lineRule="atLeast"/>
              <w:rPr>
                <w:rFonts w:eastAsia="仿宋_GB2312"/>
                <w:kern w:val="0"/>
                <w:sz w:val="18"/>
                <w:szCs w:val="18"/>
              </w:rPr>
            </w:pPr>
            <w:r>
              <w:rPr>
                <w:rFonts w:hint="eastAsia" w:eastAsia="仿宋_GB2312"/>
                <w:kern w:val="0"/>
                <w:sz w:val="18"/>
                <w:szCs w:val="18"/>
              </w:rPr>
              <w:t>4</w:t>
            </w:r>
            <w:r>
              <w:rPr>
                <w:rFonts w:eastAsia="仿宋_GB2312"/>
                <w:kern w:val="0"/>
                <w:sz w:val="18"/>
                <w:szCs w:val="18"/>
              </w:rPr>
              <w:t>.</w:t>
            </w:r>
            <w:r>
              <w:rPr>
                <w:rFonts w:hint="eastAsia" w:eastAsia="仿宋_GB2312"/>
                <w:kern w:val="0"/>
                <w:sz w:val="18"/>
                <w:szCs w:val="18"/>
              </w:rPr>
              <w:t>进一步创造发展新先机制。</w:t>
            </w:r>
          </w:p>
        </w:tc>
      </w:tr>
      <w:tr>
        <w:tblPrEx>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29.规范工作建“西山标准”</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w:t>
            </w:r>
            <w:r>
              <w:rPr>
                <w:rFonts w:eastAsia="仿宋_GB2312"/>
                <w:kern w:val="0"/>
                <w:sz w:val="18"/>
                <w:szCs w:val="18"/>
              </w:rPr>
              <w:t>.</w:t>
            </w:r>
            <w:r>
              <w:rPr>
                <w:rFonts w:hint="eastAsia" w:eastAsia="仿宋_GB2312"/>
                <w:kern w:val="0"/>
                <w:sz w:val="18"/>
                <w:szCs w:val="18"/>
              </w:rPr>
              <w:t>坚持服务优质、标准规范；</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w:t>
            </w:r>
            <w:r>
              <w:rPr>
                <w:rFonts w:eastAsia="仿宋_GB2312"/>
                <w:kern w:val="0"/>
                <w:sz w:val="18"/>
                <w:szCs w:val="18"/>
              </w:rPr>
              <w:t>.</w:t>
            </w:r>
            <w:r>
              <w:rPr>
                <w:rFonts w:hint="eastAsia" w:eastAsia="仿宋_GB2312"/>
                <w:kern w:val="0"/>
                <w:sz w:val="18"/>
                <w:szCs w:val="18"/>
              </w:rPr>
              <w:t>数字技术赋能，推进区域善治，全力推进政务服务全事项全市最优，深刻解决招商引资、项目落地和规划建设的痼疾，高质量实现西山服务和审批的规范化、标准化，倡导“西山速度”；</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w:t>
            </w:r>
            <w:r>
              <w:rPr>
                <w:rFonts w:eastAsia="仿宋_GB2312"/>
                <w:kern w:val="0"/>
                <w:sz w:val="18"/>
                <w:szCs w:val="18"/>
              </w:rPr>
              <w:t>.</w:t>
            </w:r>
            <w:r>
              <w:rPr>
                <w:rFonts w:hint="eastAsia" w:eastAsia="仿宋_GB2312"/>
                <w:kern w:val="0"/>
                <w:sz w:val="18"/>
                <w:szCs w:val="18"/>
              </w:rPr>
              <w:t>强化为各类人才和勤劳者提供更公平、便利、高效的城市公共服务，提升市民对西山发展的认同感和成就感；</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4</w:t>
            </w:r>
            <w:r>
              <w:rPr>
                <w:rFonts w:eastAsia="仿宋_GB2312"/>
                <w:kern w:val="0"/>
                <w:sz w:val="18"/>
                <w:szCs w:val="18"/>
              </w:rPr>
              <w:t>.</w:t>
            </w:r>
            <w:r>
              <w:rPr>
                <w:rFonts w:hint="eastAsia" w:eastAsia="仿宋_GB2312"/>
                <w:kern w:val="0"/>
                <w:sz w:val="18"/>
                <w:szCs w:val="18"/>
              </w:rPr>
              <w:t>进一步夯实发展力量基础。</w:t>
            </w:r>
          </w:p>
        </w:tc>
      </w:tr>
      <w:tr>
        <w:tblPrEx>
          <w:tblLayout w:type="fixed"/>
          <w:tblCellMar>
            <w:top w:w="0" w:type="dxa"/>
            <w:left w:w="108" w:type="dxa"/>
            <w:bottom w:w="0" w:type="dxa"/>
            <w:right w:w="108" w:type="dxa"/>
          </w:tblCellMar>
        </w:tblPrEx>
        <w:trPr>
          <w:trHeight w:val="20" w:hRule="atLeast"/>
          <w:jc w:val="center"/>
        </w:trPr>
        <w:tc>
          <w:tcPr>
            <w:tcW w:w="112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spacing w:line="240" w:lineRule="atLeast"/>
              <w:rPr>
                <w:b/>
                <w:bCs/>
                <w:kern w:val="0"/>
                <w:sz w:val="18"/>
                <w:szCs w:val="18"/>
              </w:rPr>
            </w:pPr>
          </w:p>
        </w:tc>
        <w:tc>
          <w:tcPr>
            <w:tcW w:w="29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kern w:val="0"/>
                <w:sz w:val="18"/>
                <w:szCs w:val="18"/>
              </w:rPr>
            </w:pPr>
            <w:r>
              <w:rPr>
                <w:rFonts w:hint="eastAsia" w:eastAsia="仿宋_GB2312"/>
                <w:kern w:val="0"/>
                <w:sz w:val="18"/>
                <w:szCs w:val="18"/>
              </w:rPr>
              <w:t>30.督察奖惩出“西山方法”</w:t>
            </w:r>
          </w:p>
        </w:tc>
        <w:tc>
          <w:tcPr>
            <w:tcW w:w="8992"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1</w:t>
            </w:r>
            <w:r>
              <w:rPr>
                <w:rFonts w:eastAsia="仿宋_GB2312"/>
                <w:kern w:val="0"/>
                <w:sz w:val="18"/>
                <w:szCs w:val="18"/>
              </w:rPr>
              <w:t>.</w:t>
            </w:r>
            <w:r>
              <w:rPr>
                <w:rFonts w:hint="eastAsia" w:eastAsia="仿宋_GB2312"/>
                <w:kern w:val="0"/>
                <w:sz w:val="18"/>
                <w:szCs w:val="18"/>
              </w:rPr>
              <w:t>坚持问题导向、结果评价；</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2</w:t>
            </w:r>
            <w:r>
              <w:rPr>
                <w:rFonts w:eastAsia="仿宋_GB2312"/>
                <w:kern w:val="0"/>
                <w:sz w:val="18"/>
                <w:szCs w:val="18"/>
              </w:rPr>
              <w:t>.</w:t>
            </w:r>
            <w:r>
              <w:rPr>
                <w:rFonts w:hint="eastAsia" w:eastAsia="仿宋_GB2312"/>
                <w:kern w:val="0"/>
                <w:sz w:val="18"/>
                <w:szCs w:val="18"/>
              </w:rPr>
              <w:t>以重点项目、重点工作为抓手，健全常态化目标管理检查，落实“单元制、项目化”监督考核，通过渐进式、梯级式跟踪问效，对不称职干部处理和调整，激励广大干部担当作为；</w:t>
            </w:r>
          </w:p>
          <w:p>
            <w:pPr>
              <w:widowControl/>
              <w:adjustRightInd w:val="0"/>
              <w:snapToGrid w:val="0"/>
              <w:spacing w:line="240" w:lineRule="atLeast"/>
              <w:jc w:val="left"/>
              <w:rPr>
                <w:rFonts w:eastAsia="仿宋_GB2312"/>
                <w:kern w:val="0"/>
                <w:sz w:val="18"/>
                <w:szCs w:val="18"/>
              </w:rPr>
            </w:pPr>
            <w:r>
              <w:rPr>
                <w:rFonts w:hint="eastAsia" w:eastAsia="仿宋_GB2312"/>
                <w:kern w:val="0"/>
                <w:sz w:val="18"/>
                <w:szCs w:val="18"/>
              </w:rPr>
              <w:t>3</w:t>
            </w:r>
            <w:r>
              <w:rPr>
                <w:rFonts w:eastAsia="仿宋_GB2312"/>
                <w:kern w:val="0"/>
                <w:sz w:val="18"/>
                <w:szCs w:val="18"/>
              </w:rPr>
              <w:t>.</w:t>
            </w:r>
            <w:r>
              <w:rPr>
                <w:rFonts w:hint="eastAsia" w:eastAsia="仿宋_GB2312"/>
                <w:kern w:val="0"/>
                <w:sz w:val="18"/>
                <w:szCs w:val="18"/>
              </w:rPr>
              <w:t>探索通过第三方评估、大数据应用等方式完善基层综合考评办法，在群众关心的“三资”管理、征地拆迁等领域，加大奖惩力度；</w:t>
            </w:r>
          </w:p>
          <w:p>
            <w:pPr>
              <w:widowControl/>
              <w:adjustRightInd w:val="0"/>
              <w:snapToGrid w:val="0"/>
              <w:spacing w:line="240" w:lineRule="atLeast"/>
              <w:jc w:val="left"/>
              <w:rPr>
                <w:kern w:val="0"/>
                <w:sz w:val="18"/>
                <w:szCs w:val="18"/>
              </w:rPr>
            </w:pPr>
            <w:r>
              <w:rPr>
                <w:rFonts w:hint="eastAsia" w:eastAsia="仿宋_GB2312"/>
                <w:kern w:val="0"/>
                <w:sz w:val="18"/>
                <w:szCs w:val="18"/>
              </w:rPr>
              <w:t>4</w:t>
            </w:r>
            <w:r>
              <w:rPr>
                <w:rFonts w:eastAsia="仿宋_GB2312"/>
                <w:kern w:val="0"/>
                <w:sz w:val="18"/>
                <w:szCs w:val="18"/>
              </w:rPr>
              <w:t>.</w:t>
            </w:r>
            <w:r>
              <w:rPr>
                <w:rFonts w:hint="eastAsia" w:eastAsia="仿宋_GB2312"/>
                <w:kern w:val="0"/>
                <w:sz w:val="18"/>
                <w:szCs w:val="18"/>
              </w:rPr>
              <w:t>进一步优化创业争先环境。</w:t>
            </w:r>
          </w:p>
        </w:tc>
      </w:tr>
      <w:tr>
        <w:tblPrEx>
          <w:tblLayout w:type="fixed"/>
          <w:tblCellMar>
            <w:top w:w="0" w:type="dxa"/>
            <w:left w:w="108" w:type="dxa"/>
            <w:bottom w:w="0" w:type="dxa"/>
            <w:right w:w="108" w:type="dxa"/>
          </w:tblCellMar>
        </w:tblPrEx>
        <w:trPr>
          <w:trHeight w:val="20" w:hRule="atLeast"/>
          <w:jc w:val="center"/>
        </w:trPr>
        <w:tc>
          <w:tcPr>
            <w:tcW w:w="13098" w:type="dxa"/>
            <w:gridSpan w:val="5"/>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b/>
                <w:bCs/>
                <w:kern w:val="0"/>
                <w:sz w:val="18"/>
                <w:szCs w:val="18"/>
              </w:rPr>
            </w:pPr>
            <w:r>
              <w:rPr>
                <w:rFonts w:hint="eastAsia" w:eastAsia="仿宋_GB2312"/>
                <w:b/>
                <w:bCs/>
                <w:kern w:val="0"/>
                <w:sz w:val="18"/>
                <w:szCs w:val="18"/>
              </w:rPr>
              <w:t>合计</w:t>
            </w:r>
            <w:r>
              <w:rPr>
                <w:rFonts w:eastAsia="仿宋_GB2312"/>
                <w:b/>
                <w:bCs/>
                <w:kern w:val="0"/>
                <w:sz w:val="18"/>
                <w:szCs w:val="18"/>
              </w:rPr>
              <w:t>211</w:t>
            </w:r>
            <w:r>
              <w:rPr>
                <w:rFonts w:hint="eastAsia" w:eastAsia="仿宋_GB2312"/>
                <w:b/>
                <w:bCs/>
                <w:kern w:val="0"/>
                <w:sz w:val="18"/>
                <w:szCs w:val="18"/>
              </w:rPr>
              <w:t>项重点工作任务和目标</w:t>
            </w:r>
          </w:p>
        </w:tc>
      </w:tr>
    </w:tbl>
    <w:p>
      <w:pPr>
        <w:pStyle w:val="26"/>
        <w:ind w:firstLine="424"/>
        <w:rPr>
          <w:rFonts w:ascii="Times New Roman" w:hAnsi="Times New Roman" w:eastAsia="仿宋_GB2312"/>
        </w:rPr>
      </w:pPr>
      <w:r>
        <w:rPr>
          <w:rFonts w:hint="eastAsia" w:ascii="Times New Roman" w:hAnsi="Times New Roman" w:eastAsia="仿宋_GB2312"/>
        </w:rPr>
        <w:br w:type="page"/>
      </w:r>
    </w:p>
    <w:p>
      <w:pPr>
        <w:widowControl/>
        <w:adjustRightInd w:val="0"/>
        <w:snapToGrid w:val="0"/>
        <w:spacing w:line="592" w:lineRule="exact"/>
        <w:rPr>
          <w:rFonts w:eastAsia="黑体"/>
          <w:kern w:val="0"/>
          <w:sz w:val="32"/>
          <w:szCs w:val="44"/>
        </w:rPr>
      </w:pPr>
      <w:r>
        <w:rPr>
          <w:rFonts w:hint="eastAsia" w:eastAsia="黑体"/>
          <w:kern w:val="0"/>
          <w:sz w:val="32"/>
          <w:szCs w:val="44"/>
        </w:rPr>
        <w:t>附件4</w:t>
      </w:r>
    </w:p>
    <w:p>
      <w:pPr>
        <w:widowControl/>
        <w:adjustRightInd w:val="0"/>
        <w:snapToGrid w:val="0"/>
        <w:spacing w:line="592" w:lineRule="exact"/>
        <w:jc w:val="center"/>
        <w:rPr>
          <w:rFonts w:eastAsia="方正小标宋简体"/>
          <w:kern w:val="0"/>
          <w:sz w:val="44"/>
          <w:szCs w:val="44"/>
        </w:rPr>
      </w:pPr>
    </w:p>
    <w:p>
      <w:pPr>
        <w:widowControl/>
        <w:adjustRightInd w:val="0"/>
        <w:snapToGrid w:val="0"/>
        <w:spacing w:line="592"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昆明市西山区2022年重点片区开发、城市更新改造项目表</w:t>
      </w:r>
    </w:p>
    <w:p>
      <w:pPr>
        <w:pStyle w:val="26"/>
        <w:adjustRightInd w:val="0"/>
        <w:snapToGrid w:val="0"/>
        <w:spacing w:line="592" w:lineRule="exact"/>
        <w:ind w:firstLine="0" w:firstLineChars="0"/>
        <w:jc w:val="center"/>
        <w:rPr>
          <w:rFonts w:ascii="Times New Roman" w:hAnsi="Times New Roman" w:eastAsia="方正小标宋简体"/>
        </w:rPr>
      </w:pPr>
    </w:p>
    <w:tbl>
      <w:tblPr>
        <w:tblStyle w:val="19"/>
        <w:tblW w:w="13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481"/>
        <w:gridCol w:w="503"/>
        <w:gridCol w:w="517"/>
        <w:gridCol w:w="996"/>
        <w:gridCol w:w="1980"/>
        <w:gridCol w:w="4107"/>
        <w:gridCol w:w="185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421"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黑体"/>
                <w:kern w:val="0"/>
                <w:sz w:val="18"/>
                <w:szCs w:val="18"/>
              </w:rPr>
              <w:t>序号</w:t>
            </w:r>
          </w:p>
        </w:tc>
        <w:tc>
          <w:tcPr>
            <w:tcW w:w="1481"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黑体"/>
                <w:kern w:val="0"/>
                <w:sz w:val="18"/>
                <w:szCs w:val="18"/>
              </w:rPr>
              <w:t>项目名称</w:t>
            </w:r>
          </w:p>
        </w:tc>
        <w:tc>
          <w:tcPr>
            <w:tcW w:w="1020" w:type="dxa"/>
            <w:gridSpan w:val="2"/>
            <w:vMerge w:val="restart"/>
            <w:shd w:val="clear" w:color="auto" w:fill="auto"/>
            <w:tcMar>
              <w:left w:w="28" w:type="dxa"/>
              <w:right w:w="28" w:type="dxa"/>
            </w:tcMar>
            <w:vAlign w:val="center"/>
          </w:tcPr>
          <w:p>
            <w:pPr>
              <w:topLinePunct/>
              <w:adjustRightInd w:val="0"/>
              <w:snapToGrid w:val="0"/>
              <w:spacing w:line="240" w:lineRule="atLeast"/>
              <w:jc w:val="center"/>
              <w:rPr>
                <w:rFonts w:eastAsia="黑体"/>
                <w:kern w:val="0"/>
                <w:sz w:val="18"/>
                <w:szCs w:val="18"/>
              </w:rPr>
            </w:pPr>
            <w:r>
              <w:rPr>
                <w:rFonts w:hint="eastAsia" w:eastAsia="黑体"/>
                <w:kern w:val="0"/>
                <w:sz w:val="18"/>
                <w:szCs w:val="18"/>
              </w:rPr>
              <w:t>片区包含城中村范围</w:t>
            </w:r>
          </w:p>
        </w:tc>
        <w:tc>
          <w:tcPr>
            <w:tcW w:w="996"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黑体"/>
                <w:kern w:val="0"/>
                <w:sz w:val="18"/>
                <w:szCs w:val="18"/>
              </w:rPr>
            </w:pPr>
            <w:r>
              <w:rPr>
                <w:rFonts w:hint="eastAsia" w:eastAsia="黑体"/>
                <w:kern w:val="0"/>
                <w:sz w:val="18"/>
                <w:szCs w:val="18"/>
              </w:rPr>
              <w:t>实施</w:t>
            </w:r>
          </w:p>
          <w:p>
            <w:pPr>
              <w:topLinePunct/>
              <w:adjustRightInd w:val="0"/>
              <w:snapToGrid w:val="0"/>
              <w:spacing w:line="240" w:lineRule="atLeast"/>
              <w:jc w:val="center"/>
              <w:rPr>
                <w:rFonts w:eastAsia="仿宋_GB2312"/>
                <w:kern w:val="0"/>
                <w:sz w:val="18"/>
                <w:szCs w:val="18"/>
              </w:rPr>
            </w:pPr>
            <w:r>
              <w:rPr>
                <w:rFonts w:hint="eastAsia" w:eastAsia="黑体"/>
                <w:kern w:val="0"/>
                <w:sz w:val="18"/>
                <w:szCs w:val="18"/>
              </w:rPr>
              <w:t>单位</w:t>
            </w:r>
          </w:p>
        </w:tc>
        <w:tc>
          <w:tcPr>
            <w:tcW w:w="1980"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黑体"/>
                <w:kern w:val="0"/>
                <w:sz w:val="18"/>
                <w:szCs w:val="18"/>
              </w:rPr>
            </w:pPr>
            <w:r>
              <w:rPr>
                <w:rFonts w:hint="eastAsia" w:eastAsia="黑体"/>
                <w:kern w:val="0"/>
                <w:sz w:val="18"/>
                <w:szCs w:val="18"/>
              </w:rPr>
              <w:t>建设地点</w:t>
            </w:r>
          </w:p>
        </w:tc>
        <w:tc>
          <w:tcPr>
            <w:tcW w:w="4107"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黑体"/>
                <w:kern w:val="0"/>
                <w:sz w:val="18"/>
                <w:szCs w:val="18"/>
              </w:rPr>
              <w:t>主要建设内容</w:t>
            </w:r>
          </w:p>
        </w:tc>
        <w:tc>
          <w:tcPr>
            <w:tcW w:w="1857"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黑体"/>
                <w:kern w:val="0"/>
                <w:sz w:val="18"/>
                <w:szCs w:val="18"/>
              </w:rPr>
              <w:t>改造计划时间</w:t>
            </w:r>
          </w:p>
        </w:tc>
        <w:tc>
          <w:tcPr>
            <w:tcW w:w="1233" w:type="dxa"/>
            <w:vMerge w:val="restart"/>
            <w:shd w:val="clear" w:color="auto" w:fill="auto"/>
            <w:tcMar>
              <w:left w:w="28" w:type="dxa"/>
              <w:right w:w="28" w:type="dxa"/>
            </w:tcMar>
            <w:vAlign w:val="center"/>
          </w:tcPr>
          <w:p>
            <w:pPr>
              <w:topLinePunct/>
              <w:adjustRightInd w:val="0"/>
              <w:snapToGrid w:val="0"/>
              <w:spacing w:line="240" w:lineRule="atLeast"/>
              <w:jc w:val="center"/>
              <w:rPr>
                <w:kern w:val="0"/>
                <w:sz w:val="18"/>
                <w:szCs w:val="18"/>
              </w:rPr>
            </w:pPr>
            <w:r>
              <w:rPr>
                <w:rFonts w:hint="eastAsia" w:eastAsia="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421" w:type="dxa"/>
            <w:vMerge w:val="continue"/>
            <w:tcMar>
              <w:left w:w="28" w:type="dxa"/>
              <w:right w:w="28" w:type="dxa"/>
            </w:tcMar>
            <w:vAlign w:val="center"/>
          </w:tcPr>
          <w:p>
            <w:pPr>
              <w:topLinePunct/>
              <w:adjustRightInd w:val="0"/>
              <w:snapToGrid w:val="0"/>
              <w:spacing w:line="240" w:lineRule="atLeast"/>
              <w:jc w:val="center"/>
              <w:rPr>
                <w:kern w:val="0"/>
                <w:sz w:val="18"/>
                <w:szCs w:val="18"/>
              </w:rPr>
            </w:pPr>
          </w:p>
        </w:tc>
        <w:tc>
          <w:tcPr>
            <w:tcW w:w="1481"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1020" w:type="dxa"/>
            <w:gridSpan w:val="2"/>
            <w:vMerge w:val="continue"/>
            <w:tcMar>
              <w:left w:w="28" w:type="dxa"/>
              <w:right w:w="28" w:type="dxa"/>
            </w:tcMar>
            <w:vAlign w:val="center"/>
          </w:tcPr>
          <w:p>
            <w:pPr>
              <w:topLinePunct/>
              <w:adjustRightInd w:val="0"/>
              <w:snapToGrid w:val="0"/>
              <w:spacing w:line="240" w:lineRule="atLeast"/>
              <w:jc w:val="center"/>
              <w:rPr>
                <w:rFonts w:eastAsia="黑体"/>
                <w:kern w:val="0"/>
                <w:sz w:val="18"/>
                <w:szCs w:val="18"/>
              </w:rPr>
            </w:pPr>
          </w:p>
        </w:tc>
        <w:tc>
          <w:tcPr>
            <w:tcW w:w="996"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1980" w:type="dxa"/>
            <w:vMerge w:val="continue"/>
            <w:tcMar>
              <w:left w:w="28" w:type="dxa"/>
              <w:right w:w="28" w:type="dxa"/>
            </w:tcMar>
            <w:vAlign w:val="center"/>
          </w:tcPr>
          <w:p>
            <w:pPr>
              <w:topLinePunct/>
              <w:adjustRightInd w:val="0"/>
              <w:snapToGrid w:val="0"/>
              <w:spacing w:line="240" w:lineRule="atLeast"/>
              <w:rPr>
                <w:rFonts w:eastAsia="黑体"/>
                <w:kern w:val="0"/>
                <w:sz w:val="18"/>
                <w:szCs w:val="18"/>
              </w:rPr>
            </w:pPr>
          </w:p>
        </w:tc>
        <w:tc>
          <w:tcPr>
            <w:tcW w:w="4107" w:type="dxa"/>
            <w:vMerge w:val="continue"/>
            <w:tcMar>
              <w:left w:w="28" w:type="dxa"/>
              <w:right w:w="28" w:type="dxa"/>
            </w:tcMar>
            <w:vAlign w:val="center"/>
          </w:tcPr>
          <w:p>
            <w:pPr>
              <w:topLinePunct/>
              <w:adjustRightInd w:val="0"/>
              <w:snapToGrid w:val="0"/>
              <w:spacing w:line="240" w:lineRule="atLeast"/>
              <w:rPr>
                <w:kern w:val="0"/>
                <w:sz w:val="18"/>
                <w:szCs w:val="18"/>
              </w:rPr>
            </w:pPr>
          </w:p>
        </w:tc>
        <w:tc>
          <w:tcPr>
            <w:tcW w:w="1857" w:type="dxa"/>
            <w:vMerge w:val="continue"/>
            <w:tcMar>
              <w:left w:w="28" w:type="dxa"/>
              <w:right w:w="28" w:type="dxa"/>
            </w:tcMar>
            <w:vAlign w:val="center"/>
          </w:tcPr>
          <w:p>
            <w:pPr>
              <w:topLinePunct/>
              <w:adjustRightInd w:val="0"/>
              <w:snapToGrid w:val="0"/>
              <w:spacing w:line="240" w:lineRule="atLeast"/>
              <w:rPr>
                <w:kern w:val="0"/>
                <w:sz w:val="18"/>
                <w:szCs w:val="18"/>
              </w:rPr>
            </w:pPr>
          </w:p>
        </w:tc>
        <w:tc>
          <w:tcPr>
            <w:tcW w:w="1233" w:type="dxa"/>
            <w:vMerge w:val="continue"/>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1"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w:t>
            </w:r>
          </w:p>
        </w:tc>
        <w:tc>
          <w:tcPr>
            <w:tcW w:w="1481" w:type="dxa"/>
            <w:vMerge w:val="restart"/>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人民西路片区连片开发项目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3号片区</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棕树营街道办事处</w:t>
            </w:r>
          </w:p>
        </w:tc>
        <w:tc>
          <w:tcPr>
            <w:tcW w:w="1980" w:type="dxa"/>
            <w:tcBorders>
              <w:bottom w:val="single" w:color="auto" w:sz="4" w:space="0"/>
            </w:tcBorders>
            <w:shd w:val="clear" w:color="auto" w:fill="auto"/>
            <w:tcMar>
              <w:left w:w="28" w:type="dxa"/>
              <w:right w:w="28" w:type="dxa"/>
            </w:tcMar>
            <w:vAlign w:val="center"/>
          </w:tcPr>
          <w:p>
            <w:pPr>
              <w:topLinePunct/>
              <w:adjustRightInd w:val="0"/>
              <w:snapToGrid w:val="0"/>
              <w:spacing w:line="220" w:lineRule="exact"/>
              <w:rPr>
                <w:rFonts w:eastAsia="仿宋_GB2312"/>
                <w:kern w:val="0"/>
                <w:sz w:val="18"/>
                <w:szCs w:val="18"/>
              </w:rPr>
            </w:pPr>
            <w:r>
              <w:rPr>
                <w:rFonts w:hint="eastAsia" w:eastAsia="仿宋_GB2312"/>
                <w:kern w:val="0"/>
                <w:sz w:val="18"/>
                <w:szCs w:val="18"/>
              </w:rPr>
              <w:t>位于棕树营街道，四至范围：南起云山路，北至人民西路，西至近华浦路，东至西园路。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总用地面积363亩，已拆除面积46万</w:t>
            </w:r>
            <w:r>
              <w:rPr>
                <w:rFonts w:hint="eastAsia" w:eastAsia="Segoe UI Symbol"/>
                <w:kern w:val="0"/>
                <w:sz w:val="18"/>
                <w:szCs w:val="18"/>
              </w:rPr>
              <w:t>㎡</w:t>
            </w:r>
            <w:r>
              <w:rPr>
                <w:rFonts w:hint="eastAsia" w:eastAsia="仿宋_GB2312"/>
                <w:kern w:val="0"/>
                <w:sz w:val="18"/>
                <w:szCs w:val="18"/>
              </w:rPr>
              <w:t>，总规划建筑面积98万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2019年已启动建设，预计建设周期为4年。</w:t>
            </w:r>
          </w:p>
        </w:tc>
        <w:tc>
          <w:tcPr>
            <w:tcW w:w="1233" w:type="dxa"/>
            <w:vMerge w:val="restart"/>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已经列入昆明市三旧连片改造计划。项目现在开工，目前正在开展回迁安置房建设。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1" w:type="dxa"/>
            <w:vMerge w:val="continue"/>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1481"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503"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52号片区</w:t>
            </w:r>
          </w:p>
        </w:tc>
        <w:tc>
          <w:tcPr>
            <w:tcW w:w="517"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张家村</w:t>
            </w:r>
          </w:p>
        </w:tc>
        <w:tc>
          <w:tcPr>
            <w:tcW w:w="996" w:type="dxa"/>
            <w:vMerge w:val="restart"/>
            <w:tcBorders>
              <w:right w:val="single" w:color="auto" w:sz="4" w:space="0"/>
            </w:tcBorders>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马街街道办事处</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topLinePunct/>
              <w:adjustRightInd w:val="0"/>
              <w:snapToGrid w:val="0"/>
              <w:spacing w:line="220" w:lineRule="exact"/>
              <w:rPr>
                <w:rFonts w:eastAsia="仿宋_GB2312"/>
                <w:kern w:val="0"/>
                <w:sz w:val="18"/>
                <w:szCs w:val="18"/>
              </w:rPr>
            </w:pPr>
            <w:r>
              <w:rPr>
                <w:rFonts w:hint="eastAsia" w:eastAsia="仿宋_GB2312"/>
                <w:kern w:val="0"/>
                <w:sz w:val="18"/>
                <w:szCs w:val="18"/>
              </w:rPr>
              <w:t>位于马街街道昆州路，四至范围：东至新运粮河、南至兴苑路、西至华苑路、北至人民西路及昆石铁路。</w:t>
            </w:r>
          </w:p>
        </w:tc>
        <w:tc>
          <w:tcPr>
            <w:tcW w:w="4107" w:type="dxa"/>
            <w:vMerge w:val="restart"/>
            <w:tcBorders>
              <w:left w:val="single" w:color="auto" w:sz="4" w:space="0"/>
            </w:tcBorders>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总用地面积1157亩，拟拆除面积107.76万</w:t>
            </w:r>
            <w:r>
              <w:rPr>
                <w:rFonts w:hint="eastAsia" w:eastAsia="Segoe UI Symbol"/>
                <w:kern w:val="0"/>
                <w:sz w:val="18"/>
                <w:szCs w:val="18"/>
              </w:rPr>
              <w:t>㎡</w:t>
            </w:r>
            <w:r>
              <w:rPr>
                <w:rFonts w:hint="eastAsia" w:eastAsia="仿宋_GB2312"/>
                <w:kern w:val="0"/>
                <w:sz w:val="18"/>
                <w:szCs w:val="18"/>
              </w:rPr>
              <w:t>，总规划建筑面积176.38万</w:t>
            </w:r>
            <w:r>
              <w:rPr>
                <w:rFonts w:hint="eastAsia" w:eastAsia="Segoe UI Symbol"/>
                <w:kern w:val="0"/>
                <w:sz w:val="18"/>
                <w:szCs w:val="18"/>
              </w:rPr>
              <w:t>㎡</w:t>
            </w:r>
            <w:r>
              <w:rPr>
                <w:rFonts w:hint="eastAsia" w:eastAsia="仿宋_GB2312"/>
                <w:kern w:val="0"/>
                <w:sz w:val="18"/>
                <w:szCs w:val="18"/>
              </w:rPr>
              <w:t>。</w:t>
            </w:r>
          </w:p>
        </w:tc>
        <w:tc>
          <w:tcPr>
            <w:tcW w:w="1857" w:type="dxa"/>
            <w:vMerge w:val="restart"/>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2019年6月已启动建设，预计建设周期为4年。</w:t>
            </w:r>
          </w:p>
        </w:tc>
        <w:tc>
          <w:tcPr>
            <w:tcW w:w="1233"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1" w:type="dxa"/>
            <w:vMerge w:val="continue"/>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1481"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503" w:type="dxa"/>
            <w:vMerge w:val="continue"/>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517"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兴隆村</w:t>
            </w:r>
          </w:p>
        </w:tc>
        <w:tc>
          <w:tcPr>
            <w:tcW w:w="996" w:type="dxa"/>
            <w:vMerge w:val="continue"/>
            <w:tcBorders>
              <w:right w:val="single" w:color="auto" w:sz="4" w:space="0"/>
            </w:tcBorders>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198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topLinePunct/>
              <w:adjustRightInd w:val="0"/>
              <w:snapToGrid w:val="0"/>
              <w:spacing w:line="220" w:lineRule="exact"/>
              <w:rPr>
                <w:rFonts w:eastAsia="仿宋_GB2312"/>
                <w:kern w:val="0"/>
                <w:sz w:val="18"/>
                <w:szCs w:val="18"/>
              </w:rPr>
            </w:pPr>
          </w:p>
        </w:tc>
        <w:tc>
          <w:tcPr>
            <w:tcW w:w="4107" w:type="dxa"/>
            <w:vMerge w:val="continue"/>
            <w:tcBorders>
              <w:left w:val="single" w:color="auto" w:sz="4" w:space="0"/>
            </w:tcBorders>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1857"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1233"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1" w:type="dxa"/>
            <w:vMerge w:val="continue"/>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1481"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53号片区</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马街街道办事处</w:t>
            </w:r>
          </w:p>
        </w:tc>
        <w:tc>
          <w:tcPr>
            <w:tcW w:w="1980" w:type="dxa"/>
            <w:tcBorders>
              <w:top w:val="single" w:color="auto" w:sz="4" w:space="0"/>
            </w:tcBorders>
            <w:shd w:val="clear" w:color="auto" w:fill="auto"/>
            <w:tcMar>
              <w:left w:w="28" w:type="dxa"/>
              <w:right w:w="28" w:type="dxa"/>
            </w:tcMar>
            <w:vAlign w:val="center"/>
          </w:tcPr>
          <w:p>
            <w:pPr>
              <w:topLinePunct/>
              <w:adjustRightInd w:val="0"/>
              <w:snapToGrid w:val="0"/>
              <w:spacing w:line="220" w:lineRule="exact"/>
              <w:rPr>
                <w:rFonts w:eastAsia="仿宋_GB2312"/>
                <w:kern w:val="0"/>
                <w:sz w:val="18"/>
                <w:szCs w:val="18"/>
              </w:rPr>
            </w:pPr>
            <w:r>
              <w:rPr>
                <w:rFonts w:hint="eastAsia" w:eastAsia="仿宋_GB2312"/>
                <w:kern w:val="0"/>
                <w:sz w:val="18"/>
                <w:szCs w:val="18"/>
              </w:rPr>
              <w:t>位于马街街道，四至范围：西至新运粮河、南至兴苑路、东至西二环（西苑立交桥）、北至人民西路。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总用地面积614亩，拟拆除面积49万</w:t>
            </w:r>
            <w:r>
              <w:rPr>
                <w:rFonts w:hint="eastAsia" w:eastAsia="Segoe UI Symbol"/>
                <w:kern w:val="0"/>
                <w:sz w:val="18"/>
                <w:szCs w:val="18"/>
              </w:rPr>
              <w:t>㎡</w:t>
            </w:r>
            <w:r>
              <w:rPr>
                <w:rFonts w:hint="eastAsia" w:eastAsia="仿宋_GB2312"/>
                <w:kern w:val="0"/>
                <w:sz w:val="18"/>
                <w:szCs w:val="18"/>
              </w:rPr>
              <w:t>，总规划建筑面积106.19万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2017年已启动部分建设，预计建设周期为6年。</w:t>
            </w:r>
          </w:p>
        </w:tc>
        <w:tc>
          <w:tcPr>
            <w:tcW w:w="1233" w:type="dxa"/>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1" w:type="dxa"/>
            <w:vMerge w:val="continue"/>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1481" w:type="dxa"/>
            <w:vMerge w:val="continue"/>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梁家河公交车场</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西苑街道办事处</w:t>
            </w:r>
          </w:p>
        </w:tc>
        <w:tc>
          <w:tcPr>
            <w:tcW w:w="1980" w:type="dxa"/>
            <w:shd w:val="clear" w:color="auto" w:fill="auto"/>
            <w:tcMar>
              <w:left w:w="28" w:type="dxa"/>
              <w:right w:w="28" w:type="dxa"/>
            </w:tcMar>
            <w:vAlign w:val="center"/>
          </w:tcPr>
          <w:p>
            <w:pPr>
              <w:topLinePunct/>
              <w:adjustRightInd w:val="0"/>
              <w:snapToGrid w:val="0"/>
              <w:spacing w:line="220" w:lineRule="exact"/>
              <w:rPr>
                <w:rFonts w:eastAsia="仿宋_GB2312"/>
                <w:kern w:val="0"/>
                <w:sz w:val="18"/>
                <w:szCs w:val="18"/>
              </w:rPr>
            </w:pPr>
            <w:r>
              <w:rPr>
                <w:rFonts w:hint="eastAsia" w:eastAsia="仿宋_GB2312"/>
                <w:kern w:val="0"/>
                <w:sz w:val="18"/>
                <w:szCs w:val="18"/>
              </w:rPr>
              <w:t>位于西苑街道，人民西路和西园路交汇处。</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总用地面积43.24亩，已拆除面积2.3万</w:t>
            </w:r>
            <w:r>
              <w:rPr>
                <w:rFonts w:hint="eastAsia" w:eastAsia="Segoe UI Symbol"/>
                <w:kern w:val="0"/>
                <w:sz w:val="18"/>
                <w:szCs w:val="18"/>
              </w:rPr>
              <w:t>㎡</w:t>
            </w:r>
            <w:r>
              <w:rPr>
                <w:rFonts w:hint="eastAsia" w:eastAsia="仿宋_GB2312"/>
                <w:kern w:val="0"/>
                <w:sz w:val="18"/>
                <w:szCs w:val="18"/>
              </w:rPr>
              <w:t>，总规划建筑面积19.59万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2019年已启动建设，预计建设周期为4年。</w:t>
            </w:r>
          </w:p>
        </w:tc>
        <w:tc>
          <w:tcPr>
            <w:tcW w:w="1233" w:type="dxa"/>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西坝路片区改造项目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7号片区二、三期项目</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金碧街道办事处</w:t>
            </w:r>
          </w:p>
        </w:tc>
        <w:tc>
          <w:tcPr>
            <w:tcW w:w="1980" w:type="dxa"/>
            <w:shd w:val="clear" w:color="auto" w:fill="auto"/>
            <w:tcMar>
              <w:left w:w="28" w:type="dxa"/>
              <w:right w:w="28" w:type="dxa"/>
            </w:tcMar>
            <w:vAlign w:val="center"/>
          </w:tcPr>
          <w:p>
            <w:pPr>
              <w:topLinePunct/>
              <w:adjustRightInd w:val="0"/>
              <w:snapToGrid w:val="0"/>
              <w:spacing w:line="220" w:lineRule="exact"/>
              <w:rPr>
                <w:rFonts w:eastAsia="仿宋_GB2312"/>
                <w:kern w:val="0"/>
                <w:sz w:val="18"/>
                <w:szCs w:val="18"/>
              </w:rPr>
            </w:pPr>
            <w:r>
              <w:rPr>
                <w:rFonts w:hint="eastAsia" w:eastAsia="仿宋_GB2312"/>
                <w:kern w:val="0"/>
                <w:sz w:val="18"/>
                <w:szCs w:val="18"/>
              </w:rPr>
              <w:t>位于金碧街道，四至范围：南起刘家营，北至文化空间，西至西园路，东至环城西路。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总用地面积309.39亩，拟拆迁面积29.29万</w:t>
            </w:r>
            <w:r>
              <w:rPr>
                <w:rFonts w:hint="eastAsia" w:eastAsia="Segoe UI Symbol"/>
                <w:kern w:val="0"/>
                <w:sz w:val="18"/>
                <w:szCs w:val="18"/>
              </w:rPr>
              <w:t>㎡</w:t>
            </w:r>
            <w:r>
              <w:rPr>
                <w:rFonts w:hint="eastAsia" w:eastAsia="仿宋_GB2312"/>
                <w:kern w:val="0"/>
                <w:sz w:val="18"/>
                <w:szCs w:val="18"/>
              </w:rPr>
              <w:t>，总规划建筑面积60万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2022年完成土地交易，预计建设周期为4年。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3</w:t>
            </w:r>
          </w:p>
        </w:tc>
        <w:tc>
          <w:tcPr>
            <w:tcW w:w="1481" w:type="dxa"/>
            <w:shd w:val="clear" w:color="auto" w:fill="auto"/>
            <w:tcMar>
              <w:left w:w="28" w:type="dxa"/>
              <w:right w:w="28" w:type="dxa"/>
            </w:tcMar>
            <w:vAlign w:val="center"/>
          </w:tcPr>
          <w:p>
            <w:pPr>
              <w:topLinePunct/>
              <w:adjustRightInd w:val="0"/>
              <w:snapToGrid w:val="0"/>
              <w:spacing w:line="240" w:lineRule="atLeast"/>
              <w:rPr>
                <w:rFonts w:hint="eastAsia" w:eastAsia="仿宋_GB2312"/>
                <w:kern w:val="0"/>
                <w:sz w:val="18"/>
                <w:szCs w:val="18"/>
              </w:rPr>
            </w:pPr>
            <w:r>
              <w:rPr>
                <w:rFonts w:hint="eastAsia" w:eastAsia="仿宋_GB2312"/>
                <w:kern w:val="0"/>
                <w:sz w:val="18"/>
                <w:szCs w:val="18"/>
              </w:rPr>
              <w:t>西山区6号片区</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卢家营</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金碧街道办事处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hint="eastAsia" w:eastAsia="仿宋_GB2312"/>
                <w:kern w:val="0"/>
                <w:sz w:val="18"/>
                <w:szCs w:val="18"/>
              </w:rPr>
            </w:pPr>
            <w:r>
              <w:rPr>
                <w:rFonts w:hint="eastAsia" w:eastAsia="仿宋_GB2312"/>
                <w:kern w:val="0"/>
                <w:sz w:val="18"/>
                <w:szCs w:val="18"/>
              </w:rPr>
              <w:t>位于金碧街道卢家营村，四至范围：东至环城西路文化空间，南至二环南路与西坝路交叉口，西至大观河与二环南路交叉口，北至大观河。</w:t>
            </w:r>
          </w:p>
        </w:tc>
        <w:tc>
          <w:tcPr>
            <w:tcW w:w="4107" w:type="dxa"/>
            <w:shd w:val="clear" w:color="auto" w:fill="auto"/>
            <w:tcMar>
              <w:left w:w="28" w:type="dxa"/>
              <w:right w:w="28" w:type="dxa"/>
            </w:tcMar>
            <w:vAlign w:val="center"/>
          </w:tcPr>
          <w:p>
            <w:pPr>
              <w:topLinePunct/>
              <w:adjustRightInd w:val="0"/>
              <w:snapToGrid w:val="0"/>
              <w:spacing w:line="240" w:lineRule="atLeast"/>
              <w:rPr>
                <w:rFonts w:hint="eastAsia" w:eastAsia="仿宋_GB2312"/>
                <w:kern w:val="0"/>
                <w:sz w:val="18"/>
                <w:szCs w:val="18"/>
              </w:rPr>
            </w:pPr>
            <w:r>
              <w:rPr>
                <w:rFonts w:hint="eastAsia" w:eastAsia="仿宋_GB2312"/>
                <w:kern w:val="0"/>
                <w:sz w:val="18"/>
                <w:szCs w:val="18"/>
              </w:rPr>
              <w:t>总用地面积约9</w:t>
            </w:r>
            <w:r>
              <w:rPr>
                <w:rFonts w:eastAsia="仿宋_GB2312"/>
                <w:kern w:val="0"/>
                <w:sz w:val="18"/>
                <w:szCs w:val="18"/>
              </w:rPr>
              <w:t>48</w:t>
            </w:r>
            <w:r>
              <w:rPr>
                <w:rFonts w:hint="eastAsia" w:eastAsia="仿宋_GB2312"/>
                <w:kern w:val="0"/>
                <w:sz w:val="18"/>
                <w:szCs w:val="18"/>
              </w:rPr>
              <w:t>亩，拆迁总量约3</w:t>
            </w:r>
            <w:r>
              <w:rPr>
                <w:rFonts w:eastAsia="仿宋_GB2312"/>
                <w:kern w:val="0"/>
                <w:sz w:val="18"/>
                <w:szCs w:val="18"/>
              </w:rPr>
              <w:t>2</w:t>
            </w:r>
            <w:r>
              <w:rPr>
                <w:rFonts w:hint="eastAsia" w:eastAsia="仿宋_GB2312"/>
                <w:kern w:val="0"/>
                <w:sz w:val="18"/>
                <w:szCs w:val="18"/>
              </w:rPr>
              <w:t>万</w:t>
            </w:r>
            <w:r>
              <w:rPr>
                <w:rFonts w:hint="eastAsia" w:eastAsia="Segoe UI Symbol"/>
                <w:kern w:val="0"/>
                <w:sz w:val="18"/>
                <w:szCs w:val="18"/>
              </w:rPr>
              <w:t>㎡</w:t>
            </w:r>
            <w:r>
              <w:rPr>
                <w:rFonts w:hint="eastAsia" w:eastAsia="仿宋_GB2312"/>
                <w:kern w:val="0"/>
                <w:sz w:val="18"/>
                <w:szCs w:val="18"/>
              </w:rPr>
              <w:t>，计划建设总量约6</w:t>
            </w:r>
            <w:r>
              <w:rPr>
                <w:rFonts w:eastAsia="仿宋_GB2312"/>
                <w:kern w:val="0"/>
                <w:sz w:val="18"/>
                <w:szCs w:val="18"/>
              </w:rPr>
              <w:t>0</w:t>
            </w:r>
            <w:r>
              <w:rPr>
                <w:rFonts w:hint="eastAsia" w:eastAsia="仿宋_GB2312"/>
                <w:kern w:val="0"/>
                <w:sz w:val="18"/>
                <w:szCs w:val="18"/>
              </w:rPr>
              <w:t>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eastAsia="仿宋_GB2312"/>
                <w:kern w:val="0"/>
                <w:sz w:val="18"/>
                <w:szCs w:val="18"/>
              </w:rPr>
              <w:t>2022</w:t>
            </w:r>
            <w:r>
              <w:rPr>
                <w:rFonts w:hint="eastAsia" w:eastAsia="仿宋_GB2312"/>
                <w:kern w:val="0"/>
                <w:sz w:val="18"/>
                <w:szCs w:val="18"/>
              </w:rPr>
              <w:t>年启动项目前期工作，预计建设周期为3年。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4</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环城南路片区连片开发项目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螺蛳湾片区（14号、15号片区）</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永昌街道办事处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位于永昌街道，四至范围：南起采莲路，北至环城南路，西至海埂路，东至南坝路。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总用地面积714亩，拟拆迁面积113.1万</w:t>
            </w:r>
            <w:r>
              <w:rPr>
                <w:rFonts w:hint="eastAsia" w:eastAsia="Segoe UI Symbol"/>
                <w:kern w:val="0"/>
                <w:sz w:val="18"/>
                <w:szCs w:val="18"/>
              </w:rPr>
              <w:t>㎡</w:t>
            </w:r>
            <w:r>
              <w:rPr>
                <w:rFonts w:hint="eastAsia" w:eastAsia="仿宋_GB2312"/>
                <w:kern w:val="0"/>
                <w:sz w:val="18"/>
                <w:szCs w:val="18"/>
              </w:rPr>
              <w:t>，总规划建筑面积35万</w:t>
            </w:r>
            <w:r>
              <w:rPr>
                <w:rFonts w:hint="eastAsia" w:eastAsia="Segoe UI Symbol"/>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2022年完成土地交易，预计建设周期为3年。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已经列入昆明市三旧连片改造计划和云南省连片改造计划。项目现在开工，目前正在开展回迁安置房建设。已经列入棚户区改造。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5</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西山区18号片区A1—8</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spacing w:val="-18"/>
                <w:kern w:val="0"/>
                <w:sz w:val="18"/>
                <w:szCs w:val="18"/>
              </w:rPr>
            </w:pPr>
            <w:r>
              <w:rPr>
                <w:rFonts w:hint="eastAsia" w:eastAsia="仿宋_GB2312"/>
                <w:spacing w:val="-18"/>
                <w:kern w:val="0"/>
                <w:sz w:val="18"/>
                <w:szCs w:val="18"/>
              </w:rPr>
              <w:t>前卫营上村、前卫营下村、陈顾村、官庄上村、官庄下村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前卫街道办事处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spacing w:val="-4"/>
                <w:kern w:val="0"/>
                <w:sz w:val="18"/>
                <w:szCs w:val="18"/>
              </w:rPr>
            </w:pPr>
            <w:r>
              <w:rPr>
                <w:rFonts w:hint="eastAsia" w:eastAsia="仿宋_GB2312"/>
                <w:spacing w:val="-4"/>
                <w:kern w:val="0"/>
                <w:sz w:val="18"/>
                <w:szCs w:val="18"/>
              </w:rPr>
              <w:t>位于前卫街道，四至范围：东至前兴路，南至日新东路，西至恒大云报华府、锦华苑，北至前卫西路。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总用地面积60亩，已完成征迁，总规划建筑面积11.4万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2020年4月完成土地交易，建设周期为3年。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6</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西山区21号片区A1—3</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李家场村、陆家场村、江家场村、李家湾村、陶家湾村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前卫街道办事处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位于前卫街道，四至范围：前兴路与广福路交汇处。</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总用地面积70亩，拟拆迁面积13万</w:t>
            </w:r>
            <w:r>
              <w:rPr>
                <w:rFonts w:hint="eastAsia" w:eastAsia="Segoe UI Symbol"/>
                <w:kern w:val="0"/>
                <w:sz w:val="18"/>
                <w:szCs w:val="18"/>
              </w:rPr>
              <w:t>㎡</w:t>
            </w:r>
            <w:r>
              <w:rPr>
                <w:rFonts w:hint="eastAsia" w:eastAsia="仿宋_GB2312"/>
                <w:kern w:val="0"/>
                <w:sz w:val="18"/>
                <w:szCs w:val="18"/>
              </w:rPr>
              <w:t>，总规划建筑面积21万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2022年完成土地交易，预计建设周期为3年。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7</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西山区22号片区A2—1</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楼房村、徐家院村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前卫街道办事处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位于前卫街道，四至范围：广福路与前福路交汇处。</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规划为住宅用地。</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2022年完成土地交易，预计建设周期为3年。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1"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8</w:t>
            </w:r>
          </w:p>
        </w:tc>
        <w:tc>
          <w:tcPr>
            <w:tcW w:w="1481" w:type="dxa"/>
            <w:vMerge w:val="restart"/>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西山区双塔片区</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谭家营、何家院</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前卫街道办事处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位于前卫街道，四至范围：东至南坝小区，南至南坝小区，西至南博路，北至绿荫大道。</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总建筑面积86044</w:t>
            </w:r>
            <w:r>
              <w:rPr>
                <w:rFonts w:hint="eastAsia" w:eastAsia="Segoe UI Symbol"/>
                <w:kern w:val="0"/>
                <w:sz w:val="18"/>
                <w:szCs w:val="18"/>
              </w:rPr>
              <w:t>㎡</w:t>
            </w:r>
            <w:r>
              <w:rPr>
                <w:rFonts w:hint="eastAsia" w:eastAsia="仿宋_GB2312"/>
                <w:kern w:val="0"/>
                <w:sz w:val="18"/>
                <w:szCs w:val="18"/>
              </w:rPr>
              <w:t>，其中：新建回迁安置房面积61444</w:t>
            </w:r>
            <w:r>
              <w:rPr>
                <w:rFonts w:hint="eastAsia" w:eastAsia="Segoe UI Symbol"/>
                <w:kern w:val="0"/>
                <w:sz w:val="18"/>
                <w:szCs w:val="18"/>
              </w:rPr>
              <w:t>㎡</w:t>
            </w:r>
            <w:r>
              <w:rPr>
                <w:rFonts w:hint="eastAsia" w:eastAsia="仿宋_GB2312"/>
                <w:kern w:val="0"/>
                <w:sz w:val="18"/>
                <w:szCs w:val="18"/>
              </w:rPr>
              <w:t>，回迁安置房333套，地下建筑面积24600</w:t>
            </w:r>
            <w:r>
              <w:rPr>
                <w:rFonts w:hint="eastAsia" w:eastAsia="Segoe UI Symbol"/>
                <w:kern w:val="0"/>
                <w:sz w:val="18"/>
                <w:szCs w:val="18"/>
              </w:rPr>
              <w:t>㎡</w:t>
            </w:r>
            <w:r>
              <w:rPr>
                <w:rFonts w:hint="eastAsia" w:eastAsia="仿宋_GB2312"/>
                <w:kern w:val="0"/>
                <w:sz w:val="18"/>
                <w:szCs w:val="18"/>
              </w:rPr>
              <w:t>，地下停车位615个。</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2022年完成土地交易，预计建设周期为3年。</w:t>
            </w:r>
          </w:p>
        </w:tc>
        <w:tc>
          <w:tcPr>
            <w:tcW w:w="1233" w:type="dxa"/>
            <w:vMerge w:val="restart"/>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1" w:type="dxa"/>
            <w:vMerge w:val="continue"/>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1481" w:type="dxa"/>
            <w:vMerge w:val="continue"/>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民胜西村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前卫街道办事处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位于前卫街道，四至范围：东至蓝光COCO蜜城，南至规划路，西至希望路，北至前旺路。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总建筑面积30145</w:t>
            </w:r>
            <w:r>
              <w:rPr>
                <w:rFonts w:hint="eastAsia" w:eastAsia="Segoe UI Symbol"/>
                <w:kern w:val="0"/>
                <w:sz w:val="18"/>
                <w:szCs w:val="18"/>
              </w:rPr>
              <w:t>㎡</w:t>
            </w:r>
            <w:r>
              <w:rPr>
                <w:rFonts w:hint="eastAsia" w:eastAsia="仿宋_GB2312"/>
                <w:kern w:val="0"/>
                <w:sz w:val="18"/>
                <w:szCs w:val="18"/>
              </w:rPr>
              <w:t>，其中：新建回迁安置房面积21545</w:t>
            </w:r>
            <w:r>
              <w:rPr>
                <w:rFonts w:hint="eastAsia" w:eastAsia="Segoe UI Symbol"/>
                <w:kern w:val="0"/>
                <w:sz w:val="18"/>
                <w:szCs w:val="18"/>
              </w:rPr>
              <w:t>㎡</w:t>
            </w:r>
            <w:r>
              <w:rPr>
                <w:rFonts w:hint="eastAsia" w:eastAsia="仿宋_GB2312"/>
                <w:kern w:val="0"/>
                <w:sz w:val="18"/>
                <w:szCs w:val="18"/>
              </w:rPr>
              <w:t>，回迁安置房120套，地下建筑面积8600</w:t>
            </w:r>
            <w:r>
              <w:rPr>
                <w:rFonts w:hint="eastAsia" w:eastAsia="Segoe UI Symbol"/>
                <w:kern w:val="0"/>
                <w:sz w:val="18"/>
                <w:szCs w:val="18"/>
              </w:rPr>
              <w:t>㎡</w:t>
            </w:r>
            <w:r>
              <w:rPr>
                <w:rFonts w:hint="eastAsia" w:eastAsia="仿宋_GB2312"/>
                <w:kern w:val="0"/>
                <w:sz w:val="18"/>
                <w:szCs w:val="18"/>
              </w:rPr>
              <w:t>，地下停车位215个。</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2022年完成土地交易，预计建设周期为3年。</w:t>
            </w:r>
          </w:p>
        </w:tc>
        <w:tc>
          <w:tcPr>
            <w:tcW w:w="1233" w:type="dxa"/>
            <w:vMerge w:val="continue"/>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9</w:t>
            </w:r>
          </w:p>
        </w:tc>
        <w:tc>
          <w:tcPr>
            <w:tcW w:w="148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西山区27号片区</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高朱村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福海街道办事处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位于福海街道，北至金牛小区，南至高朱村新村，西至怡康温泉村，东至时代年华小区。</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拟建回迁房505套、面积5.07万</w:t>
            </w:r>
            <w:r>
              <w:rPr>
                <w:rFonts w:hint="eastAsia" w:eastAsia="Segoe UI Symbol"/>
                <w:kern w:val="0"/>
                <w:sz w:val="18"/>
                <w:szCs w:val="18"/>
              </w:rPr>
              <w:t>㎡</w:t>
            </w:r>
            <w:r>
              <w:rPr>
                <w:rFonts w:hint="eastAsia" w:eastAsia="仿宋_GB2312"/>
                <w:kern w:val="0"/>
                <w:sz w:val="18"/>
                <w:szCs w:val="18"/>
              </w:rPr>
              <w:t>，新建区级统筹储备用房433套、面积4.24万</w:t>
            </w:r>
            <w:r>
              <w:rPr>
                <w:rFonts w:hint="eastAsia" w:eastAsia="Segoe UI Symbol"/>
                <w:kern w:val="0"/>
                <w:sz w:val="18"/>
                <w:szCs w:val="18"/>
              </w:rPr>
              <w:t>㎡</w:t>
            </w:r>
            <w:r>
              <w:rPr>
                <w:rFonts w:hint="eastAsia" w:eastAsia="仿宋_GB2312"/>
                <w:kern w:val="0"/>
                <w:sz w:val="18"/>
                <w:szCs w:val="18"/>
              </w:rPr>
              <w:t>；新建地下室面积5.23万</w:t>
            </w:r>
            <w:r>
              <w:rPr>
                <w:rFonts w:hint="eastAsia" w:eastAsia="Segoe UI Symbol"/>
                <w:kern w:val="0"/>
                <w:sz w:val="18"/>
                <w:szCs w:val="18"/>
              </w:rPr>
              <w:t>㎡</w:t>
            </w:r>
            <w:r>
              <w:rPr>
                <w:rFonts w:hint="eastAsia" w:eastAsia="仿宋_GB2312"/>
                <w:kern w:val="0"/>
                <w:sz w:val="18"/>
                <w:szCs w:val="18"/>
              </w:rPr>
              <w:t>（机动车泊位1300个），新建配套商业约5900</w:t>
            </w:r>
            <w:r>
              <w:rPr>
                <w:rFonts w:hint="eastAsia" w:eastAsia="Segoe UI Symbol"/>
                <w:kern w:val="0"/>
                <w:sz w:val="18"/>
                <w:szCs w:val="18"/>
              </w:rPr>
              <w:t>㎡</w:t>
            </w:r>
            <w:r>
              <w:rPr>
                <w:rFonts w:hint="eastAsia" w:eastAsia="仿宋_GB2312"/>
                <w:kern w:val="0"/>
                <w:sz w:val="18"/>
                <w:szCs w:val="18"/>
              </w:rPr>
              <w:t>，配套公建约2068</w:t>
            </w:r>
            <w:r>
              <w:rPr>
                <w:rFonts w:hint="eastAsia" w:eastAsia="Segoe UI Symbol"/>
                <w:kern w:val="0"/>
                <w:sz w:val="18"/>
                <w:szCs w:val="18"/>
              </w:rPr>
              <w:t>㎡</w:t>
            </w:r>
            <w:r>
              <w:rPr>
                <w:rFonts w:hint="eastAsia" w:eastAsia="仿宋_GB2312"/>
                <w:kern w:val="0"/>
                <w:sz w:val="18"/>
                <w:szCs w:val="18"/>
              </w:rPr>
              <w:t>；新建商品房5.47万</w:t>
            </w:r>
            <w:r>
              <w:rPr>
                <w:rFonts w:hint="eastAsia" w:eastAsia="Segoe UI Symbol"/>
                <w:kern w:val="0"/>
                <w:sz w:val="18"/>
                <w:szCs w:val="18"/>
              </w:rPr>
              <w:t>㎡</w:t>
            </w:r>
            <w:r>
              <w:rPr>
                <w:rFonts w:hint="eastAsia" w:eastAsia="仿宋_GB2312"/>
                <w:kern w:val="0"/>
                <w:sz w:val="18"/>
                <w:szCs w:val="18"/>
              </w:rPr>
              <w:t>；总体建设规模为新增建筑15.77万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2021年1月已启动建设，预计建设周期为3年。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10</w:t>
            </w:r>
          </w:p>
        </w:tc>
        <w:tc>
          <w:tcPr>
            <w:tcW w:w="148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西山区28号片区</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卢家地村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福海街道办事处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位于福海街道，东临云南省司法厅，南临采莲河，西临蓝山数码公寓小区，北临滇池路。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spacing w:val="-12"/>
                <w:kern w:val="0"/>
                <w:sz w:val="18"/>
                <w:szCs w:val="18"/>
              </w:rPr>
            </w:pPr>
            <w:r>
              <w:rPr>
                <w:rFonts w:hint="eastAsia" w:eastAsia="仿宋_GB2312"/>
                <w:spacing w:val="-12"/>
                <w:kern w:val="0"/>
                <w:sz w:val="18"/>
                <w:szCs w:val="18"/>
              </w:rPr>
              <w:t>拟建回迁安置房408套、面积4.3万</w:t>
            </w:r>
            <w:r>
              <w:rPr>
                <w:rFonts w:hint="eastAsia" w:eastAsia="Segoe UI Symbol"/>
                <w:spacing w:val="-12"/>
                <w:kern w:val="0"/>
                <w:sz w:val="18"/>
                <w:szCs w:val="18"/>
              </w:rPr>
              <w:t>㎡</w:t>
            </w:r>
            <w:r>
              <w:rPr>
                <w:rFonts w:hint="eastAsia" w:eastAsia="仿宋_GB2312"/>
                <w:spacing w:val="-12"/>
                <w:kern w:val="0"/>
                <w:sz w:val="18"/>
                <w:szCs w:val="18"/>
              </w:rPr>
              <w:t>，新建区级统筹储备用房645套、面积6.18万</w:t>
            </w:r>
            <w:r>
              <w:rPr>
                <w:rFonts w:hint="eastAsia" w:eastAsia="Segoe UI Symbol"/>
                <w:spacing w:val="-12"/>
                <w:kern w:val="0"/>
                <w:sz w:val="18"/>
                <w:szCs w:val="18"/>
              </w:rPr>
              <w:t>㎡</w:t>
            </w:r>
            <w:r>
              <w:rPr>
                <w:rFonts w:hint="eastAsia" w:eastAsia="仿宋_GB2312"/>
                <w:spacing w:val="-12"/>
                <w:kern w:val="0"/>
                <w:sz w:val="18"/>
                <w:szCs w:val="18"/>
              </w:rPr>
              <w:t>，新建地下室面积9.35万</w:t>
            </w:r>
            <w:r>
              <w:rPr>
                <w:rFonts w:hint="eastAsia" w:eastAsia="Segoe UI Symbol"/>
                <w:spacing w:val="-12"/>
                <w:kern w:val="0"/>
                <w:sz w:val="18"/>
                <w:szCs w:val="18"/>
              </w:rPr>
              <w:t>㎡</w:t>
            </w:r>
            <w:r>
              <w:rPr>
                <w:rFonts w:hint="eastAsia" w:eastAsia="仿宋_GB2312"/>
                <w:spacing w:val="-12"/>
                <w:kern w:val="0"/>
                <w:sz w:val="18"/>
                <w:szCs w:val="18"/>
              </w:rPr>
              <w:t>（机动车泊位2011个，非机动车泊位2843个），新建幼儿园面积约3000</w:t>
            </w:r>
            <w:r>
              <w:rPr>
                <w:rFonts w:hint="eastAsia" w:eastAsia="Segoe UI Symbol"/>
                <w:spacing w:val="-12"/>
                <w:kern w:val="0"/>
                <w:sz w:val="18"/>
                <w:szCs w:val="18"/>
              </w:rPr>
              <w:t>㎡</w:t>
            </w:r>
            <w:r>
              <w:rPr>
                <w:rFonts w:hint="eastAsia" w:eastAsia="仿宋_GB2312"/>
                <w:spacing w:val="-12"/>
                <w:kern w:val="0"/>
                <w:sz w:val="18"/>
                <w:szCs w:val="18"/>
              </w:rPr>
              <w:t>，新建公共服务配套设施面积约3600</w:t>
            </w:r>
            <w:r>
              <w:rPr>
                <w:rFonts w:hint="eastAsia" w:eastAsia="Segoe UI Symbol"/>
                <w:spacing w:val="-12"/>
                <w:kern w:val="0"/>
                <w:sz w:val="18"/>
                <w:szCs w:val="18"/>
              </w:rPr>
              <w:t>㎡</w:t>
            </w:r>
            <w:r>
              <w:rPr>
                <w:rFonts w:hint="eastAsia" w:eastAsia="仿宋_GB2312"/>
                <w:spacing w:val="-12"/>
                <w:kern w:val="0"/>
                <w:sz w:val="18"/>
                <w:szCs w:val="18"/>
              </w:rPr>
              <w:t>；新建商品房20.42万</w:t>
            </w:r>
            <w:r>
              <w:rPr>
                <w:rFonts w:hint="eastAsia" w:eastAsia="Segoe UI Symbol"/>
                <w:spacing w:val="-12"/>
                <w:kern w:val="0"/>
                <w:sz w:val="18"/>
                <w:szCs w:val="18"/>
              </w:rPr>
              <w:t>㎡</w:t>
            </w:r>
            <w:r>
              <w:rPr>
                <w:rFonts w:hint="eastAsia" w:eastAsia="仿宋_GB2312"/>
                <w:spacing w:val="-12"/>
                <w:kern w:val="0"/>
                <w:sz w:val="18"/>
                <w:szCs w:val="18"/>
              </w:rPr>
              <w:t>。总体建设规模为新增建筑31.14万</w:t>
            </w:r>
            <w:r>
              <w:rPr>
                <w:rFonts w:hint="eastAsia" w:eastAsia="Segoe UI Symbol"/>
                <w:spacing w:val="-12"/>
                <w:kern w:val="0"/>
                <w:sz w:val="18"/>
                <w:szCs w:val="18"/>
              </w:rPr>
              <w:t>㎡</w:t>
            </w:r>
            <w:r>
              <w:rPr>
                <w:rFonts w:hint="eastAsia" w:eastAsia="仿宋_GB2312"/>
                <w:spacing w:val="-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2020年6月已启动建设，预计建设周期为3年。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11</w:t>
            </w:r>
          </w:p>
        </w:tc>
        <w:tc>
          <w:tcPr>
            <w:tcW w:w="148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西山区29片区</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杨家地村、李长光村、李家地村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福海街道办事处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spacing w:val="-6"/>
                <w:kern w:val="0"/>
                <w:sz w:val="18"/>
                <w:szCs w:val="18"/>
              </w:rPr>
            </w:pPr>
            <w:r>
              <w:rPr>
                <w:rFonts w:hint="eastAsia" w:eastAsia="仿宋_GB2312"/>
                <w:spacing w:val="-6"/>
                <w:kern w:val="0"/>
                <w:sz w:val="18"/>
                <w:szCs w:val="18"/>
              </w:rPr>
              <w:t>位于福海街道，四至范围：东至福源小区、怡康小区，南至和风园小区，西至日新西路，北至采莲河。</w:t>
            </w:r>
          </w:p>
        </w:tc>
        <w:tc>
          <w:tcPr>
            <w:tcW w:w="4107" w:type="dxa"/>
            <w:shd w:val="clear" w:color="auto" w:fill="auto"/>
            <w:tcMar>
              <w:left w:w="28" w:type="dxa"/>
              <w:right w:w="28" w:type="dxa"/>
            </w:tcMar>
            <w:vAlign w:val="center"/>
          </w:tcPr>
          <w:p>
            <w:pPr>
              <w:topLinePunct/>
              <w:adjustRightInd w:val="0"/>
              <w:snapToGrid w:val="0"/>
              <w:spacing w:line="240" w:lineRule="atLeast"/>
              <w:rPr>
                <w:kern w:val="0"/>
                <w:sz w:val="18"/>
                <w:szCs w:val="18"/>
              </w:rPr>
            </w:pPr>
            <w:r>
              <w:rPr>
                <w:rFonts w:hint="eastAsia" w:eastAsia="仿宋_GB2312"/>
                <w:kern w:val="0"/>
                <w:sz w:val="18"/>
                <w:szCs w:val="18"/>
              </w:rPr>
              <w:t>拟建回迁安置房3852套、39.59万</w:t>
            </w:r>
            <w:r>
              <w:rPr>
                <w:rFonts w:hint="eastAsia" w:ascii="Segoe UI Symbol" w:hAnsi="Segoe UI Symbol" w:eastAsia="Segoe UI Symbol" w:cs="Segoe UI Symbol"/>
                <w:kern w:val="0"/>
                <w:sz w:val="18"/>
                <w:szCs w:val="18"/>
              </w:rPr>
              <w:t>㎡</w:t>
            </w:r>
            <w:r>
              <w:rPr>
                <w:rFonts w:hint="eastAsia" w:eastAsia="仿宋_GB2312"/>
                <w:kern w:val="0"/>
                <w:sz w:val="18"/>
                <w:szCs w:val="18"/>
              </w:rPr>
              <w:t>，新建地下室面积3.18万</w:t>
            </w:r>
            <w:r>
              <w:rPr>
                <w:rFonts w:hint="eastAsia" w:ascii="Segoe UI Symbol" w:hAnsi="Segoe UI Symbol" w:eastAsia="Segoe UI Symbol" w:cs="Segoe UI Symbol"/>
                <w:kern w:val="0"/>
                <w:sz w:val="18"/>
                <w:szCs w:val="18"/>
              </w:rPr>
              <w:t>㎡</w:t>
            </w:r>
            <w:r>
              <w:rPr>
                <w:rFonts w:hint="eastAsia" w:eastAsia="仿宋_GB2312"/>
                <w:kern w:val="0"/>
                <w:sz w:val="18"/>
                <w:szCs w:val="18"/>
              </w:rPr>
              <w:t>（机动车泊位790个，非机动车泊位860个），新建配套商业3940</w:t>
            </w:r>
            <w:r>
              <w:rPr>
                <w:rFonts w:hint="eastAsia" w:ascii="Segoe UI Symbol" w:hAnsi="Segoe UI Symbol" w:eastAsia="Segoe UI Symbol" w:cs="Segoe UI Symbol"/>
                <w:kern w:val="0"/>
                <w:sz w:val="18"/>
                <w:szCs w:val="18"/>
              </w:rPr>
              <w:t>㎡</w:t>
            </w:r>
            <w:r>
              <w:rPr>
                <w:rFonts w:hint="eastAsia" w:eastAsia="仿宋_GB2312"/>
                <w:kern w:val="0"/>
                <w:sz w:val="18"/>
                <w:szCs w:val="18"/>
              </w:rPr>
              <w:t>，配套公建2754</w:t>
            </w:r>
            <w:r>
              <w:rPr>
                <w:rFonts w:hint="eastAsia" w:ascii="Segoe UI Symbol" w:hAnsi="Segoe UI Symbol" w:eastAsia="Segoe UI Symbol" w:cs="Segoe UI Symbol"/>
                <w:kern w:val="0"/>
                <w:sz w:val="18"/>
                <w:szCs w:val="18"/>
              </w:rPr>
              <w:t>㎡</w:t>
            </w:r>
            <w:r>
              <w:rPr>
                <w:rFonts w:hint="eastAsia" w:eastAsia="仿宋_GB2312"/>
                <w:kern w:val="0"/>
                <w:sz w:val="18"/>
                <w:szCs w:val="18"/>
              </w:rPr>
              <w:t>。总体建设规模10.35</w:t>
            </w:r>
            <w:r>
              <w:rPr>
                <w:rFonts w:hint="eastAsia" w:ascii="Segoe UI Symbol" w:hAnsi="Segoe UI Symbol" w:eastAsia="Segoe UI Symbol" w:cs="Segoe UI Symbol"/>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2021年1月已启动拆迁，预计建设周期为5年。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12</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西山区38号片区</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船房新村、船房老村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福海街道办事处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位于福海街道船房社区，四至范围：东至青少年活动中心、南至福景路、西至西福路和西华公园、北至二环南路。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总用地面积1208亩，拟拆除面积约115万</w:t>
            </w:r>
            <w:r>
              <w:rPr>
                <w:rFonts w:hint="eastAsia" w:eastAsia="Segoe UI Symbol"/>
                <w:kern w:val="0"/>
                <w:sz w:val="18"/>
                <w:szCs w:val="18"/>
              </w:rPr>
              <w:t>㎡</w:t>
            </w:r>
            <w:r>
              <w:rPr>
                <w:rFonts w:hint="eastAsia" w:eastAsia="仿宋_GB2312"/>
                <w:kern w:val="0"/>
                <w:sz w:val="18"/>
                <w:szCs w:val="18"/>
              </w:rPr>
              <w:t>，总规划建筑面积约280万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kern w:val="0"/>
                <w:sz w:val="18"/>
                <w:szCs w:val="18"/>
              </w:rPr>
            </w:pPr>
            <w:r>
              <w:rPr>
                <w:rFonts w:hint="eastAsia" w:eastAsia="仿宋_GB2312"/>
                <w:kern w:val="0"/>
                <w:sz w:val="18"/>
                <w:szCs w:val="18"/>
              </w:rPr>
              <w:t>2022年启动征地拆迁，预计建设周期为5年。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13</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西山区50号片区</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沙地村</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马街街道办事处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位于西山区马街街道张峰社区，四至范围：东至华苑路、南至兴苑路、西靠西山区检察院、昆钢铁合金厂、北至昆石铁路。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总用地面积约221.73亩，其中：回迁安置地块净用地面积30.36亩，需要平衡地块净用地面积86.12亩，其余105.26亩净用地可由政府收储后统一安排使用。涉及拆迁625户，均为实物安置。</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预计2022年完成土地交易，建设周期为3年。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spacing w:val="-8"/>
                <w:kern w:val="0"/>
                <w:sz w:val="18"/>
                <w:szCs w:val="18"/>
              </w:rPr>
            </w:pPr>
            <w:r>
              <w:rPr>
                <w:rFonts w:hint="eastAsia" w:eastAsia="仿宋_GB2312"/>
                <w:spacing w:val="-8"/>
                <w:kern w:val="0"/>
                <w:sz w:val="18"/>
                <w:szCs w:val="18"/>
              </w:rPr>
              <w:t>项目已列入昆明市2018年—2020年棚户区改造项目，项目征拆工作已于2020年5月13日发布拆迁公告，征迁工作正在有序推进当中。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14</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西山区草海北片区45号片区A1—2、A1—5、A2—2、A2—3、A2—4号地块</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45号片区</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马街街道办事处，昆明轨道交通集团有限公司</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位于马街街道，四至范围：东至大禹路、南至碧鸡路、北至成昆铁路、西至宏业路。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A1—2号地块面积约85.25亩，为二类居住用地；A1—5号地块面积约49.19亩，为二类居住用地；A2—2号地块二勘面积约90.12亩，为住商混合用地；A2—3号地块面积约49.65亩，为住商混合用地；A2—4号地块面积约42.91亩，为住商混合用地。共计317.12亩，总建筑面积约105.07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2020年12月已启动建设，预计建设周期为3年。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15</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春雨路2号地块白沙地（二期）项目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市土投公司、西发展公司、马街街道办事处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马街街道辖区范围内，东至春雨路、南邻普坪项目、西至石头山、北邻春雨路1号地块，</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二期净用地面积255.27亩（用地性质均为住宅），规划审批建筑面积20.5万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2022年完成土地交易，预计建设周期3年。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16</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昆明长坡泛亚国际物流园区棚户区改造（二期）一地块建设项目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西山区人民政府、昆明长坡泛亚国际物流园区开发有限责任公司</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碧鸡街道长坡社区</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占地575.69亩（净地），回迁安置房建筑总面积约26</w:t>
            </w:r>
            <w:r>
              <w:rPr>
                <w:rFonts w:hint="eastAsia" w:eastAsia="仿宋_GB2312"/>
                <w:kern w:val="0"/>
                <w:sz w:val="18"/>
                <w:szCs w:val="18"/>
                <w:lang w:val="en"/>
              </w:rPr>
              <w:t>.</w:t>
            </w:r>
            <w:r>
              <w:rPr>
                <w:rFonts w:hint="eastAsia" w:eastAsia="仿宋_GB2312"/>
                <w:kern w:val="0"/>
                <w:sz w:val="18"/>
                <w:szCs w:val="18"/>
              </w:rPr>
              <w:t>3万</w:t>
            </w:r>
            <w:r>
              <w:rPr>
                <w:rFonts w:hint="eastAsia" w:eastAsia="Segoe UI Symbol"/>
                <w:kern w:val="0"/>
                <w:sz w:val="18"/>
                <w:szCs w:val="18"/>
              </w:rPr>
              <w:t>㎡</w:t>
            </w:r>
            <w:r>
              <w:rPr>
                <w:rFonts w:hint="eastAsia" w:eastAsia="仿宋_GB2312"/>
                <w:kern w:val="0"/>
                <w:sz w:val="18"/>
                <w:szCs w:val="18"/>
              </w:rPr>
              <w:t>，其中地上总建筑面积18</w:t>
            </w:r>
            <w:r>
              <w:rPr>
                <w:rFonts w:hint="eastAsia" w:eastAsia="仿宋_GB2312"/>
                <w:kern w:val="0"/>
                <w:sz w:val="18"/>
                <w:szCs w:val="18"/>
                <w:lang w:val="en"/>
              </w:rPr>
              <w:t>.</w:t>
            </w:r>
            <w:r>
              <w:rPr>
                <w:rFonts w:hint="eastAsia" w:eastAsia="仿宋_GB2312"/>
                <w:kern w:val="0"/>
                <w:sz w:val="18"/>
                <w:szCs w:val="18"/>
              </w:rPr>
              <w:t>31万</w:t>
            </w:r>
            <w:r>
              <w:rPr>
                <w:rFonts w:hint="eastAsia" w:eastAsia="Segoe UI Symbol"/>
                <w:kern w:val="0"/>
                <w:sz w:val="18"/>
                <w:szCs w:val="18"/>
              </w:rPr>
              <w:t>㎡</w:t>
            </w:r>
            <w:r>
              <w:rPr>
                <w:rFonts w:hint="eastAsia" w:eastAsia="仿宋_GB2312"/>
                <w:kern w:val="0"/>
                <w:sz w:val="18"/>
                <w:szCs w:val="18"/>
              </w:rPr>
              <w:t>，地下总建筑面积约8万</w:t>
            </w:r>
            <w:r>
              <w:rPr>
                <w:rFonts w:hint="eastAsia" w:eastAsia="Segoe UI Symbol"/>
                <w:kern w:val="0"/>
                <w:sz w:val="18"/>
                <w:szCs w:val="18"/>
              </w:rPr>
              <w:t>㎡</w:t>
            </w:r>
            <w:r>
              <w:rPr>
                <w:rFonts w:hint="eastAsia" w:eastAsia="仿宋_GB2312"/>
                <w:kern w:val="0"/>
                <w:sz w:val="18"/>
                <w:szCs w:val="18"/>
              </w:rPr>
              <w:t>、居住户数1986户、机动车位2100个、绿地面积1</w:t>
            </w:r>
            <w:r>
              <w:rPr>
                <w:rFonts w:hint="eastAsia" w:eastAsia="仿宋_GB2312"/>
                <w:kern w:val="0"/>
                <w:sz w:val="18"/>
                <w:szCs w:val="18"/>
                <w:lang w:val="en"/>
              </w:rPr>
              <w:t>.</w:t>
            </w:r>
            <w:r>
              <w:rPr>
                <w:rFonts w:hint="eastAsia" w:eastAsia="仿宋_GB2312"/>
                <w:kern w:val="0"/>
                <w:sz w:val="18"/>
                <w:szCs w:val="18"/>
              </w:rPr>
              <w:t>8</w:t>
            </w:r>
            <w:r>
              <w:rPr>
                <w:rFonts w:hint="eastAsia" w:eastAsia="仿宋_GB2312"/>
                <w:kern w:val="0"/>
                <w:sz w:val="18"/>
                <w:szCs w:val="18"/>
                <w:lang w:val="en"/>
              </w:rPr>
              <w:t>8万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改造方式：拆除重建；</w:t>
            </w:r>
          </w:p>
          <w:p>
            <w:pPr>
              <w:topLinePunct/>
              <w:adjustRightInd w:val="0"/>
              <w:snapToGrid w:val="0"/>
              <w:spacing w:line="240" w:lineRule="atLeast"/>
              <w:rPr>
                <w:rFonts w:eastAsia="仿宋_GB2312"/>
                <w:kern w:val="0"/>
                <w:sz w:val="18"/>
                <w:szCs w:val="18"/>
              </w:rPr>
            </w:pPr>
            <w:r>
              <w:rPr>
                <w:rFonts w:hint="eastAsia" w:eastAsia="仿宋_GB2312"/>
                <w:kern w:val="0"/>
                <w:sz w:val="18"/>
                <w:szCs w:val="18"/>
              </w:rPr>
              <w:t>2021年启动建设，预计建设周期为3年。</w:t>
            </w:r>
          </w:p>
        </w:tc>
        <w:tc>
          <w:tcPr>
            <w:tcW w:w="1233" w:type="dxa"/>
            <w:shd w:val="clear" w:color="auto" w:fill="auto"/>
            <w:tcMar>
              <w:left w:w="28" w:type="dxa"/>
              <w:right w:w="28" w:type="dxa"/>
            </w:tcMar>
            <w:vAlign w:val="center"/>
          </w:tcPr>
          <w:p>
            <w:pPr>
              <w:topLinePunct/>
              <w:adjustRightInd w:val="0"/>
              <w:snapToGrid w:val="0"/>
              <w:spacing w:line="240" w:lineRule="atLeas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17</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云南省渔业科学研究院搬迁新址建设项目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云南省渔业科学研究院</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碧鸡街道长坡社区</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总建筑面积7688</w:t>
            </w:r>
            <w:r>
              <w:rPr>
                <w:rFonts w:hint="eastAsia" w:eastAsia="Segoe UI Symbol"/>
                <w:kern w:val="0"/>
                <w:sz w:val="18"/>
                <w:szCs w:val="18"/>
              </w:rPr>
              <w:t>㎡</w:t>
            </w:r>
            <w:r>
              <w:rPr>
                <w:rFonts w:hint="eastAsia"/>
                <w:kern w:val="0"/>
                <w:sz w:val="18"/>
                <w:szCs w:val="18"/>
              </w:rPr>
              <w:t>。</w:t>
            </w:r>
            <w:r>
              <w:rPr>
                <w:rFonts w:hint="eastAsia" w:eastAsia="仿宋_GB2312"/>
                <w:kern w:val="0"/>
                <w:sz w:val="18"/>
                <w:szCs w:val="18"/>
              </w:rPr>
              <w:t>建筑物包括：科研实验楼4832</w:t>
            </w:r>
            <w:r>
              <w:rPr>
                <w:rFonts w:hint="eastAsia" w:eastAsia="Segoe UI Symbol"/>
                <w:kern w:val="0"/>
                <w:sz w:val="18"/>
                <w:szCs w:val="18"/>
              </w:rPr>
              <w:t>㎡</w:t>
            </w:r>
            <w:r>
              <w:rPr>
                <w:rFonts w:hint="eastAsia" w:eastAsia="仿宋_GB2312"/>
                <w:kern w:val="0"/>
                <w:sz w:val="18"/>
                <w:szCs w:val="18"/>
              </w:rPr>
              <w:t>，智能化苗种培育馆1013</w:t>
            </w:r>
            <w:r>
              <w:rPr>
                <w:rFonts w:hint="eastAsia" w:eastAsia="Segoe UI Symbol"/>
                <w:kern w:val="0"/>
                <w:sz w:val="18"/>
                <w:szCs w:val="18"/>
              </w:rPr>
              <w:t>㎡</w:t>
            </w:r>
            <w:r>
              <w:rPr>
                <w:rFonts w:hint="eastAsia" w:eastAsia="仿宋_GB2312"/>
                <w:kern w:val="0"/>
                <w:sz w:val="18"/>
                <w:szCs w:val="18"/>
              </w:rPr>
              <w:t>，智能化亲鱼培育馆1013</w:t>
            </w:r>
            <w:r>
              <w:rPr>
                <w:rFonts w:hint="eastAsia" w:eastAsia="Segoe UI Symbol"/>
                <w:kern w:val="0"/>
                <w:sz w:val="18"/>
                <w:szCs w:val="18"/>
              </w:rPr>
              <w:t>㎡</w:t>
            </w:r>
            <w:r>
              <w:rPr>
                <w:rFonts w:hint="eastAsia" w:eastAsia="仿宋_GB2312"/>
                <w:kern w:val="0"/>
                <w:sz w:val="18"/>
                <w:szCs w:val="18"/>
              </w:rPr>
              <w:t>，饲料库及水泵房560</w:t>
            </w:r>
            <w:r>
              <w:rPr>
                <w:rFonts w:hint="eastAsia" w:eastAsia="Segoe UI Symbol"/>
                <w:kern w:val="0"/>
                <w:sz w:val="18"/>
                <w:szCs w:val="18"/>
              </w:rPr>
              <w:t>㎡</w:t>
            </w:r>
            <w:r>
              <w:rPr>
                <w:rFonts w:hint="eastAsia" w:eastAsia="仿宋_GB2312"/>
                <w:kern w:val="0"/>
                <w:sz w:val="18"/>
                <w:szCs w:val="18"/>
              </w:rPr>
              <w:t>，公共厕所270</w:t>
            </w:r>
            <w:r>
              <w:rPr>
                <w:rFonts w:hint="eastAsia" w:eastAsia="Segoe UI Symbol"/>
                <w:kern w:val="0"/>
                <w:sz w:val="18"/>
                <w:szCs w:val="18"/>
              </w:rPr>
              <w:t>㎡</w:t>
            </w:r>
            <w:r>
              <w:rPr>
                <w:rFonts w:hint="eastAsia" w:eastAsia="仿宋_GB2312"/>
                <w:kern w:val="0"/>
                <w:sz w:val="18"/>
                <w:szCs w:val="18"/>
              </w:rPr>
              <w:t>。同时，建设部分配套设备、室外道路等。</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计划2022年启动建设</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云南省渔业科学研究院目前正在办理项目立项审批手续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18</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春雨路1号地块项目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49号片区</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马街街道办事处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spacing w:val="-10"/>
                <w:kern w:val="0"/>
                <w:sz w:val="18"/>
                <w:szCs w:val="18"/>
              </w:rPr>
            </w:pPr>
            <w:r>
              <w:rPr>
                <w:rFonts w:hint="eastAsia" w:eastAsia="仿宋_GB2312"/>
                <w:spacing w:val="-10"/>
                <w:kern w:val="0"/>
                <w:sz w:val="18"/>
                <w:szCs w:val="18"/>
              </w:rPr>
              <w:t>马街街道辖区范围内，东至春雨路、南至白沙地片区、西至西山林场、北至昭宗路。</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总用地面积约2544亩，净用地面积约1700.74亩，拆迁面积约156万</w:t>
            </w:r>
            <w:r>
              <w:rPr>
                <w:rFonts w:hint="eastAsia" w:eastAsia="Segoe UI Symbol"/>
                <w:kern w:val="0"/>
                <w:sz w:val="18"/>
                <w:szCs w:val="18"/>
              </w:rPr>
              <w:t>㎡</w:t>
            </w:r>
            <w:r>
              <w:rPr>
                <w:rFonts w:hint="eastAsia" w:eastAsia="仿宋_GB2312"/>
                <w:kern w:val="0"/>
                <w:sz w:val="18"/>
                <w:szCs w:val="18"/>
              </w:rPr>
              <w:t>，规划审批建筑面积337.94万</w:t>
            </w:r>
            <w:r>
              <w:rPr>
                <w:rFonts w:hint="eastAsia" w:eastAsia="Segoe UI Symbol"/>
                <w:kern w:val="0"/>
                <w:sz w:val="18"/>
                <w:szCs w:val="18"/>
              </w:rPr>
              <w:t>㎡</w:t>
            </w:r>
            <w:r>
              <w:rPr>
                <w:rFonts w:hint="eastAsia" w:eastAsia="仿宋_GB2312"/>
                <w:kern w:val="0"/>
                <w:sz w:val="18"/>
                <w:szCs w:val="18"/>
              </w:rPr>
              <w:t>。</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2021年启动一期建设，预计建设周期3年。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19</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草海37号片区安置房建设项目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37号片区</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昆明轨道交通集团有限公司、福海街道办事处</w:t>
            </w:r>
          </w:p>
        </w:tc>
        <w:tc>
          <w:tcPr>
            <w:tcW w:w="1980"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福海街道辖区范围内，东至南方公园、西至西坝河、南至鑫益花园、北至福海大村</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总用地面积约418亩，净用地面积约266亩，回迁安置地块净用地面积约252亩，中小学教育用地约14亩。规划总建筑面积约59万平方米，其中地上建筑约40万平方米。</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2022年完成土地交易，预计建设周期2年。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20</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西山区滇池一级保护区马街街道原汽修一厂草海范围土地房屋拆除及生态修复工程</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滇池草海</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马街街道办事处</w:t>
            </w:r>
          </w:p>
        </w:tc>
        <w:tc>
          <w:tcPr>
            <w:tcW w:w="1980"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马街街道</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按批准的实施方案内容。</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w:t>
            </w:r>
            <w:r>
              <w:rPr>
                <w:rFonts w:eastAsia="仿宋_GB2312"/>
                <w:kern w:val="0"/>
                <w:sz w:val="18"/>
                <w:szCs w:val="18"/>
              </w:rPr>
              <w:t>021</w:t>
            </w:r>
            <w:r>
              <w:rPr>
                <w:rFonts w:hint="eastAsia" w:eastAsia="仿宋_GB2312"/>
                <w:kern w:val="0"/>
                <w:sz w:val="18"/>
                <w:szCs w:val="18"/>
              </w:rPr>
              <w:t>年1</w:t>
            </w:r>
            <w:r>
              <w:rPr>
                <w:rFonts w:eastAsia="仿宋_GB2312"/>
                <w:kern w:val="0"/>
                <w:sz w:val="18"/>
                <w:szCs w:val="18"/>
              </w:rPr>
              <w:t>2</w:t>
            </w:r>
            <w:r>
              <w:rPr>
                <w:rFonts w:hint="eastAsia" w:eastAsia="仿宋_GB2312"/>
                <w:kern w:val="0"/>
                <w:sz w:val="18"/>
                <w:szCs w:val="18"/>
              </w:rPr>
              <w:t>月至2</w:t>
            </w:r>
            <w:r>
              <w:rPr>
                <w:rFonts w:eastAsia="仿宋_GB2312"/>
                <w:kern w:val="0"/>
                <w:sz w:val="18"/>
                <w:szCs w:val="18"/>
              </w:rPr>
              <w:t>022</w:t>
            </w:r>
            <w:r>
              <w:rPr>
                <w:rFonts w:hint="eastAsia" w:eastAsia="仿宋_GB2312"/>
                <w:kern w:val="0"/>
                <w:sz w:val="18"/>
                <w:szCs w:val="18"/>
              </w:rPr>
              <w:t>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21</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西山区滇池一二级保护区碧鸡街道山邑村片区土地房屋拆除及生态修复工程</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滇池草海</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碧鸡街道办事处</w:t>
            </w:r>
          </w:p>
        </w:tc>
        <w:tc>
          <w:tcPr>
            <w:tcW w:w="1980"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碧鸡街道</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按批准的实施方案内容。</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w:t>
            </w:r>
            <w:r>
              <w:rPr>
                <w:rFonts w:eastAsia="仿宋_GB2312"/>
                <w:kern w:val="0"/>
                <w:sz w:val="18"/>
                <w:szCs w:val="18"/>
              </w:rPr>
              <w:t>021</w:t>
            </w:r>
            <w:r>
              <w:rPr>
                <w:rFonts w:hint="eastAsia" w:eastAsia="仿宋_GB2312"/>
                <w:kern w:val="0"/>
                <w:sz w:val="18"/>
                <w:szCs w:val="18"/>
              </w:rPr>
              <w:t>年1</w:t>
            </w:r>
            <w:r>
              <w:rPr>
                <w:rFonts w:eastAsia="仿宋_GB2312"/>
                <w:kern w:val="0"/>
                <w:sz w:val="18"/>
                <w:szCs w:val="18"/>
              </w:rPr>
              <w:t>2</w:t>
            </w:r>
            <w:r>
              <w:rPr>
                <w:rFonts w:hint="eastAsia" w:eastAsia="仿宋_GB2312"/>
                <w:kern w:val="0"/>
                <w:sz w:val="18"/>
                <w:szCs w:val="18"/>
              </w:rPr>
              <w:t>月至2</w:t>
            </w:r>
            <w:r>
              <w:rPr>
                <w:rFonts w:eastAsia="仿宋_GB2312"/>
                <w:kern w:val="0"/>
                <w:sz w:val="18"/>
                <w:szCs w:val="18"/>
              </w:rPr>
              <w:t>022</w:t>
            </w:r>
            <w:r>
              <w:rPr>
                <w:rFonts w:hint="eastAsia" w:eastAsia="仿宋_GB2312"/>
                <w:kern w:val="0"/>
                <w:sz w:val="18"/>
                <w:szCs w:val="18"/>
              </w:rPr>
              <w:t>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22</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西山区滇池一二级保护区碧鸡街道晖湾村部分集体土地房屋拆除及生态修复工程</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滇池外海</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碧鸡街道办事处</w:t>
            </w:r>
          </w:p>
        </w:tc>
        <w:tc>
          <w:tcPr>
            <w:tcW w:w="1980"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碧鸡街道</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按批准的实施方案内容。</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2</w:t>
            </w:r>
            <w:r>
              <w:rPr>
                <w:rFonts w:eastAsia="仿宋_GB2312"/>
                <w:kern w:val="0"/>
                <w:sz w:val="18"/>
                <w:szCs w:val="18"/>
              </w:rPr>
              <w:t>021</w:t>
            </w:r>
            <w:r>
              <w:rPr>
                <w:rFonts w:hint="eastAsia" w:eastAsia="仿宋_GB2312"/>
                <w:kern w:val="0"/>
                <w:sz w:val="18"/>
                <w:szCs w:val="18"/>
              </w:rPr>
              <w:t>年1</w:t>
            </w:r>
            <w:r>
              <w:rPr>
                <w:rFonts w:eastAsia="仿宋_GB2312"/>
                <w:kern w:val="0"/>
                <w:sz w:val="18"/>
                <w:szCs w:val="18"/>
              </w:rPr>
              <w:t>2</w:t>
            </w:r>
            <w:r>
              <w:rPr>
                <w:rFonts w:hint="eastAsia" w:eastAsia="仿宋_GB2312"/>
                <w:kern w:val="0"/>
                <w:sz w:val="18"/>
                <w:szCs w:val="18"/>
              </w:rPr>
              <w:t>月至2</w:t>
            </w:r>
            <w:r>
              <w:rPr>
                <w:rFonts w:eastAsia="仿宋_GB2312"/>
                <w:kern w:val="0"/>
                <w:sz w:val="18"/>
                <w:szCs w:val="18"/>
              </w:rPr>
              <w:t>022</w:t>
            </w:r>
            <w:r>
              <w:rPr>
                <w:rFonts w:hint="eastAsia" w:eastAsia="仿宋_GB2312"/>
                <w:kern w:val="0"/>
                <w:sz w:val="18"/>
                <w:szCs w:val="18"/>
              </w:rPr>
              <w:t>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23</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西山区滇池一二级保护区碧鸡街道观音山小组部分集体土地房屋拆除及生态修复工程</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滇池外海</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碧鸡街道办事处</w:t>
            </w:r>
          </w:p>
        </w:tc>
        <w:tc>
          <w:tcPr>
            <w:tcW w:w="1980"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碧鸡街道</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按批准的实施方案内容。</w:t>
            </w:r>
          </w:p>
        </w:tc>
        <w:tc>
          <w:tcPr>
            <w:tcW w:w="1857"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022</w:t>
            </w:r>
            <w:r>
              <w:rPr>
                <w:rFonts w:hint="eastAsia" w:eastAsia="仿宋_GB2312"/>
                <w:kern w:val="0"/>
                <w:sz w:val="18"/>
                <w:szCs w:val="18"/>
              </w:rPr>
              <w:t>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24</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西山区滇池一级保护区海口街道蒋凹村部分集体土地房屋拆除及生态修复工程</w:t>
            </w:r>
          </w:p>
        </w:tc>
        <w:tc>
          <w:tcPr>
            <w:tcW w:w="1020" w:type="dxa"/>
            <w:gridSpan w:val="2"/>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滇池外海</w:t>
            </w: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海口街道办事处</w:t>
            </w:r>
          </w:p>
        </w:tc>
        <w:tc>
          <w:tcPr>
            <w:tcW w:w="1980"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海口街道</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按批准的实施方案内容。</w:t>
            </w:r>
          </w:p>
        </w:tc>
        <w:tc>
          <w:tcPr>
            <w:tcW w:w="1857"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022</w:t>
            </w:r>
            <w:r>
              <w:rPr>
                <w:rFonts w:hint="eastAsia" w:eastAsia="仿宋_GB2312"/>
                <w:kern w:val="0"/>
                <w:sz w:val="18"/>
                <w:szCs w:val="18"/>
              </w:rPr>
              <w:t>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eastAsia="仿宋_GB2312"/>
                <w:kern w:val="0"/>
                <w:sz w:val="18"/>
                <w:szCs w:val="18"/>
              </w:rPr>
              <w:t>25</w:t>
            </w:r>
          </w:p>
        </w:tc>
        <w:tc>
          <w:tcPr>
            <w:tcW w:w="1481"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兴团大道（北段）建设工程征地拆迁项目</w:t>
            </w:r>
          </w:p>
        </w:tc>
        <w:tc>
          <w:tcPr>
            <w:tcW w:w="1020" w:type="dxa"/>
            <w:gridSpan w:val="2"/>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c>
          <w:tcPr>
            <w:tcW w:w="996"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区交通运输局、团结街道办事处</w:t>
            </w:r>
          </w:p>
        </w:tc>
        <w:tc>
          <w:tcPr>
            <w:tcW w:w="1980" w:type="dxa"/>
            <w:shd w:val="clear" w:color="auto" w:fill="auto"/>
            <w:tcMar>
              <w:left w:w="28" w:type="dxa"/>
              <w:right w:w="28" w:type="dxa"/>
            </w:tcMar>
            <w:vAlign w:val="center"/>
          </w:tcPr>
          <w:p>
            <w:pPr>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团结街道</w:t>
            </w:r>
          </w:p>
        </w:tc>
        <w:tc>
          <w:tcPr>
            <w:tcW w:w="410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分新建段与提升段两部分。</w:t>
            </w:r>
          </w:p>
          <w:p>
            <w:pPr>
              <w:topLinePunct/>
              <w:adjustRightInd w:val="0"/>
              <w:snapToGrid w:val="0"/>
              <w:spacing w:line="240" w:lineRule="atLeast"/>
              <w:rPr>
                <w:rFonts w:eastAsia="仿宋_GB2312"/>
                <w:kern w:val="0"/>
                <w:sz w:val="18"/>
                <w:szCs w:val="18"/>
              </w:rPr>
            </w:pPr>
            <w:r>
              <w:rPr>
                <w:rFonts w:hint="eastAsia" w:eastAsia="仿宋_GB2312"/>
                <w:kern w:val="0"/>
                <w:sz w:val="18"/>
                <w:szCs w:val="18"/>
              </w:rPr>
              <w:t>新建段：西山区兴团大道（北段）项目起于花红园南侧宝花路，接浑团二级公路起点，总长4</w:t>
            </w:r>
            <w:r>
              <w:rPr>
                <w:rFonts w:eastAsia="仿宋_GB2312"/>
                <w:kern w:val="0"/>
                <w:sz w:val="18"/>
                <w:szCs w:val="18"/>
              </w:rPr>
              <w:t>.08km</w:t>
            </w:r>
            <w:r>
              <w:rPr>
                <w:rFonts w:hint="eastAsia" w:eastAsia="仿宋_GB2312"/>
                <w:kern w:val="0"/>
                <w:sz w:val="18"/>
                <w:szCs w:val="18"/>
              </w:rPr>
              <w:t>。采用设计时速6</w:t>
            </w:r>
            <w:r>
              <w:rPr>
                <w:rFonts w:eastAsia="仿宋_GB2312"/>
                <w:kern w:val="0"/>
                <w:sz w:val="18"/>
                <w:szCs w:val="18"/>
              </w:rPr>
              <w:t>0km/h</w:t>
            </w:r>
            <w:r>
              <w:rPr>
                <w:rFonts w:hint="eastAsia" w:eastAsia="仿宋_GB2312"/>
                <w:kern w:val="0"/>
                <w:sz w:val="18"/>
                <w:szCs w:val="18"/>
              </w:rPr>
              <w:t>的城市道路主干道标准进行建设，双向4</w:t>
            </w:r>
            <w:r>
              <w:rPr>
                <w:rFonts w:eastAsia="仿宋_GB2312"/>
                <w:kern w:val="0"/>
                <w:sz w:val="18"/>
                <w:szCs w:val="18"/>
              </w:rPr>
              <w:t>/6</w:t>
            </w:r>
            <w:r>
              <w:rPr>
                <w:rFonts w:hint="eastAsia" w:eastAsia="仿宋_GB2312"/>
                <w:kern w:val="0"/>
                <w:sz w:val="18"/>
                <w:szCs w:val="18"/>
              </w:rPr>
              <w:t>车道，路面宽2</w:t>
            </w:r>
            <w:r>
              <w:rPr>
                <w:rFonts w:eastAsia="仿宋_GB2312"/>
                <w:kern w:val="0"/>
                <w:sz w:val="18"/>
                <w:szCs w:val="18"/>
              </w:rPr>
              <w:t>3/40</w:t>
            </w:r>
            <w:r>
              <w:rPr>
                <w:rFonts w:hint="eastAsia" w:eastAsia="仿宋_GB2312"/>
                <w:kern w:val="0"/>
                <w:sz w:val="18"/>
                <w:szCs w:val="18"/>
              </w:rPr>
              <w:t>米。</w:t>
            </w:r>
          </w:p>
          <w:p>
            <w:pPr>
              <w:topLinePunct/>
              <w:adjustRightInd w:val="0"/>
              <w:snapToGrid w:val="0"/>
              <w:spacing w:line="240" w:lineRule="atLeast"/>
              <w:rPr>
                <w:rFonts w:eastAsia="仿宋_GB2312"/>
                <w:kern w:val="0"/>
                <w:sz w:val="18"/>
                <w:szCs w:val="18"/>
              </w:rPr>
            </w:pPr>
            <w:r>
              <w:rPr>
                <w:rFonts w:hint="eastAsia" w:eastAsia="仿宋_GB2312"/>
                <w:kern w:val="0"/>
                <w:sz w:val="18"/>
                <w:szCs w:val="18"/>
              </w:rPr>
              <w:t>提升段：浑团公路提升段东起新建盘山段，西至棋台公路，路线长约9</w:t>
            </w:r>
            <w:r>
              <w:rPr>
                <w:rFonts w:eastAsia="仿宋_GB2312"/>
                <w:kern w:val="0"/>
                <w:sz w:val="18"/>
                <w:szCs w:val="18"/>
              </w:rPr>
              <w:t>.61km</w:t>
            </w:r>
            <w:r>
              <w:rPr>
                <w:rFonts w:hint="eastAsia" w:eastAsia="仿宋_GB2312"/>
                <w:kern w:val="0"/>
                <w:sz w:val="18"/>
                <w:szCs w:val="18"/>
              </w:rPr>
              <w:t>。</w:t>
            </w:r>
          </w:p>
          <w:p>
            <w:pPr>
              <w:topLinePunct/>
              <w:adjustRightInd w:val="0"/>
              <w:snapToGrid w:val="0"/>
              <w:spacing w:line="240" w:lineRule="atLeast"/>
              <w:rPr>
                <w:rFonts w:eastAsia="仿宋_GB2312"/>
                <w:kern w:val="0"/>
                <w:sz w:val="18"/>
                <w:szCs w:val="18"/>
              </w:rPr>
            </w:pPr>
            <w:r>
              <w:rPr>
                <w:rFonts w:hint="eastAsia" w:eastAsia="仿宋_GB2312"/>
                <w:kern w:val="0"/>
                <w:sz w:val="18"/>
                <w:szCs w:val="18"/>
              </w:rPr>
              <w:t>项目涉及用地3</w:t>
            </w:r>
            <w:r>
              <w:rPr>
                <w:rFonts w:eastAsia="仿宋_GB2312"/>
                <w:kern w:val="0"/>
                <w:sz w:val="18"/>
                <w:szCs w:val="18"/>
              </w:rPr>
              <w:t>89.49</w:t>
            </w:r>
            <w:r>
              <w:rPr>
                <w:rFonts w:hint="eastAsia" w:eastAsia="仿宋_GB2312"/>
                <w:kern w:val="0"/>
                <w:sz w:val="18"/>
                <w:szCs w:val="18"/>
              </w:rPr>
              <w:t>亩，其中林地3</w:t>
            </w:r>
            <w:r>
              <w:rPr>
                <w:rFonts w:eastAsia="仿宋_GB2312"/>
                <w:kern w:val="0"/>
                <w:sz w:val="18"/>
                <w:szCs w:val="18"/>
              </w:rPr>
              <w:t>63.64</w:t>
            </w:r>
            <w:r>
              <w:rPr>
                <w:rFonts w:hint="eastAsia" w:eastAsia="仿宋_GB2312"/>
                <w:kern w:val="0"/>
                <w:sz w:val="18"/>
                <w:szCs w:val="18"/>
              </w:rPr>
              <w:t>亩，迁坟约2</w:t>
            </w:r>
            <w:r>
              <w:rPr>
                <w:rFonts w:eastAsia="仿宋_GB2312"/>
                <w:kern w:val="0"/>
                <w:sz w:val="18"/>
                <w:szCs w:val="18"/>
              </w:rPr>
              <w:t>000</w:t>
            </w:r>
            <w:r>
              <w:rPr>
                <w:rFonts w:hint="eastAsia" w:eastAsia="仿宋_GB2312"/>
                <w:kern w:val="0"/>
                <w:sz w:val="18"/>
                <w:szCs w:val="18"/>
              </w:rPr>
              <w:t>座。</w:t>
            </w:r>
          </w:p>
        </w:tc>
        <w:tc>
          <w:tcPr>
            <w:tcW w:w="1857"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r>
              <w:rPr>
                <w:rFonts w:hint="eastAsia" w:eastAsia="仿宋_GB2312"/>
                <w:kern w:val="0"/>
                <w:sz w:val="18"/>
                <w:szCs w:val="18"/>
              </w:rPr>
              <w:t>计划2</w:t>
            </w:r>
            <w:r>
              <w:rPr>
                <w:rFonts w:eastAsia="仿宋_GB2312"/>
                <w:kern w:val="0"/>
                <w:sz w:val="18"/>
                <w:szCs w:val="18"/>
              </w:rPr>
              <w:t>022</w:t>
            </w:r>
            <w:r>
              <w:rPr>
                <w:rFonts w:hint="eastAsia" w:eastAsia="仿宋_GB2312"/>
                <w:kern w:val="0"/>
                <w:sz w:val="18"/>
                <w:szCs w:val="18"/>
              </w:rPr>
              <w:t>年启动建设，建设周期2年，</w:t>
            </w:r>
          </w:p>
        </w:tc>
        <w:tc>
          <w:tcPr>
            <w:tcW w:w="1233" w:type="dxa"/>
            <w:shd w:val="clear" w:color="auto" w:fill="auto"/>
            <w:tcMar>
              <w:left w:w="28" w:type="dxa"/>
              <w:right w:w="28" w:type="dxa"/>
            </w:tcMar>
            <w:vAlign w:val="center"/>
          </w:tcPr>
          <w:p>
            <w:pPr>
              <w:topLinePunct/>
              <w:adjustRightInd w:val="0"/>
              <w:snapToGrid w:val="0"/>
              <w:spacing w:line="240" w:lineRule="atLeast"/>
              <w:rPr>
                <w:rFonts w:eastAsia="仿宋_GB2312"/>
                <w:kern w:val="0"/>
                <w:sz w:val="18"/>
                <w:szCs w:val="18"/>
              </w:rPr>
            </w:pPr>
          </w:p>
        </w:tc>
      </w:tr>
    </w:tbl>
    <w:p>
      <w:pPr>
        <w:topLinePunct/>
        <w:adjustRightInd w:val="0"/>
        <w:snapToGrid w:val="0"/>
        <w:spacing w:line="240" w:lineRule="atLeast"/>
        <w:ind w:firstLine="210" w:firstLineChars="100"/>
        <w:rPr>
          <w:rFonts w:eastAsia="仿宋_GB2312"/>
          <w:kern w:val="0"/>
          <w:szCs w:val="18"/>
        </w:rPr>
      </w:pPr>
      <w:r>
        <w:rPr>
          <w:rFonts w:hint="eastAsia" w:eastAsia="仿宋_GB2312"/>
          <w:kern w:val="0"/>
          <w:szCs w:val="18"/>
        </w:rPr>
        <w:t>备注：以上2</w:t>
      </w:r>
      <w:r>
        <w:rPr>
          <w:rFonts w:eastAsia="仿宋_GB2312"/>
          <w:kern w:val="0"/>
          <w:szCs w:val="18"/>
        </w:rPr>
        <w:t>5</w:t>
      </w:r>
      <w:r>
        <w:rPr>
          <w:rFonts w:hint="eastAsia" w:eastAsia="仿宋_GB2312"/>
          <w:kern w:val="0"/>
          <w:szCs w:val="18"/>
        </w:rPr>
        <w:t>项西山区2022年重点片区开发、城市更新改造项目为年初计划工作，在实施过程中最终以政府会议研究决定执行。</w:t>
      </w:r>
    </w:p>
    <w:p>
      <w:pPr>
        <w:pStyle w:val="26"/>
        <w:ind w:firstLine="0" w:firstLineChars="0"/>
      </w:pPr>
    </w:p>
    <w:p>
      <w:pPr>
        <w:pStyle w:val="26"/>
        <w:ind w:firstLine="424"/>
        <w:sectPr>
          <w:headerReference r:id="rId6" w:type="default"/>
          <w:footerReference r:id="rId7" w:type="default"/>
          <w:footerReference r:id="rId8" w:type="even"/>
          <w:pgSz w:w="16838" w:h="11906" w:orient="landscape"/>
          <w:pgMar w:top="1531" w:right="1928" w:bottom="1531" w:left="1871" w:header="1077" w:footer="1077" w:gutter="0"/>
          <w:cols w:space="720" w:num="1"/>
          <w:docGrid w:type="lines" w:linePitch="312" w:charSpace="0"/>
        </w:sectPr>
      </w:pPr>
    </w:p>
    <w:p>
      <w:pPr>
        <w:pBdr>
          <w:top w:val="none" w:color="auto" w:sz="0" w:space="1"/>
          <w:bottom w:val="none" w:color="auto" w:sz="0" w:space="1"/>
          <w:right w:val="none" w:color="auto" w:sz="0" w:space="4"/>
        </w:pBdr>
        <w:topLinePunct/>
        <w:adjustRightInd w:val="0"/>
        <w:snapToGrid w:val="0"/>
        <w:spacing w:line="590" w:lineRule="exact"/>
        <w:rPr>
          <w:rFonts w:ascii="黑体" w:hAnsi="黑体" w:eastAsia="黑体"/>
          <w:sz w:val="32"/>
          <w:szCs w:val="32"/>
        </w:rPr>
      </w:pPr>
      <w:r>
        <w:rPr>
          <w:rFonts w:hint="eastAsia" w:ascii="黑体" w:hAnsi="黑体" w:eastAsia="黑体"/>
          <w:sz w:val="32"/>
          <w:szCs w:val="32"/>
        </w:rPr>
        <w:t>附件</w:t>
      </w:r>
      <w:r>
        <w:rPr>
          <w:rFonts w:eastAsia="黑体"/>
          <w:sz w:val="32"/>
          <w:szCs w:val="32"/>
        </w:rPr>
        <w:t>5</w:t>
      </w:r>
    </w:p>
    <w:p>
      <w:pPr>
        <w:pBdr>
          <w:top w:val="none" w:color="auto" w:sz="0" w:space="1"/>
          <w:bottom w:val="none" w:color="auto" w:sz="0" w:space="1"/>
          <w:right w:val="none" w:color="auto" w:sz="0" w:space="4"/>
        </w:pBdr>
        <w:topLinePunct/>
        <w:adjustRightInd w:val="0"/>
        <w:snapToGrid w:val="0"/>
        <w:spacing w:line="590" w:lineRule="exact"/>
        <w:ind w:firstLine="880" w:firstLineChars="200"/>
        <w:rPr>
          <w:rFonts w:eastAsia="方正小标宋简体"/>
          <w:sz w:val="44"/>
          <w:szCs w:val="44"/>
        </w:rPr>
      </w:pPr>
    </w:p>
    <w:p>
      <w:pPr>
        <w:pBdr>
          <w:top w:val="none" w:color="auto" w:sz="0" w:space="1"/>
          <w:bottom w:val="none" w:color="auto" w:sz="0" w:space="1"/>
          <w:right w:val="none" w:color="auto" w:sz="0" w:space="4"/>
        </w:pBdr>
        <w:topLinePunct/>
        <w:adjustRightInd w:val="0"/>
        <w:snapToGrid w:val="0"/>
        <w:spacing w:line="590" w:lineRule="exact"/>
        <w:jc w:val="center"/>
        <w:rPr>
          <w:rFonts w:ascii="方正小标宋简体" w:eastAsia="方正小标宋简体"/>
          <w:sz w:val="44"/>
          <w:szCs w:val="44"/>
        </w:rPr>
      </w:pPr>
      <w:r>
        <w:rPr>
          <w:rFonts w:hint="eastAsia" w:ascii="方正小标宋简体" w:eastAsia="方正小标宋简体"/>
          <w:sz w:val="44"/>
          <w:szCs w:val="44"/>
        </w:rPr>
        <w:t>2021年西山区政府投资基本建设项目执行</w:t>
      </w:r>
    </w:p>
    <w:p>
      <w:pPr>
        <w:pBdr>
          <w:top w:val="none" w:color="auto" w:sz="0" w:space="1"/>
          <w:bottom w:val="none" w:color="auto" w:sz="0" w:space="1"/>
          <w:right w:val="none" w:color="auto" w:sz="0" w:space="4"/>
        </w:pBdr>
        <w:topLinePunct/>
        <w:adjustRightInd w:val="0"/>
        <w:snapToGrid w:val="0"/>
        <w:spacing w:line="590" w:lineRule="exact"/>
        <w:jc w:val="center"/>
        <w:rPr>
          <w:rFonts w:ascii="方正小标宋简体" w:eastAsia="方正小标宋简体"/>
          <w:sz w:val="44"/>
          <w:szCs w:val="44"/>
        </w:rPr>
      </w:pPr>
      <w:r>
        <w:rPr>
          <w:rFonts w:hint="eastAsia" w:ascii="方正小标宋简体" w:eastAsia="方正小标宋简体"/>
          <w:sz w:val="44"/>
          <w:szCs w:val="44"/>
        </w:rPr>
        <w:t>情况及2022年政府投资基本建设项目</w:t>
      </w:r>
    </w:p>
    <w:p>
      <w:pPr>
        <w:pBdr>
          <w:top w:val="none" w:color="auto" w:sz="0" w:space="1"/>
          <w:bottom w:val="none" w:color="auto" w:sz="0" w:space="1"/>
          <w:right w:val="none" w:color="auto" w:sz="0" w:space="4"/>
        </w:pBdr>
        <w:topLinePunct/>
        <w:adjustRightInd w:val="0"/>
        <w:snapToGrid w:val="0"/>
        <w:spacing w:line="590" w:lineRule="exact"/>
        <w:jc w:val="center"/>
        <w:rPr>
          <w:rFonts w:ascii="方正小标宋简体" w:eastAsia="方正小标宋简体"/>
          <w:sz w:val="44"/>
          <w:szCs w:val="44"/>
        </w:rPr>
      </w:pPr>
      <w:r>
        <w:rPr>
          <w:rFonts w:hint="eastAsia" w:ascii="方正小标宋简体" w:eastAsia="方正小标宋简体"/>
          <w:sz w:val="44"/>
          <w:szCs w:val="44"/>
        </w:rPr>
        <w:t>计划编制情况报告</w:t>
      </w:r>
    </w:p>
    <w:p>
      <w:pPr>
        <w:pBdr>
          <w:top w:val="none" w:color="auto" w:sz="0" w:space="1"/>
          <w:bottom w:val="none" w:color="auto" w:sz="0" w:space="1"/>
          <w:right w:val="none" w:color="auto" w:sz="0" w:space="4"/>
        </w:pBdr>
        <w:topLinePunct/>
        <w:adjustRightInd w:val="0"/>
        <w:snapToGrid w:val="0"/>
        <w:spacing w:line="590" w:lineRule="exact"/>
        <w:ind w:firstLine="640" w:firstLineChars="200"/>
        <w:rPr>
          <w:rFonts w:eastAsia="仿宋_GB2312"/>
          <w:sz w:val="32"/>
          <w:szCs w:val="32"/>
        </w:rPr>
      </w:pPr>
    </w:p>
    <w:p>
      <w:pPr>
        <w:pBdr>
          <w:top w:val="none" w:color="auto" w:sz="0" w:space="1"/>
          <w:bottom w:val="none" w:color="auto" w:sz="0" w:space="1"/>
          <w:right w:val="none" w:color="auto" w:sz="0" w:space="4"/>
        </w:pBdr>
        <w:topLinePunct/>
        <w:adjustRightInd w:val="0"/>
        <w:snapToGrid w:val="0"/>
        <w:spacing w:line="590" w:lineRule="exact"/>
        <w:ind w:firstLine="640" w:firstLineChars="200"/>
        <w:rPr>
          <w:rFonts w:eastAsia="楷体_GB2312"/>
          <w:sz w:val="32"/>
          <w:szCs w:val="32"/>
        </w:rPr>
      </w:pPr>
      <w:r>
        <w:rPr>
          <w:rFonts w:hint="eastAsia" w:eastAsia="黑体"/>
          <w:sz w:val="32"/>
          <w:szCs w:val="32"/>
        </w:rPr>
        <w:t>一、高位统筹、深度谋划，全力推进项目建设</w:t>
      </w:r>
    </w:p>
    <w:p>
      <w:pPr>
        <w:pBdr>
          <w:top w:val="none" w:color="auto" w:sz="0" w:space="1"/>
          <w:bottom w:val="none" w:color="auto" w:sz="0" w:space="1"/>
          <w:right w:val="none" w:color="auto" w:sz="0" w:space="4"/>
        </w:pBdr>
        <w:topLinePunct/>
        <w:adjustRightInd w:val="0"/>
        <w:snapToGrid w:val="0"/>
        <w:spacing w:line="590" w:lineRule="exact"/>
        <w:ind w:firstLine="640" w:firstLineChars="200"/>
        <w:rPr>
          <w:rFonts w:eastAsia="楷体_GB2312"/>
          <w:sz w:val="32"/>
          <w:szCs w:val="32"/>
        </w:rPr>
      </w:pPr>
      <w:r>
        <w:rPr>
          <w:rFonts w:hint="eastAsia" w:eastAsia="楷体_GB2312"/>
          <w:sz w:val="32"/>
          <w:szCs w:val="32"/>
        </w:rPr>
        <w:t>（一）做好项目的谋划储备</w:t>
      </w:r>
    </w:p>
    <w:p>
      <w:pPr>
        <w:pBdr>
          <w:top w:val="none" w:color="auto" w:sz="0" w:space="1"/>
          <w:bottom w:val="none" w:color="auto" w:sz="0" w:space="1"/>
          <w:right w:val="none" w:color="auto" w:sz="0" w:space="4"/>
        </w:pBdr>
        <w:topLinePunct/>
        <w:adjustRightInd w:val="0"/>
        <w:snapToGrid w:val="0"/>
        <w:spacing w:line="590" w:lineRule="exact"/>
        <w:ind w:firstLine="640" w:firstLineChars="200"/>
        <w:rPr>
          <w:rFonts w:eastAsia="仿宋_GB2312"/>
          <w:sz w:val="32"/>
          <w:szCs w:val="32"/>
        </w:rPr>
      </w:pPr>
      <w:r>
        <w:rPr>
          <w:rFonts w:hint="eastAsia" w:eastAsia="仿宋_GB2312"/>
          <w:sz w:val="32"/>
          <w:szCs w:val="32"/>
        </w:rPr>
        <w:t>全区按两种类型划分，组织推进年度产业发展和投资工作。一类为扩展类项目。项目推进原则为锁定年度目标任务。来源于各产业领域正在实施的财政性投资和社会性投资建设项目，需要持续推进建设的项目，及有可能增加投资、扩大产能和规模的项目。二类为培育引进类项目。按照国家、省、市经济工作部署，结合西山区经济和社会发展规划，对重大工作、重点片区、重要指标推进提出意见建议。一是按“4×3”产业分类，各产业领域和重点企业已经进行投资备案，或有意向孵化及拟培育引进的项目；二是结合西山区资源禀赋和发展规划、布局方向，需进一步优化营商环境，亟待通过购买服务、政府采购提升行业管理和服务能力的项目；三是为做好全要素、全流程、全产业链的引资、引智、引才和招商引资工作，培育壮大驻区企业或引进优质企业落地西山，发展新的产业形态，形成的新兴产业支撑项目。</w:t>
      </w:r>
    </w:p>
    <w:p>
      <w:pPr>
        <w:pBdr>
          <w:top w:val="none" w:color="auto" w:sz="0" w:space="1"/>
          <w:bottom w:val="none" w:color="auto" w:sz="0" w:space="1"/>
          <w:right w:val="none" w:color="auto" w:sz="0" w:space="4"/>
        </w:pBdr>
        <w:topLinePunct/>
        <w:adjustRightInd w:val="0"/>
        <w:snapToGrid w:val="0"/>
        <w:spacing w:line="590" w:lineRule="exact"/>
        <w:ind w:firstLine="640" w:firstLineChars="200"/>
        <w:rPr>
          <w:rFonts w:eastAsia="楷体_GB2312"/>
          <w:sz w:val="32"/>
          <w:szCs w:val="32"/>
        </w:rPr>
      </w:pPr>
      <w:r>
        <w:rPr>
          <w:rFonts w:hint="eastAsia" w:eastAsia="楷体_GB2312"/>
          <w:sz w:val="32"/>
          <w:szCs w:val="32"/>
        </w:rPr>
        <w:t>（二）开展固定资产投资项目审批提质增效行动</w:t>
      </w:r>
    </w:p>
    <w:p>
      <w:pPr>
        <w:pBdr>
          <w:top w:val="none" w:color="auto" w:sz="0" w:space="1"/>
          <w:left w:val="none" w:color="auto" w:sz="0" w:space="4"/>
          <w:bottom w:val="none" w:color="auto" w:sz="0" w:space="1"/>
          <w:right w:val="none" w:color="auto" w:sz="0" w:space="4"/>
        </w:pBdr>
        <w:topLinePunct/>
        <w:adjustRightInd w:val="0"/>
        <w:snapToGrid w:val="0"/>
        <w:spacing w:line="584" w:lineRule="exact"/>
        <w:ind w:firstLine="640" w:firstLineChars="200"/>
        <w:rPr>
          <w:rFonts w:eastAsia="仿宋_GB2312"/>
          <w:sz w:val="32"/>
          <w:szCs w:val="32"/>
        </w:rPr>
      </w:pPr>
      <w:r>
        <w:rPr>
          <w:rFonts w:hint="eastAsia" w:eastAsia="仿宋_GB2312"/>
          <w:sz w:val="32"/>
          <w:szCs w:val="32"/>
        </w:rPr>
        <w:t>制</w:t>
      </w:r>
      <w:r>
        <w:rPr>
          <w:rFonts w:hint="eastAsia" w:eastAsia="仿宋_GB2312"/>
          <w:spacing w:val="2"/>
          <w:sz w:val="32"/>
          <w:szCs w:val="32"/>
        </w:rPr>
        <w:t>定了《2021年固定资产投资项目审批全要素全流程创优</w:t>
      </w:r>
      <w:r>
        <w:rPr>
          <w:rFonts w:hint="eastAsia" w:eastAsia="仿宋_GB2312"/>
          <w:sz w:val="32"/>
          <w:szCs w:val="32"/>
        </w:rPr>
        <w:t>提效工作方案》、《西山区政府投资项目可行性研究报告“绿色审批通道”实施意见（试行）》，进一步压缩项目审批时限，激发社会投资活力。2021年共完成227项固定资产投资项目的审批、备案及核准转报工作，计划总投资584亿元。其中：审批类项目67项，计划总投资178.6亿元；备案类项目158项，计划总投资379亿元；核准转报项目2项，计划总投资26.4亿元。整合资源发挥投资工作合力。</w:t>
      </w:r>
    </w:p>
    <w:p>
      <w:pPr>
        <w:pBdr>
          <w:top w:val="none" w:color="auto" w:sz="0" w:space="1"/>
          <w:left w:val="none" w:color="auto" w:sz="0" w:space="4"/>
          <w:bottom w:val="none" w:color="auto" w:sz="0" w:space="1"/>
          <w:right w:val="none" w:color="auto" w:sz="0" w:space="4"/>
        </w:pBdr>
        <w:topLinePunct/>
        <w:adjustRightInd w:val="0"/>
        <w:snapToGrid w:val="0"/>
        <w:spacing w:line="584" w:lineRule="exact"/>
        <w:ind w:left="640"/>
        <w:rPr>
          <w:rFonts w:eastAsia="楷体_GB2312"/>
          <w:sz w:val="32"/>
          <w:szCs w:val="32"/>
        </w:rPr>
      </w:pPr>
      <w:r>
        <w:rPr>
          <w:rFonts w:hint="eastAsia" w:eastAsia="楷体_GB2312"/>
          <w:sz w:val="32"/>
          <w:szCs w:val="32"/>
        </w:rPr>
        <w:t>（三）有效发挥发改部门参谋和协调作用</w:t>
      </w:r>
    </w:p>
    <w:p>
      <w:pPr>
        <w:pBdr>
          <w:top w:val="none" w:color="auto" w:sz="0" w:space="1"/>
          <w:left w:val="none" w:color="auto" w:sz="0" w:space="4"/>
          <w:bottom w:val="none" w:color="auto" w:sz="0" w:space="1"/>
          <w:right w:val="none" w:color="auto" w:sz="0" w:space="4"/>
        </w:pBdr>
        <w:topLinePunct/>
        <w:adjustRightInd w:val="0"/>
        <w:snapToGrid w:val="0"/>
        <w:spacing w:line="584" w:lineRule="exact"/>
        <w:ind w:firstLine="640" w:firstLineChars="200"/>
        <w:rPr>
          <w:rFonts w:eastAsia="仿宋_GB2312"/>
          <w:sz w:val="32"/>
          <w:szCs w:val="32"/>
        </w:rPr>
      </w:pPr>
      <w:r>
        <w:rPr>
          <w:rFonts w:hint="eastAsia" w:eastAsia="仿宋_GB2312"/>
          <w:sz w:val="32"/>
          <w:szCs w:val="32"/>
        </w:rPr>
        <w:t>相继制定印发了《西山区政府投资管理和项目前期工作指引》、《西山区政府项目投融资及建设的意见和建议》、《西山区2021年地方政府专项债券申报指南》、《西山区2021年中央预算内投资项目申报指南》、《固定资产投资及“四上”企业入库工作指引》、《西山区符合西部地区鼓励类产业目录重点扶持产业领域手册》。</w:t>
      </w:r>
    </w:p>
    <w:p>
      <w:pPr>
        <w:pBdr>
          <w:top w:val="none" w:color="auto" w:sz="0" w:space="1"/>
          <w:left w:val="none" w:color="auto" w:sz="0" w:space="4"/>
          <w:bottom w:val="none" w:color="auto" w:sz="0" w:space="1"/>
          <w:right w:val="none" w:color="auto" w:sz="0" w:space="4"/>
        </w:pBdr>
        <w:topLinePunct/>
        <w:adjustRightInd w:val="0"/>
        <w:snapToGrid w:val="0"/>
        <w:spacing w:line="584" w:lineRule="exact"/>
        <w:ind w:left="640"/>
        <w:rPr>
          <w:rFonts w:eastAsia="楷体_GB2312"/>
          <w:sz w:val="32"/>
          <w:szCs w:val="32"/>
        </w:rPr>
      </w:pPr>
      <w:r>
        <w:rPr>
          <w:rFonts w:hint="eastAsia" w:eastAsia="楷体_GB2312"/>
          <w:sz w:val="32"/>
          <w:szCs w:val="32"/>
        </w:rPr>
        <w:t>（四）充分发挥前期工作经费的撬动作用</w:t>
      </w:r>
    </w:p>
    <w:p>
      <w:pPr>
        <w:pBdr>
          <w:top w:val="none" w:color="auto" w:sz="0" w:space="1"/>
          <w:left w:val="none" w:color="auto" w:sz="0" w:space="4"/>
          <w:bottom w:val="none" w:color="auto" w:sz="0" w:space="1"/>
          <w:right w:val="none" w:color="auto" w:sz="0" w:space="4"/>
        </w:pBdr>
        <w:topLinePunct/>
        <w:adjustRightInd w:val="0"/>
        <w:snapToGrid w:val="0"/>
        <w:spacing w:line="584" w:lineRule="exact"/>
        <w:ind w:firstLine="640" w:firstLineChars="200"/>
        <w:rPr>
          <w:rFonts w:eastAsia="仿宋_GB2312"/>
          <w:sz w:val="32"/>
          <w:szCs w:val="32"/>
        </w:rPr>
      </w:pPr>
      <w:r>
        <w:rPr>
          <w:rFonts w:hint="eastAsia" w:eastAsia="仿宋_GB2312"/>
          <w:sz w:val="32"/>
          <w:szCs w:val="32"/>
        </w:rPr>
        <w:t>2021年，分三次安排项目前期工作经费1.1亿元，用于支持加快推进64个计划总投资221.7亿元的项目开展前期工作，加快形成有效投资支撑。</w:t>
      </w:r>
    </w:p>
    <w:p>
      <w:pPr>
        <w:pBdr>
          <w:top w:val="none" w:color="auto" w:sz="0" w:space="1"/>
          <w:left w:val="none" w:color="auto" w:sz="0" w:space="4"/>
          <w:bottom w:val="none" w:color="auto" w:sz="0" w:space="1"/>
          <w:right w:val="none" w:color="auto" w:sz="0" w:space="4"/>
        </w:pBdr>
        <w:topLinePunct/>
        <w:adjustRightInd w:val="0"/>
        <w:snapToGrid w:val="0"/>
        <w:spacing w:line="584" w:lineRule="exact"/>
        <w:ind w:firstLine="640" w:firstLineChars="200"/>
        <w:rPr>
          <w:rFonts w:eastAsia="黑体"/>
          <w:sz w:val="32"/>
          <w:szCs w:val="32"/>
        </w:rPr>
      </w:pPr>
      <w:r>
        <w:rPr>
          <w:rFonts w:hint="eastAsia" w:eastAsia="黑体"/>
          <w:sz w:val="32"/>
          <w:szCs w:val="32"/>
        </w:rPr>
        <w:t>二、2021年政府投资基本建设项目执行情况</w:t>
      </w:r>
    </w:p>
    <w:p>
      <w:pPr>
        <w:pBdr>
          <w:top w:val="none" w:color="auto" w:sz="0" w:space="1"/>
          <w:left w:val="none" w:color="auto" w:sz="0" w:space="4"/>
          <w:bottom w:val="none" w:color="auto" w:sz="0" w:space="1"/>
          <w:right w:val="none" w:color="auto" w:sz="0" w:space="4"/>
        </w:pBdr>
        <w:topLinePunct/>
        <w:adjustRightInd w:val="0"/>
        <w:snapToGrid w:val="0"/>
        <w:spacing w:line="584" w:lineRule="exact"/>
        <w:ind w:firstLine="640" w:firstLineChars="200"/>
        <w:rPr>
          <w:rFonts w:eastAsia="仿宋_GB2312"/>
          <w:sz w:val="32"/>
          <w:szCs w:val="32"/>
        </w:rPr>
      </w:pPr>
      <w:r>
        <w:rPr>
          <w:rFonts w:hint="eastAsia" w:eastAsia="仿宋_GB2312"/>
          <w:sz w:val="32"/>
          <w:szCs w:val="32"/>
        </w:rPr>
        <w:t>2021年西山区政府投资项目共103项，计划总投资139.</w:t>
      </w:r>
      <w:r>
        <w:rPr>
          <w:rFonts w:eastAsia="仿宋_GB2312"/>
          <w:sz w:val="32"/>
          <w:szCs w:val="32"/>
        </w:rPr>
        <w:t>5</w:t>
      </w:r>
      <w:r>
        <w:rPr>
          <w:rFonts w:hint="eastAsia" w:eastAsia="仿宋_GB2312"/>
          <w:sz w:val="32"/>
          <w:szCs w:val="32"/>
        </w:rPr>
        <w:t>亿元，2021年计划完成投资44.5亿元，实际完成投资37.7亿元。其中，列入计划盘子85项，计划总投资110.9亿元，2021年计划完成投资33.3亿元，实际完成投资24.7亿元；计划盘子外18项，计划总投资28.6亿元，2021年计划完成投资11.2亿元，实际完成投资13亿元。（详见附表1）</w:t>
      </w:r>
    </w:p>
    <w:p>
      <w:pPr>
        <w:pStyle w:val="26"/>
        <w:pBdr>
          <w:top w:val="none" w:color="auto" w:sz="0" w:space="1"/>
          <w:left w:val="none" w:color="auto" w:sz="0" w:space="4"/>
          <w:bottom w:val="none" w:color="auto" w:sz="0" w:space="1"/>
          <w:right w:val="none" w:color="auto" w:sz="0" w:space="4"/>
        </w:pBdr>
        <w:topLinePunct/>
        <w:adjustRightInd w:val="0"/>
        <w:snapToGrid w:val="0"/>
        <w:spacing w:line="590" w:lineRule="exact"/>
        <w:ind w:firstLine="0" w:firstLineChars="0"/>
        <w:jc w:val="center"/>
        <w:rPr>
          <w:rFonts w:ascii="Times New Roman" w:hAnsi="Times New Roman" w:eastAsia="黑体"/>
          <w:sz w:val="32"/>
          <w:szCs w:val="32"/>
        </w:rPr>
      </w:pPr>
      <w:r>
        <w:rPr>
          <w:rFonts w:hint="eastAsia" w:ascii="Times New Roman" w:hAnsi="Times New Roman" w:eastAsia="黑体"/>
          <w:sz w:val="32"/>
          <w:szCs w:val="32"/>
        </w:rPr>
        <w:t>2021年政府投资项目执行情况汇总表</w:t>
      </w:r>
    </w:p>
    <w:tbl>
      <w:tblPr>
        <w:tblStyle w:val="19"/>
        <w:tblW w:w="977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57"/>
        <w:gridCol w:w="992"/>
        <w:gridCol w:w="850"/>
        <w:gridCol w:w="993"/>
        <w:gridCol w:w="1134"/>
        <w:gridCol w:w="1134"/>
        <w:gridCol w:w="1275"/>
        <w:gridCol w:w="993"/>
        <w:gridCol w:w="8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黑体"/>
                <w:sz w:val="24"/>
              </w:rPr>
            </w:pPr>
            <w:r>
              <w:rPr>
                <w:rFonts w:hint="eastAsia" w:eastAsia="黑体"/>
                <w:kern w:val="0"/>
                <w:sz w:val="24"/>
                <w:lang w:bidi="ar"/>
              </w:rPr>
              <w:t>项目类别</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黑体"/>
                <w:kern w:val="0"/>
                <w:sz w:val="24"/>
                <w:lang w:bidi="ar"/>
              </w:rPr>
            </w:pPr>
            <w:r>
              <w:rPr>
                <w:rFonts w:hint="eastAsia" w:eastAsia="黑体"/>
                <w:kern w:val="0"/>
                <w:sz w:val="24"/>
                <w:lang w:bidi="ar"/>
              </w:rPr>
              <w:t>业主责任部门数（个）</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z w:val="24"/>
              </w:rPr>
            </w:pPr>
            <w:r>
              <w:rPr>
                <w:rFonts w:hint="eastAsia" w:eastAsia="黑体"/>
                <w:kern w:val="0"/>
                <w:sz w:val="24"/>
                <w:lang w:bidi="ar"/>
              </w:rPr>
              <w:t>项目数（个）</w:t>
            </w:r>
          </w:p>
        </w:tc>
        <w:tc>
          <w:tcPr>
            <w:tcW w:w="99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黑体"/>
                <w:sz w:val="24"/>
              </w:rPr>
            </w:pPr>
            <w:r>
              <w:rPr>
                <w:rFonts w:hint="eastAsia" w:eastAsia="黑体"/>
                <w:kern w:val="0"/>
                <w:sz w:val="24"/>
                <w:lang w:bidi="ar"/>
              </w:rPr>
              <w:t>计划总投资（亿元）</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黑体"/>
                <w:spacing w:val="-6"/>
                <w:sz w:val="24"/>
              </w:rPr>
            </w:pPr>
            <w:r>
              <w:rPr>
                <w:rFonts w:hint="eastAsia" w:eastAsia="黑体"/>
                <w:spacing w:val="-6"/>
                <w:kern w:val="0"/>
                <w:sz w:val="24"/>
                <w:lang w:bidi="ar"/>
              </w:rPr>
              <w:t>2021年计划完成投资（亿元）</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黑体"/>
                <w:spacing w:val="-10"/>
                <w:sz w:val="24"/>
              </w:rPr>
            </w:pPr>
            <w:r>
              <w:rPr>
                <w:rFonts w:hint="eastAsia" w:eastAsia="黑体"/>
                <w:spacing w:val="-10"/>
                <w:kern w:val="0"/>
                <w:sz w:val="24"/>
                <w:lang w:bidi="ar"/>
              </w:rPr>
              <w:t>实际完成投资（亿元）</w:t>
            </w:r>
          </w:p>
        </w:tc>
        <w:tc>
          <w:tcPr>
            <w:tcW w:w="127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kern w:val="0"/>
                <w:sz w:val="24"/>
                <w:lang w:bidi="ar"/>
              </w:rPr>
            </w:pPr>
            <w:r>
              <w:rPr>
                <w:rFonts w:hint="eastAsia" w:eastAsia="黑体"/>
                <w:kern w:val="0"/>
                <w:sz w:val="24"/>
                <w:lang w:bidi="ar"/>
              </w:rPr>
              <w:t>计划新开工项目（个）</w:t>
            </w:r>
          </w:p>
        </w:tc>
        <w:tc>
          <w:tcPr>
            <w:tcW w:w="99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黑体"/>
                <w:kern w:val="0"/>
                <w:sz w:val="24"/>
                <w:lang w:bidi="ar"/>
              </w:rPr>
            </w:pPr>
            <w:r>
              <w:rPr>
                <w:rFonts w:hint="eastAsia" w:eastAsia="黑体"/>
                <w:kern w:val="0"/>
                <w:sz w:val="24"/>
                <w:lang w:bidi="ar"/>
              </w:rPr>
              <w:t>已开工项目（个）</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kern w:val="0"/>
                <w:sz w:val="24"/>
                <w:lang w:bidi="ar"/>
              </w:rPr>
            </w:pPr>
            <w:r>
              <w:rPr>
                <w:rFonts w:hint="eastAsia" w:eastAsia="黑体"/>
                <w:kern w:val="0"/>
                <w:sz w:val="24"/>
                <w:lang w:bidi="ar"/>
              </w:rPr>
              <w:t>开工率（%）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总计</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19</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103</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139.5</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44.5</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37.7</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61</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39</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63.9%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一、乡村振兴建设项目</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2</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4</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1.8</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0.5</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0.7</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4</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4</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二、水利基础设施建设项目</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2</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6</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2.4</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0.8</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2.5</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4</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4</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三、生态环保建设项目</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5</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14</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30</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13</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12.7</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13</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10</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76.9%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四、教育基础设施建设项目</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16</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13.4</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7.7</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7.1</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8</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5</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62.5%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五、社会民生建设项目</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8</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8</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1.9</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1.1</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0.6</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5</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4</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六、文化旅游建设项目</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5</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9</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29.2</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10.8</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9.5</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4</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2</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七、卫生健康建设项目</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5</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15.1</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1.2</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0.6</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0</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5" w:hRule="atLeast"/>
          <w:jc w:val="center"/>
        </w:trPr>
        <w:tc>
          <w:tcPr>
            <w:tcW w:w="15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八、道路基础设施建设项目</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3</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41</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45.7</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9.4</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4</w:t>
            </w:r>
          </w:p>
        </w:tc>
        <w:tc>
          <w:tcPr>
            <w:tcW w:w="1275"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22</w:t>
            </w:r>
          </w:p>
        </w:tc>
        <w:tc>
          <w:tcPr>
            <w:tcW w:w="993" w:type="dxa"/>
            <w:tcMar>
              <w:top w:w="15" w:type="dxa"/>
              <w:left w:w="15" w:type="dxa"/>
              <w:right w:w="15" w:type="dxa"/>
            </w:tcMar>
            <w:vAlign w:val="center"/>
          </w:tcPr>
          <w:p>
            <w:pP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10</w:t>
            </w:r>
          </w:p>
        </w:tc>
        <w:tc>
          <w:tcPr>
            <w:tcW w:w="850" w:type="dxa"/>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sz w:val="24"/>
                <w:lang w:bidi="ar"/>
              </w:rPr>
            </w:pPr>
            <w:r>
              <w:rPr>
                <w:rFonts w:hint="eastAsia" w:eastAsia="仿宋_GB2312"/>
                <w:kern w:val="0"/>
                <w:sz w:val="24"/>
                <w:lang w:bidi="ar"/>
              </w:rPr>
              <w:t>45.5%</w:t>
            </w:r>
          </w:p>
        </w:tc>
      </w:tr>
    </w:tbl>
    <w:p>
      <w:pPr>
        <w:pBdr>
          <w:top w:val="none" w:color="auto" w:sz="0" w:space="1"/>
          <w:left w:val="none" w:color="auto" w:sz="0" w:space="4"/>
          <w:bottom w:val="none" w:color="auto" w:sz="0" w:space="1"/>
          <w:right w:val="none" w:color="auto" w:sz="0" w:space="4"/>
        </w:pBdr>
        <w:topLinePunct/>
        <w:adjustRightInd w:val="0"/>
        <w:snapToGrid w:val="0"/>
        <w:spacing w:line="590" w:lineRule="exact"/>
        <w:ind w:firstLine="640" w:firstLineChars="200"/>
        <w:rPr>
          <w:rFonts w:eastAsia="楷体_GB2312"/>
          <w:sz w:val="32"/>
          <w:szCs w:val="32"/>
        </w:rPr>
      </w:pPr>
      <w:r>
        <w:rPr>
          <w:rFonts w:hint="eastAsia" w:eastAsia="楷体_GB2312"/>
          <w:sz w:val="32"/>
          <w:szCs w:val="32"/>
        </w:rPr>
        <w:t>（一）计划内建设项目推进情况</w:t>
      </w:r>
    </w:p>
    <w:p>
      <w:pPr>
        <w:pBdr>
          <w:top w:val="none" w:color="auto" w:sz="0" w:space="1"/>
          <w:left w:val="none" w:color="auto" w:sz="0" w:space="4"/>
          <w:bottom w:val="none" w:color="auto" w:sz="0" w:space="1"/>
          <w:right w:val="none" w:color="auto" w:sz="0" w:space="4"/>
        </w:pBdr>
        <w:topLinePunct/>
        <w:adjustRightInd w:val="0"/>
        <w:snapToGrid w:val="0"/>
        <w:spacing w:line="590" w:lineRule="exact"/>
        <w:ind w:firstLine="640" w:firstLineChars="200"/>
        <w:rPr>
          <w:rFonts w:eastAsia="仿宋_GB2312"/>
          <w:sz w:val="32"/>
          <w:szCs w:val="32"/>
        </w:rPr>
      </w:pPr>
      <w:r>
        <w:rPr>
          <w:rFonts w:hint="eastAsia" w:eastAsia="仿宋_GB2312"/>
          <w:sz w:val="32"/>
          <w:szCs w:val="32"/>
        </w:rPr>
        <w:t>原列入计划的政府投资基本建设项目共94项，计划总投资135.6亿元，2021年计划完成投资37.8亿元；年内有9项因任务变更、政策形势变化及条件不具备等客观原因取消建设。因此，项目计划调整为85项，计划总投资110.9亿元，2021年计划完成投资33.3亿元，实际完成投资24.7亿元。其中：续建项目34项，实际完成投资17.8亿元。计划新开工项目43项，年内仅实现开工22项，开工率51.2%，实际完成投资6.9亿元，未实现开工的2</w:t>
      </w:r>
      <w:r>
        <w:rPr>
          <w:rFonts w:eastAsia="仿宋_GB2312"/>
          <w:sz w:val="32"/>
          <w:szCs w:val="32"/>
        </w:rPr>
        <w:t>1</w:t>
      </w:r>
      <w:r>
        <w:rPr>
          <w:rFonts w:hint="eastAsia" w:eastAsia="仿宋_GB2312"/>
          <w:sz w:val="32"/>
          <w:szCs w:val="32"/>
        </w:rPr>
        <w:t>个项目存在以下问题：西山区第十八幼儿园拆除重建等2个项目因不具备规划办理条件未实现开工；国安巷道路建设项目等5个项目用地未完成征收和移交影响项目建设；长坡社区主</w:t>
      </w:r>
      <w:r>
        <w:rPr>
          <w:rFonts w:hint="eastAsia" w:eastAsia="仿宋_GB2312"/>
          <w:spacing w:val="2"/>
          <w:sz w:val="32"/>
          <w:szCs w:val="32"/>
        </w:rPr>
        <w:t>干道建设项目建设资金未落实；二环内排水系统提升完善等13</w:t>
      </w:r>
      <w:r>
        <w:rPr>
          <w:rFonts w:hint="eastAsia" w:eastAsia="仿宋_GB2312"/>
          <w:sz w:val="32"/>
          <w:szCs w:val="32"/>
        </w:rPr>
        <w:t>个项目前期工作推进缓慢未实现开工。前期项目8项，正在推动前期工作。</w:t>
      </w:r>
    </w:p>
    <w:p>
      <w:pPr>
        <w:pBdr>
          <w:top w:val="none" w:color="auto" w:sz="0" w:space="1"/>
          <w:left w:val="none" w:color="auto" w:sz="0" w:space="4"/>
          <w:bottom w:val="none" w:color="auto" w:sz="0" w:space="1"/>
          <w:right w:val="none" w:color="auto" w:sz="0" w:space="4"/>
        </w:pBdr>
        <w:topLinePunct/>
        <w:adjustRightInd w:val="0"/>
        <w:snapToGrid w:val="0"/>
        <w:spacing w:line="590" w:lineRule="exact"/>
        <w:jc w:val="center"/>
        <w:rPr>
          <w:rFonts w:eastAsia="黑体"/>
          <w:sz w:val="32"/>
          <w:szCs w:val="32"/>
        </w:rPr>
      </w:pPr>
      <w:r>
        <w:rPr>
          <w:rFonts w:hint="eastAsia" w:eastAsia="黑体"/>
          <w:sz w:val="32"/>
          <w:szCs w:val="32"/>
        </w:rPr>
        <w:t>2021年计划内政府投资建设项目汇总表</w:t>
      </w:r>
    </w:p>
    <w:tbl>
      <w:tblPr>
        <w:tblStyle w:val="19"/>
        <w:tblW w:w="9495"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98"/>
        <w:gridCol w:w="851"/>
        <w:gridCol w:w="992"/>
        <w:gridCol w:w="1843"/>
        <w:gridCol w:w="1134"/>
        <w:gridCol w:w="1134"/>
        <w:gridCol w:w="992"/>
        <w:gridCol w:w="8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020" w:hRule="atLeast"/>
          <w:tblHeader/>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z w:val="24"/>
              </w:rPr>
            </w:pPr>
            <w:r>
              <w:rPr>
                <w:rFonts w:hint="eastAsia" w:eastAsia="黑体"/>
                <w:kern w:val="0"/>
                <w:sz w:val="24"/>
                <w:lang w:bidi="ar"/>
              </w:rPr>
              <w:t>项目类别</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z w:val="24"/>
              </w:rPr>
            </w:pPr>
            <w:r>
              <w:rPr>
                <w:rFonts w:hint="eastAsia" w:eastAsia="黑体"/>
                <w:kern w:val="0"/>
                <w:sz w:val="24"/>
                <w:lang w:bidi="ar"/>
              </w:rPr>
              <w:t>项目数（个）</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textAlignment w:val="center"/>
              <w:rPr>
                <w:rFonts w:eastAsia="黑体"/>
                <w:sz w:val="24"/>
              </w:rPr>
            </w:pPr>
            <w:r>
              <w:rPr>
                <w:rFonts w:hint="eastAsia" w:eastAsia="黑体"/>
                <w:kern w:val="0"/>
                <w:sz w:val="24"/>
                <w:lang w:bidi="ar"/>
              </w:rPr>
              <w:t>计划总</w:t>
            </w:r>
            <w:r>
              <w:rPr>
                <w:rFonts w:hint="eastAsia" w:eastAsia="黑体"/>
                <w:spacing w:val="-10"/>
                <w:kern w:val="0"/>
                <w:sz w:val="24"/>
                <w:lang w:bidi="ar"/>
              </w:rPr>
              <w:t>投资（亿元）</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z w:val="24"/>
              </w:rPr>
            </w:pPr>
            <w:r>
              <w:rPr>
                <w:rFonts w:hint="eastAsia" w:eastAsia="黑体"/>
                <w:kern w:val="0"/>
                <w:sz w:val="24"/>
                <w:lang w:bidi="ar"/>
              </w:rPr>
              <w:t>2021年计划完成投资（亿元）</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textAlignment w:val="center"/>
              <w:rPr>
                <w:rFonts w:eastAsia="黑体"/>
                <w:spacing w:val="-14"/>
                <w:sz w:val="24"/>
              </w:rPr>
            </w:pPr>
            <w:r>
              <w:rPr>
                <w:rFonts w:hint="eastAsia" w:eastAsia="黑体"/>
                <w:spacing w:val="-14"/>
                <w:kern w:val="0"/>
                <w:sz w:val="24"/>
                <w:lang w:bidi="ar"/>
              </w:rPr>
              <w:t>实际完成投资（亿元）</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pacing w:val="-12"/>
                <w:sz w:val="24"/>
              </w:rPr>
            </w:pPr>
            <w:r>
              <w:rPr>
                <w:rFonts w:hint="eastAsia" w:eastAsia="黑体"/>
                <w:spacing w:val="-12"/>
                <w:kern w:val="0"/>
                <w:sz w:val="24"/>
                <w:lang w:bidi="ar"/>
              </w:rPr>
              <w:t>计划新开工项目（个）</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pacing w:val="-10"/>
                <w:sz w:val="24"/>
              </w:rPr>
            </w:pPr>
            <w:r>
              <w:rPr>
                <w:rFonts w:hint="eastAsia" w:eastAsia="黑体"/>
                <w:spacing w:val="-10"/>
                <w:kern w:val="0"/>
                <w:sz w:val="24"/>
                <w:lang w:bidi="ar"/>
              </w:rPr>
              <w:t>已开工项目（个）</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z w:val="24"/>
              </w:rPr>
            </w:pPr>
            <w:r>
              <w:rPr>
                <w:rFonts w:hint="eastAsia" w:eastAsia="黑体"/>
                <w:kern w:val="0"/>
                <w:sz w:val="24"/>
                <w:lang w:bidi="ar"/>
              </w:rPr>
              <w:t>开工率（%）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总计</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85</w:t>
            </w:r>
          </w:p>
        </w:tc>
        <w:tc>
          <w:tcPr>
            <w:tcW w:w="992"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110.9</w:t>
            </w:r>
          </w:p>
        </w:tc>
        <w:tc>
          <w:tcPr>
            <w:tcW w:w="1843"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33.3</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24.7</w:t>
            </w:r>
          </w:p>
        </w:tc>
        <w:tc>
          <w:tcPr>
            <w:tcW w:w="1134"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43</w:t>
            </w:r>
          </w:p>
        </w:tc>
        <w:tc>
          <w:tcPr>
            <w:tcW w:w="992"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22</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一、乡村振兴建设项目</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1.7</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0.5</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0.7</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二、水利基础设施建设项目</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5</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2.2</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0.6</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2.3</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三、生态环保建设项目</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9</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12.6</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3.2</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2.9</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8</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5</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62.5%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四、教育基础设施建设项目</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14</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13.3</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7.6</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7</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6</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4</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66.7%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五、社会民生建设项目</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5</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1.4</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0.9</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0.4</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六、文化旅游建设项目</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8</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29.2</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10.7</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9.5</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33.3%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七、卫生健康建设项目</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5</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15.1</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1.2</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0.6</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sz w:val="24"/>
              </w:rPr>
            </w:pPr>
            <w:r>
              <w:rPr>
                <w:rFonts w:hint="eastAsia" w:eastAsia="仿宋_GB2312"/>
                <w:kern w:val="0"/>
                <w:sz w:val="24"/>
                <w:lang w:bidi="ar"/>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jc w:val="center"/>
        </w:trPr>
        <w:tc>
          <w:tcPr>
            <w:tcW w:w="169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八、道路基础设施建设项目</w:t>
            </w:r>
          </w:p>
        </w:tc>
        <w:tc>
          <w:tcPr>
            <w:tcW w:w="851"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36</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35.4</w:t>
            </w:r>
          </w:p>
        </w:tc>
        <w:tc>
          <w:tcPr>
            <w:tcW w:w="1843"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8.6</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1.3</w:t>
            </w:r>
          </w:p>
        </w:tc>
        <w:tc>
          <w:tcPr>
            <w:tcW w:w="113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17</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5</w:t>
            </w:r>
          </w:p>
        </w:tc>
        <w:tc>
          <w:tcPr>
            <w:tcW w:w="851" w:type="dxa"/>
            <w:tcMar>
              <w:top w:w="15" w:type="dxa"/>
              <w:left w:w="15" w:type="dxa"/>
              <w:right w:w="15" w:type="dxa"/>
            </w:tcMar>
            <w:vAlign w:val="center"/>
          </w:tcPr>
          <w:p>
            <w:pP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29.4%</w:t>
            </w:r>
          </w:p>
        </w:tc>
      </w:tr>
    </w:tbl>
    <w:p>
      <w:pPr>
        <w:pBdr>
          <w:top w:val="none" w:color="auto" w:sz="0" w:space="1"/>
          <w:left w:val="none" w:color="auto" w:sz="0" w:space="4"/>
          <w:bottom w:val="none" w:color="auto" w:sz="0" w:space="1"/>
          <w:right w:val="none" w:color="auto" w:sz="0" w:space="4"/>
        </w:pBdr>
        <w:topLinePunct/>
        <w:adjustRightInd w:val="0"/>
        <w:snapToGrid w:val="0"/>
        <w:spacing w:line="590" w:lineRule="exact"/>
        <w:ind w:firstLine="640" w:firstLineChars="200"/>
        <w:rPr>
          <w:rFonts w:eastAsia="楷体_GB2312"/>
          <w:sz w:val="32"/>
          <w:szCs w:val="32"/>
        </w:rPr>
      </w:pPr>
      <w:r>
        <w:rPr>
          <w:rFonts w:hint="eastAsia" w:eastAsia="楷体_GB2312"/>
          <w:sz w:val="32"/>
          <w:szCs w:val="32"/>
        </w:rPr>
        <w:t>（二）批准同意实施的计划外建设项目推进情况</w:t>
      </w:r>
    </w:p>
    <w:p>
      <w:pPr>
        <w:pStyle w:val="26"/>
        <w:pBdr>
          <w:top w:val="none" w:color="auto" w:sz="0" w:space="1"/>
          <w:left w:val="none" w:color="auto" w:sz="0" w:space="4"/>
          <w:bottom w:val="none" w:color="auto" w:sz="0" w:space="1"/>
          <w:right w:val="none" w:color="auto" w:sz="0" w:space="4"/>
        </w:pBdr>
        <w:topLinePunct/>
        <w:adjustRightInd w:val="0"/>
        <w:snapToGrid w:val="0"/>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新增计划外政府投资建设项目共18项，计划总投资28.6亿元，已开工18项，开工率100%，实际完成投资13亿元。</w:t>
      </w:r>
    </w:p>
    <w:p>
      <w:pPr>
        <w:pStyle w:val="26"/>
        <w:pBdr>
          <w:top w:val="none" w:color="auto" w:sz="0" w:space="1"/>
          <w:left w:val="none" w:color="auto" w:sz="0" w:space="4"/>
          <w:bottom w:val="none" w:color="auto" w:sz="0" w:space="1"/>
          <w:right w:val="none" w:color="auto" w:sz="0" w:space="4"/>
        </w:pBdr>
        <w:topLinePunct/>
        <w:adjustRightInd w:val="0"/>
        <w:snapToGrid w:val="0"/>
        <w:spacing w:line="590" w:lineRule="exact"/>
        <w:ind w:firstLine="0" w:firstLineChars="0"/>
        <w:jc w:val="center"/>
        <w:rPr>
          <w:rFonts w:ascii="Times New Roman" w:hAnsi="Times New Roman" w:eastAsia="黑体"/>
          <w:sz w:val="32"/>
          <w:szCs w:val="32"/>
        </w:rPr>
      </w:pPr>
      <w:r>
        <w:rPr>
          <w:rFonts w:hint="eastAsia" w:ascii="Times New Roman" w:hAnsi="Times New Roman" w:eastAsia="黑体"/>
          <w:sz w:val="32"/>
          <w:szCs w:val="32"/>
        </w:rPr>
        <w:t>2021年批准同意实施的计划外政府投资建设项目汇总表</w:t>
      </w:r>
    </w:p>
    <w:tbl>
      <w:tblPr>
        <w:tblStyle w:val="19"/>
        <w:tblW w:w="7652"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09"/>
        <w:gridCol w:w="1814"/>
        <w:gridCol w:w="1814"/>
        <w:gridCol w:w="18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tblHeader/>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240" w:lineRule="atLeast"/>
              <w:jc w:val="center"/>
              <w:textAlignment w:val="center"/>
              <w:rPr>
                <w:rFonts w:eastAsia="黑体"/>
                <w:sz w:val="24"/>
              </w:rPr>
            </w:pPr>
            <w:r>
              <w:rPr>
                <w:rFonts w:hint="eastAsia" w:eastAsia="黑体"/>
                <w:kern w:val="0"/>
                <w:sz w:val="24"/>
                <w:lang w:bidi="ar"/>
              </w:rPr>
              <w:t>项目类别</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240" w:lineRule="atLeast"/>
              <w:jc w:val="center"/>
              <w:textAlignment w:val="center"/>
              <w:rPr>
                <w:rFonts w:eastAsia="黑体"/>
                <w:kern w:val="0"/>
                <w:sz w:val="24"/>
                <w:lang w:bidi="ar"/>
              </w:rPr>
            </w:pPr>
            <w:r>
              <w:rPr>
                <w:rFonts w:hint="eastAsia" w:eastAsia="黑体"/>
                <w:kern w:val="0"/>
                <w:sz w:val="24"/>
                <w:lang w:bidi="ar"/>
              </w:rPr>
              <w:t>项目数</w:t>
            </w:r>
          </w:p>
          <w:p>
            <w:pPr>
              <w:pBdr>
                <w:top w:val="none" w:color="auto" w:sz="0" w:space="1"/>
                <w:left w:val="none" w:color="auto" w:sz="0" w:space="4"/>
                <w:bottom w:val="none" w:color="auto" w:sz="0" w:space="1"/>
                <w:right w:val="none" w:color="auto" w:sz="0" w:space="4"/>
              </w:pBdr>
              <w:adjustRightInd w:val="0"/>
              <w:snapToGrid w:val="0"/>
              <w:spacing w:line="240" w:lineRule="atLeast"/>
              <w:jc w:val="center"/>
              <w:textAlignment w:val="center"/>
              <w:rPr>
                <w:rFonts w:eastAsia="黑体"/>
                <w:sz w:val="24"/>
              </w:rPr>
            </w:pPr>
            <w:r>
              <w:rPr>
                <w:rFonts w:hint="eastAsia" w:eastAsia="黑体"/>
                <w:kern w:val="0"/>
                <w:sz w:val="24"/>
                <w:lang w:bidi="ar"/>
              </w:rPr>
              <w:t>（个）</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240" w:lineRule="atLeast"/>
              <w:jc w:val="center"/>
              <w:textAlignment w:val="center"/>
              <w:rPr>
                <w:rFonts w:eastAsia="黑体"/>
                <w:kern w:val="0"/>
                <w:sz w:val="24"/>
                <w:lang w:bidi="ar"/>
              </w:rPr>
            </w:pPr>
            <w:r>
              <w:rPr>
                <w:rFonts w:hint="eastAsia" w:eastAsia="黑体"/>
                <w:kern w:val="0"/>
                <w:sz w:val="24"/>
                <w:lang w:bidi="ar"/>
              </w:rPr>
              <w:t>计划总投资</w:t>
            </w:r>
          </w:p>
          <w:p>
            <w:pPr>
              <w:pBdr>
                <w:top w:val="none" w:color="auto" w:sz="0" w:space="1"/>
                <w:left w:val="none" w:color="auto" w:sz="0" w:space="4"/>
                <w:bottom w:val="none" w:color="auto" w:sz="0" w:space="1"/>
                <w:right w:val="none" w:color="auto" w:sz="0" w:space="4"/>
              </w:pBdr>
              <w:adjustRightInd w:val="0"/>
              <w:snapToGrid w:val="0"/>
              <w:spacing w:line="240" w:lineRule="atLeast"/>
              <w:jc w:val="center"/>
              <w:textAlignment w:val="center"/>
              <w:rPr>
                <w:rFonts w:eastAsia="黑体"/>
                <w:sz w:val="24"/>
              </w:rPr>
            </w:pPr>
            <w:r>
              <w:rPr>
                <w:rFonts w:hint="eastAsia" w:eastAsia="黑体"/>
                <w:kern w:val="0"/>
                <w:sz w:val="24"/>
                <w:lang w:bidi="ar"/>
              </w:rPr>
              <w:t>（亿元）</w:t>
            </w:r>
          </w:p>
        </w:tc>
        <w:tc>
          <w:tcPr>
            <w:tcW w:w="181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240" w:lineRule="atLeast"/>
              <w:jc w:val="center"/>
              <w:textAlignment w:val="center"/>
              <w:rPr>
                <w:rFonts w:eastAsia="黑体"/>
                <w:kern w:val="0"/>
                <w:sz w:val="24"/>
                <w:lang w:bidi="ar"/>
              </w:rPr>
            </w:pPr>
            <w:r>
              <w:rPr>
                <w:rFonts w:hint="eastAsia" w:eastAsia="黑体"/>
                <w:kern w:val="0"/>
                <w:sz w:val="24"/>
                <w:lang w:bidi="ar"/>
              </w:rPr>
              <w:t>实际完成投资</w:t>
            </w:r>
          </w:p>
          <w:p>
            <w:pPr>
              <w:pBdr>
                <w:top w:val="none" w:color="auto" w:sz="0" w:space="1"/>
                <w:left w:val="none" w:color="auto" w:sz="0" w:space="4"/>
                <w:bottom w:val="none" w:color="auto" w:sz="0" w:space="1"/>
                <w:right w:val="none" w:color="auto" w:sz="0" w:space="4"/>
              </w:pBdr>
              <w:adjustRightInd w:val="0"/>
              <w:snapToGrid w:val="0"/>
              <w:spacing w:line="240" w:lineRule="atLeast"/>
              <w:jc w:val="center"/>
              <w:textAlignment w:val="center"/>
              <w:rPr>
                <w:sz w:val="24"/>
              </w:rPr>
            </w:pPr>
            <w:r>
              <w:rPr>
                <w:rFonts w:hint="eastAsia" w:eastAsia="黑体"/>
                <w:kern w:val="0"/>
                <w:sz w:val="24"/>
                <w:lang w:bidi="ar"/>
              </w:rPr>
              <w:t>（亿元）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rFonts w:eastAsia="仿宋_GB2312"/>
                <w:sz w:val="24"/>
              </w:rPr>
            </w:pPr>
            <w:r>
              <w:rPr>
                <w:rFonts w:hint="eastAsia" w:eastAsia="仿宋_GB2312"/>
                <w:kern w:val="0"/>
                <w:sz w:val="24"/>
                <w:lang w:bidi="ar"/>
              </w:rPr>
              <w:t>总计</w:t>
            </w:r>
          </w:p>
        </w:tc>
        <w:tc>
          <w:tcPr>
            <w:tcW w:w="1814" w:type="dxa"/>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18</w:t>
            </w:r>
          </w:p>
        </w:tc>
        <w:tc>
          <w:tcPr>
            <w:tcW w:w="1814" w:type="dxa"/>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28.6</w:t>
            </w:r>
          </w:p>
        </w:tc>
        <w:tc>
          <w:tcPr>
            <w:tcW w:w="1815" w:type="dxa"/>
            <w:tcMar>
              <w:top w:w="15" w:type="dxa"/>
              <w:left w:w="15" w:type="dxa"/>
              <w:right w:w="15" w:type="dxa"/>
            </w:tcMar>
            <w:vAlign w:val="center"/>
          </w:tcPr>
          <w:p>
            <w:pPr>
              <w:topLinePunct/>
              <w:adjustRightInd w:val="0"/>
              <w:snapToGrid w:val="0"/>
              <w:spacing w:line="240" w:lineRule="atLeast"/>
              <w:jc w:val="center"/>
              <w:textAlignment w:val="center"/>
              <w:rPr>
                <w:sz w:val="24"/>
              </w:rPr>
            </w:pPr>
            <w:r>
              <w:rPr>
                <w:rFonts w:hint="eastAsia" w:eastAsia="仿宋_GB2312"/>
                <w:kern w:val="0"/>
                <w:sz w:val="24"/>
                <w:lang w:bidi="ar"/>
              </w:rPr>
              <w:t>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textAlignment w:val="center"/>
              <w:rPr>
                <w:rFonts w:eastAsia="仿宋_GB2312"/>
                <w:sz w:val="24"/>
              </w:rPr>
            </w:pPr>
            <w:r>
              <w:rPr>
                <w:rFonts w:hint="eastAsia" w:eastAsia="仿宋_GB2312"/>
                <w:kern w:val="0"/>
                <w:sz w:val="24"/>
                <w:lang w:bidi="ar"/>
              </w:rPr>
              <w:t>一、乡村振兴建设项目</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1</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kern w:val="0"/>
                <w:sz w:val="24"/>
                <w:lang w:bidi="ar"/>
              </w:rPr>
              <w:t>0.07</w:t>
            </w:r>
          </w:p>
        </w:tc>
        <w:tc>
          <w:tcPr>
            <w:tcW w:w="181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textAlignment w:val="center"/>
              <w:rPr>
                <w:rFonts w:eastAsia="仿宋_GB2312"/>
                <w:sz w:val="24"/>
              </w:rPr>
            </w:pPr>
            <w:r>
              <w:rPr>
                <w:rFonts w:hint="eastAsia" w:eastAsia="仿宋_GB2312"/>
                <w:kern w:val="0"/>
                <w:sz w:val="24"/>
                <w:lang w:bidi="ar"/>
              </w:rPr>
              <w:t>二、水利基础设施建设项目</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1</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kern w:val="0"/>
                <w:sz w:val="24"/>
                <w:lang w:bidi="ar"/>
              </w:rPr>
              <w:t>0.2</w:t>
            </w:r>
          </w:p>
        </w:tc>
        <w:tc>
          <w:tcPr>
            <w:tcW w:w="181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textAlignment w:val="center"/>
              <w:rPr>
                <w:rFonts w:eastAsia="仿宋_GB2312"/>
                <w:sz w:val="24"/>
              </w:rPr>
            </w:pPr>
            <w:r>
              <w:rPr>
                <w:rFonts w:hint="eastAsia" w:eastAsia="仿宋_GB2312"/>
                <w:kern w:val="0"/>
                <w:sz w:val="24"/>
                <w:lang w:bidi="ar"/>
              </w:rPr>
              <w:t>三、生态环保建设项目</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5</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kern w:val="0"/>
                <w:sz w:val="24"/>
                <w:lang w:bidi="ar"/>
              </w:rPr>
              <w:t>17.4</w:t>
            </w:r>
          </w:p>
        </w:tc>
        <w:tc>
          <w:tcPr>
            <w:tcW w:w="181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textAlignment w:val="center"/>
              <w:rPr>
                <w:rFonts w:eastAsia="仿宋_GB2312"/>
                <w:sz w:val="24"/>
              </w:rPr>
            </w:pPr>
            <w:r>
              <w:rPr>
                <w:rFonts w:hint="eastAsia" w:eastAsia="仿宋_GB2312"/>
                <w:kern w:val="0"/>
                <w:sz w:val="24"/>
                <w:lang w:bidi="ar"/>
              </w:rPr>
              <w:t>四、教育基础设施建设项目</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2</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0.11</w:t>
            </w:r>
          </w:p>
        </w:tc>
        <w:tc>
          <w:tcPr>
            <w:tcW w:w="181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textAlignment w:val="center"/>
              <w:rPr>
                <w:rFonts w:eastAsia="仿宋_GB2312"/>
                <w:sz w:val="24"/>
              </w:rPr>
            </w:pPr>
            <w:r>
              <w:rPr>
                <w:rFonts w:hint="eastAsia" w:eastAsia="仿宋_GB2312"/>
                <w:kern w:val="0"/>
                <w:sz w:val="24"/>
                <w:lang w:bidi="ar"/>
              </w:rPr>
              <w:t>五、社会民生建设项目</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3</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0.5</w:t>
            </w:r>
          </w:p>
        </w:tc>
        <w:tc>
          <w:tcPr>
            <w:tcW w:w="181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kern w:val="0"/>
                <w:sz w:val="24"/>
                <w:lang w:bidi="ar"/>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textAlignment w:val="center"/>
              <w:rPr>
                <w:rFonts w:eastAsia="仿宋_GB2312"/>
                <w:sz w:val="24"/>
              </w:rPr>
            </w:pPr>
            <w:r>
              <w:rPr>
                <w:rFonts w:hint="eastAsia" w:eastAsia="仿宋_GB2312"/>
                <w:kern w:val="0"/>
                <w:sz w:val="24"/>
                <w:lang w:bidi="ar"/>
              </w:rPr>
              <w:t>六、文化旅游建设项目</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1</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kern w:val="0"/>
                <w:sz w:val="24"/>
                <w:lang w:bidi="ar"/>
              </w:rPr>
              <w:t>0.02</w:t>
            </w:r>
          </w:p>
        </w:tc>
        <w:tc>
          <w:tcPr>
            <w:tcW w:w="181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0.02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209"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textAlignment w:val="center"/>
              <w:rPr>
                <w:rFonts w:eastAsia="仿宋_GB2312"/>
                <w:sz w:val="24"/>
              </w:rPr>
            </w:pPr>
            <w:r>
              <w:rPr>
                <w:rFonts w:hint="eastAsia" w:eastAsia="仿宋_GB2312"/>
                <w:kern w:val="0"/>
                <w:sz w:val="24"/>
                <w:lang w:bidi="ar"/>
              </w:rPr>
              <w:t>七、道路基础设施建设项目</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sz w:val="24"/>
              </w:rPr>
              <w:t>5</w:t>
            </w:r>
          </w:p>
        </w:tc>
        <w:tc>
          <w:tcPr>
            <w:tcW w:w="181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sz w:val="24"/>
              </w:rPr>
            </w:pPr>
            <w:r>
              <w:rPr>
                <w:rFonts w:hint="eastAsia" w:eastAsia="仿宋_GB2312"/>
                <w:kern w:val="0"/>
                <w:sz w:val="24"/>
                <w:lang w:bidi="ar"/>
              </w:rPr>
              <w:t>10.3</w:t>
            </w:r>
          </w:p>
        </w:tc>
        <w:tc>
          <w:tcPr>
            <w:tcW w:w="1815"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240" w:lineRule="atLeast"/>
              <w:jc w:val="center"/>
              <w:textAlignment w:val="center"/>
              <w:rPr>
                <w:rFonts w:eastAsia="仿宋_GB2312"/>
                <w:sz w:val="24"/>
              </w:rPr>
            </w:pPr>
            <w:r>
              <w:rPr>
                <w:rFonts w:hint="eastAsia" w:eastAsia="仿宋_GB2312"/>
                <w:sz w:val="24"/>
              </w:rPr>
              <w:t>2.8</w:t>
            </w:r>
          </w:p>
        </w:tc>
      </w:tr>
    </w:tbl>
    <w:p>
      <w:pPr>
        <w:pBdr>
          <w:top w:val="none" w:color="auto" w:sz="0" w:space="1"/>
          <w:left w:val="none" w:color="auto" w:sz="0" w:space="4"/>
          <w:bottom w:val="none" w:color="auto" w:sz="0" w:space="1"/>
          <w:right w:val="none" w:color="auto" w:sz="0" w:space="4"/>
        </w:pBdr>
        <w:topLinePunct/>
        <w:adjustRightInd w:val="0"/>
        <w:snapToGrid w:val="0"/>
        <w:spacing w:line="590" w:lineRule="exact"/>
        <w:ind w:firstLine="640" w:firstLineChars="200"/>
        <w:rPr>
          <w:rFonts w:eastAsia="黑体"/>
          <w:sz w:val="32"/>
          <w:szCs w:val="32"/>
        </w:rPr>
      </w:pPr>
      <w:r>
        <w:rPr>
          <w:rFonts w:hint="eastAsia" w:eastAsia="黑体"/>
          <w:sz w:val="32"/>
          <w:szCs w:val="32"/>
        </w:rPr>
        <w:t>三、2022年政府投资基本建设项目计划</w:t>
      </w:r>
    </w:p>
    <w:p>
      <w:pPr>
        <w:pBdr>
          <w:top w:val="none" w:color="auto" w:sz="0" w:space="1"/>
          <w:left w:val="none" w:color="auto" w:sz="0" w:space="4"/>
          <w:bottom w:val="none" w:color="auto" w:sz="0" w:space="1"/>
          <w:right w:val="none" w:color="auto" w:sz="0" w:space="4"/>
        </w:pBdr>
        <w:topLinePunct/>
        <w:adjustRightInd w:val="0"/>
        <w:snapToGrid w:val="0"/>
        <w:spacing w:line="590" w:lineRule="exact"/>
        <w:ind w:firstLine="640" w:firstLineChars="200"/>
        <w:rPr>
          <w:rStyle w:val="39"/>
          <w:rFonts w:ascii="Times New Roman" w:hAnsi="Times New Roman" w:eastAsia="仿宋_GB2312"/>
          <w:spacing w:val="-4"/>
          <w:sz w:val="32"/>
          <w:szCs w:val="32"/>
        </w:rPr>
      </w:pPr>
      <w:r>
        <w:rPr>
          <w:rFonts w:hint="eastAsia" w:eastAsia="仿宋_GB2312"/>
          <w:sz w:val="32"/>
          <w:szCs w:val="32"/>
        </w:rPr>
        <w:t>经区发展改革局多轮组织部门和街道申报，并与区财政对接和分析，按程序七次征求意见。目前，计划纳入2022年政府投资基本建设项目计划盘子的项目共56项，计划总投资128.5亿元，2022年计划投资40.7亿元，资金来源计划分别为：争取上级资金（包括争取中央、省、市资金及地方政府专项债券等）4.6亿元，区级财政配套资金1.4亿元，融资8亿元，其他（纳入片区交易成本、实物移交、自筹等）26.7亿元。</w:t>
      </w:r>
      <w:r>
        <w:rPr>
          <w:rStyle w:val="39"/>
          <w:rFonts w:hint="eastAsia" w:ascii="Times New Roman" w:hAnsi="Times New Roman" w:eastAsia="仿宋_GB2312"/>
          <w:spacing w:val="-4"/>
          <w:sz w:val="32"/>
          <w:szCs w:val="32"/>
        </w:rPr>
        <w:t>（详见附表2）</w:t>
      </w:r>
    </w:p>
    <w:p>
      <w:pPr>
        <w:pStyle w:val="26"/>
        <w:pBdr>
          <w:top w:val="none" w:color="auto" w:sz="0" w:space="1"/>
          <w:left w:val="none" w:color="auto" w:sz="0" w:space="4"/>
          <w:bottom w:val="none" w:color="auto" w:sz="0" w:space="1"/>
          <w:right w:val="none" w:color="auto" w:sz="0" w:space="4"/>
        </w:pBdr>
        <w:topLinePunct/>
        <w:adjustRightInd w:val="0"/>
        <w:snapToGrid w:val="0"/>
        <w:spacing w:line="590" w:lineRule="exact"/>
        <w:ind w:firstLine="0" w:firstLineChars="0"/>
        <w:jc w:val="center"/>
        <w:rPr>
          <w:rFonts w:ascii="Times New Roman" w:hAnsi="Times New Roman" w:eastAsia="仿宋_GB2312"/>
        </w:rPr>
      </w:pPr>
      <w:r>
        <w:rPr>
          <w:rFonts w:hint="eastAsia" w:ascii="Times New Roman" w:hAnsi="Times New Roman" w:eastAsia="黑体"/>
          <w:sz w:val="32"/>
          <w:szCs w:val="32"/>
        </w:rPr>
        <w:t>2022年政府投资计划项目汇总表</w:t>
      </w:r>
    </w:p>
    <w:tbl>
      <w:tblPr>
        <w:tblStyle w:val="19"/>
        <w:tblW w:w="9125"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40"/>
        <w:gridCol w:w="1276"/>
        <w:gridCol w:w="992"/>
        <w:gridCol w:w="1276"/>
        <w:gridCol w:w="1984"/>
        <w:gridCol w:w="17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73" w:hRule="atLeast"/>
          <w:tblHeader/>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黑体"/>
                <w:sz w:val="24"/>
              </w:rPr>
            </w:pPr>
            <w:r>
              <w:rPr>
                <w:rFonts w:hint="eastAsia" w:eastAsia="黑体"/>
                <w:kern w:val="0"/>
                <w:sz w:val="24"/>
                <w:lang w:bidi="ar"/>
              </w:rPr>
              <w:t>项目类别</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黑体"/>
                <w:kern w:val="0"/>
                <w:sz w:val="24"/>
                <w:lang w:bidi="ar"/>
              </w:rPr>
            </w:pPr>
            <w:r>
              <w:rPr>
                <w:rFonts w:hint="eastAsia" w:eastAsia="黑体"/>
                <w:kern w:val="0"/>
                <w:sz w:val="24"/>
                <w:lang w:bidi="ar"/>
              </w:rPr>
              <w:t>业主责任部门数（个）</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黑体"/>
                <w:sz w:val="24"/>
              </w:rPr>
            </w:pPr>
            <w:r>
              <w:rPr>
                <w:rFonts w:hint="eastAsia" w:eastAsia="黑体"/>
                <w:kern w:val="0"/>
                <w:sz w:val="24"/>
                <w:lang w:bidi="ar"/>
              </w:rPr>
              <w:t>项目数（个）</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黑体"/>
                <w:sz w:val="24"/>
              </w:rPr>
            </w:pPr>
            <w:r>
              <w:rPr>
                <w:rFonts w:hint="eastAsia" w:eastAsia="黑体"/>
                <w:kern w:val="0"/>
                <w:sz w:val="24"/>
                <w:lang w:bidi="ar"/>
              </w:rPr>
              <w:t>计划总投资（亿元）</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2022</w:t>
            </w:r>
            <w:r>
              <w:rPr>
                <w:rFonts w:hint="eastAsia" w:eastAsia="黑体"/>
                <w:kern w:val="0"/>
                <w:sz w:val="24"/>
                <w:lang w:bidi="ar"/>
              </w:rPr>
              <w:t>年计划完成投资（亿元）</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黑体"/>
                <w:kern w:val="0"/>
                <w:sz w:val="24"/>
                <w:lang w:bidi="ar"/>
              </w:rPr>
            </w:pPr>
            <w:r>
              <w:rPr>
                <w:rFonts w:hint="eastAsia" w:eastAsia="黑体"/>
                <w:kern w:val="0"/>
                <w:sz w:val="24"/>
                <w:lang w:bidi="ar"/>
              </w:rPr>
              <w:t>计划新开工</w:t>
            </w:r>
          </w:p>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黑体"/>
                <w:sz w:val="24"/>
              </w:rPr>
            </w:pPr>
            <w:r>
              <w:rPr>
                <w:rFonts w:hint="eastAsia" w:eastAsia="黑体"/>
                <w:kern w:val="0"/>
                <w:sz w:val="24"/>
                <w:lang w:bidi="ar"/>
              </w:rPr>
              <w:t>项目（个）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总计</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kern w:val="0"/>
                <w:sz w:val="24"/>
                <w:lang w:bidi="ar"/>
              </w:rPr>
            </w:pPr>
            <w:r>
              <w:rPr>
                <w:rFonts w:hint="eastAsia" w:eastAsia="仿宋_GB2312"/>
                <w:kern w:val="0"/>
                <w:sz w:val="24"/>
                <w:lang w:bidi="ar"/>
              </w:rPr>
              <w:t>18</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56</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128.5</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40.7</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一、乡村振兴建设项目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2</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0.5</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0.3</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二、水利基础设施建设项目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5</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三、生态环保建设项目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5</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11</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12</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7.4</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四、教育基础设施建设项目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7</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14.3</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6.2</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五、社会民生建设项目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7</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9</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21.8</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6.2</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六、文化旅游建设项目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4</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7</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30</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4.1</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七、卫生健康建设项目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16.8</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1.5</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73"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八、道路基础设施建设项目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3</w:t>
            </w:r>
          </w:p>
        </w:tc>
        <w:tc>
          <w:tcPr>
            <w:tcW w:w="992"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18</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28.1</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13</w:t>
            </w:r>
          </w:p>
        </w:tc>
        <w:tc>
          <w:tcPr>
            <w:tcW w:w="1757"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14</w:t>
            </w:r>
          </w:p>
        </w:tc>
      </w:tr>
    </w:tbl>
    <w:p>
      <w:pPr>
        <w:pStyle w:val="31"/>
        <w:pBdr>
          <w:top w:val="none" w:color="auto" w:sz="0" w:space="1"/>
          <w:left w:val="none" w:color="auto" w:sz="0" w:space="4"/>
          <w:bottom w:val="none" w:color="auto" w:sz="0" w:space="1"/>
          <w:right w:val="none" w:color="auto" w:sz="0" w:space="4"/>
        </w:pBdr>
        <w:topLinePunct/>
        <w:adjustRightInd w:val="0"/>
        <w:spacing w:line="57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四、2022年政府投资基本建设动态储备项目</w:t>
      </w:r>
    </w:p>
    <w:p>
      <w:pPr>
        <w:pStyle w:val="31"/>
        <w:pBdr>
          <w:top w:val="none" w:color="auto" w:sz="0" w:space="1"/>
          <w:left w:val="none" w:color="auto" w:sz="0" w:space="4"/>
          <w:bottom w:val="none" w:color="auto" w:sz="0" w:space="1"/>
          <w:right w:val="none" w:color="auto" w:sz="0" w:space="4"/>
        </w:pBdr>
        <w:topLinePunct/>
        <w:adjustRightInd w:val="0"/>
        <w:spacing w:line="570" w:lineRule="exact"/>
        <w:ind w:firstLine="624" w:firstLineChars="200"/>
        <w:rPr>
          <w:rStyle w:val="39"/>
          <w:rFonts w:ascii="Times New Roman" w:hAnsi="Times New Roman" w:eastAsia="仿宋_GB2312"/>
          <w:spacing w:val="-4"/>
          <w:sz w:val="32"/>
          <w:szCs w:val="32"/>
        </w:rPr>
      </w:pPr>
      <w:r>
        <w:rPr>
          <w:rStyle w:val="39"/>
          <w:rFonts w:hint="eastAsia" w:ascii="Times New Roman" w:hAnsi="Times New Roman" w:eastAsia="仿宋_GB2312"/>
          <w:spacing w:val="-4"/>
          <w:sz w:val="32"/>
          <w:szCs w:val="32"/>
        </w:rPr>
        <w:t>将全区各职能部门、街道办事处、区属国有企业2022年计划实施而暂无资金来源的政府投资项目；近三年来已完成立项、进行项目审查、已开展前期工作、已安排前期经费的项目全面梳理归集建立动态储备库，目前，共梳理项目96项，计划总投资115.8亿元，2022年计划完成投资45.9亿元。（详见附表3）</w:t>
      </w:r>
    </w:p>
    <w:p>
      <w:pPr>
        <w:pStyle w:val="26"/>
        <w:pBdr>
          <w:top w:val="none" w:color="auto" w:sz="0" w:space="1"/>
          <w:left w:val="none" w:color="auto" w:sz="0" w:space="4"/>
          <w:bottom w:val="none" w:color="auto" w:sz="0" w:space="1"/>
          <w:right w:val="none" w:color="auto" w:sz="0" w:space="4"/>
        </w:pBdr>
        <w:topLinePunct/>
        <w:adjustRightInd w:val="0"/>
        <w:snapToGrid w:val="0"/>
        <w:spacing w:line="570" w:lineRule="exact"/>
        <w:ind w:firstLine="0" w:firstLineChars="0"/>
        <w:jc w:val="center"/>
        <w:rPr>
          <w:rStyle w:val="39"/>
          <w:rFonts w:ascii="Times New Roman" w:hAnsi="Times New Roman" w:eastAsia="仿宋_GB2312"/>
          <w:spacing w:val="-4"/>
          <w:sz w:val="32"/>
          <w:szCs w:val="32"/>
        </w:rPr>
      </w:pPr>
      <w:r>
        <w:rPr>
          <w:rFonts w:hint="eastAsia" w:ascii="Times New Roman" w:hAnsi="Times New Roman" w:eastAsia="黑体"/>
          <w:sz w:val="32"/>
          <w:szCs w:val="32"/>
        </w:rPr>
        <w:t>2022年动态储备政府投资项目汇总表</w:t>
      </w:r>
    </w:p>
    <w:tbl>
      <w:tblPr>
        <w:tblStyle w:val="19"/>
        <w:tblW w:w="878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40"/>
        <w:gridCol w:w="1276"/>
        <w:gridCol w:w="850"/>
        <w:gridCol w:w="1418"/>
        <w:gridCol w:w="1984"/>
        <w:gridCol w:w="14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z w:val="24"/>
              </w:rPr>
            </w:pPr>
            <w:r>
              <w:rPr>
                <w:rFonts w:hint="eastAsia" w:eastAsia="黑体"/>
                <w:kern w:val="0"/>
                <w:sz w:val="24"/>
                <w:lang w:bidi="ar"/>
              </w:rPr>
              <w:t>项目类别</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kern w:val="0"/>
                <w:sz w:val="24"/>
                <w:lang w:bidi="ar"/>
              </w:rPr>
            </w:pPr>
            <w:r>
              <w:rPr>
                <w:rFonts w:hint="eastAsia" w:eastAsia="黑体"/>
                <w:kern w:val="0"/>
                <w:sz w:val="24"/>
                <w:lang w:bidi="ar"/>
              </w:rPr>
              <w:t>业主责任部门数（个）</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z w:val="24"/>
              </w:rPr>
            </w:pPr>
            <w:r>
              <w:rPr>
                <w:rFonts w:hint="eastAsia" w:eastAsia="黑体"/>
                <w:kern w:val="0"/>
                <w:sz w:val="24"/>
                <w:lang w:bidi="ar"/>
              </w:rPr>
              <w:t>项目数（个）</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pacing w:val="-10"/>
                <w:sz w:val="24"/>
              </w:rPr>
            </w:pPr>
            <w:r>
              <w:rPr>
                <w:rFonts w:hint="eastAsia" w:eastAsia="黑体"/>
                <w:spacing w:val="-10"/>
                <w:kern w:val="0"/>
                <w:sz w:val="24"/>
                <w:lang w:bidi="ar"/>
              </w:rPr>
              <w:t>计划总投资（亿元）</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仿宋_GB2312"/>
                <w:sz w:val="24"/>
              </w:rPr>
            </w:pPr>
            <w:r>
              <w:rPr>
                <w:rFonts w:hint="eastAsia" w:eastAsia="仿宋_GB2312"/>
                <w:kern w:val="0"/>
                <w:sz w:val="24"/>
                <w:lang w:bidi="ar"/>
              </w:rPr>
              <w:t>2022</w:t>
            </w:r>
            <w:r>
              <w:rPr>
                <w:rFonts w:hint="eastAsia" w:eastAsia="黑体"/>
                <w:kern w:val="0"/>
                <w:sz w:val="24"/>
                <w:lang w:bidi="ar"/>
              </w:rPr>
              <w:t>年计划完成投资（亿元）</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adjustRightInd w:val="0"/>
              <w:snapToGrid w:val="0"/>
              <w:spacing w:line="320" w:lineRule="exact"/>
              <w:jc w:val="center"/>
              <w:textAlignment w:val="center"/>
              <w:rPr>
                <w:rFonts w:eastAsia="黑体"/>
                <w:sz w:val="24"/>
              </w:rPr>
            </w:pPr>
            <w:r>
              <w:rPr>
                <w:rFonts w:hint="eastAsia" w:eastAsia="黑体"/>
                <w:kern w:val="0"/>
                <w:sz w:val="24"/>
                <w:lang w:bidi="ar"/>
              </w:rPr>
              <w:t>计划新开工项目（个）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kern w:val="0"/>
                <w:sz w:val="24"/>
                <w:lang w:bidi="ar"/>
              </w:rPr>
              <w:t>总计</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15</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96</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115.8</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45.9</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kern w:val="0"/>
                <w:sz w:val="24"/>
                <w:lang w:bidi="ar"/>
              </w:rPr>
              <w:t>57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一、乡村振兴建设项目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2</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3</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1.1</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二、水利基础设施建设项目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2</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14</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11.8</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4.4</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三、生态环保建设项目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3</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18</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34.3</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20.4</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四、教育基础设施建设项目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13</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32.3</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4.6</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五、社会民生建设项目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3</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10</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3</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2.8</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六、文化旅游建设项目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5</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7</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7.6</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1.1</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七、卫生健康建设项目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1</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3</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0.9</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0</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92" w:hRule="atLeast"/>
          <w:jc w:val="center"/>
        </w:trPr>
        <w:tc>
          <w:tcPr>
            <w:tcW w:w="184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textAlignment w:val="center"/>
              <w:rPr>
                <w:rFonts w:eastAsia="仿宋_GB2312"/>
                <w:sz w:val="24"/>
              </w:rPr>
            </w:pPr>
            <w:r>
              <w:rPr>
                <w:rFonts w:hint="eastAsia" w:eastAsia="仿宋_GB2312"/>
                <w:kern w:val="0"/>
                <w:sz w:val="24"/>
                <w:lang w:bidi="ar"/>
              </w:rPr>
              <w:t>八、道路基础设施建设项目</w:t>
            </w:r>
          </w:p>
        </w:tc>
        <w:tc>
          <w:tcPr>
            <w:tcW w:w="1276"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kern w:val="0"/>
                <w:sz w:val="24"/>
                <w:lang w:bidi="ar"/>
              </w:rPr>
            </w:pPr>
            <w:r>
              <w:rPr>
                <w:rFonts w:hint="eastAsia" w:eastAsia="仿宋_GB2312"/>
                <w:kern w:val="0"/>
                <w:sz w:val="24"/>
                <w:lang w:bidi="ar"/>
              </w:rPr>
              <w:t>3</w:t>
            </w:r>
          </w:p>
        </w:tc>
        <w:tc>
          <w:tcPr>
            <w:tcW w:w="850"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28</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24.8</w:t>
            </w:r>
          </w:p>
        </w:tc>
        <w:tc>
          <w:tcPr>
            <w:tcW w:w="1984"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sz w:val="24"/>
              </w:rPr>
            </w:pPr>
            <w:r>
              <w:rPr>
                <w:rFonts w:hint="eastAsia" w:eastAsia="仿宋_GB2312"/>
                <w:sz w:val="24"/>
              </w:rPr>
              <w:t>11.5</w:t>
            </w:r>
          </w:p>
        </w:tc>
        <w:tc>
          <w:tcPr>
            <w:tcW w:w="1418" w:type="dxa"/>
            <w:tcMar>
              <w:top w:w="15" w:type="dxa"/>
              <w:left w:w="15" w:type="dxa"/>
              <w:right w:w="15" w:type="dxa"/>
            </w:tcMar>
            <w:vAlign w:val="center"/>
          </w:tcPr>
          <w:p>
            <w:pPr>
              <w:pBdr>
                <w:top w:val="none" w:color="auto" w:sz="0" w:space="1"/>
                <w:left w:val="none" w:color="auto" w:sz="0" w:space="4"/>
                <w:bottom w:val="none" w:color="auto" w:sz="0" w:space="1"/>
                <w:right w:val="none" w:color="auto" w:sz="0" w:space="4"/>
              </w:pBdr>
              <w:topLinePunct/>
              <w:adjustRightInd w:val="0"/>
              <w:snapToGrid w:val="0"/>
              <w:spacing w:line="320" w:lineRule="exact"/>
              <w:jc w:val="center"/>
              <w:textAlignment w:val="center"/>
              <w:rPr>
                <w:rFonts w:eastAsia="仿宋_GB2312"/>
                <w:sz w:val="24"/>
              </w:rPr>
            </w:pPr>
            <w:r>
              <w:rPr>
                <w:rFonts w:hint="eastAsia" w:eastAsia="仿宋_GB2312"/>
                <w:sz w:val="24"/>
              </w:rPr>
              <w:t>7</w:t>
            </w:r>
          </w:p>
        </w:tc>
      </w:tr>
    </w:tbl>
    <w:p>
      <w:pPr>
        <w:pStyle w:val="31"/>
        <w:pBdr>
          <w:top w:val="none" w:color="auto" w:sz="0" w:space="1"/>
          <w:left w:val="none" w:color="auto" w:sz="0" w:space="4"/>
          <w:bottom w:val="none" w:color="auto" w:sz="0" w:space="1"/>
          <w:right w:val="none" w:color="auto" w:sz="0" w:space="4"/>
        </w:pBdr>
        <w:topLinePunct/>
        <w:adjustRightInd w:val="0"/>
        <w:spacing w:line="570" w:lineRule="exact"/>
        <w:ind w:firstLine="624" w:firstLineChars="200"/>
        <w:rPr>
          <w:rStyle w:val="39"/>
          <w:rFonts w:ascii="Times New Roman" w:hAnsi="Times New Roman" w:eastAsia="仿宋_GB2312"/>
          <w:spacing w:val="-4"/>
          <w:sz w:val="32"/>
          <w:szCs w:val="32"/>
        </w:rPr>
      </w:pPr>
      <w:r>
        <w:rPr>
          <w:rStyle w:val="39"/>
          <w:rFonts w:hint="eastAsia" w:ascii="Times New Roman" w:hAnsi="Times New Roman" w:eastAsia="仿宋_GB2312"/>
          <w:spacing w:val="-4"/>
          <w:sz w:val="32"/>
          <w:szCs w:val="32"/>
        </w:rPr>
        <w:t>动态储备项目作为年度政府投资计划的补充，积极创造条件，争取资金，全力推进开工建设；实行月监测、季增补、半年报告、年度调整，不断调整和充实年度投资计划。</w:t>
      </w:r>
    </w:p>
    <w:p>
      <w:pPr>
        <w:pStyle w:val="31"/>
        <w:pBdr>
          <w:top w:val="none" w:color="auto" w:sz="0" w:space="1"/>
          <w:left w:val="none" w:color="auto" w:sz="0" w:space="4"/>
          <w:bottom w:val="none" w:color="auto" w:sz="0" w:space="1"/>
          <w:right w:val="none" w:color="auto" w:sz="0" w:space="4"/>
        </w:pBdr>
        <w:topLinePunct/>
        <w:adjustRightInd w:val="0"/>
        <w:spacing w:line="592"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五、2022年项目前期经费安排计划</w:t>
      </w:r>
    </w:p>
    <w:p>
      <w:pPr>
        <w:pBdr>
          <w:top w:val="none" w:color="auto" w:sz="0" w:space="1"/>
          <w:left w:val="none" w:color="auto" w:sz="0" w:space="4"/>
          <w:bottom w:val="none" w:color="auto" w:sz="0" w:space="1"/>
          <w:right w:val="none" w:color="auto" w:sz="0" w:space="4"/>
        </w:pBdr>
        <w:topLinePunct/>
        <w:adjustRightInd w:val="0"/>
        <w:snapToGrid w:val="0"/>
        <w:spacing w:line="592" w:lineRule="exact"/>
        <w:ind w:firstLine="640" w:firstLineChars="200"/>
        <w:rPr>
          <w:rFonts w:eastAsia="仿宋_GB2312"/>
          <w:sz w:val="32"/>
          <w:szCs w:val="32"/>
        </w:rPr>
      </w:pPr>
      <w:r>
        <w:rPr>
          <w:rFonts w:hint="eastAsia" w:eastAsia="仿宋_GB2312"/>
          <w:sz w:val="32"/>
          <w:szCs w:val="32"/>
        </w:rPr>
        <w:t>2022年，计划分三次安排项目前期工作经费不少于8000万元，全力支持“十四五”期间规划的“4×3”产业体系中12大行业以及为打造“4×3”产业体系配套的补短板、增动力项目不少于40项，计划总投资约200亿元的项目开展前期工作，</w:t>
      </w:r>
      <w:r>
        <w:rPr>
          <w:rStyle w:val="39"/>
          <w:rFonts w:hint="eastAsia" w:ascii="Times New Roman" w:hAnsi="Times New Roman" w:eastAsia="仿宋_GB2312"/>
          <w:spacing w:val="-4"/>
          <w:sz w:val="32"/>
          <w:szCs w:val="32"/>
        </w:rPr>
        <w:t>保持投资对全区经济发展的稳健拉动作用。</w:t>
      </w:r>
    </w:p>
    <w:p>
      <w:pPr>
        <w:pBdr>
          <w:top w:val="none" w:color="auto" w:sz="0" w:space="1"/>
          <w:left w:val="none" w:color="auto" w:sz="0" w:space="4"/>
          <w:bottom w:val="none" w:color="auto" w:sz="0" w:space="1"/>
          <w:right w:val="none" w:color="auto" w:sz="0" w:space="4"/>
        </w:pBdr>
        <w:topLinePunct/>
        <w:adjustRightInd w:val="0"/>
        <w:snapToGrid w:val="0"/>
        <w:spacing w:line="592" w:lineRule="exact"/>
        <w:ind w:firstLine="640" w:firstLineChars="200"/>
        <w:rPr>
          <w:rFonts w:eastAsia="仿宋_GB2312"/>
          <w:sz w:val="32"/>
          <w:szCs w:val="32"/>
        </w:rPr>
      </w:pPr>
    </w:p>
    <w:p>
      <w:pPr>
        <w:pBdr>
          <w:top w:val="none" w:color="auto" w:sz="0" w:space="1"/>
          <w:left w:val="none" w:color="auto" w:sz="0" w:space="4"/>
          <w:bottom w:val="none" w:color="auto" w:sz="0" w:space="1"/>
          <w:right w:val="none" w:color="auto" w:sz="0" w:space="4"/>
        </w:pBdr>
        <w:topLinePunct/>
        <w:adjustRightInd w:val="0"/>
        <w:snapToGrid w:val="0"/>
        <w:spacing w:line="592" w:lineRule="exact"/>
        <w:ind w:firstLine="640" w:firstLineChars="200"/>
        <w:rPr>
          <w:rFonts w:eastAsia="仿宋_GB2312"/>
          <w:spacing w:val="-4"/>
          <w:sz w:val="32"/>
          <w:szCs w:val="32"/>
        </w:rPr>
      </w:pPr>
      <w:r>
        <w:rPr>
          <w:rFonts w:hint="eastAsia" w:eastAsia="仿宋_GB2312"/>
          <w:sz w:val="32"/>
          <w:szCs w:val="32"/>
        </w:rPr>
        <w:t>附表：1．</w:t>
      </w:r>
      <w:r>
        <w:rPr>
          <w:rFonts w:hint="eastAsia" w:eastAsia="仿宋_GB2312"/>
          <w:spacing w:val="-4"/>
          <w:sz w:val="32"/>
          <w:szCs w:val="32"/>
        </w:rPr>
        <w:t>昆明市西山区2021年政府投资基本建设项目推进</w:t>
      </w:r>
    </w:p>
    <w:p>
      <w:pPr>
        <w:pBdr>
          <w:top w:val="none" w:color="auto" w:sz="0" w:space="1"/>
          <w:left w:val="none" w:color="auto" w:sz="0" w:space="4"/>
          <w:bottom w:val="none" w:color="auto" w:sz="0" w:space="1"/>
          <w:right w:val="none" w:color="auto" w:sz="0" w:space="4"/>
        </w:pBdr>
        <w:topLinePunct/>
        <w:adjustRightInd w:val="0"/>
        <w:snapToGrid w:val="0"/>
        <w:spacing w:line="592" w:lineRule="exact"/>
        <w:ind w:firstLine="2080" w:firstLineChars="650"/>
        <w:rPr>
          <w:rFonts w:eastAsia="仿宋_GB2312"/>
          <w:sz w:val="32"/>
          <w:szCs w:val="32"/>
        </w:rPr>
      </w:pPr>
      <w:r>
        <w:rPr>
          <w:rFonts w:hint="eastAsia" w:eastAsia="仿宋_GB2312"/>
          <w:sz w:val="32"/>
          <w:szCs w:val="32"/>
        </w:rPr>
        <w:t>实施情况表</w:t>
      </w:r>
    </w:p>
    <w:p>
      <w:pPr>
        <w:pBdr>
          <w:top w:val="none" w:color="auto" w:sz="0" w:space="1"/>
          <w:left w:val="none" w:color="auto" w:sz="0" w:space="4"/>
          <w:bottom w:val="none" w:color="auto" w:sz="0" w:space="1"/>
          <w:right w:val="none" w:color="auto" w:sz="0" w:space="4"/>
        </w:pBdr>
        <w:topLinePunct/>
        <w:adjustRightInd w:val="0"/>
        <w:snapToGrid w:val="0"/>
        <w:spacing w:line="592" w:lineRule="exact"/>
        <w:ind w:firstLine="1600" w:firstLineChars="500"/>
        <w:rPr>
          <w:rFonts w:eastAsia="仿宋_GB2312"/>
          <w:sz w:val="32"/>
          <w:szCs w:val="32"/>
        </w:rPr>
      </w:pPr>
      <w:r>
        <w:rPr>
          <w:rFonts w:hint="eastAsia" w:eastAsia="仿宋_GB2312"/>
          <w:sz w:val="32"/>
          <w:szCs w:val="32"/>
        </w:rPr>
        <w:t>2．</w:t>
      </w:r>
      <w:r>
        <w:rPr>
          <w:rFonts w:hint="eastAsia" w:eastAsia="仿宋_GB2312"/>
          <w:spacing w:val="-4"/>
          <w:sz w:val="32"/>
          <w:szCs w:val="32"/>
        </w:rPr>
        <w:t>昆明市西山区2022年政府投资基本建设项目计划</w:t>
      </w:r>
    </w:p>
    <w:p>
      <w:pPr>
        <w:pBdr>
          <w:top w:val="none" w:color="auto" w:sz="0" w:space="1"/>
          <w:left w:val="none" w:color="auto" w:sz="0" w:space="4"/>
          <w:bottom w:val="none" w:color="auto" w:sz="0" w:space="1"/>
          <w:right w:val="none" w:color="auto" w:sz="0" w:space="4"/>
        </w:pBdr>
        <w:topLinePunct/>
        <w:adjustRightInd w:val="0"/>
        <w:snapToGrid w:val="0"/>
        <w:spacing w:line="592" w:lineRule="exact"/>
        <w:ind w:firstLine="2080" w:firstLineChars="650"/>
        <w:rPr>
          <w:rFonts w:eastAsia="仿宋_GB2312"/>
          <w:sz w:val="32"/>
          <w:szCs w:val="32"/>
        </w:rPr>
      </w:pPr>
      <w:r>
        <w:rPr>
          <w:rFonts w:hint="eastAsia" w:eastAsia="仿宋_GB2312"/>
          <w:sz w:val="32"/>
          <w:szCs w:val="32"/>
        </w:rPr>
        <w:t>表</w:t>
      </w:r>
    </w:p>
    <w:p>
      <w:pPr>
        <w:pBdr>
          <w:top w:val="none" w:color="auto" w:sz="0" w:space="1"/>
          <w:left w:val="none" w:color="auto" w:sz="0" w:space="4"/>
          <w:bottom w:val="none" w:color="auto" w:sz="0" w:space="1"/>
          <w:right w:val="none" w:color="auto" w:sz="0" w:space="4"/>
        </w:pBdr>
        <w:topLinePunct/>
        <w:adjustRightInd w:val="0"/>
        <w:snapToGrid w:val="0"/>
        <w:spacing w:line="592" w:lineRule="exact"/>
        <w:ind w:firstLine="1600" w:firstLineChars="500"/>
        <w:rPr>
          <w:rFonts w:eastAsia="仿宋_GB2312"/>
          <w:sz w:val="32"/>
          <w:szCs w:val="32"/>
        </w:rPr>
      </w:pPr>
      <w:r>
        <w:rPr>
          <w:rFonts w:hint="eastAsia" w:eastAsia="仿宋_GB2312"/>
          <w:sz w:val="32"/>
          <w:szCs w:val="32"/>
        </w:rPr>
        <w:t>3．</w:t>
      </w:r>
      <w:r>
        <w:rPr>
          <w:rFonts w:hint="eastAsia" w:eastAsia="仿宋_GB2312"/>
          <w:spacing w:val="-4"/>
          <w:sz w:val="32"/>
          <w:szCs w:val="32"/>
        </w:rPr>
        <w:t>昆明市西山区2022年政府投资基本建设项目动态</w:t>
      </w:r>
    </w:p>
    <w:p>
      <w:pPr>
        <w:pBdr>
          <w:top w:val="none" w:color="auto" w:sz="0" w:space="1"/>
          <w:left w:val="none" w:color="auto" w:sz="0" w:space="4"/>
          <w:bottom w:val="none" w:color="auto" w:sz="0" w:space="1"/>
          <w:right w:val="none" w:color="auto" w:sz="0" w:space="4"/>
        </w:pBdr>
        <w:topLinePunct/>
        <w:adjustRightInd w:val="0"/>
        <w:snapToGrid w:val="0"/>
        <w:spacing w:line="592" w:lineRule="exact"/>
        <w:ind w:firstLine="2080" w:firstLineChars="650"/>
        <w:rPr>
          <w:rFonts w:eastAsia="仿宋_GB2312"/>
          <w:sz w:val="32"/>
          <w:szCs w:val="32"/>
        </w:rPr>
      </w:pPr>
      <w:r>
        <w:rPr>
          <w:rFonts w:hint="eastAsia" w:eastAsia="仿宋_GB2312"/>
          <w:sz w:val="32"/>
          <w:szCs w:val="32"/>
        </w:rPr>
        <w:t>储备表</w:t>
      </w:r>
    </w:p>
    <w:p>
      <w:pPr>
        <w:pStyle w:val="26"/>
        <w:topLinePunct/>
        <w:adjustRightInd w:val="0"/>
        <w:snapToGrid w:val="0"/>
        <w:spacing w:line="590" w:lineRule="exact"/>
        <w:ind w:firstLine="0" w:firstLineChars="0"/>
        <w:rPr>
          <w:rFonts w:ascii="Times New Roman" w:hAnsi="Times New Roman" w:eastAsia="仿宋_GB2312"/>
          <w:bCs/>
          <w:sz w:val="32"/>
          <w:szCs w:val="32"/>
        </w:rPr>
      </w:pPr>
    </w:p>
    <w:p>
      <w:pPr>
        <w:pStyle w:val="26"/>
        <w:topLinePunct/>
        <w:adjustRightInd w:val="0"/>
        <w:snapToGrid w:val="0"/>
        <w:spacing w:line="590" w:lineRule="exact"/>
        <w:ind w:left="2940" w:firstLine="640" w:firstLineChars="200"/>
        <w:rPr>
          <w:rFonts w:ascii="Times New Roman" w:hAnsi="Times New Roman" w:eastAsia="仿宋_GB2312"/>
          <w:bCs/>
          <w:sz w:val="32"/>
          <w:szCs w:val="32"/>
        </w:rPr>
        <w:sectPr>
          <w:headerReference r:id="rId9" w:type="default"/>
          <w:footerReference r:id="rId10" w:type="default"/>
          <w:footerReference r:id="rId11" w:type="even"/>
          <w:pgSz w:w="11906" w:h="16838"/>
          <w:pgMar w:top="1928" w:right="1531" w:bottom="1871" w:left="1531" w:header="1417" w:footer="1417" w:gutter="0"/>
          <w:cols w:space="720" w:num="1"/>
          <w:docGrid w:type="lines" w:linePitch="312" w:charSpace="0"/>
        </w:sectPr>
      </w:pPr>
    </w:p>
    <w:p>
      <w:pPr>
        <w:topLinePunct/>
        <w:adjustRightInd w:val="0"/>
        <w:snapToGrid w:val="0"/>
        <w:spacing w:line="592" w:lineRule="exact"/>
        <w:rPr>
          <w:rFonts w:eastAsia="黑体" w:cs="宋体"/>
          <w:kern w:val="0"/>
          <w:sz w:val="32"/>
          <w:szCs w:val="48"/>
        </w:rPr>
      </w:pPr>
      <w:r>
        <w:rPr>
          <w:rFonts w:hint="eastAsia" w:eastAsia="黑体" w:cs="宋体"/>
          <w:kern w:val="0"/>
          <w:sz w:val="32"/>
          <w:szCs w:val="48"/>
        </w:rPr>
        <w:t>附表1</w:t>
      </w:r>
    </w:p>
    <w:p>
      <w:pPr>
        <w:topLinePunct/>
        <w:adjustRightInd w:val="0"/>
        <w:snapToGrid w:val="0"/>
        <w:spacing w:line="592" w:lineRule="exact"/>
        <w:jc w:val="center"/>
        <w:rPr>
          <w:rFonts w:ascii="方正小标宋简体" w:hAnsi="宋体" w:eastAsia="方正小标宋简体" w:cs="宋体"/>
          <w:kern w:val="0"/>
          <w:sz w:val="44"/>
          <w:szCs w:val="48"/>
        </w:rPr>
      </w:pPr>
    </w:p>
    <w:p>
      <w:pPr>
        <w:topLinePunct/>
        <w:adjustRightInd w:val="0"/>
        <w:snapToGrid w:val="0"/>
        <w:spacing w:line="592" w:lineRule="exact"/>
        <w:jc w:val="center"/>
        <w:rPr>
          <w:rFonts w:ascii="方正小标宋简体" w:hAnsi="宋体" w:eastAsia="方正小标宋简体" w:cs="宋体"/>
          <w:kern w:val="0"/>
          <w:sz w:val="44"/>
          <w:szCs w:val="48"/>
        </w:rPr>
      </w:pPr>
      <w:r>
        <w:rPr>
          <w:rFonts w:hint="eastAsia" w:ascii="方正小标宋简体" w:hAnsi="宋体" w:eastAsia="方正小标宋简体" w:cs="宋体"/>
          <w:kern w:val="0"/>
          <w:sz w:val="44"/>
          <w:szCs w:val="48"/>
        </w:rPr>
        <w:t>昆明市西山区2021年政府投资基本建设项目推进实施情况表</w:t>
      </w:r>
    </w:p>
    <w:p>
      <w:pPr>
        <w:pStyle w:val="26"/>
        <w:topLinePunct/>
        <w:adjustRightInd w:val="0"/>
        <w:snapToGrid w:val="0"/>
        <w:spacing w:line="592" w:lineRule="exact"/>
        <w:ind w:left="2940" w:firstLine="0" w:firstLineChars="0"/>
        <w:jc w:val="center"/>
        <w:rPr>
          <w:rFonts w:eastAsia="仿宋_GB2312"/>
        </w:rPr>
      </w:pPr>
    </w:p>
    <w:p>
      <w:pPr>
        <w:topLinePunct/>
        <w:adjustRightInd w:val="0"/>
        <w:snapToGrid w:val="0"/>
        <w:spacing w:line="592" w:lineRule="exact"/>
        <w:jc w:val="right"/>
        <w:rPr>
          <w:rFonts w:eastAsia="黑体" w:cs="宋体"/>
          <w:bCs/>
          <w:kern w:val="0"/>
          <w:sz w:val="24"/>
          <w:szCs w:val="22"/>
        </w:rPr>
      </w:pPr>
      <w:r>
        <w:rPr>
          <w:rFonts w:hint="eastAsia" w:eastAsia="黑体" w:cs="宋体"/>
          <w:bCs/>
          <w:kern w:val="0"/>
          <w:sz w:val="24"/>
          <w:szCs w:val="22"/>
        </w:rPr>
        <w:t>单位：万元</w:t>
      </w:r>
    </w:p>
    <w:tbl>
      <w:tblPr>
        <w:tblStyle w:val="19"/>
        <w:tblW w:w="14158" w:type="dxa"/>
        <w:jc w:val="center"/>
        <w:tblInd w:w="0" w:type="dxa"/>
        <w:tblLayout w:type="fixed"/>
        <w:tblCellMar>
          <w:top w:w="0" w:type="dxa"/>
          <w:left w:w="108" w:type="dxa"/>
          <w:bottom w:w="0" w:type="dxa"/>
          <w:right w:w="108" w:type="dxa"/>
        </w:tblCellMar>
      </w:tblPr>
      <w:tblGrid>
        <w:gridCol w:w="553"/>
        <w:gridCol w:w="1292"/>
        <w:gridCol w:w="1077"/>
        <w:gridCol w:w="1062"/>
        <w:gridCol w:w="3410"/>
        <w:gridCol w:w="1106"/>
        <w:gridCol w:w="709"/>
        <w:gridCol w:w="709"/>
        <w:gridCol w:w="709"/>
        <w:gridCol w:w="992"/>
        <w:gridCol w:w="850"/>
        <w:gridCol w:w="1689"/>
      </w:tblGrid>
      <w:tr>
        <w:tblPrEx>
          <w:tblLayout w:type="fixed"/>
          <w:tblCellMar>
            <w:top w:w="0" w:type="dxa"/>
            <w:left w:w="108" w:type="dxa"/>
            <w:bottom w:w="0" w:type="dxa"/>
            <w:right w:w="108" w:type="dxa"/>
          </w:tblCellMar>
        </w:tblPrEx>
        <w:trPr>
          <w:trHeight w:val="20" w:hRule="atLeast"/>
          <w:tblHeader/>
          <w:jc w:val="center"/>
        </w:trPr>
        <w:tc>
          <w:tcPr>
            <w:tcW w:w="55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1292"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项目名称</w:t>
            </w:r>
          </w:p>
        </w:tc>
        <w:tc>
          <w:tcPr>
            <w:tcW w:w="107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建设地点</w:t>
            </w:r>
          </w:p>
        </w:tc>
        <w:tc>
          <w:tcPr>
            <w:tcW w:w="1062"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业主单位</w:t>
            </w:r>
          </w:p>
        </w:tc>
        <w:tc>
          <w:tcPr>
            <w:tcW w:w="341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建设内容及规模</w:t>
            </w:r>
          </w:p>
        </w:tc>
        <w:tc>
          <w:tcPr>
            <w:tcW w:w="1106"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黑体" w:hAnsi="黑体" w:eastAsia="黑体" w:cs="宋体"/>
                <w:bCs/>
                <w:kern w:val="0"/>
                <w:sz w:val="18"/>
                <w:szCs w:val="18"/>
              </w:rPr>
            </w:pPr>
            <w:r>
              <w:rPr>
                <w:rFonts w:hint="eastAsia" w:ascii="黑体" w:hAnsi="黑体" w:eastAsia="黑体" w:cs="宋体"/>
                <w:bCs/>
                <w:kern w:val="0"/>
                <w:sz w:val="18"/>
                <w:szCs w:val="18"/>
              </w:rPr>
              <w:t>建设阶段（续建、新开工、前期）</w:t>
            </w:r>
          </w:p>
        </w:tc>
        <w:tc>
          <w:tcPr>
            <w:tcW w:w="70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开工</w:t>
            </w:r>
          </w:p>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时间</w:t>
            </w:r>
          </w:p>
        </w:tc>
        <w:tc>
          <w:tcPr>
            <w:tcW w:w="70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竣工</w:t>
            </w:r>
          </w:p>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时间</w:t>
            </w:r>
          </w:p>
        </w:tc>
        <w:tc>
          <w:tcPr>
            <w:tcW w:w="70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计划</w:t>
            </w:r>
          </w:p>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总投资</w:t>
            </w:r>
          </w:p>
        </w:tc>
        <w:tc>
          <w:tcPr>
            <w:tcW w:w="992"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bCs/>
                <w:kern w:val="0"/>
                <w:sz w:val="18"/>
                <w:szCs w:val="18"/>
              </w:rPr>
            </w:pPr>
            <w:r>
              <w:rPr>
                <w:rFonts w:hint="eastAsia" w:eastAsia="仿宋_GB2312"/>
                <w:bCs/>
                <w:kern w:val="0"/>
                <w:sz w:val="18"/>
                <w:szCs w:val="18"/>
              </w:rPr>
              <w:t>2021</w:t>
            </w:r>
            <w:r>
              <w:rPr>
                <w:rFonts w:hint="eastAsia" w:ascii="黑体" w:hAnsi="黑体" w:eastAsia="黑体"/>
                <w:bCs/>
                <w:kern w:val="0"/>
                <w:sz w:val="18"/>
                <w:szCs w:val="18"/>
              </w:rPr>
              <w:t>年计划完成投资</w:t>
            </w:r>
          </w:p>
        </w:tc>
        <w:tc>
          <w:tcPr>
            <w:tcW w:w="85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bCs/>
                <w:kern w:val="0"/>
                <w:sz w:val="18"/>
                <w:szCs w:val="18"/>
              </w:rPr>
            </w:pPr>
            <w:r>
              <w:rPr>
                <w:rFonts w:hint="eastAsia" w:eastAsia="仿宋_GB2312"/>
                <w:bCs/>
                <w:kern w:val="0"/>
                <w:sz w:val="18"/>
                <w:szCs w:val="18"/>
              </w:rPr>
              <w:t>1</w:t>
            </w:r>
            <w:r>
              <w:rPr>
                <w:rFonts w:hint="eastAsia" w:ascii="黑体" w:hAnsi="黑体" w:eastAsia="黑体"/>
                <w:bCs/>
                <w:kern w:val="0"/>
                <w:sz w:val="18"/>
                <w:szCs w:val="18"/>
              </w:rPr>
              <w:t>至</w:t>
            </w:r>
            <w:r>
              <w:rPr>
                <w:rFonts w:hint="eastAsia" w:eastAsia="仿宋_GB2312"/>
                <w:bCs/>
                <w:kern w:val="0"/>
                <w:sz w:val="18"/>
                <w:szCs w:val="18"/>
              </w:rPr>
              <w:t>12</w:t>
            </w:r>
            <w:r>
              <w:rPr>
                <w:rFonts w:hint="eastAsia" w:ascii="黑体" w:hAnsi="黑体" w:eastAsia="黑体"/>
                <w:bCs/>
                <w:kern w:val="0"/>
                <w:sz w:val="18"/>
                <w:szCs w:val="18"/>
              </w:rPr>
              <w:t>月完成投资</w:t>
            </w:r>
          </w:p>
        </w:tc>
        <w:tc>
          <w:tcPr>
            <w:tcW w:w="168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项目推进实施情况</w:t>
            </w:r>
          </w:p>
        </w:tc>
      </w:tr>
      <w:tr>
        <w:tblPrEx>
          <w:tblLayout w:type="fixed"/>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全区共</w:t>
            </w:r>
            <w:r>
              <w:rPr>
                <w:rFonts w:hint="eastAsia" w:eastAsia="黑体"/>
                <w:b/>
                <w:bCs/>
                <w:kern w:val="0"/>
                <w:sz w:val="18"/>
                <w:szCs w:val="18"/>
              </w:rPr>
              <w:t>103</w:t>
            </w:r>
            <w:r>
              <w:rPr>
                <w:rFonts w:hint="eastAsia" w:ascii="黑体" w:hAnsi="黑体" w:eastAsia="黑体" w:cs="宋体"/>
                <w:b/>
                <w:bCs/>
                <w:kern w:val="0"/>
                <w:sz w:val="18"/>
                <w:szCs w:val="18"/>
              </w:rPr>
              <w:t>项（续建</w:t>
            </w:r>
            <w:r>
              <w:rPr>
                <w:rFonts w:hint="eastAsia" w:eastAsia="黑体"/>
                <w:b/>
                <w:bCs/>
                <w:kern w:val="0"/>
                <w:sz w:val="18"/>
                <w:szCs w:val="18"/>
              </w:rPr>
              <w:t>34</w:t>
            </w:r>
            <w:r>
              <w:rPr>
                <w:rFonts w:hint="eastAsia" w:ascii="黑体" w:hAnsi="黑体" w:eastAsia="黑体" w:cs="宋体"/>
                <w:b/>
                <w:bCs/>
                <w:kern w:val="0"/>
                <w:sz w:val="18"/>
                <w:szCs w:val="18"/>
              </w:rPr>
              <w:t>项，新开工</w:t>
            </w:r>
            <w:r>
              <w:rPr>
                <w:rFonts w:hint="eastAsia" w:eastAsia="黑体"/>
                <w:b/>
                <w:bCs/>
                <w:kern w:val="0"/>
                <w:sz w:val="18"/>
                <w:szCs w:val="18"/>
              </w:rPr>
              <w:t>61</w:t>
            </w:r>
            <w:r>
              <w:rPr>
                <w:rFonts w:hint="eastAsia" w:ascii="黑体" w:hAnsi="黑体" w:eastAsia="黑体" w:cs="宋体"/>
                <w:b/>
                <w:bCs/>
                <w:kern w:val="0"/>
                <w:sz w:val="18"/>
                <w:szCs w:val="18"/>
              </w:rPr>
              <w:t>项，前期</w:t>
            </w:r>
            <w:r>
              <w:rPr>
                <w:rFonts w:hint="eastAsia" w:eastAsia="黑体"/>
                <w:b/>
                <w:bCs/>
                <w:kern w:val="0"/>
                <w:sz w:val="18"/>
                <w:szCs w:val="18"/>
              </w:rPr>
              <w:t>8</w:t>
            </w:r>
            <w:r>
              <w:rPr>
                <w:rFonts w:hint="eastAsia" w:ascii="黑体" w:hAnsi="黑体" w:eastAsia="黑体" w:cs="宋体"/>
                <w:b/>
                <w:bCs/>
                <w:kern w:val="0"/>
                <w:sz w:val="18"/>
                <w:szCs w:val="18"/>
              </w:rPr>
              <w:t>项），</w:t>
            </w:r>
            <w:r>
              <w:rPr>
                <w:rFonts w:hint="eastAsia" w:eastAsia="黑体"/>
                <w:b/>
                <w:bCs/>
                <w:kern w:val="0"/>
                <w:sz w:val="18"/>
                <w:szCs w:val="18"/>
              </w:rPr>
              <w:t>2021</w:t>
            </w:r>
            <w:r>
              <w:rPr>
                <w:rFonts w:hint="eastAsia" w:ascii="黑体" w:hAnsi="黑体" w:eastAsia="黑体" w:cs="宋体"/>
                <w:b/>
                <w:bCs/>
                <w:kern w:val="0"/>
                <w:sz w:val="18"/>
                <w:szCs w:val="18"/>
              </w:rPr>
              <w:t>年计划投资</w:t>
            </w:r>
            <w:r>
              <w:rPr>
                <w:rFonts w:hint="eastAsia" w:eastAsia="黑体"/>
                <w:b/>
                <w:bCs/>
                <w:kern w:val="0"/>
                <w:sz w:val="18"/>
                <w:szCs w:val="18"/>
              </w:rPr>
              <w:t>446363</w:t>
            </w:r>
            <w:r>
              <w:rPr>
                <w:rFonts w:hint="eastAsia" w:ascii="黑体" w:hAnsi="黑体" w:eastAsia="黑体" w:cs="宋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1394240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444883</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376742</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一、乡村振兴建设项目（共</w:t>
            </w:r>
            <w:r>
              <w:rPr>
                <w:rFonts w:hint="eastAsia" w:eastAsia="黑体"/>
                <w:b/>
                <w:bCs/>
                <w:kern w:val="0"/>
                <w:sz w:val="18"/>
                <w:szCs w:val="18"/>
              </w:rPr>
              <w:t>4</w:t>
            </w:r>
            <w:r>
              <w:rPr>
                <w:rFonts w:hint="eastAsia" w:ascii="黑体" w:hAnsi="黑体" w:eastAsia="黑体" w:cs="宋体"/>
                <w:b/>
                <w:bCs/>
                <w:kern w:val="0"/>
                <w:sz w:val="18"/>
                <w:szCs w:val="18"/>
              </w:rPr>
              <w:t>项，</w:t>
            </w:r>
            <w:r>
              <w:rPr>
                <w:rFonts w:hint="eastAsia" w:eastAsia="黑体"/>
                <w:b/>
                <w:bCs/>
                <w:kern w:val="0"/>
                <w:sz w:val="18"/>
                <w:szCs w:val="18"/>
              </w:rPr>
              <w:t>2021</w:t>
            </w:r>
            <w:r>
              <w:rPr>
                <w:rFonts w:hint="eastAsia" w:ascii="黑体" w:hAnsi="黑体" w:eastAsia="黑体" w:cs="宋体"/>
                <w:b/>
                <w:bCs/>
                <w:kern w:val="0"/>
                <w:sz w:val="18"/>
                <w:szCs w:val="18"/>
              </w:rPr>
              <w:t>年计划投资</w:t>
            </w:r>
            <w:r>
              <w:rPr>
                <w:rFonts w:hint="eastAsia" w:eastAsia="黑体"/>
                <w:b/>
                <w:bCs/>
                <w:kern w:val="0"/>
                <w:sz w:val="18"/>
                <w:szCs w:val="18"/>
              </w:rPr>
              <w:t>5265</w:t>
            </w:r>
            <w:r>
              <w:rPr>
                <w:rFonts w:hint="eastAsia" w:ascii="黑体" w:hAnsi="黑体" w:eastAsia="黑体" w:cs="宋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17965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5265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7196</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r>
              <w:rPr>
                <w:rFonts w:hint="eastAsia" w:eastAsia="仿宋_GB2312"/>
                <w:kern w:val="0"/>
                <w:sz w:val="18"/>
                <w:szCs w:val="18"/>
              </w:rPr>
              <w:t>2021</w:t>
            </w:r>
            <w:r>
              <w:rPr>
                <w:rFonts w:hint="eastAsia" w:ascii="仿宋_GB2312" w:hAnsi="宋体" w:eastAsia="仿宋_GB2312" w:cs="宋体"/>
                <w:kern w:val="0"/>
                <w:sz w:val="18"/>
                <w:szCs w:val="18"/>
              </w:rPr>
              <w:t>年美丽宜居乡村建设☆</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碧鸡、海口、团结街道办事处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西山区农业农村局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在碧鸡、海口、团结街道办事处选择</w:t>
            </w:r>
            <w:r>
              <w:rPr>
                <w:rFonts w:hint="eastAsia" w:eastAsia="仿宋_GB2312"/>
                <w:kern w:val="0"/>
                <w:sz w:val="18"/>
                <w:szCs w:val="18"/>
              </w:rPr>
              <w:t>10</w:t>
            </w:r>
            <w:r>
              <w:rPr>
                <w:rFonts w:hint="eastAsia" w:ascii="仿宋_GB2312" w:hAnsi="宋体" w:eastAsia="仿宋_GB2312" w:cs="宋体"/>
                <w:kern w:val="0"/>
                <w:sz w:val="18"/>
                <w:szCs w:val="18"/>
              </w:rPr>
              <w:t>个村建设</w:t>
            </w:r>
            <w:r>
              <w:rPr>
                <w:rFonts w:hint="eastAsia" w:eastAsia="仿宋_GB2312"/>
                <w:kern w:val="0"/>
                <w:sz w:val="18"/>
                <w:szCs w:val="18"/>
              </w:rPr>
              <w:t>“</w:t>
            </w:r>
            <w:r>
              <w:rPr>
                <w:rFonts w:hint="eastAsia" w:ascii="仿宋_GB2312" w:hAnsi="宋体" w:eastAsia="仿宋_GB2312" w:cs="宋体"/>
                <w:kern w:val="0"/>
                <w:sz w:val="18"/>
                <w:szCs w:val="18"/>
              </w:rPr>
              <w:t>三清四美三宜</w:t>
            </w:r>
            <w:r>
              <w:rPr>
                <w:rFonts w:hint="eastAsia" w:eastAsia="仿宋_GB2312"/>
                <w:kern w:val="0"/>
                <w:sz w:val="18"/>
                <w:szCs w:val="18"/>
              </w:rPr>
              <w:t>”</w:t>
            </w:r>
            <w:r>
              <w:rPr>
                <w:rFonts w:hint="eastAsia" w:ascii="仿宋_GB2312" w:hAnsi="宋体" w:eastAsia="仿宋_GB2312" w:cs="宋体"/>
                <w:kern w:val="0"/>
                <w:sz w:val="18"/>
                <w:szCs w:val="18"/>
              </w:rPr>
              <w:t>的美丽宜居乡村，补齐西山区农村建设短板。</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2021.05</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3477</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已完成总工程量的</w:t>
            </w:r>
            <w:r>
              <w:rPr>
                <w:rFonts w:hint="eastAsia" w:eastAsia="仿宋_GB2312"/>
                <w:kern w:val="0"/>
                <w:sz w:val="18"/>
                <w:szCs w:val="18"/>
              </w:rPr>
              <w:t>95%</w:t>
            </w:r>
            <w:r>
              <w:rPr>
                <w:rFonts w:hint="eastAsia" w:ascii="仿宋_GB2312" w:hAnsi="宋体" w:eastAsia="仿宋_GB2312" w:cs="宋体"/>
                <w:kern w:val="0"/>
                <w:sz w:val="18"/>
                <w:szCs w:val="18"/>
              </w:rPr>
              <w:t>。</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螳螂川沿线片区农村生活污水收集处理系统完善项目☆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开展海口、团结街道办事处自然村的污水处理设施建设及配套管网雨污分流建设工作，提升农村区域污水收集处理率；开展滇池西岸农村新建管网、已建管网数据梳理调查，确保已建设施运行效能良好发挥。</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530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r>
              <w:rPr>
                <w:rFonts w:hint="eastAsia" w:eastAsia="仿宋_GB2312"/>
                <w:kern w:val="0"/>
                <w:sz w:val="18"/>
                <w:szCs w:val="18"/>
              </w:rPr>
              <w:t>2021</w:t>
            </w:r>
            <w:r>
              <w:rPr>
                <w:rFonts w:hint="eastAsia" w:ascii="仿宋_GB2312" w:hAnsi="宋体" w:eastAsia="仿宋_GB2312" w:cs="宋体"/>
                <w:kern w:val="0"/>
                <w:sz w:val="18"/>
                <w:szCs w:val="18"/>
              </w:rPr>
              <w:t>年农村饮水安全巩固提升工程☆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碧鸡、海口、团结街道办事处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开展碧鸡、海口、团结街道办事处农村饮水安全巩固提升工程建设。</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2300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2524</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目前已完成总工程量的80%。</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r>
              <w:rPr>
                <w:rFonts w:hint="eastAsia" w:eastAsia="仿宋_GB2312"/>
                <w:kern w:val="0"/>
                <w:sz w:val="18"/>
                <w:szCs w:val="18"/>
              </w:rPr>
              <w:t>2021</w:t>
            </w:r>
            <w:r>
              <w:rPr>
                <w:rFonts w:hint="eastAsia" w:ascii="仿宋_GB2312" w:hAnsi="宋体" w:eastAsia="仿宋_GB2312" w:cs="宋体"/>
                <w:kern w:val="0"/>
                <w:sz w:val="18"/>
                <w:szCs w:val="18"/>
              </w:rPr>
              <w:t>年农村公厕提升改造建设项目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碧鸡、海口、团结街道办事处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西山区农业农村局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在涉农街道办事处</w:t>
            </w:r>
            <w:r>
              <w:rPr>
                <w:rFonts w:hint="eastAsia" w:eastAsia="仿宋_GB2312"/>
                <w:kern w:val="0"/>
                <w:sz w:val="18"/>
                <w:szCs w:val="18"/>
              </w:rPr>
              <w:t>26</w:t>
            </w:r>
            <w:r>
              <w:rPr>
                <w:rFonts w:hint="eastAsia" w:ascii="仿宋_GB2312" w:hAnsi="宋体" w:eastAsia="仿宋_GB2312" w:cs="宋体"/>
                <w:kern w:val="0"/>
                <w:sz w:val="18"/>
                <w:szCs w:val="18"/>
              </w:rPr>
              <w:t>个社区提升改造公厕</w:t>
            </w:r>
            <w:r>
              <w:rPr>
                <w:rFonts w:hint="eastAsia" w:eastAsia="仿宋_GB2312"/>
                <w:kern w:val="0"/>
                <w:sz w:val="18"/>
                <w:szCs w:val="18"/>
              </w:rPr>
              <w:t>105</w:t>
            </w:r>
            <w:r>
              <w:rPr>
                <w:rFonts w:hint="eastAsia" w:ascii="仿宋_GB2312" w:hAnsi="宋体" w:eastAsia="仿宋_GB2312" w:cs="宋体"/>
                <w:kern w:val="0"/>
                <w:sz w:val="18"/>
                <w:szCs w:val="18"/>
              </w:rPr>
              <w:t>座，其中碧鸡街道办事处建设改造</w:t>
            </w:r>
            <w:r>
              <w:rPr>
                <w:rFonts w:hint="eastAsia" w:eastAsia="仿宋_GB2312"/>
                <w:kern w:val="0"/>
                <w:sz w:val="18"/>
                <w:szCs w:val="18"/>
              </w:rPr>
              <w:t>4</w:t>
            </w:r>
            <w:r>
              <w:rPr>
                <w:rFonts w:hint="eastAsia" w:ascii="仿宋_GB2312" w:hAnsi="宋体" w:eastAsia="仿宋_GB2312" w:cs="宋体"/>
                <w:kern w:val="0"/>
                <w:sz w:val="18"/>
                <w:szCs w:val="18"/>
              </w:rPr>
              <w:t>座，海口街道办事处建设改造</w:t>
            </w:r>
            <w:r>
              <w:rPr>
                <w:rFonts w:hint="eastAsia" w:eastAsia="仿宋_GB2312"/>
                <w:kern w:val="0"/>
                <w:sz w:val="18"/>
                <w:szCs w:val="18"/>
              </w:rPr>
              <w:t>35</w:t>
            </w:r>
            <w:r>
              <w:rPr>
                <w:rFonts w:hint="eastAsia" w:ascii="仿宋_GB2312" w:hAnsi="宋体" w:eastAsia="仿宋_GB2312" w:cs="宋体"/>
                <w:kern w:val="0"/>
                <w:sz w:val="18"/>
                <w:szCs w:val="18"/>
              </w:rPr>
              <w:t>座，团结街道办事处建设改造</w:t>
            </w:r>
            <w:r>
              <w:rPr>
                <w:rFonts w:hint="eastAsia" w:eastAsia="仿宋_GB2312"/>
                <w:kern w:val="0"/>
                <w:sz w:val="18"/>
                <w:szCs w:val="18"/>
              </w:rPr>
              <w:t>66</w:t>
            </w:r>
            <w:r>
              <w:rPr>
                <w:rFonts w:hint="eastAsia" w:ascii="仿宋_GB2312" w:hAnsi="宋体" w:eastAsia="仿宋_GB2312" w:cs="宋体"/>
                <w:kern w:val="0"/>
                <w:sz w:val="18"/>
                <w:szCs w:val="18"/>
              </w:rPr>
              <w:t>座。</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2021.08</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665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665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665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共实施107座，已全面完工。</w:t>
            </w:r>
          </w:p>
        </w:tc>
      </w:tr>
      <w:tr>
        <w:tblPrEx>
          <w:tblLayout w:type="fixed"/>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二、水利基础设施建设项目（共</w:t>
            </w:r>
            <w:r>
              <w:rPr>
                <w:rFonts w:hint="eastAsia" w:eastAsia="仿宋_GB2312"/>
                <w:b/>
                <w:bCs/>
                <w:kern w:val="0"/>
                <w:sz w:val="18"/>
                <w:szCs w:val="18"/>
              </w:rPr>
              <w:t>6</w:t>
            </w:r>
            <w:r>
              <w:rPr>
                <w:rFonts w:hint="eastAsia" w:ascii="黑体" w:hAnsi="黑体" w:eastAsia="黑体"/>
                <w:b/>
                <w:bCs/>
                <w:kern w:val="0"/>
                <w:sz w:val="18"/>
                <w:szCs w:val="18"/>
              </w:rPr>
              <w:t>项，</w:t>
            </w:r>
            <w:r>
              <w:rPr>
                <w:rFonts w:hint="eastAsia" w:eastAsia="仿宋_GB2312"/>
                <w:b/>
                <w:bCs/>
                <w:kern w:val="0"/>
                <w:sz w:val="18"/>
                <w:szCs w:val="18"/>
              </w:rPr>
              <w:t>2021</w:t>
            </w:r>
            <w:r>
              <w:rPr>
                <w:rFonts w:hint="eastAsia" w:ascii="黑体" w:hAnsi="黑体" w:eastAsia="黑体"/>
                <w:b/>
                <w:bCs/>
                <w:kern w:val="0"/>
                <w:sz w:val="18"/>
                <w:szCs w:val="18"/>
              </w:rPr>
              <w:t>年计划投资</w:t>
            </w:r>
            <w:r>
              <w:rPr>
                <w:rFonts w:hint="eastAsia" w:eastAsia="仿宋_GB2312"/>
                <w:b/>
                <w:bCs/>
                <w:kern w:val="0"/>
                <w:sz w:val="18"/>
                <w:szCs w:val="18"/>
              </w:rPr>
              <w:t>7783</w:t>
            </w:r>
            <w:r>
              <w:rPr>
                <w:rFonts w:hint="eastAsia" w:ascii="黑体" w:hAnsi="黑体" w:eastAsia="黑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24333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7783</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24506</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牛鼻村水库扩建工程☆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工程规模为小（一）型水库，总库容</w:t>
            </w:r>
            <w:r>
              <w:rPr>
                <w:rFonts w:hint="eastAsia" w:eastAsia="仿宋_GB2312"/>
                <w:kern w:val="0"/>
                <w:sz w:val="18"/>
                <w:szCs w:val="18"/>
              </w:rPr>
              <w:t>105</w:t>
            </w:r>
            <w:r>
              <w:rPr>
                <w:rFonts w:hint="eastAsia" w:ascii="仿宋_GB2312" w:hAnsi="宋体" w:eastAsia="仿宋_GB2312" w:cs="宋体"/>
                <w:kern w:val="0"/>
                <w:sz w:val="18"/>
                <w:szCs w:val="18"/>
              </w:rPr>
              <w:t>万立方米。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6599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2174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2210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团结集镇取水工程☆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西山区发展投资集团有限公司</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包括取水管网工程、水源区环境整治工程及新建混凝土挡水堰及布水堰等设施。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569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184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已完成工程总量的60%。目前处于停工状态。</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海口河沿线坍塌河堤修复、玉带河昆华医院段河堤修复工程☆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金碧、海口街道办事处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对海口河沿岸坍塌段进行修复，涉及河段长约</w:t>
            </w:r>
            <w:r>
              <w:rPr>
                <w:rFonts w:hint="eastAsia" w:eastAsia="仿宋_GB2312"/>
                <w:kern w:val="0"/>
                <w:sz w:val="18"/>
                <w:szCs w:val="18"/>
              </w:rPr>
              <w:t>16</w:t>
            </w:r>
            <w:r>
              <w:rPr>
                <w:rFonts w:hint="eastAsia" w:ascii="仿宋_GB2312" w:hAnsi="宋体" w:eastAsia="仿宋_GB2312" w:cs="宋体"/>
                <w:kern w:val="0"/>
                <w:sz w:val="18"/>
                <w:szCs w:val="18"/>
              </w:rPr>
              <w:t>千米，对玉带河昆华医院坍塌段进行修复，修复段长</w:t>
            </w:r>
            <w:r>
              <w:rPr>
                <w:rFonts w:hint="eastAsia" w:eastAsia="仿宋_GB2312"/>
                <w:kern w:val="0"/>
                <w:sz w:val="18"/>
                <w:szCs w:val="18"/>
              </w:rPr>
              <w:t>26</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2022.05</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851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255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851</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昆华医院玉带河完成；海口河沙锅段、石龙坝段完成，甸基段在施工，已达总工程量的70%。</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小型水库除险加固工程☆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开展</w:t>
            </w:r>
            <w:r>
              <w:rPr>
                <w:rFonts w:hint="eastAsia" w:eastAsia="仿宋_GB2312"/>
                <w:kern w:val="0"/>
                <w:sz w:val="18"/>
                <w:szCs w:val="18"/>
              </w:rPr>
              <w:t>5</w:t>
            </w:r>
            <w:r>
              <w:rPr>
                <w:rFonts w:hint="eastAsia" w:ascii="仿宋_GB2312" w:hAnsi="宋体" w:eastAsia="仿宋_GB2312" w:cs="宋体"/>
                <w:kern w:val="0"/>
                <w:sz w:val="18"/>
                <w:szCs w:val="18"/>
              </w:rPr>
              <w:t>座小（二）型水库除险加固工程。</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475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项目完成招投标工作，已进场施工。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二环外排水系统提升完善及管理维护项目（正大河、金家河、太家河、新运粮河）☆</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马街、永昌、前卫、西苑街道办事处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通过工程性措施提升完善西山区二环外正大河、金家河、太家河和新运粮河汇水范围内的排水系统。</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19000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二环内水环境综合治理项目（鱼翅沟）</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新建鱼翅沟截污管</w:t>
            </w:r>
            <w:r>
              <w:rPr>
                <w:rFonts w:hint="eastAsia" w:eastAsia="仿宋_GB2312"/>
                <w:kern w:val="0"/>
                <w:sz w:val="18"/>
                <w:szCs w:val="18"/>
              </w:rPr>
              <w:t>d500</w:t>
            </w:r>
            <w:r>
              <w:rPr>
                <w:rFonts w:hint="eastAsia" w:ascii="仿宋_GB2312" w:hAnsi="宋体" w:eastAsia="仿宋_GB2312" w:cs="宋体"/>
                <w:kern w:val="0"/>
                <w:sz w:val="18"/>
                <w:szCs w:val="18"/>
              </w:rPr>
              <w:t>约</w:t>
            </w:r>
            <w:r>
              <w:rPr>
                <w:rFonts w:hint="eastAsia" w:eastAsia="仿宋_GB2312"/>
                <w:kern w:val="0"/>
                <w:sz w:val="18"/>
                <w:szCs w:val="18"/>
              </w:rPr>
              <w:t>375</w:t>
            </w:r>
            <w:r>
              <w:rPr>
                <w:rFonts w:hint="eastAsia" w:ascii="仿宋_GB2312" w:hAnsi="宋体" w:eastAsia="仿宋_GB2312" w:cs="宋体"/>
                <w:kern w:val="0"/>
                <w:sz w:val="18"/>
                <w:szCs w:val="18"/>
              </w:rPr>
              <w:t>米，雨污混接节点改造</w:t>
            </w:r>
            <w:r>
              <w:rPr>
                <w:rFonts w:hint="eastAsia" w:eastAsia="仿宋_GB2312"/>
                <w:kern w:val="0"/>
                <w:sz w:val="18"/>
                <w:szCs w:val="18"/>
              </w:rPr>
              <w:t>63</w:t>
            </w:r>
            <w:r>
              <w:rPr>
                <w:rFonts w:hint="eastAsia" w:ascii="仿宋_GB2312" w:hAnsi="宋体" w:eastAsia="仿宋_GB2312" w:cs="宋体"/>
                <w:kern w:val="0"/>
                <w:sz w:val="18"/>
                <w:szCs w:val="18"/>
              </w:rPr>
              <w:t>个，小区庭院改造面积</w:t>
            </w:r>
            <w:r>
              <w:rPr>
                <w:rFonts w:hint="eastAsia" w:eastAsia="仿宋_GB2312"/>
                <w:kern w:val="0"/>
                <w:sz w:val="18"/>
                <w:szCs w:val="18"/>
              </w:rPr>
              <w:t>0.5</w:t>
            </w:r>
            <w:r>
              <w:rPr>
                <w:rFonts w:hint="eastAsia" w:ascii="仿宋_GB2312" w:hAnsi="宋体" w:eastAsia="仿宋_GB2312" w:cs="宋体"/>
                <w:kern w:val="0"/>
                <w:sz w:val="18"/>
                <w:szCs w:val="18"/>
              </w:rPr>
              <w:t>平方千米，排水管网及河道清淤</w:t>
            </w:r>
            <w:r>
              <w:rPr>
                <w:rFonts w:hint="eastAsia" w:eastAsia="仿宋_GB2312"/>
                <w:kern w:val="0"/>
                <w:sz w:val="18"/>
                <w:szCs w:val="18"/>
              </w:rPr>
              <w:t>3166</w:t>
            </w:r>
            <w:r>
              <w:rPr>
                <w:rFonts w:hint="eastAsia" w:ascii="仿宋_GB2312" w:hAnsi="宋体" w:eastAsia="仿宋_GB2312" w:cs="宋体"/>
                <w:kern w:val="0"/>
                <w:sz w:val="18"/>
                <w:szCs w:val="18"/>
              </w:rPr>
              <w:t>立方米。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2021.05</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2313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1970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1970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三、生态环保建设项目（共</w:t>
            </w:r>
            <w:r>
              <w:rPr>
                <w:rFonts w:hint="eastAsia" w:eastAsia="黑体"/>
                <w:b/>
                <w:bCs/>
                <w:kern w:val="0"/>
                <w:sz w:val="18"/>
                <w:szCs w:val="18"/>
              </w:rPr>
              <w:t>14</w:t>
            </w:r>
            <w:r>
              <w:rPr>
                <w:rFonts w:hint="eastAsia" w:ascii="黑体" w:hAnsi="黑体" w:eastAsia="黑体" w:cs="宋体"/>
                <w:b/>
                <w:bCs/>
                <w:kern w:val="0"/>
                <w:sz w:val="18"/>
                <w:szCs w:val="18"/>
              </w:rPr>
              <w:t>项，</w:t>
            </w:r>
            <w:r>
              <w:rPr>
                <w:rFonts w:hint="eastAsia" w:eastAsia="黑体"/>
                <w:b/>
                <w:bCs/>
                <w:kern w:val="0"/>
                <w:sz w:val="18"/>
                <w:szCs w:val="18"/>
              </w:rPr>
              <w:t>2021</w:t>
            </w:r>
            <w:r>
              <w:rPr>
                <w:rFonts w:hint="eastAsia" w:ascii="黑体" w:hAnsi="黑体" w:eastAsia="黑体" w:cs="宋体"/>
                <w:b/>
                <w:bCs/>
                <w:kern w:val="0"/>
                <w:sz w:val="18"/>
                <w:szCs w:val="18"/>
              </w:rPr>
              <w:t>年计划投资</w:t>
            </w:r>
            <w:r>
              <w:rPr>
                <w:rFonts w:hint="eastAsia" w:eastAsia="黑体"/>
                <w:b/>
                <w:bCs/>
                <w:kern w:val="0"/>
                <w:sz w:val="18"/>
                <w:szCs w:val="18"/>
              </w:rPr>
              <w:t>130145</w:t>
            </w:r>
            <w:r>
              <w:rPr>
                <w:rFonts w:hint="eastAsia" w:ascii="黑体" w:hAnsi="黑体" w:eastAsia="黑体" w:cs="宋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299699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130145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126980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滇池流域网格化清水入滇微改造工程☆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新建污水管线DN100—500约24千米，检查井310座，钢筋砼污水小方井55座，管道改造60千米，绿地改造面积1.6平方千米，市政污水管网改造15千米，新建市政雨水管网13千米。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5770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1483</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小倒山地质灾害治理工程☆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西山区自然资源局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对小倒山地质灾害隐患点开展工程治理，措施主要包括主、被动防护及绿化。</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2022.07</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1115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城市防洪排涝体系综合提升新三年行动计划☆</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海源河恢复利用工程；兴苑路至成昆铁路桥涵段工程；碧鸡路桥涵分洪工程；希望路与商汇路交叉口淹水点等</w:t>
            </w:r>
            <w:r>
              <w:rPr>
                <w:rFonts w:hint="eastAsia" w:eastAsia="仿宋_GB2312"/>
                <w:kern w:val="0"/>
                <w:sz w:val="18"/>
                <w:szCs w:val="18"/>
              </w:rPr>
              <w:t>14</w:t>
            </w:r>
            <w:r>
              <w:rPr>
                <w:rFonts w:hint="eastAsia" w:ascii="仿宋_GB2312" w:hAnsi="宋体" w:eastAsia="仿宋_GB2312" w:cs="宋体"/>
                <w:kern w:val="0"/>
                <w:sz w:val="18"/>
                <w:szCs w:val="18"/>
              </w:rPr>
              <w:t>个淹水点治理工程；新建小（二）型水库</w:t>
            </w:r>
            <w:r>
              <w:rPr>
                <w:rFonts w:hint="eastAsia" w:eastAsia="仿宋_GB2312"/>
                <w:kern w:val="0"/>
                <w:sz w:val="18"/>
                <w:szCs w:val="18"/>
              </w:rPr>
              <w:t>1</w:t>
            </w:r>
            <w:r>
              <w:rPr>
                <w:rFonts w:hint="eastAsia" w:ascii="仿宋_GB2312" w:hAnsi="宋体" w:eastAsia="仿宋_GB2312" w:cs="宋体"/>
                <w:kern w:val="0"/>
                <w:sz w:val="18"/>
                <w:szCs w:val="18"/>
              </w:rPr>
              <w:t>座。</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47368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14210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17000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海源河恢复利用工程及新建小（二）型水库1座正在完善前期工作。14个淹水点治理全部完成。</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白沙地项目一期KCXS2019—9号地块垃圾转运站建设工程☆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建设</w:t>
            </w:r>
            <w:r>
              <w:rPr>
                <w:rFonts w:hint="eastAsia" w:eastAsia="仿宋_GB2312"/>
                <w:kern w:val="0"/>
                <w:sz w:val="18"/>
                <w:szCs w:val="18"/>
              </w:rPr>
              <w:t>1</w:t>
            </w:r>
            <w:r>
              <w:rPr>
                <w:rFonts w:hint="eastAsia" w:ascii="仿宋_GB2312" w:hAnsi="宋体" w:eastAsia="仿宋_GB2312" w:cs="宋体"/>
                <w:kern w:val="0"/>
                <w:sz w:val="18"/>
                <w:szCs w:val="18"/>
              </w:rPr>
              <w:t>座垃圾转运站及其配套设施。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2021.07</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986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986</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已取得选址意见书和可行性研究报告批复，正在办理土地划拨手续。</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w:t>
            </w:r>
            <w:r>
              <w:rPr>
                <w:rFonts w:hint="eastAsia" w:ascii="仿宋_GB2312" w:eastAsia="仿宋_GB2312"/>
                <w:kern w:val="0"/>
                <w:sz w:val="18"/>
                <w:szCs w:val="18"/>
              </w:rPr>
              <w:t>中国天然氧吧</w:t>
            </w:r>
            <w:r>
              <w:rPr>
                <w:rFonts w:hint="eastAsia" w:eastAsia="仿宋_GB2312"/>
                <w:kern w:val="0"/>
                <w:sz w:val="18"/>
                <w:szCs w:val="18"/>
              </w:rPr>
              <w:t>”</w:t>
            </w:r>
            <w:r>
              <w:rPr>
                <w:rFonts w:hint="eastAsia" w:ascii="仿宋_GB2312" w:eastAsia="仿宋_GB2312"/>
                <w:kern w:val="0"/>
                <w:sz w:val="18"/>
                <w:szCs w:val="18"/>
              </w:rPr>
              <w:t>创建项目</w:t>
            </w:r>
            <w:r>
              <w:rPr>
                <w:rFonts w:hint="eastAsia" w:ascii="宋体" w:hAnsi="宋体" w:eastAsia="仿宋_GB2312"/>
                <w:kern w:val="0"/>
                <w:sz w:val="18"/>
                <w:szCs w:val="18"/>
              </w:rPr>
              <w:t>☆</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西山区气象局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在西山区主要风景名胜区、生态涵养区、城市居民居住区、文化区等场所装设负氧离子在线监测仪器设备、数据发布电子显示屏，配备控制电脑、数据存储服务器、组建检测、信息发布系统、技术咨询、编制申报材料，进行</w:t>
            </w:r>
            <w:r>
              <w:rPr>
                <w:rFonts w:hint="eastAsia" w:eastAsia="仿宋_GB2312"/>
                <w:kern w:val="0"/>
                <w:sz w:val="18"/>
                <w:szCs w:val="18"/>
              </w:rPr>
              <w:t>“</w:t>
            </w:r>
            <w:r>
              <w:rPr>
                <w:rFonts w:hint="eastAsia" w:ascii="仿宋_GB2312" w:hAnsi="宋体" w:eastAsia="仿宋_GB2312" w:cs="宋体"/>
                <w:kern w:val="0"/>
                <w:sz w:val="18"/>
                <w:szCs w:val="18"/>
              </w:rPr>
              <w:t>中国天然氧吧</w:t>
            </w:r>
            <w:r>
              <w:rPr>
                <w:rFonts w:hint="eastAsia" w:eastAsia="仿宋_GB2312"/>
                <w:kern w:val="0"/>
                <w:sz w:val="18"/>
                <w:szCs w:val="18"/>
              </w:rPr>
              <w:t>”</w:t>
            </w:r>
            <w:r>
              <w:rPr>
                <w:rFonts w:hint="eastAsia" w:ascii="仿宋_GB2312" w:hAnsi="宋体" w:eastAsia="仿宋_GB2312" w:cs="宋体"/>
                <w:kern w:val="0"/>
                <w:sz w:val="18"/>
                <w:szCs w:val="18"/>
              </w:rPr>
              <w:t>申报。</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290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290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编制完成创建</w:t>
            </w:r>
            <w:r>
              <w:rPr>
                <w:rFonts w:hint="eastAsia" w:eastAsia="仿宋_GB2312"/>
                <w:kern w:val="0"/>
                <w:sz w:val="18"/>
                <w:szCs w:val="18"/>
              </w:rPr>
              <w:t>“</w:t>
            </w:r>
            <w:r>
              <w:rPr>
                <w:rFonts w:hint="eastAsia" w:ascii="仿宋_GB2312" w:hAnsi="宋体" w:eastAsia="仿宋_GB2312" w:cs="宋体"/>
                <w:kern w:val="0"/>
                <w:sz w:val="18"/>
                <w:szCs w:val="18"/>
              </w:rPr>
              <w:t>中国天然氧吧</w:t>
            </w:r>
            <w:r>
              <w:rPr>
                <w:rFonts w:hint="eastAsia" w:eastAsia="仿宋_GB2312"/>
                <w:kern w:val="0"/>
                <w:sz w:val="18"/>
                <w:szCs w:val="18"/>
              </w:rPr>
              <w:t>”</w:t>
            </w:r>
            <w:r>
              <w:rPr>
                <w:rFonts w:hint="eastAsia" w:ascii="仿宋_GB2312" w:hAnsi="宋体" w:eastAsia="仿宋_GB2312" w:cs="宋体"/>
                <w:kern w:val="0"/>
                <w:sz w:val="18"/>
                <w:szCs w:val="18"/>
              </w:rPr>
              <w:t>项目可行性研究报告及实施方案；安装完成</w:t>
            </w:r>
            <w:r>
              <w:rPr>
                <w:rFonts w:hint="eastAsia" w:eastAsia="仿宋_GB2312"/>
                <w:kern w:val="0"/>
                <w:sz w:val="18"/>
                <w:szCs w:val="18"/>
              </w:rPr>
              <w:t>5</w:t>
            </w:r>
            <w:r>
              <w:rPr>
                <w:rFonts w:hint="eastAsia" w:ascii="仿宋_GB2312" w:hAnsi="宋体" w:eastAsia="仿宋_GB2312" w:cs="宋体"/>
                <w:kern w:val="0"/>
                <w:sz w:val="18"/>
                <w:szCs w:val="18"/>
              </w:rPr>
              <w:t>套负氧离子设备并进行数据采集。</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滇池西岸城镇污水综合治理及配套设施建设工程☆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新建DN110U—PVC入户管41千米；新建DN160U—PVC入户管34千米；新建DN300HDPE钢带缠绕管126千米；新建p1000钢筋混凝土检查井4203个；新建氧化塘30座；一体化设备18座；农灌蓄水池40座；新建西山区老沙河—牛鼻村断面水质提升处理站1500立方米每天及配套设施1座；共计处理污水规模3225立方米每天。</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16219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5648</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该项目由昆明滇池水务股份有限公司作为项目投资人，承担项目的投资、建设及运营工作，一标段完成总工程量33%。二标段完成总工程量12.6%。</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智慧环保水务建设☆</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在整合西山区现有涉水信息系统的基础上，结合西山区河湖库渠、湿地及其他涉水事项的管理决策需求，构建集西山区涉水基础信息库、水环境、水生态、水资源、水安全及综合决策管理于一体的西山区智慧环保水务系统。</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2500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前期手续已办理完成，正在加快推进。</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入滇河湖库渠生态水量保障工程☆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对辖区内的河湖库渠生态流量进行核算，通过河湖水系连通、应急保障措施及相关工程调水措施，实现河湖及支流沟渠生态水量保障，促进生态系统恢复，实现水环境逐步提升改善。</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4025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项目正按计划推进工程建设。</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二环内水环境综合治理工程☆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新建</w:t>
            </w:r>
            <w:r>
              <w:rPr>
                <w:rFonts w:hint="eastAsia" w:eastAsia="仿宋_GB2312"/>
                <w:kern w:val="0"/>
                <w:sz w:val="18"/>
                <w:szCs w:val="18"/>
              </w:rPr>
              <w:t>d500—d3000</w:t>
            </w:r>
            <w:r>
              <w:rPr>
                <w:rFonts w:hint="eastAsia" w:ascii="仿宋_GB2312" w:hAnsi="宋体" w:eastAsia="仿宋_GB2312" w:cs="宋体"/>
                <w:kern w:val="0"/>
                <w:sz w:val="18"/>
                <w:szCs w:val="18"/>
              </w:rPr>
              <w:t>管线</w:t>
            </w:r>
            <w:r>
              <w:rPr>
                <w:rFonts w:hint="eastAsia" w:eastAsia="仿宋_GB2312"/>
                <w:kern w:val="0"/>
                <w:sz w:val="18"/>
                <w:szCs w:val="18"/>
              </w:rPr>
              <w:t>17</w:t>
            </w:r>
            <w:r>
              <w:rPr>
                <w:rFonts w:hint="eastAsia" w:ascii="仿宋_GB2312" w:hAnsi="宋体" w:eastAsia="仿宋_GB2312" w:cs="宋体"/>
                <w:kern w:val="0"/>
                <w:sz w:val="18"/>
                <w:szCs w:val="18"/>
              </w:rPr>
              <w:t>千米，接口改造</w:t>
            </w:r>
            <w:r>
              <w:rPr>
                <w:rFonts w:hint="eastAsia" w:eastAsia="仿宋_GB2312"/>
                <w:kern w:val="0"/>
                <w:sz w:val="18"/>
                <w:szCs w:val="18"/>
              </w:rPr>
              <w:t>827</w:t>
            </w:r>
            <w:r>
              <w:rPr>
                <w:rFonts w:hint="eastAsia" w:ascii="仿宋_GB2312" w:hAnsi="宋体" w:eastAsia="仿宋_GB2312" w:cs="宋体"/>
                <w:kern w:val="0"/>
                <w:sz w:val="18"/>
                <w:szCs w:val="18"/>
              </w:rPr>
              <w:t>个，新建新永昌污水泵站，小区庭院改造面积</w:t>
            </w:r>
            <w:r>
              <w:rPr>
                <w:rFonts w:hint="eastAsia" w:eastAsia="仿宋_GB2312"/>
                <w:kern w:val="0"/>
                <w:sz w:val="18"/>
                <w:szCs w:val="18"/>
              </w:rPr>
              <w:t>4.6</w:t>
            </w:r>
            <w:r>
              <w:rPr>
                <w:rFonts w:hint="eastAsia" w:ascii="仿宋_GB2312" w:hAnsi="宋体" w:eastAsia="仿宋_GB2312" w:cs="宋体"/>
                <w:kern w:val="0"/>
                <w:sz w:val="18"/>
                <w:szCs w:val="18"/>
              </w:rPr>
              <w:t>平方千米。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34186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改名为：西山区二环内排水系统提升完善项目工程。目前该项目的管网探测工作已完成，成果已提交市排水公司。完成造价单位的招选，正在开展监理及施工单位的招标工作。</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城中村改造52号片区A地块公园绿地建设项目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总占地面积约</w:t>
            </w:r>
            <w:r>
              <w:rPr>
                <w:rFonts w:hint="eastAsia" w:eastAsia="仿宋_GB2312"/>
                <w:kern w:val="0"/>
                <w:sz w:val="18"/>
                <w:szCs w:val="18"/>
              </w:rPr>
              <w:t>6737</w:t>
            </w:r>
            <w:r>
              <w:rPr>
                <w:rFonts w:hint="eastAsia" w:ascii="仿宋_GB2312" w:hAnsi="宋体" w:eastAsia="仿宋_GB2312" w:cs="宋体"/>
                <w:kern w:val="0"/>
                <w:sz w:val="18"/>
                <w:szCs w:val="18"/>
              </w:rPr>
              <w:t>平方米，包括但不限于绿地建设，绿地建设用地范围内涉及的硬地铺装、园林绿化以及公园配套设施等。</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805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294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294</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已开工建设。</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兰花沟云南省社科院段治理工程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金碧街道办事处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结构工程，钢箱梁盖板覆盖兰花沟</w:t>
            </w:r>
            <w:r>
              <w:rPr>
                <w:rFonts w:hint="eastAsia" w:eastAsia="仿宋_GB2312"/>
                <w:kern w:val="0"/>
                <w:sz w:val="18"/>
                <w:szCs w:val="18"/>
              </w:rPr>
              <w:t>131</w:t>
            </w:r>
            <w:r>
              <w:rPr>
                <w:rFonts w:hint="eastAsia" w:ascii="仿宋_GB2312" w:hAnsi="宋体" w:eastAsia="仿宋_GB2312" w:cs="宋体"/>
                <w:kern w:val="0"/>
                <w:sz w:val="18"/>
                <w:szCs w:val="18"/>
              </w:rPr>
              <w:t>米，河道宽</w:t>
            </w:r>
            <w:r>
              <w:rPr>
                <w:rFonts w:hint="eastAsia" w:eastAsia="仿宋_GB2312"/>
                <w:kern w:val="0"/>
                <w:sz w:val="18"/>
                <w:szCs w:val="18"/>
              </w:rPr>
              <w:t>8</w:t>
            </w:r>
            <w:r>
              <w:rPr>
                <w:rFonts w:hint="eastAsia" w:ascii="仿宋_GB2312" w:hAnsi="宋体" w:eastAsia="仿宋_GB2312" w:cs="宋体"/>
                <w:kern w:val="0"/>
                <w:sz w:val="18"/>
                <w:szCs w:val="18"/>
              </w:rPr>
              <w:t>米；景观绿化工程，河道改造覆盖种植</w:t>
            </w:r>
            <w:r>
              <w:rPr>
                <w:rFonts w:hint="eastAsia" w:eastAsia="仿宋_GB2312"/>
                <w:kern w:val="0"/>
                <w:sz w:val="18"/>
                <w:szCs w:val="18"/>
              </w:rPr>
              <w:t>650</w:t>
            </w:r>
            <w:r>
              <w:rPr>
                <w:rFonts w:hint="eastAsia" w:ascii="仿宋_GB2312" w:hAnsi="宋体" w:eastAsia="仿宋_GB2312" w:cs="宋体"/>
                <w:kern w:val="0"/>
                <w:sz w:val="18"/>
                <w:szCs w:val="18"/>
              </w:rPr>
              <w:t>平方米，新建木栈道及木平台</w:t>
            </w:r>
            <w:r>
              <w:rPr>
                <w:rFonts w:hint="eastAsia" w:eastAsia="仿宋_GB2312"/>
                <w:kern w:val="0"/>
                <w:sz w:val="18"/>
                <w:szCs w:val="18"/>
              </w:rPr>
              <w:t>250</w:t>
            </w:r>
            <w:r>
              <w:rPr>
                <w:rFonts w:hint="eastAsia" w:ascii="仿宋_GB2312" w:hAnsi="宋体" w:eastAsia="仿宋_GB2312" w:cs="宋体"/>
                <w:kern w:val="0"/>
                <w:sz w:val="18"/>
                <w:szCs w:val="18"/>
              </w:rPr>
              <w:t>平方米；河道清淤，清淤量约为</w:t>
            </w:r>
            <w:r>
              <w:rPr>
                <w:rFonts w:hint="eastAsia" w:eastAsia="仿宋_GB2312"/>
                <w:kern w:val="0"/>
                <w:sz w:val="18"/>
                <w:szCs w:val="18"/>
              </w:rPr>
              <w:t>456</w:t>
            </w:r>
            <w:r>
              <w:rPr>
                <w:rFonts w:hint="eastAsia" w:ascii="仿宋_GB2312" w:hAnsi="宋体" w:eastAsia="仿宋_GB2312" w:cs="宋体"/>
                <w:kern w:val="0"/>
                <w:sz w:val="18"/>
                <w:szCs w:val="18"/>
              </w:rPr>
              <w:t>立方米。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1459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503</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503</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普坪、大箐片区植被修复提升改造项目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西山区城市建设投资开发有限责任公司</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项目位于昆明市西山区马街街道办事处普坪社区，普坪片区植被修复提升改造面积约</w:t>
            </w:r>
            <w:r>
              <w:rPr>
                <w:rFonts w:hint="eastAsia" w:eastAsia="仿宋_GB2312"/>
                <w:kern w:val="0"/>
                <w:sz w:val="18"/>
                <w:szCs w:val="18"/>
              </w:rPr>
              <w:t>327.3</w:t>
            </w:r>
            <w:r>
              <w:rPr>
                <w:rFonts w:hint="eastAsia" w:ascii="仿宋_GB2312" w:hAnsi="宋体" w:eastAsia="仿宋_GB2312" w:cs="宋体"/>
                <w:kern w:val="0"/>
                <w:sz w:val="18"/>
                <w:szCs w:val="18"/>
              </w:rPr>
              <w:t>亩，大箐片区植被修复提升改造面积约</w:t>
            </w:r>
            <w:r>
              <w:rPr>
                <w:rFonts w:hint="eastAsia" w:eastAsia="仿宋_GB2312"/>
                <w:kern w:val="0"/>
                <w:sz w:val="18"/>
                <w:szCs w:val="18"/>
              </w:rPr>
              <w:t>77.7</w:t>
            </w:r>
            <w:r>
              <w:rPr>
                <w:rFonts w:hint="eastAsia" w:ascii="仿宋_GB2312" w:hAnsi="宋体" w:eastAsia="仿宋_GB2312" w:cs="宋体"/>
                <w:kern w:val="0"/>
                <w:sz w:val="18"/>
                <w:szCs w:val="18"/>
              </w:rPr>
              <w:t>亩，合计约</w:t>
            </w:r>
            <w:r>
              <w:rPr>
                <w:rFonts w:hint="eastAsia" w:eastAsia="仿宋_GB2312"/>
                <w:kern w:val="0"/>
                <w:sz w:val="18"/>
                <w:szCs w:val="18"/>
              </w:rPr>
              <w:t>405</w:t>
            </w:r>
            <w:r>
              <w:rPr>
                <w:rFonts w:hint="eastAsia" w:ascii="仿宋_GB2312" w:hAnsi="宋体" w:eastAsia="仿宋_GB2312" w:cs="宋体"/>
                <w:kern w:val="0"/>
                <w:sz w:val="18"/>
                <w:szCs w:val="18"/>
              </w:rPr>
              <w:t>亩。</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19797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12638</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12638</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西边小河水质提升项目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西苑街道办事处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河道全长</w:t>
            </w:r>
            <w:r>
              <w:rPr>
                <w:rFonts w:hint="eastAsia" w:eastAsia="仿宋_GB2312"/>
                <w:kern w:val="0"/>
                <w:sz w:val="18"/>
                <w:szCs w:val="18"/>
              </w:rPr>
              <w:t>6</w:t>
            </w:r>
            <w:r>
              <w:rPr>
                <w:rFonts w:hint="eastAsia" w:ascii="仿宋_GB2312" w:hAnsi="宋体" w:eastAsia="仿宋_GB2312" w:cs="宋体"/>
                <w:kern w:val="0"/>
                <w:sz w:val="18"/>
                <w:szCs w:val="18"/>
              </w:rPr>
              <w:t>千米，流域面积</w:t>
            </w:r>
            <w:r>
              <w:rPr>
                <w:rFonts w:hint="eastAsia" w:eastAsia="仿宋_GB2312"/>
                <w:kern w:val="0"/>
                <w:sz w:val="18"/>
                <w:szCs w:val="18"/>
              </w:rPr>
              <w:t>20.6</w:t>
            </w:r>
            <w:r>
              <w:rPr>
                <w:rFonts w:hint="eastAsia" w:ascii="仿宋_GB2312" w:hAnsi="宋体" w:eastAsia="仿宋_GB2312" w:cs="宋体"/>
                <w:kern w:val="0"/>
                <w:sz w:val="18"/>
                <w:szCs w:val="18"/>
              </w:rPr>
              <w:t>平方千米，排水畅通工程全长</w:t>
            </w:r>
            <w:r>
              <w:rPr>
                <w:rFonts w:hint="eastAsia" w:eastAsia="仿宋_GB2312"/>
                <w:kern w:val="0"/>
                <w:sz w:val="18"/>
                <w:szCs w:val="18"/>
              </w:rPr>
              <w:t>1.9</w:t>
            </w:r>
            <w:r>
              <w:rPr>
                <w:rFonts w:hint="eastAsia" w:ascii="仿宋_GB2312" w:hAnsi="宋体" w:eastAsia="仿宋_GB2312" w:cs="宋体"/>
                <w:kern w:val="0"/>
                <w:sz w:val="18"/>
                <w:szCs w:val="18"/>
              </w:rPr>
              <w:t>千米。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881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1224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1224</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滇池一级保护区现存建（构）筑物专项清理整治及生态化修复一期项目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涉及整改共计</w:t>
            </w:r>
            <w:r>
              <w:rPr>
                <w:rFonts w:hint="eastAsia" w:eastAsia="仿宋_GB2312"/>
                <w:kern w:val="0"/>
                <w:sz w:val="18"/>
                <w:szCs w:val="18"/>
              </w:rPr>
              <w:t>104</w:t>
            </w:r>
            <w:r>
              <w:rPr>
                <w:rFonts w:hint="eastAsia" w:ascii="仿宋_GB2312" w:hAnsi="宋体" w:eastAsia="仿宋_GB2312" w:cs="宋体"/>
                <w:kern w:val="0"/>
                <w:sz w:val="18"/>
                <w:szCs w:val="18"/>
              </w:rPr>
              <w:t>个点位，建筑面积</w:t>
            </w:r>
            <w:r>
              <w:rPr>
                <w:rFonts w:hint="eastAsia" w:eastAsia="仿宋_GB2312"/>
                <w:kern w:val="0"/>
                <w:sz w:val="18"/>
                <w:szCs w:val="18"/>
              </w:rPr>
              <w:t>236</w:t>
            </w:r>
            <w:r>
              <w:rPr>
                <w:rFonts w:hint="eastAsia" w:ascii="仿宋_GB2312" w:hAnsi="宋体" w:eastAsia="仿宋_GB2312" w:cs="宋体"/>
                <w:kern w:val="0"/>
                <w:sz w:val="18"/>
                <w:szCs w:val="18"/>
              </w:rPr>
              <w:t>万平方米，占地面积</w:t>
            </w:r>
            <w:r>
              <w:rPr>
                <w:rFonts w:hint="eastAsia" w:eastAsia="仿宋_GB2312"/>
                <w:kern w:val="0"/>
                <w:sz w:val="18"/>
                <w:szCs w:val="18"/>
              </w:rPr>
              <w:t>95.6</w:t>
            </w:r>
            <w:r>
              <w:rPr>
                <w:rFonts w:hint="eastAsia" w:ascii="仿宋_GB2312" w:hAnsi="宋体" w:eastAsia="仿宋_GB2312" w:cs="宋体"/>
                <w:kern w:val="0"/>
                <w:sz w:val="18"/>
                <w:szCs w:val="18"/>
              </w:rPr>
              <w:t>万平方米。</w:t>
            </w:r>
            <w:r>
              <w:rPr>
                <w:rFonts w:hint="eastAsia" w:eastAsia="仿宋_GB2312"/>
                <w:kern w:val="0"/>
                <w:sz w:val="18"/>
                <w:szCs w:val="18"/>
              </w:rPr>
              <w:t>2021</w:t>
            </w:r>
            <w:r>
              <w:rPr>
                <w:rFonts w:hint="eastAsia" w:ascii="仿宋_GB2312" w:hAnsi="宋体" w:eastAsia="仿宋_GB2312" w:cs="宋体"/>
                <w:kern w:val="0"/>
                <w:sz w:val="18"/>
                <w:szCs w:val="18"/>
              </w:rPr>
              <w:t>年整治任务</w:t>
            </w:r>
            <w:r>
              <w:rPr>
                <w:rFonts w:hint="eastAsia" w:eastAsia="仿宋_GB2312"/>
                <w:kern w:val="0"/>
                <w:sz w:val="18"/>
                <w:szCs w:val="18"/>
              </w:rPr>
              <w:t>98</w:t>
            </w:r>
            <w:r>
              <w:rPr>
                <w:rFonts w:hint="eastAsia" w:ascii="仿宋_GB2312" w:hAnsi="宋体" w:eastAsia="仿宋_GB2312" w:cs="宋体"/>
                <w:kern w:val="0"/>
                <w:sz w:val="18"/>
                <w:szCs w:val="18"/>
              </w:rPr>
              <w:t>个点位。</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150938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83000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83000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四、教育基础设施建设项目（共</w:t>
            </w:r>
            <w:r>
              <w:rPr>
                <w:rFonts w:hint="eastAsia" w:eastAsia="黑体"/>
                <w:b/>
                <w:bCs/>
                <w:kern w:val="0"/>
                <w:sz w:val="18"/>
                <w:szCs w:val="18"/>
              </w:rPr>
              <w:t>16</w:t>
            </w:r>
            <w:r>
              <w:rPr>
                <w:rFonts w:hint="eastAsia" w:ascii="黑体" w:hAnsi="黑体" w:eastAsia="黑体" w:cs="宋体"/>
                <w:b/>
                <w:bCs/>
                <w:kern w:val="0"/>
                <w:sz w:val="18"/>
                <w:szCs w:val="18"/>
              </w:rPr>
              <w:t>项，</w:t>
            </w:r>
            <w:r>
              <w:rPr>
                <w:rFonts w:hint="eastAsia" w:eastAsia="黑体"/>
                <w:b/>
                <w:bCs/>
                <w:kern w:val="0"/>
                <w:sz w:val="18"/>
                <w:szCs w:val="18"/>
              </w:rPr>
              <w:t>2021</w:t>
            </w:r>
            <w:r>
              <w:rPr>
                <w:rFonts w:hint="eastAsia" w:ascii="黑体" w:hAnsi="黑体" w:eastAsia="黑体" w:cs="宋体"/>
                <w:b/>
                <w:bCs/>
                <w:kern w:val="0"/>
                <w:sz w:val="18"/>
                <w:szCs w:val="18"/>
              </w:rPr>
              <w:t>年计划投资</w:t>
            </w:r>
            <w:r>
              <w:rPr>
                <w:rFonts w:hint="eastAsia" w:eastAsia="黑体"/>
                <w:b/>
                <w:bCs/>
                <w:kern w:val="0"/>
                <w:sz w:val="18"/>
                <w:szCs w:val="18"/>
              </w:rPr>
              <w:t>76845</w:t>
            </w:r>
            <w:r>
              <w:rPr>
                <w:rFonts w:hint="eastAsia" w:ascii="黑体" w:hAnsi="黑体" w:eastAsia="黑体" w:cs="宋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133865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76845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70746</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白沙地项目一期配套学校建设项目☆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配建小学</w:t>
            </w:r>
            <w:r>
              <w:rPr>
                <w:rFonts w:hint="eastAsia" w:eastAsia="仿宋_GB2312"/>
                <w:kern w:val="0"/>
                <w:sz w:val="18"/>
                <w:szCs w:val="18"/>
              </w:rPr>
              <w:t>36</w:t>
            </w:r>
            <w:r>
              <w:rPr>
                <w:rFonts w:hint="eastAsia" w:ascii="仿宋_GB2312" w:hAnsi="宋体" w:eastAsia="仿宋_GB2312" w:cs="宋体"/>
                <w:kern w:val="0"/>
                <w:sz w:val="18"/>
                <w:szCs w:val="18"/>
              </w:rPr>
              <w:t>班、初中</w:t>
            </w:r>
            <w:r>
              <w:rPr>
                <w:rFonts w:hint="eastAsia" w:eastAsia="仿宋_GB2312"/>
                <w:kern w:val="0"/>
                <w:sz w:val="18"/>
                <w:szCs w:val="18"/>
              </w:rPr>
              <w:t>18</w:t>
            </w:r>
            <w:r>
              <w:rPr>
                <w:rFonts w:hint="eastAsia" w:ascii="仿宋_GB2312" w:hAnsi="宋体" w:eastAsia="仿宋_GB2312" w:cs="宋体"/>
                <w:kern w:val="0"/>
                <w:sz w:val="18"/>
                <w:szCs w:val="18"/>
              </w:rPr>
              <w:t>班学校</w:t>
            </w:r>
            <w:r>
              <w:rPr>
                <w:rFonts w:hint="eastAsia" w:eastAsia="仿宋_GB2312"/>
                <w:kern w:val="0"/>
                <w:sz w:val="18"/>
                <w:szCs w:val="18"/>
              </w:rPr>
              <w:t>1</w:t>
            </w:r>
            <w:r>
              <w:rPr>
                <w:rFonts w:hint="eastAsia" w:ascii="仿宋_GB2312" w:hAnsi="宋体" w:eastAsia="仿宋_GB2312" w:cs="宋体"/>
                <w:kern w:val="0"/>
                <w:sz w:val="18"/>
                <w:szCs w:val="18"/>
              </w:rPr>
              <w:t>所。同步完善室外围墙、大门、运动场、室外绿化及景观、电气、给排水等室外附属配套设施。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29245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26414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26118</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项目进展顺利，初中部已投入使用。</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城中村改造</w:t>
            </w:r>
            <w:r>
              <w:rPr>
                <w:rFonts w:hint="eastAsia" w:eastAsia="仿宋_GB2312"/>
                <w:kern w:val="0"/>
                <w:sz w:val="18"/>
                <w:szCs w:val="18"/>
              </w:rPr>
              <w:t>52</w:t>
            </w:r>
            <w:r>
              <w:rPr>
                <w:rFonts w:hint="eastAsia" w:ascii="仿宋_GB2312" w:hAnsi="宋体" w:eastAsia="仿宋_GB2312" w:cs="宋体"/>
                <w:kern w:val="0"/>
                <w:sz w:val="18"/>
                <w:szCs w:val="18"/>
              </w:rPr>
              <w:t>号片区</w:t>
            </w:r>
            <w:r>
              <w:rPr>
                <w:rFonts w:hint="eastAsia" w:eastAsia="仿宋_GB2312"/>
                <w:kern w:val="0"/>
                <w:sz w:val="18"/>
                <w:szCs w:val="18"/>
              </w:rPr>
              <w:t>A1</w:t>
            </w:r>
            <w:r>
              <w:rPr>
                <w:rFonts w:hint="eastAsia" w:ascii="仿宋_GB2312" w:hAnsi="宋体" w:eastAsia="仿宋_GB2312" w:cs="宋体"/>
                <w:kern w:val="0"/>
                <w:sz w:val="18"/>
                <w:szCs w:val="18"/>
              </w:rPr>
              <w:t>地块</w:t>
            </w:r>
            <w:r>
              <w:rPr>
                <w:rFonts w:hint="eastAsia" w:eastAsia="仿宋_GB2312"/>
                <w:kern w:val="0"/>
                <w:sz w:val="18"/>
                <w:szCs w:val="18"/>
              </w:rPr>
              <w:t>12</w:t>
            </w:r>
            <w:r>
              <w:rPr>
                <w:rFonts w:hint="eastAsia" w:ascii="仿宋_GB2312" w:hAnsi="宋体" w:eastAsia="仿宋_GB2312" w:cs="宋体"/>
                <w:kern w:val="0"/>
                <w:sz w:val="18"/>
                <w:szCs w:val="18"/>
              </w:rPr>
              <w:t>班幼儿园建设项目☆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用地面积为</w:t>
            </w:r>
            <w:r>
              <w:rPr>
                <w:rFonts w:hint="eastAsia" w:eastAsia="仿宋_GB2312"/>
                <w:kern w:val="0"/>
                <w:sz w:val="18"/>
                <w:szCs w:val="18"/>
              </w:rPr>
              <w:t>4697</w:t>
            </w:r>
            <w:r>
              <w:rPr>
                <w:rFonts w:hint="eastAsia" w:ascii="仿宋_GB2312" w:hAnsi="宋体" w:eastAsia="仿宋_GB2312" w:cs="宋体"/>
                <w:kern w:val="0"/>
                <w:sz w:val="18"/>
                <w:szCs w:val="18"/>
              </w:rPr>
              <w:t>平方米，总建筑面积为</w:t>
            </w:r>
            <w:r>
              <w:rPr>
                <w:rFonts w:hint="eastAsia" w:eastAsia="仿宋_GB2312"/>
                <w:kern w:val="0"/>
                <w:sz w:val="18"/>
                <w:szCs w:val="18"/>
              </w:rPr>
              <w:t>4906</w:t>
            </w:r>
            <w:r>
              <w:rPr>
                <w:rFonts w:hint="eastAsia" w:ascii="仿宋_GB2312" w:hAnsi="宋体" w:eastAsia="仿宋_GB2312" w:cs="宋体"/>
                <w:kern w:val="0"/>
                <w:sz w:val="18"/>
                <w:szCs w:val="18"/>
              </w:rPr>
              <w:t>平方米，地上建筑面积</w:t>
            </w:r>
            <w:r>
              <w:rPr>
                <w:rFonts w:hint="eastAsia" w:eastAsia="仿宋_GB2312"/>
                <w:kern w:val="0"/>
                <w:sz w:val="18"/>
                <w:szCs w:val="18"/>
              </w:rPr>
              <w:t>4013</w:t>
            </w:r>
            <w:r>
              <w:rPr>
                <w:rFonts w:hint="eastAsia" w:ascii="仿宋_GB2312" w:hAnsi="宋体" w:eastAsia="仿宋_GB2312" w:cs="宋体"/>
                <w:kern w:val="0"/>
                <w:sz w:val="18"/>
                <w:szCs w:val="18"/>
              </w:rPr>
              <w:t>平方米，地下面积</w:t>
            </w:r>
            <w:r>
              <w:rPr>
                <w:rFonts w:hint="eastAsia" w:eastAsia="仿宋_GB2312"/>
                <w:kern w:val="0"/>
                <w:sz w:val="18"/>
                <w:szCs w:val="18"/>
              </w:rPr>
              <w:t>893</w:t>
            </w:r>
            <w:r>
              <w:rPr>
                <w:rFonts w:hint="eastAsia" w:ascii="仿宋_GB2312" w:hAnsi="宋体" w:eastAsia="仿宋_GB2312" w:cs="宋体"/>
                <w:kern w:val="0"/>
                <w:sz w:val="18"/>
                <w:szCs w:val="18"/>
              </w:rPr>
              <w:t>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2020.05</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2021.05</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2699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1889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1485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主体已经完工。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城中村改造</w:t>
            </w:r>
            <w:r>
              <w:rPr>
                <w:rFonts w:hint="eastAsia" w:eastAsia="仿宋_GB2312"/>
                <w:kern w:val="0"/>
                <w:sz w:val="18"/>
                <w:szCs w:val="18"/>
              </w:rPr>
              <w:t>52</w:t>
            </w:r>
            <w:r>
              <w:rPr>
                <w:rFonts w:hint="eastAsia" w:ascii="仿宋_GB2312" w:hAnsi="宋体" w:eastAsia="仿宋_GB2312" w:cs="宋体"/>
                <w:kern w:val="0"/>
                <w:sz w:val="18"/>
                <w:szCs w:val="18"/>
              </w:rPr>
              <w:t>号片区</w:t>
            </w:r>
            <w:r>
              <w:rPr>
                <w:rFonts w:hint="eastAsia" w:eastAsia="仿宋_GB2312"/>
                <w:kern w:val="0"/>
                <w:sz w:val="18"/>
                <w:szCs w:val="18"/>
              </w:rPr>
              <w:t>D1</w:t>
            </w:r>
            <w:r>
              <w:rPr>
                <w:rFonts w:hint="eastAsia" w:ascii="仿宋_GB2312" w:hAnsi="宋体" w:eastAsia="仿宋_GB2312" w:cs="宋体"/>
                <w:kern w:val="0"/>
                <w:sz w:val="18"/>
                <w:szCs w:val="18"/>
              </w:rPr>
              <w:t>地块</w:t>
            </w:r>
            <w:r>
              <w:rPr>
                <w:rFonts w:hint="eastAsia" w:eastAsia="仿宋_GB2312"/>
                <w:kern w:val="0"/>
                <w:sz w:val="18"/>
                <w:szCs w:val="18"/>
              </w:rPr>
              <w:t>18</w:t>
            </w:r>
            <w:r>
              <w:rPr>
                <w:rFonts w:hint="eastAsia" w:ascii="仿宋_GB2312" w:hAnsi="宋体" w:eastAsia="仿宋_GB2312" w:cs="宋体"/>
                <w:kern w:val="0"/>
                <w:sz w:val="18"/>
                <w:szCs w:val="18"/>
              </w:rPr>
              <w:t>班幼儿园建设项目☆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占地面积</w:t>
            </w:r>
            <w:r>
              <w:rPr>
                <w:rFonts w:hint="eastAsia" w:eastAsia="仿宋_GB2312"/>
                <w:kern w:val="0"/>
                <w:sz w:val="18"/>
                <w:szCs w:val="18"/>
              </w:rPr>
              <w:t>7020</w:t>
            </w:r>
            <w:r>
              <w:rPr>
                <w:rFonts w:hint="eastAsia" w:ascii="仿宋_GB2312" w:hAnsi="宋体" w:eastAsia="仿宋_GB2312" w:cs="宋体"/>
                <w:kern w:val="0"/>
                <w:sz w:val="18"/>
                <w:szCs w:val="18"/>
              </w:rPr>
              <w:t>平方米，建筑面积</w:t>
            </w:r>
            <w:r>
              <w:rPr>
                <w:rFonts w:hint="eastAsia" w:eastAsia="仿宋_GB2312"/>
                <w:kern w:val="0"/>
                <w:sz w:val="18"/>
                <w:szCs w:val="18"/>
              </w:rPr>
              <w:t>7360</w:t>
            </w:r>
            <w:r>
              <w:rPr>
                <w:rFonts w:hint="eastAsia" w:ascii="仿宋_GB2312" w:hAnsi="宋体" w:eastAsia="仿宋_GB2312" w:cs="宋体"/>
                <w:kern w:val="0"/>
                <w:sz w:val="18"/>
                <w:szCs w:val="18"/>
              </w:rPr>
              <w:t>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4048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2833</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2226</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主体已经完工。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城中村改造3号片区配套21班幼儿园建设项目☆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总建筑面积为</w:t>
            </w:r>
            <w:r>
              <w:rPr>
                <w:rFonts w:hint="eastAsia" w:eastAsia="仿宋_GB2312"/>
                <w:kern w:val="0"/>
                <w:sz w:val="18"/>
                <w:szCs w:val="18"/>
              </w:rPr>
              <w:t>7113</w:t>
            </w:r>
            <w:r>
              <w:rPr>
                <w:rFonts w:hint="eastAsia" w:ascii="仿宋_GB2312" w:hAnsi="宋体" w:eastAsia="仿宋_GB2312" w:cs="宋体"/>
                <w:kern w:val="0"/>
                <w:sz w:val="18"/>
                <w:szCs w:val="18"/>
              </w:rPr>
              <w:t>平方米，其中：地上建筑面积为</w:t>
            </w:r>
            <w:r>
              <w:rPr>
                <w:rFonts w:hint="eastAsia" w:eastAsia="仿宋_GB2312"/>
                <w:kern w:val="0"/>
                <w:sz w:val="18"/>
                <w:szCs w:val="18"/>
              </w:rPr>
              <w:t>6886</w:t>
            </w:r>
            <w:r>
              <w:rPr>
                <w:rFonts w:hint="eastAsia" w:ascii="仿宋_GB2312" w:hAnsi="宋体" w:eastAsia="仿宋_GB2312" w:cs="宋体"/>
                <w:kern w:val="0"/>
                <w:sz w:val="18"/>
                <w:szCs w:val="18"/>
              </w:rPr>
              <w:t>平方米，地下建筑面积为</w:t>
            </w:r>
            <w:r>
              <w:rPr>
                <w:rFonts w:hint="eastAsia" w:eastAsia="仿宋_GB2312"/>
                <w:kern w:val="0"/>
                <w:sz w:val="18"/>
                <w:szCs w:val="18"/>
              </w:rPr>
              <w:t>227</w:t>
            </w:r>
            <w:r>
              <w:rPr>
                <w:rFonts w:hint="eastAsia" w:ascii="仿宋_GB2312" w:hAnsi="宋体" w:eastAsia="仿宋_GB2312" w:cs="宋体"/>
                <w:kern w:val="0"/>
                <w:sz w:val="18"/>
                <w:szCs w:val="18"/>
              </w:rPr>
              <w:t>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3529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2470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2137</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2"/>
                <w:kern w:val="0"/>
                <w:sz w:val="18"/>
                <w:szCs w:val="18"/>
              </w:rPr>
            </w:pPr>
            <w:r>
              <w:rPr>
                <w:rFonts w:hint="eastAsia" w:ascii="仿宋_GB2312" w:hAnsi="宋体" w:eastAsia="仿宋_GB2312" w:cs="宋体"/>
                <w:spacing w:val="-12"/>
                <w:kern w:val="0"/>
                <w:sz w:val="18"/>
                <w:szCs w:val="18"/>
              </w:rPr>
              <w:t>城中村改造</w:t>
            </w:r>
            <w:r>
              <w:rPr>
                <w:rFonts w:hint="eastAsia" w:eastAsia="仿宋_GB2312"/>
                <w:spacing w:val="-12"/>
                <w:kern w:val="0"/>
                <w:sz w:val="18"/>
                <w:szCs w:val="18"/>
              </w:rPr>
              <w:t>21</w:t>
            </w:r>
            <w:r>
              <w:rPr>
                <w:rFonts w:hint="eastAsia" w:ascii="仿宋_GB2312" w:hAnsi="宋体" w:eastAsia="仿宋_GB2312" w:cs="宋体"/>
                <w:spacing w:val="-12"/>
                <w:kern w:val="0"/>
                <w:sz w:val="18"/>
                <w:szCs w:val="18"/>
              </w:rPr>
              <w:t>号片区</w:t>
            </w:r>
            <w:r>
              <w:rPr>
                <w:rFonts w:hint="eastAsia" w:eastAsia="仿宋_GB2312"/>
                <w:spacing w:val="-12"/>
                <w:kern w:val="0"/>
                <w:sz w:val="18"/>
                <w:szCs w:val="18"/>
              </w:rPr>
              <w:t>A2—3</w:t>
            </w:r>
            <w:r>
              <w:rPr>
                <w:rFonts w:hint="eastAsia" w:ascii="仿宋_GB2312" w:hAnsi="宋体" w:eastAsia="仿宋_GB2312" w:cs="宋体"/>
                <w:spacing w:val="-12"/>
                <w:kern w:val="0"/>
                <w:sz w:val="18"/>
                <w:szCs w:val="18"/>
              </w:rPr>
              <w:t>地块</w:t>
            </w:r>
            <w:r>
              <w:rPr>
                <w:rFonts w:hint="eastAsia" w:eastAsia="仿宋_GB2312"/>
                <w:spacing w:val="-12"/>
                <w:kern w:val="0"/>
                <w:sz w:val="18"/>
                <w:szCs w:val="18"/>
              </w:rPr>
              <w:t>6</w:t>
            </w:r>
            <w:r>
              <w:rPr>
                <w:rFonts w:hint="eastAsia" w:ascii="仿宋_GB2312" w:hAnsi="宋体" w:eastAsia="仿宋_GB2312" w:cs="宋体"/>
                <w:spacing w:val="-12"/>
                <w:kern w:val="0"/>
                <w:sz w:val="18"/>
                <w:szCs w:val="18"/>
              </w:rPr>
              <w:t>班幼儿园建设项目☆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用地面积为</w:t>
            </w:r>
            <w:r>
              <w:rPr>
                <w:rFonts w:hint="eastAsia" w:eastAsia="仿宋_GB2312"/>
                <w:kern w:val="0"/>
                <w:sz w:val="18"/>
                <w:szCs w:val="18"/>
              </w:rPr>
              <w:t>3226</w:t>
            </w:r>
            <w:r>
              <w:rPr>
                <w:rFonts w:hint="eastAsia" w:ascii="仿宋_GB2312" w:hAnsi="宋体" w:eastAsia="仿宋_GB2312" w:cs="宋体"/>
                <w:kern w:val="0"/>
                <w:sz w:val="18"/>
                <w:szCs w:val="18"/>
              </w:rPr>
              <w:t>平方米，总建筑面积为</w:t>
            </w:r>
            <w:r>
              <w:rPr>
                <w:rFonts w:hint="eastAsia" w:eastAsia="仿宋_GB2312"/>
                <w:kern w:val="0"/>
                <w:sz w:val="18"/>
                <w:szCs w:val="18"/>
              </w:rPr>
              <w:t>2677</w:t>
            </w:r>
            <w:r>
              <w:rPr>
                <w:rFonts w:hint="eastAsia" w:ascii="仿宋_GB2312" w:hAnsi="宋体" w:eastAsia="仿宋_GB2312" w:cs="宋体"/>
                <w:kern w:val="0"/>
                <w:sz w:val="18"/>
                <w:szCs w:val="18"/>
              </w:rPr>
              <w:t>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1835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1285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1009</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主体工程已完工，正进行分项验收。</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西山区第一中学普通高中强基提质暨排危改造（二期）工程☆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拆除危旧建筑</w:t>
            </w:r>
            <w:r>
              <w:rPr>
                <w:rFonts w:hint="eastAsia" w:eastAsia="仿宋_GB2312"/>
                <w:kern w:val="0"/>
                <w:sz w:val="18"/>
                <w:szCs w:val="18"/>
              </w:rPr>
              <w:t>5610</w:t>
            </w:r>
            <w:r>
              <w:rPr>
                <w:rFonts w:hint="eastAsia" w:ascii="仿宋_GB2312" w:hAnsi="宋体" w:eastAsia="仿宋_GB2312" w:cs="宋体"/>
                <w:kern w:val="0"/>
                <w:sz w:val="18"/>
                <w:szCs w:val="18"/>
              </w:rPr>
              <w:t>平方米，新建教学综合楼</w:t>
            </w:r>
            <w:r>
              <w:rPr>
                <w:rFonts w:hint="eastAsia" w:eastAsia="仿宋_GB2312"/>
                <w:kern w:val="0"/>
                <w:sz w:val="18"/>
                <w:szCs w:val="18"/>
              </w:rPr>
              <w:t>1</w:t>
            </w:r>
            <w:r>
              <w:rPr>
                <w:rFonts w:hint="eastAsia" w:ascii="仿宋_GB2312" w:hAnsi="宋体" w:eastAsia="仿宋_GB2312" w:cs="宋体"/>
                <w:kern w:val="0"/>
                <w:sz w:val="18"/>
                <w:szCs w:val="18"/>
              </w:rPr>
              <w:t>幢，总建筑面积</w:t>
            </w:r>
            <w:r>
              <w:rPr>
                <w:rFonts w:hint="eastAsia" w:eastAsia="仿宋_GB2312"/>
                <w:kern w:val="0"/>
                <w:sz w:val="18"/>
                <w:szCs w:val="18"/>
              </w:rPr>
              <w:t>3.7</w:t>
            </w:r>
            <w:r>
              <w:rPr>
                <w:rFonts w:hint="eastAsia" w:ascii="仿宋_GB2312" w:hAnsi="宋体" w:eastAsia="仿宋_GB2312" w:cs="宋体"/>
                <w:kern w:val="0"/>
                <w:sz w:val="18"/>
                <w:szCs w:val="18"/>
              </w:rPr>
              <w:t>万平方米，同步完善附属配套设施。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22154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11995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11995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主体已完工。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草海文化旅游项目配套</w:t>
            </w:r>
            <w:r>
              <w:rPr>
                <w:rFonts w:hint="eastAsia" w:eastAsia="仿宋_GB2312"/>
                <w:kern w:val="0"/>
                <w:sz w:val="18"/>
                <w:szCs w:val="18"/>
              </w:rPr>
              <w:t>39</w:t>
            </w:r>
            <w:r>
              <w:rPr>
                <w:rFonts w:hint="eastAsia" w:ascii="仿宋_GB2312" w:hAnsi="宋体" w:eastAsia="仿宋_GB2312" w:cs="宋体"/>
                <w:kern w:val="0"/>
                <w:sz w:val="18"/>
                <w:szCs w:val="18"/>
              </w:rPr>
              <w:t>班完全中学建设项目☆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新建教学楼、实验楼、行政办公楼、教育公寓、学生宿舍、风雨操场、门房、游泳馆、图书馆、教学空间、餐厅、厨房、车库等同步完善室外墙、大门、绿化及景观、电气、给排水等附属配套设施。总建筑面积5.9万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52027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17693</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17693</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城中村改造35号片区配套18班幼儿园建设项目☆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总用地面积</w:t>
            </w:r>
            <w:r>
              <w:rPr>
                <w:rFonts w:hint="eastAsia" w:eastAsia="仿宋_GB2312"/>
                <w:kern w:val="0"/>
                <w:sz w:val="18"/>
                <w:szCs w:val="18"/>
              </w:rPr>
              <w:t>7020</w:t>
            </w:r>
            <w:r>
              <w:rPr>
                <w:rFonts w:hint="eastAsia" w:ascii="仿宋_GB2312" w:hAnsi="宋体" w:eastAsia="仿宋_GB2312" w:cs="宋体"/>
                <w:kern w:val="0"/>
                <w:sz w:val="18"/>
                <w:szCs w:val="18"/>
              </w:rPr>
              <w:t>平方米，计划总建筑面积</w:t>
            </w:r>
            <w:r>
              <w:rPr>
                <w:rFonts w:hint="eastAsia" w:eastAsia="仿宋_GB2312"/>
                <w:kern w:val="0"/>
                <w:sz w:val="18"/>
                <w:szCs w:val="18"/>
              </w:rPr>
              <w:t>6158</w:t>
            </w:r>
            <w:r>
              <w:rPr>
                <w:rFonts w:hint="eastAsia" w:ascii="仿宋_GB2312" w:hAnsi="宋体" w:eastAsia="仿宋_GB2312" w:cs="宋体"/>
                <w:kern w:val="0"/>
                <w:sz w:val="18"/>
                <w:szCs w:val="18"/>
              </w:rPr>
              <w:t>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2021.07</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3400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1300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1227</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螺蛳湾片区配套</w:t>
            </w:r>
            <w:r>
              <w:rPr>
                <w:rFonts w:hint="eastAsia" w:eastAsia="仿宋_GB2312"/>
                <w:kern w:val="0"/>
                <w:sz w:val="18"/>
                <w:szCs w:val="18"/>
              </w:rPr>
              <w:t>24</w:t>
            </w:r>
            <w:r>
              <w:rPr>
                <w:rFonts w:hint="eastAsia" w:ascii="仿宋_GB2312" w:hAnsi="宋体" w:eastAsia="仿宋_GB2312" w:cs="宋体"/>
                <w:kern w:val="0"/>
                <w:sz w:val="18"/>
                <w:szCs w:val="18"/>
              </w:rPr>
              <w:t>班小学建设项目☆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用地面积为</w:t>
            </w:r>
            <w:r>
              <w:rPr>
                <w:rFonts w:hint="eastAsia" w:eastAsia="仿宋_GB2312"/>
                <w:kern w:val="0"/>
                <w:sz w:val="18"/>
                <w:szCs w:val="18"/>
              </w:rPr>
              <w:t>1.5</w:t>
            </w:r>
            <w:r>
              <w:rPr>
                <w:rFonts w:hint="eastAsia" w:ascii="仿宋_GB2312" w:hAnsi="宋体" w:eastAsia="仿宋_GB2312" w:cs="宋体"/>
                <w:kern w:val="0"/>
                <w:sz w:val="18"/>
                <w:szCs w:val="18"/>
              </w:rPr>
              <w:t>万平方米，总建筑面积为</w:t>
            </w:r>
            <w:r>
              <w:rPr>
                <w:rFonts w:hint="eastAsia" w:eastAsia="仿宋_GB2312"/>
                <w:kern w:val="0"/>
                <w:sz w:val="18"/>
                <w:szCs w:val="18"/>
              </w:rPr>
              <w:t>8632</w:t>
            </w:r>
            <w:r>
              <w:rPr>
                <w:rFonts w:hint="eastAsia" w:ascii="仿宋_GB2312" w:hAnsi="宋体" w:eastAsia="仿宋_GB2312" w:cs="宋体"/>
                <w:kern w:val="0"/>
                <w:sz w:val="18"/>
                <w:szCs w:val="18"/>
              </w:rPr>
              <w:t>平方米，地下建筑面积</w:t>
            </w:r>
            <w:r>
              <w:rPr>
                <w:rFonts w:hint="eastAsia" w:eastAsia="仿宋_GB2312"/>
                <w:kern w:val="0"/>
                <w:sz w:val="18"/>
                <w:szCs w:val="18"/>
              </w:rPr>
              <w:t>180</w:t>
            </w:r>
            <w:r>
              <w:rPr>
                <w:rFonts w:hint="eastAsia" w:ascii="仿宋_GB2312" w:hAnsi="宋体" w:eastAsia="仿宋_GB2312" w:cs="宋体"/>
                <w:kern w:val="0"/>
                <w:sz w:val="18"/>
                <w:szCs w:val="18"/>
              </w:rPr>
              <w:t>平方米，按</w:t>
            </w:r>
            <w:r>
              <w:rPr>
                <w:rFonts w:hint="eastAsia" w:eastAsia="仿宋_GB2312"/>
                <w:kern w:val="0"/>
                <w:sz w:val="18"/>
                <w:szCs w:val="18"/>
              </w:rPr>
              <w:t>24</w:t>
            </w:r>
            <w:r>
              <w:rPr>
                <w:rFonts w:hint="eastAsia" w:ascii="仿宋_GB2312" w:hAnsi="宋体" w:eastAsia="仿宋_GB2312" w:cs="宋体"/>
                <w:kern w:val="0"/>
                <w:sz w:val="18"/>
                <w:szCs w:val="18"/>
              </w:rPr>
              <w:t>班规模建设。</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4748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3798</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3582</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主体已完工。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公办学校</w:t>
            </w:r>
            <w:r>
              <w:rPr>
                <w:rFonts w:hint="eastAsia" w:eastAsia="仿宋_GB2312"/>
                <w:kern w:val="0"/>
                <w:sz w:val="18"/>
                <w:szCs w:val="18"/>
              </w:rPr>
              <w:t>“1+N"</w:t>
            </w:r>
            <w:r>
              <w:rPr>
                <w:rFonts w:hint="eastAsia" w:ascii="仿宋_GB2312" w:hAnsi="宋体" w:eastAsia="仿宋_GB2312" w:cs="宋体"/>
                <w:kern w:val="0"/>
                <w:sz w:val="18"/>
                <w:szCs w:val="18"/>
              </w:rPr>
              <w:t>同步课堂项目☆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为全区剩余</w:t>
            </w:r>
            <w:r>
              <w:rPr>
                <w:rFonts w:hint="eastAsia" w:eastAsia="仿宋_GB2312"/>
                <w:kern w:val="0"/>
                <w:sz w:val="18"/>
                <w:szCs w:val="18"/>
              </w:rPr>
              <w:t>1256</w:t>
            </w:r>
            <w:r>
              <w:rPr>
                <w:rFonts w:hint="eastAsia" w:ascii="仿宋_GB2312" w:hAnsi="宋体" w:eastAsia="仿宋_GB2312" w:cs="宋体"/>
                <w:kern w:val="0"/>
                <w:sz w:val="18"/>
                <w:szCs w:val="18"/>
              </w:rPr>
              <w:t>间教室配置</w:t>
            </w:r>
            <w:r>
              <w:rPr>
                <w:rFonts w:hint="eastAsia" w:eastAsia="仿宋_GB2312"/>
                <w:kern w:val="0"/>
                <w:sz w:val="18"/>
                <w:szCs w:val="18"/>
              </w:rPr>
              <w:t>“1+N”</w:t>
            </w:r>
            <w:r>
              <w:rPr>
                <w:rFonts w:hint="eastAsia" w:ascii="仿宋_GB2312" w:hAnsi="宋体" w:eastAsia="仿宋_GB2312" w:cs="宋体"/>
                <w:kern w:val="0"/>
                <w:sz w:val="18"/>
                <w:szCs w:val="18"/>
              </w:rPr>
              <w:t>设备。</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1125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海口依兰中心双哨分校综合楼建设项目☆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新建教学综合楼</w:t>
            </w:r>
            <w:r>
              <w:rPr>
                <w:rFonts w:hint="eastAsia" w:eastAsia="仿宋_GB2312"/>
                <w:kern w:val="0"/>
                <w:sz w:val="18"/>
                <w:szCs w:val="18"/>
              </w:rPr>
              <w:t>1</w:t>
            </w:r>
            <w:r>
              <w:rPr>
                <w:rFonts w:hint="eastAsia" w:ascii="仿宋_GB2312" w:hAnsi="宋体" w:eastAsia="仿宋_GB2312" w:cs="宋体"/>
                <w:kern w:val="0"/>
                <w:sz w:val="18"/>
                <w:szCs w:val="18"/>
              </w:rPr>
              <w:t>幢，建筑面积</w:t>
            </w:r>
            <w:r>
              <w:rPr>
                <w:rFonts w:hint="eastAsia" w:eastAsia="仿宋_GB2312"/>
                <w:kern w:val="0"/>
                <w:sz w:val="18"/>
                <w:szCs w:val="18"/>
              </w:rPr>
              <w:t>2672</w:t>
            </w:r>
            <w:r>
              <w:rPr>
                <w:rFonts w:hint="eastAsia" w:ascii="仿宋_GB2312" w:hAnsi="宋体" w:eastAsia="仿宋_GB2312" w:cs="宋体"/>
                <w:kern w:val="0"/>
                <w:sz w:val="18"/>
                <w:szCs w:val="18"/>
              </w:rPr>
              <w:t>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1637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1310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正开展前期工作，已通过初设评审。</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公办学校灯光改造项目☆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为全区剩余</w:t>
            </w:r>
            <w:r>
              <w:rPr>
                <w:rFonts w:hint="eastAsia" w:eastAsia="仿宋_GB2312"/>
                <w:kern w:val="0"/>
                <w:sz w:val="18"/>
                <w:szCs w:val="18"/>
              </w:rPr>
              <w:t>1159</w:t>
            </w:r>
            <w:r>
              <w:rPr>
                <w:rFonts w:hint="eastAsia" w:ascii="仿宋_GB2312" w:hAnsi="宋体" w:eastAsia="仿宋_GB2312" w:cs="宋体"/>
                <w:kern w:val="0"/>
                <w:sz w:val="18"/>
                <w:szCs w:val="18"/>
              </w:rPr>
              <w:t>间教室更换护眼灯。</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824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824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879</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一乡一公办幼儿园建设项目☆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利用现有校舍改造</w:t>
            </w:r>
            <w:r>
              <w:rPr>
                <w:rFonts w:hint="eastAsia" w:eastAsia="仿宋_GB2312"/>
                <w:kern w:val="0"/>
                <w:sz w:val="18"/>
                <w:szCs w:val="18"/>
              </w:rPr>
              <w:t>2</w:t>
            </w:r>
            <w:r>
              <w:rPr>
                <w:rFonts w:hint="eastAsia" w:ascii="仿宋_GB2312" w:hAnsi="宋体" w:eastAsia="仿宋_GB2312" w:cs="宋体"/>
                <w:kern w:val="0"/>
                <w:sz w:val="18"/>
                <w:szCs w:val="18"/>
              </w:rPr>
              <w:t>所</w:t>
            </w:r>
            <w:r>
              <w:rPr>
                <w:rFonts w:hint="eastAsia" w:eastAsia="仿宋_GB2312"/>
                <w:kern w:val="0"/>
                <w:sz w:val="18"/>
                <w:szCs w:val="18"/>
              </w:rPr>
              <w:t>6</w:t>
            </w:r>
            <w:r>
              <w:rPr>
                <w:rFonts w:hint="eastAsia" w:ascii="仿宋_GB2312" w:hAnsi="宋体" w:eastAsia="仿宋_GB2312" w:cs="宋体"/>
                <w:kern w:val="0"/>
                <w:sz w:val="18"/>
                <w:szCs w:val="18"/>
              </w:rPr>
              <w:t>班幼儿园。</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850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850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762</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西山区第十八幼儿园拆除重建项目☆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用地面积</w:t>
            </w:r>
            <w:r>
              <w:rPr>
                <w:rFonts w:hint="eastAsia" w:eastAsia="仿宋_GB2312"/>
                <w:kern w:val="0"/>
                <w:sz w:val="18"/>
                <w:szCs w:val="18"/>
              </w:rPr>
              <w:t>3510</w:t>
            </w:r>
            <w:r>
              <w:rPr>
                <w:rFonts w:hint="eastAsia" w:ascii="仿宋_GB2312" w:hAnsi="宋体" w:eastAsia="仿宋_GB2312" w:cs="宋体"/>
                <w:kern w:val="0"/>
                <w:sz w:val="18"/>
                <w:szCs w:val="18"/>
              </w:rPr>
              <w:t>平方米，建筑面积</w:t>
            </w:r>
            <w:r>
              <w:rPr>
                <w:rFonts w:hint="eastAsia" w:eastAsia="仿宋_GB2312"/>
                <w:kern w:val="0"/>
                <w:sz w:val="18"/>
                <w:szCs w:val="18"/>
              </w:rPr>
              <w:t>3510</w:t>
            </w:r>
            <w:r>
              <w:rPr>
                <w:rFonts w:hint="eastAsia" w:ascii="仿宋_GB2312" w:hAnsi="宋体" w:eastAsia="仿宋_GB2312" w:cs="宋体"/>
                <w:kern w:val="0"/>
                <w:sz w:val="18"/>
                <w:szCs w:val="18"/>
              </w:rPr>
              <w:t>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2720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2176</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正开展前期工作，办理工程规划许可证。</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西山区草海</w:t>
            </w:r>
            <w:r>
              <w:rPr>
                <w:rFonts w:hint="eastAsia" w:eastAsia="仿宋_GB2312"/>
                <w:kern w:val="0"/>
                <w:sz w:val="18"/>
                <w:szCs w:val="18"/>
              </w:rPr>
              <w:t>2</w:t>
            </w:r>
            <w:r>
              <w:rPr>
                <w:rFonts w:hint="eastAsia" w:ascii="仿宋_GB2312" w:hAnsi="宋体" w:eastAsia="仿宋_GB2312" w:cs="宋体"/>
                <w:kern w:val="0"/>
                <w:sz w:val="18"/>
                <w:szCs w:val="18"/>
              </w:rPr>
              <w:t>号地块配套幼儿园</w:t>
            </w:r>
            <w:r>
              <w:rPr>
                <w:rFonts w:hint="eastAsia" w:eastAsia="仿宋_GB2312"/>
                <w:kern w:val="0"/>
                <w:sz w:val="18"/>
                <w:szCs w:val="18"/>
              </w:rPr>
              <w:t>A</w:t>
            </w:r>
            <w:r>
              <w:rPr>
                <w:rFonts w:hint="eastAsia" w:ascii="仿宋_GB2312" w:hAnsi="宋体" w:eastAsia="仿宋_GB2312" w:cs="宋体"/>
                <w:kern w:val="0"/>
                <w:sz w:val="18"/>
                <w:szCs w:val="18"/>
              </w:rPr>
              <w:t>园提升改造项目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计划提升改造建筑面积</w:t>
            </w:r>
            <w:r>
              <w:rPr>
                <w:rFonts w:hint="eastAsia" w:eastAsia="仿宋_GB2312"/>
                <w:kern w:val="0"/>
                <w:sz w:val="18"/>
                <w:szCs w:val="18"/>
              </w:rPr>
              <w:t>4013</w:t>
            </w:r>
            <w:r>
              <w:rPr>
                <w:rFonts w:hint="eastAsia" w:ascii="仿宋_GB2312" w:hAnsi="宋体" w:eastAsia="仿宋_GB2312" w:cs="宋体"/>
                <w:kern w:val="0"/>
                <w:sz w:val="18"/>
                <w:szCs w:val="18"/>
              </w:rPr>
              <w:t>平方米，新增教育教学设施设备</w:t>
            </w:r>
            <w:r>
              <w:rPr>
                <w:rFonts w:hint="eastAsia" w:eastAsia="仿宋_GB2312"/>
                <w:kern w:val="0"/>
                <w:sz w:val="18"/>
                <w:szCs w:val="18"/>
              </w:rPr>
              <w:t>1</w:t>
            </w:r>
            <w:r>
              <w:rPr>
                <w:rFonts w:hint="eastAsia" w:ascii="仿宋_GB2312" w:hAnsi="宋体" w:eastAsia="仿宋_GB2312" w:cs="宋体"/>
                <w:kern w:val="0"/>
                <w:sz w:val="18"/>
                <w:szCs w:val="18"/>
              </w:rPr>
              <w:t>套，并同步配套完善户外游戏场地等。</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2021.08</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545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508</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508</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西山区第一中学学生宿舍排危加固修缮工程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高新区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学生宿舍排危加固修缮。</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603.78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2"/>
                <w:kern w:val="0"/>
                <w:sz w:val="18"/>
                <w:szCs w:val="18"/>
              </w:rPr>
            </w:pPr>
            <w:r>
              <w:rPr>
                <w:rFonts w:hint="eastAsia" w:ascii="仿宋_GB2312" w:hAnsi="宋体" w:eastAsia="仿宋_GB2312" w:cs="宋体"/>
                <w:spacing w:val="-12"/>
                <w:kern w:val="0"/>
                <w:sz w:val="18"/>
                <w:szCs w:val="18"/>
              </w:rPr>
              <w:t>正在开展前期工作，已完成施工招标。</w:t>
            </w:r>
          </w:p>
        </w:tc>
      </w:tr>
      <w:tr>
        <w:tblPrEx>
          <w:tblLayout w:type="fixed"/>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五、社会民生建设项目（共</w:t>
            </w:r>
            <w:r>
              <w:rPr>
                <w:rFonts w:hint="eastAsia" w:eastAsia="黑体"/>
                <w:b/>
                <w:bCs/>
                <w:kern w:val="0"/>
                <w:sz w:val="18"/>
                <w:szCs w:val="18"/>
              </w:rPr>
              <w:t>8</w:t>
            </w:r>
            <w:r>
              <w:rPr>
                <w:rFonts w:hint="eastAsia" w:ascii="黑体" w:hAnsi="黑体" w:eastAsia="黑体" w:cs="宋体"/>
                <w:b/>
                <w:bCs/>
                <w:kern w:val="0"/>
                <w:sz w:val="18"/>
                <w:szCs w:val="18"/>
              </w:rPr>
              <w:t>项，</w:t>
            </w:r>
            <w:r>
              <w:rPr>
                <w:rFonts w:hint="eastAsia" w:eastAsia="黑体"/>
                <w:b/>
                <w:bCs/>
                <w:kern w:val="0"/>
                <w:sz w:val="18"/>
                <w:szCs w:val="18"/>
              </w:rPr>
              <w:t>2021</w:t>
            </w:r>
            <w:r>
              <w:rPr>
                <w:rFonts w:hint="eastAsia" w:ascii="黑体" w:hAnsi="黑体" w:eastAsia="黑体" w:cs="宋体"/>
                <w:b/>
                <w:bCs/>
                <w:kern w:val="0"/>
                <w:sz w:val="18"/>
                <w:szCs w:val="18"/>
              </w:rPr>
              <w:t>年计划投资</w:t>
            </w:r>
            <w:r>
              <w:rPr>
                <w:rFonts w:hint="eastAsia" w:eastAsia="黑体"/>
                <w:b/>
                <w:bCs/>
                <w:kern w:val="0"/>
                <w:sz w:val="18"/>
                <w:szCs w:val="18"/>
              </w:rPr>
              <w:t>11479</w:t>
            </w:r>
            <w:r>
              <w:rPr>
                <w:rFonts w:hint="eastAsia" w:ascii="黑体" w:hAnsi="黑体" w:eastAsia="黑体" w:cs="宋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18627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11479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5998</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2020</w:t>
            </w:r>
            <w:r>
              <w:rPr>
                <w:rFonts w:hint="eastAsia" w:ascii="仿宋_GB2312" w:eastAsia="仿宋_GB2312"/>
                <w:kern w:val="0"/>
                <w:sz w:val="18"/>
                <w:szCs w:val="18"/>
              </w:rPr>
              <w:t>年老旧小区改造项目</w:t>
            </w:r>
            <w:r>
              <w:rPr>
                <w:rFonts w:hint="eastAsia" w:ascii="宋体" w:hAnsi="宋体" w:eastAsia="仿宋_GB2312"/>
                <w:kern w:val="0"/>
                <w:sz w:val="18"/>
                <w:szCs w:val="18"/>
              </w:rPr>
              <w:t>☆</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对小区内道路改造；供水、燃气、电力一户一表改造；屋面防水；楼道粉刷；增加安防系统及相应设施；建设立体停车场等。</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3542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1882</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1882</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西山区公安分局一站式办案中心☆</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西山区看守所</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昆明市公安局西山分局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拟建一站式执法办案中心用房</w:t>
            </w:r>
            <w:r>
              <w:rPr>
                <w:rFonts w:hint="eastAsia" w:eastAsia="仿宋_GB2312"/>
                <w:kern w:val="0"/>
                <w:sz w:val="18"/>
                <w:szCs w:val="18"/>
              </w:rPr>
              <w:t>1幢</w:t>
            </w:r>
            <w:r>
              <w:rPr>
                <w:rFonts w:hint="eastAsia" w:ascii="仿宋_GB2312" w:hAnsi="宋体" w:eastAsia="仿宋_GB2312" w:cs="宋体"/>
                <w:kern w:val="0"/>
                <w:sz w:val="18"/>
                <w:szCs w:val="18"/>
              </w:rPr>
              <w:t>，</w:t>
            </w:r>
            <w:r>
              <w:rPr>
                <w:rFonts w:hint="eastAsia" w:eastAsia="仿宋_GB2312"/>
                <w:kern w:val="0"/>
                <w:sz w:val="18"/>
                <w:szCs w:val="18"/>
              </w:rPr>
              <w:t>3</w:t>
            </w:r>
            <w:r>
              <w:rPr>
                <w:rFonts w:hint="eastAsia" w:ascii="仿宋_GB2312" w:hAnsi="宋体" w:eastAsia="仿宋_GB2312" w:cs="宋体"/>
                <w:kern w:val="0"/>
                <w:sz w:val="18"/>
                <w:szCs w:val="18"/>
              </w:rPr>
              <w:t>层框架结构，项目总建筑面积为</w:t>
            </w:r>
            <w:r>
              <w:rPr>
                <w:rFonts w:hint="eastAsia" w:eastAsia="仿宋_GB2312"/>
                <w:kern w:val="0"/>
                <w:sz w:val="18"/>
                <w:szCs w:val="18"/>
              </w:rPr>
              <w:t>3965</w:t>
            </w:r>
            <w:r>
              <w:rPr>
                <w:rFonts w:hint="eastAsia" w:ascii="仿宋_GB2312" w:hAnsi="宋体" w:eastAsia="仿宋_GB2312" w:cs="宋体"/>
                <w:kern w:val="0"/>
                <w:sz w:val="18"/>
                <w:szCs w:val="18"/>
              </w:rPr>
              <w:t>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2021.07</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4337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3916</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1099</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主体建筑已完成，正在进行装修及信息化建设。</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福海、滇池派出所排危修缮项目☆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昆明市公安局西山分局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福海派出所建设</w:t>
            </w:r>
            <w:r>
              <w:rPr>
                <w:rFonts w:hint="eastAsia" w:eastAsia="仿宋_GB2312"/>
                <w:kern w:val="0"/>
                <w:sz w:val="18"/>
                <w:szCs w:val="18"/>
              </w:rPr>
              <w:t>3500</w:t>
            </w:r>
            <w:r>
              <w:rPr>
                <w:rFonts w:hint="eastAsia" w:ascii="仿宋_GB2312" w:hAnsi="宋体" w:eastAsia="仿宋_GB2312" w:cs="宋体"/>
                <w:kern w:val="0"/>
                <w:sz w:val="18"/>
                <w:szCs w:val="18"/>
              </w:rPr>
              <w:t>平方米办公业务用房，滇池派出所建设</w:t>
            </w:r>
            <w:r>
              <w:rPr>
                <w:rFonts w:hint="eastAsia" w:eastAsia="仿宋_GB2312"/>
                <w:kern w:val="0"/>
                <w:sz w:val="18"/>
                <w:szCs w:val="18"/>
              </w:rPr>
              <w:t>2500</w:t>
            </w:r>
            <w:r>
              <w:rPr>
                <w:rFonts w:hint="eastAsia" w:ascii="仿宋_GB2312" w:hAnsi="宋体" w:eastAsia="仿宋_GB2312" w:cs="宋体"/>
                <w:kern w:val="0"/>
                <w:sz w:val="18"/>
                <w:szCs w:val="18"/>
              </w:rPr>
              <w:t>平方米办公业务用房，均为</w:t>
            </w:r>
            <w:r>
              <w:rPr>
                <w:rFonts w:hint="eastAsia" w:eastAsia="仿宋_GB2312"/>
                <w:kern w:val="0"/>
                <w:sz w:val="18"/>
                <w:szCs w:val="18"/>
              </w:rPr>
              <w:t>1</w:t>
            </w:r>
            <w:r>
              <w:rPr>
                <w:rFonts w:hint="eastAsia" w:ascii="仿宋_GB2312" w:hAnsi="宋体" w:eastAsia="仿宋_GB2312" w:cs="宋体"/>
                <w:kern w:val="0"/>
                <w:sz w:val="18"/>
                <w:szCs w:val="18"/>
              </w:rPr>
              <w:t>幢</w:t>
            </w:r>
            <w:r>
              <w:rPr>
                <w:rFonts w:hint="eastAsia" w:eastAsia="仿宋_GB2312"/>
                <w:kern w:val="0"/>
                <w:sz w:val="18"/>
                <w:szCs w:val="18"/>
              </w:rPr>
              <w:t>4</w:t>
            </w:r>
            <w:r>
              <w:rPr>
                <w:rFonts w:hint="eastAsia" w:ascii="仿宋_GB2312" w:hAnsi="宋体" w:eastAsia="仿宋_GB2312" w:cs="宋体"/>
                <w:kern w:val="0"/>
                <w:sz w:val="18"/>
                <w:szCs w:val="18"/>
              </w:rPr>
              <w:t>层办公楼。</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2021.07</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3362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2751</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1349</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已建成并投入使用。</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西山区智慧消防建设工程☆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西山区消防救援大队</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构建西山智慧消防云平台，构建</w:t>
            </w:r>
            <w:r>
              <w:rPr>
                <w:rFonts w:hint="eastAsia" w:eastAsia="仿宋_GB2312"/>
                <w:kern w:val="0"/>
                <w:sz w:val="18"/>
                <w:szCs w:val="18"/>
              </w:rPr>
              <w:t>“</w:t>
            </w:r>
            <w:r>
              <w:rPr>
                <w:rFonts w:hint="eastAsia" w:ascii="仿宋_GB2312" w:hAnsi="宋体" w:eastAsia="仿宋_GB2312" w:cs="宋体"/>
                <w:kern w:val="0"/>
                <w:sz w:val="18"/>
                <w:szCs w:val="18"/>
              </w:rPr>
              <w:t>智能化</w:t>
            </w:r>
            <w:r>
              <w:rPr>
                <w:rFonts w:hint="eastAsia" w:eastAsia="仿宋_GB2312"/>
                <w:kern w:val="0"/>
                <w:sz w:val="18"/>
                <w:szCs w:val="18"/>
              </w:rPr>
              <w:t>”</w:t>
            </w:r>
            <w:r>
              <w:rPr>
                <w:rFonts w:hint="eastAsia" w:ascii="仿宋_GB2312" w:hAnsi="宋体" w:eastAsia="仿宋_GB2312" w:cs="宋体"/>
                <w:kern w:val="0"/>
                <w:sz w:val="18"/>
                <w:szCs w:val="18"/>
              </w:rPr>
              <w:t>消防作战指挥辅助模式，探索新技术、新领域在消防工作中应用。</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2025.03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2500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469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正在开展前期工作，可研专家评审己通过。合并入其他项目实施。</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街道（社区）居家养老服务中心☆</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西山区民政局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建设</w:t>
            </w:r>
            <w:r>
              <w:rPr>
                <w:rFonts w:hint="eastAsia" w:eastAsia="仿宋_GB2312"/>
                <w:kern w:val="0"/>
                <w:sz w:val="18"/>
                <w:szCs w:val="18"/>
              </w:rPr>
              <w:t>2</w:t>
            </w:r>
            <w:r>
              <w:rPr>
                <w:rFonts w:hint="eastAsia" w:ascii="仿宋_GB2312" w:hAnsi="宋体" w:eastAsia="仿宋_GB2312" w:cs="宋体"/>
                <w:kern w:val="0"/>
                <w:sz w:val="18"/>
                <w:szCs w:val="18"/>
              </w:rPr>
              <w:t>个街道（社区）居家养老服务中心，每个计划投资</w:t>
            </w:r>
            <w:r>
              <w:rPr>
                <w:rFonts w:hint="eastAsia" w:eastAsia="仿宋_GB2312"/>
                <w:kern w:val="0"/>
                <w:sz w:val="18"/>
                <w:szCs w:val="18"/>
              </w:rPr>
              <w:t>60</w:t>
            </w:r>
            <w:r>
              <w:rPr>
                <w:rFonts w:hint="eastAsia" w:ascii="仿宋_GB2312" w:hAnsi="宋体" w:eastAsia="仿宋_GB2312" w:cs="宋体"/>
                <w:kern w:val="0"/>
                <w:sz w:val="18"/>
                <w:szCs w:val="18"/>
              </w:rPr>
              <w:t>万元。</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2022.10</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117</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2</w:t>
            </w:r>
            <w:r>
              <w:rPr>
                <w:rFonts w:hint="eastAsia" w:ascii="仿宋_GB2312" w:eastAsia="仿宋_GB2312"/>
                <w:kern w:val="0"/>
                <w:sz w:val="18"/>
                <w:szCs w:val="18"/>
              </w:rPr>
              <w:t>个中心正在开展室内装修工程。中新已完工，白鱼口预计</w:t>
            </w:r>
            <w:r>
              <w:rPr>
                <w:rFonts w:hint="eastAsia" w:eastAsia="仿宋_GB2312"/>
                <w:kern w:val="0"/>
                <w:sz w:val="18"/>
                <w:szCs w:val="18"/>
              </w:rPr>
              <w:t>2022</w:t>
            </w:r>
            <w:r>
              <w:rPr>
                <w:rFonts w:hint="eastAsia" w:ascii="仿宋_GB2312" w:eastAsia="仿宋_GB2312"/>
                <w:kern w:val="0"/>
                <w:sz w:val="18"/>
                <w:szCs w:val="18"/>
              </w:rPr>
              <w:t>年</w:t>
            </w:r>
            <w:r>
              <w:rPr>
                <w:rFonts w:hint="eastAsia" w:eastAsia="仿宋_GB2312"/>
                <w:kern w:val="0"/>
                <w:sz w:val="18"/>
                <w:szCs w:val="18"/>
              </w:rPr>
              <w:t>1</w:t>
            </w:r>
            <w:r>
              <w:rPr>
                <w:rFonts w:hint="eastAsia" w:ascii="仿宋_GB2312" w:eastAsia="仿宋_GB2312"/>
                <w:kern w:val="0"/>
                <w:sz w:val="18"/>
                <w:szCs w:val="18"/>
              </w:rPr>
              <w:t>月完工。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马家营老旧小区改造项目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马家营小区占地面积约</w:t>
            </w:r>
            <w:r>
              <w:rPr>
                <w:rFonts w:hint="eastAsia" w:eastAsia="仿宋_GB2312"/>
                <w:kern w:val="0"/>
                <w:sz w:val="18"/>
                <w:szCs w:val="18"/>
              </w:rPr>
              <w:t>1.8</w:t>
            </w:r>
            <w:r>
              <w:rPr>
                <w:rFonts w:hint="eastAsia" w:ascii="仿宋_GB2312" w:hAnsi="宋体" w:eastAsia="仿宋_GB2312" w:cs="宋体"/>
                <w:kern w:val="0"/>
                <w:sz w:val="18"/>
                <w:szCs w:val="18"/>
              </w:rPr>
              <w:t>万平方米，住宅建筑面积约</w:t>
            </w:r>
            <w:r>
              <w:rPr>
                <w:rFonts w:hint="eastAsia" w:eastAsia="仿宋_GB2312"/>
                <w:kern w:val="0"/>
                <w:sz w:val="18"/>
                <w:szCs w:val="18"/>
              </w:rPr>
              <w:t>5</w:t>
            </w:r>
            <w:r>
              <w:rPr>
                <w:rFonts w:hint="eastAsia" w:ascii="仿宋_GB2312" w:hAnsi="宋体" w:eastAsia="仿宋_GB2312" w:cs="宋体"/>
                <w:kern w:val="0"/>
                <w:sz w:val="18"/>
                <w:szCs w:val="18"/>
              </w:rPr>
              <w:t>万平方米。现有</w:t>
            </w:r>
            <w:r>
              <w:rPr>
                <w:rFonts w:hint="eastAsia" w:eastAsia="仿宋_GB2312"/>
                <w:kern w:val="0"/>
                <w:sz w:val="18"/>
                <w:szCs w:val="18"/>
              </w:rPr>
              <w:t>8</w:t>
            </w:r>
            <w:r>
              <w:rPr>
                <w:rFonts w:hint="eastAsia" w:ascii="仿宋_GB2312" w:hAnsi="宋体" w:eastAsia="仿宋_GB2312" w:cs="宋体"/>
                <w:kern w:val="0"/>
                <w:sz w:val="18"/>
                <w:szCs w:val="18"/>
              </w:rPr>
              <w:t>栋居民楼、</w:t>
            </w:r>
            <w:r>
              <w:rPr>
                <w:rFonts w:hint="eastAsia" w:eastAsia="仿宋_GB2312"/>
                <w:kern w:val="0"/>
                <w:sz w:val="18"/>
                <w:szCs w:val="18"/>
              </w:rPr>
              <w:t>35</w:t>
            </w:r>
            <w:r>
              <w:rPr>
                <w:rFonts w:hint="eastAsia" w:ascii="仿宋_GB2312" w:hAnsi="宋体" w:eastAsia="仿宋_GB2312" w:cs="宋体"/>
                <w:kern w:val="0"/>
                <w:sz w:val="18"/>
                <w:szCs w:val="18"/>
              </w:rPr>
              <w:t>个单元、住户</w:t>
            </w:r>
            <w:r>
              <w:rPr>
                <w:rFonts w:hint="eastAsia" w:eastAsia="仿宋_GB2312"/>
                <w:kern w:val="0"/>
                <w:sz w:val="18"/>
                <w:szCs w:val="18"/>
              </w:rPr>
              <w:t>458</w:t>
            </w:r>
            <w:r>
              <w:rPr>
                <w:rFonts w:hint="eastAsia" w:ascii="仿宋_GB2312" w:hAnsi="宋体" w:eastAsia="仿宋_GB2312" w:cs="宋体"/>
                <w:kern w:val="0"/>
                <w:sz w:val="18"/>
                <w:szCs w:val="18"/>
              </w:rPr>
              <w:t>户，小区为</w:t>
            </w:r>
            <w:r>
              <w:rPr>
                <w:rFonts w:hint="eastAsia" w:eastAsia="仿宋_GB2312"/>
                <w:kern w:val="0"/>
                <w:sz w:val="18"/>
                <w:szCs w:val="18"/>
              </w:rPr>
              <w:t>7</w:t>
            </w:r>
            <w:r>
              <w:rPr>
                <w:rFonts w:hint="eastAsia" w:ascii="仿宋_GB2312" w:hAnsi="宋体" w:eastAsia="仿宋_GB2312" w:cs="宋体"/>
                <w:kern w:val="0"/>
                <w:sz w:val="18"/>
                <w:szCs w:val="18"/>
              </w:rPr>
              <w:t>层的高密度住宅。主要围绕小区内部道路、排水、绿化及基础设施进行改造。</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1034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1034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1034</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r>
              <w:rPr>
                <w:rFonts w:hint="eastAsia" w:eastAsia="仿宋_GB2312"/>
                <w:kern w:val="0"/>
                <w:sz w:val="18"/>
                <w:szCs w:val="18"/>
              </w:rPr>
              <w:t>2021</w:t>
            </w:r>
            <w:r>
              <w:rPr>
                <w:rFonts w:hint="eastAsia" w:ascii="仿宋_GB2312" w:hAnsi="宋体" w:eastAsia="仿宋_GB2312" w:cs="宋体"/>
                <w:kern w:val="0"/>
                <w:sz w:val="18"/>
                <w:szCs w:val="18"/>
              </w:rPr>
              <w:t>年老旧小区改造项目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涉及和清巷、和秀巷、和正巷、隆居花园等四个小区改造，改造总建筑面积</w:t>
            </w:r>
            <w:r>
              <w:rPr>
                <w:rFonts w:hint="eastAsia" w:eastAsia="仿宋_GB2312"/>
                <w:kern w:val="0"/>
                <w:sz w:val="18"/>
                <w:szCs w:val="18"/>
              </w:rPr>
              <w:t>10.4</w:t>
            </w:r>
            <w:r>
              <w:rPr>
                <w:rFonts w:hint="eastAsia" w:ascii="仿宋_GB2312" w:hAnsi="宋体" w:eastAsia="仿宋_GB2312" w:cs="宋体"/>
                <w:kern w:val="0"/>
                <w:sz w:val="18"/>
                <w:szCs w:val="18"/>
              </w:rPr>
              <w:t>万平方米，涉及</w:t>
            </w:r>
            <w:r>
              <w:rPr>
                <w:rFonts w:hint="eastAsia" w:eastAsia="仿宋_GB2312"/>
                <w:kern w:val="0"/>
                <w:sz w:val="18"/>
                <w:szCs w:val="18"/>
              </w:rPr>
              <w:t>3105</w:t>
            </w:r>
            <w:r>
              <w:rPr>
                <w:rFonts w:hint="eastAsia" w:ascii="仿宋_GB2312" w:hAnsi="宋体" w:eastAsia="仿宋_GB2312" w:cs="宋体"/>
                <w:kern w:val="0"/>
                <w:sz w:val="18"/>
                <w:szCs w:val="18"/>
              </w:rPr>
              <w:t>户。</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2022.05</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3365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150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已开工建设。</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春晓花园老旧小区改造项目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小区总用地面积约2.8万平方米，内含13栋住宅楼及1所幼儿园，住户597户。主要改造内容包括：对小区临街建筑外立面提升，幼儿园屋顶防水处理，单元楼梯间、消防设施、消防通道、室外景观绿化及部分公共设施改造。</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367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367</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367</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六、文化旅游建设项目（共</w:t>
            </w:r>
            <w:r>
              <w:rPr>
                <w:rFonts w:hint="eastAsia" w:eastAsia="黑体"/>
                <w:b/>
                <w:bCs/>
                <w:kern w:val="0"/>
                <w:sz w:val="18"/>
                <w:szCs w:val="18"/>
              </w:rPr>
              <w:t>9</w:t>
            </w:r>
            <w:r>
              <w:rPr>
                <w:rFonts w:hint="eastAsia" w:ascii="黑体" w:hAnsi="黑体" w:eastAsia="黑体" w:cs="宋体"/>
                <w:b/>
                <w:bCs/>
                <w:kern w:val="0"/>
                <w:sz w:val="18"/>
                <w:szCs w:val="18"/>
              </w:rPr>
              <w:t>项，</w:t>
            </w:r>
            <w:r>
              <w:rPr>
                <w:rFonts w:hint="eastAsia" w:eastAsia="黑体"/>
                <w:b/>
                <w:bCs/>
                <w:kern w:val="0"/>
                <w:sz w:val="18"/>
                <w:szCs w:val="18"/>
              </w:rPr>
              <w:t>2021</w:t>
            </w:r>
            <w:r>
              <w:rPr>
                <w:rFonts w:hint="eastAsia" w:ascii="黑体" w:hAnsi="黑体" w:eastAsia="黑体" w:cs="宋体"/>
                <w:b/>
                <w:bCs/>
                <w:kern w:val="0"/>
                <w:sz w:val="18"/>
                <w:szCs w:val="18"/>
              </w:rPr>
              <w:t>年计划投资</w:t>
            </w:r>
            <w:r>
              <w:rPr>
                <w:rFonts w:hint="eastAsia" w:eastAsia="黑体"/>
                <w:b/>
                <w:bCs/>
                <w:kern w:val="0"/>
                <w:sz w:val="18"/>
                <w:szCs w:val="18"/>
              </w:rPr>
              <w:t>107602</w:t>
            </w:r>
            <w:r>
              <w:rPr>
                <w:rFonts w:hint="eastAsia" w:ascii="黑体" w:hAnsi="黑体" w:eastAsia="黑体" w:cs="宋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292016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107602</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94896</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草海文化旅游项目市政及公共配套基础设施☆</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开展绿地建设。</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12999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12699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1816</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已完成场地平整、部分管理用房主体建设，进度达到</w:t>
            </w:r>
            <w:r>
              <w:rPr>
                <w:rFonts w:hint="eastAsia" w:eastAsia="仿宋_GB2312"/>
                <w:kern w:val="0"/>
                <w:sz w:val="18"/>
                <w:szCs w:val="18"/>
              </w:rPr>
              <w:t>15%</w:t>
            </w:r>
            <w:r>
              <w:rPr>
                <w:rFonts w:hint="eastAsia" w:ascii="宋体" w:hAnsi="宋体" w:eastAsia="仿宋_GB2312" w:cs="宋体"/>
                <w:kern w:val="0"/>
                <w:sz w:val="18"/>
                <w:szCs w:val="18"/>
              </w:rPr>
              <w:t>。</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白沙地片区翠峰公园建设项目☆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总面积约</w:t>
            </w:r>
            <w:r>
              <w:rPr>
                <w:rFonts w:hint="eastAsia" w:eastAsia="仿宋_GB2312"/>
                <w:kern w:val="0"/>
                <w:sz w:val="18"/>
                <w:szCs w:val="18"/>
              </w:rPr>
              <w:t>108.9</w:t>
            </w:r>
            <w:r>
              <w:rPr>
                <w:rFonts w:hint="eastAsia" w:ascii="仿宋_GB2312" w:hAnsi="宋体" w:eastAsia="仿宋_GB2312" w:cs="宋体"/>
                <w:kern w:val="0"/>
                <w:sz w:val="18"/>
                <w:szCs w:val="18"/>
              </w:rPr>
              <w:t>万平方米，主要建设内容包括绿化建设、休憩设施、步道建设等。</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246192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80729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79883</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一期形象进度已达</w:t>
            </w:r>
            <w:r>
              <w:rPr>
                <w:rFonts w:hint="eastAsia" w:eastAsia="仿宋_GB2312"/>
                <w:kern w:val="0"/>
                <w:sz w:val="18"/>
                <w:szCs w:val="18"/>
              </w:rPr>
              <w:t>75%</w:t>
            </w:r>
            <w:r>
              <w:rPr>
                <w:rFonts w:hint="eastAsia" w:ascii="仿宋_GB2312" w:hAnsi="宋体" w:eastAsia="仿宋_GB2312" w:cs="宋体"/>
                <w:kern w:val="0"/>
                <w:sz w:val="18"/>
                <w:szCs w:val="18"/>
              </w:rPr>
              <w:t>，但受征地拆迁问题影响，目前项目处于停工状态；二期待白沙地片区土地交易完成后开工建设。</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滇池海埂大坝对岸可视范围内景观提升改造项目☆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西山区自然资源局、昆明滇池国家级风景名胜区西山景区管理局、西山区城市管理局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对海埂大坝对岸可视范围，主要涉及滇池面山东坡西山风景区及普坪、大箐和白沙地大渔采区进行美化彩化提升改造。</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16115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1440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6848</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西山景区步行道路（一期）工程☆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昆明滇池国家级风景名胜区西山景区管理局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建设主游路人车分流区域步行登山道路。起点为高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茶马花街口，止点为太华古道口。道路宽</w:t>
            </w:r>
            <w:r>
              <w:rPr>
                <w:rFonts w:hint="eastAsia" w:eastAsia="仿宋_GB2312"/>
                <w:kern w:val="0"/>
                <w:sz w:val="18"/>
                <w:szCs w:val="18"/>
              </w:rPr>
              <w:t>2.5</w:t>
            </w:r>
            <w:r>
              <w:rPr>
                <w:rFonts w:hint="eastAsia" w:ascii="仿宋_GB2312" w:hAnsi="宋体" w:eastAsia="仿宋_GB2312" w:cs="宋体"/>
                <w:kern w:val="0"/>
                <w:sz w:val="18"/>
                <w:szCs w:val="18"/>
              </w:rPr>
              <w:t>至</w:t>
            </w:r>
            <w:r>
              <w:rPr>
                <w:rFonts w:hint="eastAsia" w:eastAsia="仿宋_GB2312"/>
                <w:kern w:val="0"/>
                <w:sz w:val="18"/>
                <w:szCs w:val="18"/>
              </w:rPr>
              <w:t>3</w:t>
            </w:r>
            <w:r>
              <w:rPr>
                <w:rFonts w:hint="eastAsia" w:ascii="仿宋_GB2312" w:hAnsi="宋体" w:eastAsia="仿宋_GB2312" w:cs="宋体"/>
                <w:kern w:val="0"/>
                <w:sz w:val="18"/>
                <w:szCs w:val="18"/>
              </w:rPr>
              <w:t>米左右，全长</w:t>
            </w:r>
            <w:r>
              <w:rPr>
                <w:rFonts w:hint="eastAsia" w:eastAsia="仿宋_GB2312"/>
                <w:kern w:val="0"/>
                <w:sz w:val="18"/>
                <w:szCs w:val="18"/>
              </w:rPr>
              <w:t>2.5</w:t>
            </w:r>
            <w:r>
              <w:rPr>
                <w:rFonts w:hint="eastAsia" w:ascii="仿宋_GB2312" w:hAnsi="宋体" w:eastAsia="仿宋_GB2312" w:cs="宋体"/>
                <w:kern w:val="0"/>
                <w:sz w:val="18"/>
                <w:szCs w:val="18"/>
              </w:rPr>
              <w:t>千米。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2045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1559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2045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西山区图书馆新馆建设☆</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西山区文化和旅游局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新建图书馆业务用房。</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8500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5900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城中村改造项目3号片区土地竞得人实物移交，正开展前期工作。</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城中村改造</w:t>
            </w:r>
            <w:r>
              <w:rPr>
                <w:rFonts w:hint="eastAsia" w:eastAsia="仿宋_GB2312"/>
                <w:kern w:val="0"/>
                <w:sz w:val="18"/>
                <w:szCs w:val="18"/>
              </w:rPr>
              <w:t>35</w:t>
            </w:r>
            <w:r>
              <w:rPr>
                <w:rFonts w:hint="eastAsia" w:ascii="仿宋_GB2312" w:hAnsi="宋体" w:eastAsia="仿宋_GB2312" w:cs="宋体"/>
                <w:kern w:val="0"/>
                <w:sz w:val="18"/>
                <w:szCs w:val="18"/>
              </w:rPr>
              <w:t>号片区公园绿地、防护绿地建设项目☆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项目绿地总计</w:t>
            </w:r>
            <w:r>
              <w:rPr>
                <w:rFonts w:hint="eastAsia" w:eastAsia="仿宋_GB2312"/>
                <w:kern w:val="0"/>
                <w:sz w:val="18"/>
                <w:szCs w:val="18"/>
              </w:rPr>
              <w:t>11</w:t>
            </w:r>
            <w:r>
              <w:rPr>
                <w:rFonts w:hint="eastAsia" w:ascii="仿宋_GB2312" w:hAnsi="宋体" w:eastAsia="仿宋_GB2312" w:cs="宋体"/>
                <w:kern w:val="0"/>
                <w:sz w:val="18"/>
                <w:szCs w:val="18"/>
              </w:rPr>
              <w:t>个地块，总占地面积为</w:t>
            </w:r>
            <w:r>
              <w:rPr>
                <w:rFonts w:hint="eastAsia" w:eastAsia="仿宋_GB2312"/>
                <w:kern w:val="0"/>
                <w:sz w:val="18"/>
                <w:szCs w:val="18"/>
              </w:rPr>
              <w:t>7</w:t>
            </w:r>
            <w:r>
              <w:rPr>
                <w:rFonts w:hint="eastAsia" w:ascii="仿宋_GB2312" w:hAnsi="宋体" w:eastAsia="仿宋_GB2312" w:cs="宋体"/>
                <w:kern w:val="0"/>
                <w:sz w:val="18"/>
                <w:szCs w:val="18"/>
              </w:rPr>
              <w:t>万平方米，包括但不限于绿地建设。主要包括绿地建设用地范围内涉及的管线、电力工程及其附属设施建设、人行步道建设、休憩设施建设等。</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4816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4816</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4145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建设进度已达</w:t>
            </w:r>
            <w:r>
              <w:rPr>
                <w:rFonts w:hint="eastAsia" w:eastAsia="仿宋_GB2312"/>
                <w:kern w:val="0"/>
                <w:sz w:val="18"/>
                <w:szCs w:val="18"/>
              </w:rPr>
              <w:t>90%</w:t>
            </w:r>
            <w:r>
              <w:rPr>
                <w:rFonts w:hint="eastAsia" w:ascii="仿宋_GB2312" w:hAnsi="宋体" w:eastAsia="仿宋_GB2312" w:cs="宋体"/>
                <w:kern w:val="0"/>
                <w:sz w:val="18"/>
                <w:szCs w:val="18"/>
              </w:rPr>
              <w:t>。</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西山景区游客中心改建项目☆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昆明滇池国家级风景名胜区西山景区管理局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利用地铁</w:t>
            </w:r>
            <w:r>
              <w:rPr>
                <w:rFonts w:hint="eastAsia" w:eastAsia="仿宋_GB2312"/>
                <w:kern w:val="0"/>
                <w:sz w:val="18"/>
                <w:szCs w:val="18"/>
              </w:rPr>
              <w:t>3</w:t>
            </w:r>
            <w:r>
              <w:rPr>
                <w:rFonts w:hint="eastAsia" w:ascii="仿宋_GB2312" w:hAnsi="宋体" w:eastAsia="仿宋_GB2312" w:cs="宋体"/>
                <w:kern w:val="0"/>
                <w:sz w:val="18"/>
                <w:szCs w:val="18"/>
              </w:rPr>
              <w:t>号线西山公园站上盖物业约</w:t>
            </w:r>
            <w:r>
              <w:rPr>
                <w:rFonts w:hint="eastAsia" w:eastAsia="仿宋_GB2312"/>
                <w:kern w:val="0"/>
                <w:sz w:val="18"/>
                <w:szCs w:val="18"/>
              </w:rPr>
              <w:t>1200</w:t>
            </w:r>
            <w:r>
              <w:rPr>
                <w:rFonts w:hint="eastAsia" w:ascii="仿宋_GB2312" w:hAnsi="宋体" w:eastAsia="仿宋_GB2312" w:cs="宋体"/>
                <w:kern w:val="0"/>
                <w:sz w:val="18"/>
                <w:szCs w:val="18"/>
              </w:rPr>
              <w:t>平方米，设计和改建满足创国家级</w:t>
            </w:r>
            <w:r>
              <w:rPr>
                <w:rFonts w:hint="eastAsia" w:eastAsia="仿宋_GB2312"/>
                <w:kern w:val="0"/>
                <w:sz w:val="18"/>
                <w:szCs w:val="18"/>
              </w:rPr>
              <w:t>5A</w:t>
            </w:r>
            <w:r>
              <w:rPr>
                <w:rFonts w:hint="eastAsia" w:ascii="仿宋_GB2312" w:hAnsi="宋体" w:eastAsia="仿宋_GB2312" w:cs="宋体"/>
                <w:kern w:val="0"/>
                <w:sz w:val="18"/>
                <w:szCs w:val="18"/>
              </w:rPr>
              <w:t>景区必需的游客中心，同步整合完善周边</w:t>
            </w:r>
            <w:r>
              <w:rPr>
                <w:rFonts w:hint="eastAsia" w:eastAsia="仿宋_GB2312"/>
                <w:kern w:val="0"/>
                <w:sz w:val="18"/>
                <w:szCs w:val="18"/>
              </w:rPr>
              <w:t>300</w:t>
            </w:r>
            <w:r>
              <w:rPr>
                <w:rFonts w:hint="eastAsia" w:ascii="仿宋_GB2312" w:hAnsi="宋体" w:eastAsia="仿宋_GB2312" w:cs="宋体"/>
                <w:kern w:val="0"/>
                <w:sz w:val="18"/>
                <w:szCs w:val="18"/>
              </w:rPr>
              <w:t>平方米旅游基础配套设施。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正开展前期工作，进行方案设计。</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草海</w:t>
            </w:r>
            <w:r>
              <w:rPr>
                <w:rFonts w:hint="eastAsia" w:eastAsia="仿宋_GB2312"/>
                <w:kern w:val="0"/>
                <w:sz w:val="18"/>
                <w:szCs w:val="18"/>
              </w:rPr>
              <w:t>8</w:t>
            </w:r>
            <w:r>
              <w:rPr>
                <w:rFonts w:hint="eastAsia" w:ascii="仿宋_GB2312" w:hAnsi="宋体" w:eastAsia="仿宋_GB2312" w:cs="宋体"/>
                <w:kern w:val="0"/>
                <w:sz w:val="18"/>
                <w:szCs w:val="18"/>
              </w:rPr>
              <w:t>号片区、</w:t>
            </w:r>
            <w:r>
              <w:rPr>
                <w:rFonts w:hint="eastAsia" w:eastAsia="仿宋_GB2312"/>
                <w:kern w:val="0"/>
                <w:sz w:val="18"/>
                <w:szCs w:val="18"/>
              </w:rPr>
              <w:t>11</w:t>
            </w:r>
            <w:r>
              <w:rPr>
                <w:rFonts w:hint="eastAsia" w:ascii="仿宋_GB2312" w:hAnsi="宋体" w:eastAsia="仿宋_GB2312" w:cs="宋体"/>
                <w:kern w:val="0"/>
                <w:sz w:val="18"/>
                <w:szCs w:val="18"/>
              </w:rPr>
              <w:t>号片区环滇池生态廊道慢行系统湿地生态步道新建工程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西山区水务局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建设步道、绿化及配套附属设施。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187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159</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草海</w:t>
            </w:r>
            <w:r>
              <w:rPr>
                <w:rFonts w:hint="eastAsia" w:eastAsia="仿宋_GB2312"/>
                <w:kern w:val="0"/>
                <w:sz w:val="18"/>
                <w:szCs w:val="18"/>
              </w:rPr>
              <w:t>5</w:t>
            </w:r>
            <w:r>
              <w:rPr>
                <w:rFonts w:hint="eastAsia" w:ascii="仿宋_GB2312" w:hAnsi="宋体" w:eastAsia="仿宋_GB2312" w:cs="宋体"/>
                <w:kern w:val="0"/>
                <w:sz w:val="18"/>
                <w:szCs w:val="18"/>
              </w:rPr>
              <w:t>号片区</w:t>
            </w:r>
            <w:r>
              <w:rPr>
                <w:rFonts w:hint="eastAsia" w:eastAsia="仿宋_GB2312"/>
                <w:kern w:val="0"/>
                <w:sz w:val="18"/>
                <w:szCs w:val="18"/>
              </w:rPr>
              <w:t>3</w:t>
            </w:r>
            <w:r>
              <w:rPr>
                <w:rFonts w:hint="eastAsia" w:ascii="仿宋_GB2312" w:hAnsi="宋体" w:eastAsia="仿宋_GB2312" w:cs="宋体"/>
                <w:kern w:val="0"/>
                <w:sz w:val="18"/>
                <w:szCs w:val="18"/>
              </w:rPr>
              <w:t>号公园绿地建设项目☆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项目总占地面积</w:t>
            </w:r>
            <w:r>
              <w:rPr>
                <w:rFonts w:hint="eastAsia" w:eastAsia="仿宋_GB2312"/>
                <w:kern w:val="0"/>
                <w:sz w:val="18"/>
                <w:szCs w:val="18"/>
              </w:rPr>
              <w:t>1.3</w:t>
            </w:r>
            <w:r>
              <w:rPr>
                <w:rFonts w:hint="eastAsia" w:ascii="仿宋_GB2312" w:hAnsi="宋体" w:eastAsia="仿宋_GB2312" w:cs="宋体"/>
                <w:kern w:val="0"/>
                <w:sz w:val="18"/>
                <w:szCs w:val="18"/>
              </w:rPr>
              <w:t>万平方米，包括但不限于绿地建设。主要包括绿地建设用地范围内涉及的管线、电力工程及其附属设施建设、人行步道建设、休憩设施建设等。</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2022.04</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862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正在开展前期工作，已完成立项审批，正在进行设计方案的深化工作，准备进场施工。</w:t>
            </w:r>
          </w:p>
        </w:tc>
      </w:tr>
      <w:tr>
        <w:tblPrEx>
          <w:tblLayout w:type="fixed"/>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七、卫生健康建设项目（共</w:t>
            </w:r>
            <w:r>
              <w:rPr>
                <w:rFonts w:hint="eastAsia" w:eastAsia="黑体"/>
                <w:b/>
                <w:bCs/>
                <w:kern w:val="0"/>
                <w:sz w:val="18"/>
                <w:szCs w:val="18"/>
              </w:rPr>
              <w:t>5</w:t>
            </w:r>
            <w:r>
              <w:rPr>
                <w:rFonts w:hint="eastAsia" w:ascii="黑体" w:hAnsi="黑体" w:eastAsia="黑体" w:cs="宋体"/>
                <w:b/>
                <w:bCs/>
                <w:kern w:val="0"/>
                <w:sz w:val="18"/>
                <w:szCs w:val="18"/>
              </w:rPr>
              <w:t>项，</w:t>
            </w:r>
            <w:r>
              <w:rPr>
                <w:rFonts w:hint="eastAsia" w:eastAsia="黑体"/>
                <w:b/>
                <w:bCs/>
                <w:kern w:val="0"/>
                <w:sz w:val="18"/>
                <w:szCs w:val="18"/>
              </w:rPr>
              <w:t>2021</w:t>
            </w:r>
            <w:r>
              <w:rPr>
                <w:rFonts w:hint="eastAsia" w:ascii="黑体" w:hAnsi="黑体" w:eastAsia="黑体" w:cs="宋体"/>
                <w:b/>
                <w:bCs/>
                <w:kern w:val="0"/>
                <w:sz w:val="18"/>
                <w:szCs w:val="18"/>
              </w:rPr>
              <w:t>年计划投资</w:t>
            </w:r>
            <w:r>
              <w:rPr>
                <w:rFonts w:hint="eastAsia" w:eastAsia="黑体"/>
                <w:b/>
                <w:bCs/>
                <w:kern w:val="0"/>
                <w:sz w:val="18"/>
                <w:szCs w:val="18"/>
              </w:rPr>
              <w:t>11530</w:t>
            </w:r>
            <w:r>
              <w:rPr>
                <w:rFonts w:hint="eastAsia" w:ascii="黑体" w:hAnsi="黑体" w:eastAsia="黑体" w:cs="宋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151005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11530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6330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草海中医馆建设项目☆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西山区卫生健康局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项目总用地面积</w:t>
            </w:r>
            <w:r>
              <w:rPr>
                <w:rFonts w:hint="eastAsia" w:eastAsia="仿宋_GB2312"/>
                <w:kern w:val="0"/>
                <w:sz w:val="18"/>
                <w:szCs w:val="18"/>
              </w:rPr>
              <w:t>12.7</w:t>
            </w:r>
            <w:r>
              <w:rPr>
                <w:rFonts w:hint="eastAsia" w:ascii="仿宋_GB2312" w:hAnsi="宋体" w:eastAsia="仿宋_GB2312" w:cs="宋体"/>
                <w:kern w:val="0"/>
                <w:sz w:val="18"/>
                <w:szCs w:val="18"/>
              </w:rPr>
              <w:t>亩，共设置约</w:t>
            </w:r>
            <w:r>
              <w:rPr>
                <w:rFonts w:hint="eastAsia" w:eastAsia="仿宋_GB2312"/>
                <w:kern w:val="0"/>
                <w:sz w:val="18"/>
                <w:szCs w:val="18"/>
              </w:rPr>
              <w:t>80</w:t>
            </w:r>
            <w:r>
              <w:rPr>
                <w:rFonts w:hint="eastAsia" w:ascii="仿宋_GB2312" w:hAnsi="宋体" w:eastAsia="仿宋_GB2312" w:cs="宋体"/>
                <w:kern w:val="0"/>
                <w:sz w:val="18"/>
                <w:szCs w:val="18"/>
              </w:rPr>
              <w:t>张床位，总建筑面积</w:t>
            </w:r>
            <w:r>
              <w:rPr>
                <w:rFonts w:hint="eastAsia" w:eastAsia="仿宋_GB2312"/>
                <w:kern w:val="0"/>
                <w:sz w:val="18"/>
                <w:szCs w:val="18"/>
              </w:rPr>
              <w:t>1.5</w:t>
            </w:r>
            <w:r>
              <w:rPr>
                <w:rFonts w:hint="eastAsia" w:ascii="仿宋_GB2312" w:hAnsi="宋体" w:eastAsia="仿宋_GB2312" w:cs="宋体"/>
                <w:kern w:val="0"/>
                <w:sz w:val="18"/>
                <w:szCs w:val="18"/>
              </w:rPr>
              <w:t>万平方米。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12315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6330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6330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西山区人民医院三级综合医院迁建项目☆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西山区卫生健康局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占地</w:t>
            </w:r>
            <w:r>
              <w:rPr>
                <w:rFonts w:hint="eastAsia" w:eastAsia="仿宋_GB2312"/>
                <w:kern w:val="0"/>
                <w:sz w:val="18"/>
                <w:szCs w:val="18"/>
              </w:rPr>
              <w:t>70</w:t>
            </w:r>
            <w:r>
              <w:rPr>
                <w:rFonts w:hint="eastAsia" w:ascii="仿宋_GB2312" w:hAnsi="宋体" w:eastAsia="仿宋_GB2312" w:cs="宋体"/>
                <w:kern w:val="0"/>
                <w:sz w:val="18"/>
                <w:szCs w:val="18"/>
              </w:rPr>
              <w:t>亩，地上拟建设门诊急诊楼、医技楼、住院楼、综合办公楼、医养结合楼；设立感染性疾病科、核医学科等科室。</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2024.01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130000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5200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待控规取得市规委会批复后，方可进行后续工作。</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省级示范预防接种门诊建设☆</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西山区卫生健康局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按省级示范预防接种门诊装修并配备设施设备。</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250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暂未开工建设。</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区级妇幼保健机构能力达标项目☆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西山区卫生健康局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通过加强人才培养、拓展妇幼健康项目、完善科室设置等措施，持续提升妇幼保健服务能力。</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440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暂未开工建设。</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白沙地片区配套社区医院建设项目☆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西山区卫生健康局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项目用地面积约</w:t>
            </w:r>
            <w:r>
              <w:rPr>
                <w:rFonts w:hint="eastAsia" w:eastAsia="仿宋_GB2312"/>
                <w:kern w:val="0"/>
                <w:sz w:val="18"/>
                <w:szCs w:val="18"/>
              </w:rPr>
              <w:t>11</w:t>
            </w:r>
            <w:r>
              <w:rPr>
                <w:rFonts w:hint="eastAsia" w:ascii="仿宋_GB2312" w:hAnsi="宋体" w:eastAsia="仿宋_GB2312" w:cs="宋体"/>
                <w:kern w:val="0"/>
                <w:sz w:val="18"/>
                <w:szCs w:val="18"/>
              </w:rPr>
              <w:t>亩，建筑面积约</w:t>
            </w:r>
            <w:r>
              <w:rPr>
                <w:rFonts w:hint="eastAsia" w:eastAsia="仿宋_GB2312"/>
                <w:kern w:val="0"/>
                <w:sz w:val="18"/>
                <w:szCs w:val="18"/>
              </w:rPr>
              <w:t>7826</w:t>
            </w:r>
            <w:r>
              <w:rPr>
                <w:rFonts w:hint="eastAsia" w:ascii="仿宋_GB2312" w:hAnsi="宋体" w:eastAsia="仿宋_GB2312" w:cs="宋体"/>
                <w:kern w:val="0"/>
                <w:sz w:val="18"/>
                <w:szCs w:val="18"/>
              </w:rPr>
              <w:t>平方米，共设置约</w:t>
            </w:r>
            <w:r>
              <w:rPr>
                <w:rFonts w:hint="eastAsia" w:eastAsia="仿宋_GB2312"/>
                <w:kern w:val="0"/>
                <w:sz w:val="18"/>
                <w:szCs w:val="18"/>
              </w:rPr>
              <w:t>80</w:t>
            </w:r>
            <w:r>
              <w:rPr>
                <w:rFonts w:hint="eastAsia" w:ascii="仿宋_GB2312" w:hAnsi="宋体" w:eastAsia="仿宋_GB2312" w:cs="宋体"/>
                <w:kern w:val="0"/>
                <w:sz w:val="18"/>
                <w:szCs w:val="18"/>
              </w:rPr>
              <w:t>张床位。</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目前涉及调规事项，开工时间不确定。</w:t>
            </w:r>
          </w:p>
        </w:tc>
      </w:tr>
      <w:tr>
        <w:tblPrEx>
          <w:tblLayout w:type="fixed"/>
          <w:tblCellMar>
            <w:top w:w="0" w:type="dxa"/>
            <w:left w:w="108" w:type="dxa"/>
            <w:bottom w:w="0" w:type="dxa"/>
            <w:right w:w="108" w:type="dxa"/>
          </w:tblCellMar>
        </w:tblPrEx>
        <w:trPr>
          <w:trHeight w:val="20" w:hRule="atLeast"/>
          <w:jc w:val="center"/>
        </w:trPr>
        <w:tc>
          <w:tcPr>
            <w:tcW w:w="9918"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八、道路基础设施建设项目（共</w:t>
            </w:r>
            <w:r>
              <w:rPr>
                <w:rFonts w:hint="eastAsia" w:eastAsia="黑体"/>
                <w:b/>
                <w:bCs/>
                <w:kern w:val="0"/>
                <w:sz w:val="18"/>
                <w:szCs w:val="18"/>
              </w:rPr>
              <w:t>41</w:t>
            </w:r>
            <w:r>
              <w:rPr>
                <w:rFonts w:hint="eastAsia" w:ascii="黑体" w:hAnsi="黑体" w:eastAsia="黑体" w:cs="宋体"/>
                <w:b/>
                <w:bCs/>
                <w:kern w:val="0"/>
                <w:sz w:val="18"/>
                <w:szCs w:val="18"/>
              </w:rPr>
              <w:t>项，</w:t>
            </w:r>
            <w:r>
              <w:rPr>
                <w:rFonts w:hint="eastAsia" w:eastAsia="黑体"/>
                <w:b/>
                <w:bCs/>
                <w:kern w:val="0"/>
                <w:sz w:val="18"/>
                <w:szCs w:val="18"/>
              </w:rPr>
              <w:t>2021</w:t>
            </w:r>
            <w:r>
              <w:rPr>
                <w:rFonts w:hint="eastAsia" w:ascii="黑体" w:hAnsi="黑体" w:eastAsia="黑体" w:cs="宋体"/>
                <w:b/>
                <w:bCs/>
                <w:kern w:val="0"/>
                <w:sz w:val="18"/>
                <w:szCs w:val="18"/>
              </w:rPr>
              <w:t>年计划投资</w:t>
            </w:r>
            <w:r>
              <w:rPr>
                <w:rFonts w:hint="eastAsia" w:eastAsia="黑体"/>
                <w:b/>
                <w:bCs/>
                <w:kern w:val="0"/>
                <w:sz w:val="18"/>
                <w:szCs w:val="18"/>
              </w:rPr>
              <w:t>94234</w:t>
            </w:r>
            <w:r>
              <w:rPr>
                <w:rFonts w:hint="eastAsia" w:ascii="黑体" w:hAnsi="黑体" w:eastAsia="黑体" w:cs="宋体"/>
                <w:b/>
                <w:bCs/>
                <w:kern w:val="0"/>
                <w:sz w:val="18"/>
                <w:szCs w:val="18"/>
              </w:rPr>
              <w:t>万元）</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456731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94234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40090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西福路西华园段人行天桥建设项目☆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修建天桥</w:t>
            </w:r>
            <w:r>
              <w:rPr>
                <w:rFonts w:hint="eastAsia" w:eastAsia="仿宋_GB2312"/>
                <w:kern w:val="0"/>
                <w:sz w:val="18"/>
                <w:szCs w:val="18"/>
              </w:rPr>
              <w:t>1</w:t>
            </w:r>
            <w:r>
              <w:rPr>
                <w:rFonts w:hint="eastAsia" w:ascii="仿宋_GB2312" w:hAnsi="宋体" w:eastAsia="仿宋_GB2312" w:cs="宋体"/>
                <w:kern w:val="0"/>
                <w:sz w:val="18"/>
                <w:szCs w:val="18"/>
              </w:rPr>
              <w:t>座。</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1670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918</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120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237</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起于碧鸡路，止于规划</w:t>
            </w:r>
            <w:r>
              <w:rPr>
                <w:rFonts w:hint="eastAsia" w:eastAsia="仿宋_GB2312"/>
                <w:kern w:val="0"/>
                <w:sz w:val="18"/>
                <w:szCs w:val="18"/>
              </w:rPr>
              <w:t>307</w:t>
            </w:r>
            <w:r>
              <w:rPr>
                <w:rFonts w:hint="eastAsia" w:ascii="仿宋_GB2312" w:hAnsi="宋体" w:eastAsia="仿宋_GB2312" w:cs="宋体"/>
                <w:kern w:val="0"/>
                <w:sz w:val="18"/>
                <w:szCs w:val="18"/>
              </w:rPr>
              <w:t>号路，长约</w:t>
            </w:r>
            <w:r>
              <w:rPr>
                <w:rFonts w:hint="eastAsia" w:eastAsia="仿宋_GB2312"/>
                <w:kern w:val="0"/>
                <w:sz w:val="18"/>
                <w:szCs w:val="18"/>
              </w:rPr>
              <w:t>1</w:t>
            </w:r>
            <w:r>
              <w:rPr>
                <w:rFonts w:hint="eastAsia" w:ascii="仿宋_GB2312" w:hAnsi="宋体" w:eastAsia="仿宋_GB2312" w:cs="宋体"/>
                <w:kern w:val="0"/>
                <w:sz w:val="18"/>
                <w:szCs w:val="18"/>
              </w:rPr>
              <w:t>千米，宽</w:t>
            </w:r>
            <w:r>
              <w:rPr>
                <w:rFonts w:hint="eastAsia" w:eastAsia="仿宋_GB2312"/>
                <w:kern w:val="0"/>
                <w:sz w:val="18"/>
                <w:szCs w:val="18"/>
              </w:rPr>
              <w:t>12</w:t>
            </w:r>
            <w:r>
              <w:rPr>
                <w:rFonts w:hint="eastAsia" w:ascii="仿宋_GB2312" w:hAnsi="宋体" w:eastAsia="仿宋_GB2312" w:cs="宋体"/>
                <w:kern w:val="0"/>
                <w:sz w:val="18"/>
                <w:szCs w:val="18"/>
              </w:rPr>
              <w:t>至</w:t>
            </w:r>
            <w:r>
              <w:rPr>
                <w:rFonts w:hint="eastAsia" w:eastAsia="仿宋_GB2312"/>
                <w:kern w:val="0"/>
                <w:sz w:val="18"/>
                <w:szCs w:val="18"/>
              </w:rPr>
              <w:t>20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12336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6291</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已完成南段总工程量的90%，北段因融创公司占用施工场地，不具备进场施工条件。</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213</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起于规划</w:t>
            </w:r>
            <w:r>
              <w:rPr>
                <w:rFonts w:hint="eastAsia" w:eastAsia="仿宋_GB2312"/>
                <w:kern w:val="0"/>
                <w:sz w:val="18"/>
                <w:szCs w:val="18"/>
              </w:rPr>
              <w:t>1</w:t>
            </w:r>
            <w:r>
              <w:rPr>
                <w:rFonts w:hint="eastAsia" w:ascii="仿宋_GB2312" w:hAnsi="宋体" w:eastAsia="仿宋_GB2312" w:cs="宋体"/>
                <w:kern w:val="0"/>
                <w:sz w:val="18"/>
                <w:szCs w:val="18"/>
              </w:rPr>
              <w:t>号路，止于规划</w:t>
            </w:r>
            <w:r>
              <w:rPr>
                <w:rFonts w:hint="eastAsia" w:eastAsia="仿宋_GB2312"/>
                <w:kern w:val="0"/>
                <w:sz w:val="18"/>
                <w:szCs w:val="18"/>
              </w:rPr>
              <w:t>375</w:t>
            </w:r>
            <w:r>
              <w:rPr>
                <w:rFonts w:hint="eastAsia" w:ascii="仿宋_GB2312" w:hAnsi="宋体" w:eastAsia="仿宋_GB2312" w:cs="宋体"/>
                <w:kern w:val="0"/>
                <w:sz w:val="18"/>
                <w:szCs w:val="18"/>
              </w:rPr>
              <w:t>号路，长约</w:t>
            </w:r>
            <w:r>
              <w:rPr>
                <w:rFonts w:hint="eastAsia" w:eastAsia="仿宋_GB2312"/>
                <w:kern w:val="0"/>
                <w:sz w:val="18"/>
                <w:szCs w:val="18"/>
              </w:rPr>
              <w:t>1849</w:t>
            </w:r>
            <w:r>
              <w:rPr>
                <w:rFonts w:hint="eastAsia" w:ascii="仿宋_GB2312" w:hAnsi="宋体" w:eastAsia="仿宋_GB2312" w:cs="宋体"/>
                <w:kern w:val="0"/>
                <w:sz w:val="18"/>
                <w:szCs w:val="18"/>
              </w:rPr>
              <w:t>米，宽</w:t>
            </w:r>
            <w:r>
              <w:rPr>
                <w:rFonts w:hint="eastAsia" w:eastAsia="仿宋_GB2312"/>
                <w:kern w:val="0"/>
                <w:sz w:val="18"/>
                <w:szCs w:val="18"/>
              </w:rPr>
              <w:t>24</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28459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13119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已完成西段总工程量的93%，东段因融创公司占用施工场地，不具备进场施工条件。</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235</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起于碧鸡路，止于规划</w:t>
            </w:r>
            <w:r>
              <w:rPr>
                <w:rFonts w:hint="eastAsia" w:eastAsia="仿宋_GB2312"/>
                <w:kern w:val="0"/>
                <w:sz w:val="18"/>
                <w:szCs w:val="18"/>
              </w:rPr>
              <w:t>307</w:t>
            </w:r>
            <w:r>
              <w:rPr>
                <w:rFonts w:hint="eastAsia" w:ascii="仿宋_GB2312" w:hAnsi="宋体" w:eastAsia="仿宋_GB2312" w:cs="宋体"/>
                <w:kern w:val="0"/>
                <w:sz w:val="18"/>
                <w:szCs w:val="18"/>
              </w:rPr>
              <w:t>号路，长约</w:t>
            </w:r>
            <w:r>
              <w:rPr>
                <w:rFonts w:hint="eastAsia" w:eastAsia="仿宋_GB2312"/>
                <w:kern w:val="0"/>
                <w:sz w:val="18"/>
                <w:szCs w:val="18"/>
              </w:rPr>
              <w:t>920</w:t>
            </w:r>
            <w:r>
              <w:rPr>
                <w:rFonts w:hint="eastAsia" w:ascii="仿宋_GB2312" w:hAnsi="宋体" w:eastAsia="仿宋_GB2312" w:cs="宋体"/>
                <w:kern w:val="0"/>
                <w:sz w:val="18"/>
                <w:szCs w:val="18"/>
              </w:rPr>
              <w:t>米，宽</w:t>
            </w:r>
            <w:r>
              <w:rPr>
                <w:rFonts w:hint="eastAsia" w:eastAsia="仿宋_GB2312"/>
                <w:kern w:val="0"/>
                <w:sz w:val="18"/>
                <w:szCs w:val="18"/>
              </w:rPr>
              <w:t>20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2020.09</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10439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7539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1760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已完成总工程量的</w:t>
            </w:r>
            <w:r>
              <w:rPr>
                <w:rFonts w:hint="eastAsia" w:eastAsia="仿宋_GB2312"/>
                <w:kern w:val="0"/>
                <w:sz w:val="18"/>
                <w:szCs w:val="18"/>
              </w:rPr>
              <w:t>23%</w:t>
            </w:r>
            <w:r>
              <w:rPr>
                <w:rFonts w:hint="eastAsia" w:ascii="仿宋_GB2312" w:hAnsi="宋体" w:eastAsia="仿宋_GB2312" w:cs="宋体"/>
                <w:kern w:val="0"/>
                <w:sz w:val="18"/>
                <w:szCs w:val="18"/>
              </w:rPr>
              <w:t>。</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起于碧鸡路，止于规划</w:t>
            </w:r>
            <w:r>
              <w:rPr>
                <w:rFonts w:hint="eastAsia" w:eastAsia="仿宋_GB2312"/>
                <w:kern w:val="0"/>
                <w:sz w:val="18"/>
                <w:szCs w:val="18"/>
              </w:rPr>
              <w:t>307</w:t>
            </w:r>
            <w:r>
              <w:rPr>
                <w:rFonts w:hint="eastAsia" w:ascii="仿宋_GB2312" w:hAnsi="宋体" w:eastAsia="仿宋_GB2312" w:cs="宋体"/>
                <w:kern w:val="0"/>
                <w:sz w:val="18"/>
                <w:szCs w:val="18"/>
              </w:rPr>
              <w:t>号路，长约</w:t>
            </w:r>
            <w:r>
              <w:rPr>
                <w:rFonts w:hint="eastAsia" w:eastAsia="仿宋_GB2312"/>
                <w:kern w:val="0"/>
                <w:sz w:val="18"/>
                <w:szCs w:val="18"/>
              </w:rPr>
              <w:t>518</w:t>
            </w:r>
            <w:r>
              <w:rPr>
                <w:rFonts w:hint="eastAsia" w:ascii="仿宋_GB2312" w:hAnsi="宋体" w:eastAsia="仿宋_GB2312" w:cs="宋体"/>
                <w:kern w:val="0"/>
                <w:sz w:val="18"/>
                <w:szCs w:val="18"/>
              </w:rPr>
              <w:t>米，宽</w:t>
            </w:r>
            <w:r>
              <w:rPr>
                <w:rFonts w:hint="eastAsia" w:eastAsia="仿宋_GB2312"/>
                <w:kern w:val="0"/>
                <w:sz w:val="18"/>
                <w:szCs w:val="18"/>
              </w:rPr>
              <w:t>20</w:t>
            </w:r>
            <w:r>
              <w:rPr>
                <w:rFonts w:hint="eastAsia" w:ascii="仿宋_GB2312" w:hAnsi="宋体" w:eastAsia="仿宋_GB2312" w:cs="宋体"/>
                <w:kern w:val="0"/>
                <w:sz w:val="18"/>
                <w:szCs w:val="18"/>
              </w:rPr>
              <w:t>至</w:t>
            </w:r>
            <w:r>
              <w:rPr>
                <w:rFonts w:hint="eastAsia" w:eastAsia="仿宋_GB2312"/>
                <w:kern w:val="0"/>
                <w:sz w:val="18"/>
                <w:szCs w:val="18"/>
              </w:rPr>
              <w:t>35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8353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835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正常推进。</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377</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起于碧鸡路，止于规划</w:t>
            </w:r>
            <w:r>
              <w:rPr>
                <w:rFonts w:hint="eastAsia" w:eastAsia="仿宋_GB2312"/>
                <w:kern w:val="0"/>
                <w:sz w:val="18"/>
                <w:szCs w:val="18"/>
              </w:rPr>
              <w:t>307</w:t>
            </w:r>
            <w:r>
              <w:rPr>
                <w:rFonts w:hint="eastAsia" w:ascii="仿宋_GB2312" w:hAnsi="宋体" w:eastAsia="仿宋_GB2312" w:cs="宋体"/>
                <w:kern w:val="0"/>
                <w:sz w:val="18"/>
                <w:szCs w:val="18"/>
              </w:rPr>
              <w:t>号路，长约</w:t>
            </w:r>
            <w:r>
              <w:rPr>
                <w:rFonts w:hint="eastAsia" w:eastAsia="仿宋_GB2312"/>
                <w:kern w:val="0"/>
                <w:sz w:val="18"/>
                <w:szCs w:val="18"/>
              </w:rPr>
              <w:t>697</w:t>
            </w:r>
            <w:r>
              <w:rPr>
                <w:rFonts w:hint="eastAsia" w:ascii="仿宋_GB2312" w:hAnsi="宋体" w:eastAsia="仿宋_GB2312" w:cs="宋体"/>
                <w:kern w:val="0"/>
                <w:sz w:val="18"/>
                <w:szCs w:val="18"/>
              </w:rPr>
              <w:t>米，宽</w:t>
            </w:r>
            <w:r>
              <w:rPr>
                <w:rFonts w:hint="eastAsia" w:eastAsia="仿宋_GB2312"/>
                <w:kern w:val="0"/>
                <w:sz w:val="18"/>
                <w:szCs w:val="18"/>
              </w:rPr>
              <w:t>20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8466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2031</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主路通车，其余路段正在建设中。</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375</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起于规划</w:t>
            </w:r>
            <w:r>
              <w:rPr>
                <w:rFonts w:hint="eastAsia" w:eastAsia="仿宋_GB2312"/>
                <w:kern w:val="0"/>
                <w:sz w:val="18"/>
                <w:szCs w:val="18"/>
              </w:rPr>
              <w:t>213</w:t>
            </w:r>
            <w:r>
              <w:rPr>
                <w:rFonts w:hint="eastAsia" w:ascii="仿宋_GB2312" w:hAnsi="宋体" w:eastAsia="仿宋_GB2312" w:cs="宋体"/>
                <w:kern w:val="0"/>
                <w:sz w:val="18"/>
                <w:szCs w:val="18"/>
              </w:rPr>
              <w:t>号路，止于规划</w:t>
            </w:r>
            <w:r>
              <w:rPr>
                <w:rFonts w:hint="eastAsia" w:eastAsia="仿宋_GB2312"/>
                <w:kern w:val="0"/>
                <w:sz w:val="18"/>
                <w:szCs w:val="18"/>
              </w:rPr>
              <w:t>307</w:t>
            </w:r>
            <w:r>
              <w:rPr>
                <w:rFonts w:hint="eastAsia" w:ascii="仿宋_GB2312" w:hAnsi="宋体" w:eastAsia="仿宋_GB2312" w:cs="宋体"/>
                <w:kern w:val="0"/>
                <w:sz w:val="18"/>
                <w:szCs w:val="18"/>
              </w:rPr>
              <w:t>号路，长约</w:t>
            </w:r>
            <w:r>
              <w:rPr>
                <w:rFonts w:hint="eastAsia" w:eastAsia="仿宋_GB2312"/>
                <w:kern w:val="0"/>
                <w:sz w:val="18"/>
                <w:szCs w:val="18"/>
              </w:rPr>
              <w:t>553</w:t>
            </w:r>
            <w:r>
              <w:rPr>
                <w:rFonts w:hint="eastAsia" w:ascii="仿宋_GB2312" w:hAnsi="宋体" w:eastAsia="仿宋_GB2312" w:cs="宋体"/>
                <w:kern w:val="0"/>
                <w:sz w:val="18"/>
                <w:szCs w:val="18"/>
              </w:rPr>
              <w:t>米，宽</w:t>
            </w:r>
            <w:r>
              <w:rPr>
                <w:rFonts w:hint="eastAsia" w:eastAsia="仿宋_GB2312"/>
                <w:kern w:val="0"/>
                <w:sz w:val="18"/>
                <w:szCs w:val="18"/>
              </w:rPr>
              <w:t>15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5487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4609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正常推进。</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212</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起于规划</w:t>
            </w:r>
            <w:r>
              <w:rPr>
                <w:rFonts w:hint="eastAsia" w:eastAsia="仿宋_GB2312"/>
                <w:kern w:val="0"/>
                <w:sz w:val="18"/>
                <w:szCs w:val="18"/>
              </w:rPr>
              <w:t>1</w:t>
            </w:r>
            <w:r>
              <w:rPr>
                <w:rFonts w:hint="eastAsia" w:ascii="仿宋_GB2312" w:hAnsi="宋体" w:eastAsia="仿宋_GB2312" w:cs="宋体"/>
                <w:kern w:val="0"/>
                <w:sz w:val="18"/>
                <w:szCs w:val="18"/>
              </w:rPr>
              <w:t>号路，止于规划</w:t>
            </w:r>
            <w:r>
              <w:rPr>
                <w:rFonts w:hint="eastAsia" w:eastAsia="仿宋_GB2312"/>
                <w:kern w:val="0"/>
                <w:sz w:val="18"/>
                <w:szCs w:val="18"/>
              </w:rPr>
              <w:t>237</w:t>
            </w:r>
            <w:r>
              <w:rPr>
                <w:rFonts w:hint="eastAsia" w:ascii="仿宋_GB2312" w:hAnsi="宋体" w:eastAsia="仿宋_GB2312" w:cs="宋体"/>
                <w:kern w:val="0"/>
                <w:sz w:val="18"/>
                <w:szCs w:val="18"/>
              </w:rPr>
              <w:t>号路，长约</w:t>
            </w:r>
            <w:r>
              <w:rPr>
                <w:rFonts w:hint="eastAsia" w:eastAsia="仿宋_GB2312"/>
                <w:kern w:val="0"/>
                <w:sz w:val="18"/>
                <w:szCs w:val="18"/>
              </w:rPr>
              <w:t>1112</w:t>
            </w:r>
            <w:r>
              <w:rPr>
                <w:rFonts w:hint="eastAsia" w:ascii="仿宋_GB2312" w:hAnsi="宋体" w:eastAsia="仿宋_GB2312" w:cs="宋体"/>
                <w:kern w:val="0"/>
                <w:sz w:val="18"/>
                <w:szCs w:val="18"/>
              </w:rPr>
              <w:t>米，宽</w:t>
            </w:r>
            <w:r>
              <w:rPr>
                <w:rFonts w:hint="eastAsia" w:eastAsia="仿宋_GB2312"/>
                <w:kern w:val="0"/>
                <w:sz w:val="18"/>
                <w:szCs w:val="18"/>
              </w:rPr>
              <w:t>12</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10766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1507</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正常推进。</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217</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起于规划</w:t>
            </w:r>
            <w:r>
              <w:rPr>
                <w:rFonts w:hint="eastAsia" w:eastAsia="仿宋_GB2312"/>
                <w:kern w:val="0"/>
                <w:sz w:val="18"/>
                <w:szCs w:val="18"/>
              </w:rPr>
              <w:t>195</w:t>
            </w:r>
            <w:r>
              <w:rPr>
                <w:rFonts w:hint="eastAsia" w:ascii="仿宋_GB2312" w:hAnsi="宋体" w:eastAsia="仿宋_GB2312" w:cs="宋体"/>
                <w:kern w:val="0"/>
                <w:sz w:val="18"/>
                <w:szCs w:val="18"/>
              </w:rPr>
              <w:t>号路，止于规划</w:t>
            </w:r>
            <w:r>
              <w:rPr>
                <w:rFonts w:hint="eastAsia" w:eastAsia="仿宋_GB2312"/>
                <w:kern w:val="0"/>
                <w:sz w:val="18"/>
                <w:szCs w:val="18"/>
              </w:rPr>
              <w:t>307</w:t>
            </w:r>
            <w:r>
              <w:rPr>
                <w:rFonts w:hint="eastAsia" w:ascii="仿宋_GB2312" w:hAnsi="宋体" w:eastAsia="仿宋_GB2312" w:cs="宋体"/>
                <w:kern w:val="0"/>
                <w:sz w:val="18"/>
                <w:szCs w:val="18"/>
              </w:rPr>
              <w:t>号路，长约</w:t>
            </w:r>
            <w:r>
              <w:rPr>
                <w:rFonts w:hint="eastAsia" w:eastAsia="仿宋_GB2312"/>
                <w:kern w:val="0"/>
                <w:sz w:val="18"/>
                <w:szCs w:val="18"/>
              </w:rPr>
              <w:t>196</w:t>
            </w:r>
            <w:r>
              <w:rPr>
                <w:rFonts w:hint="eastAsia" w:ascii="仿宋_GB2312" w:hAnsi="宋体" w:eastAsia="仿宋_GB2312" w:cs="宋体"/>
                <w:kern w:val="0"/>
                <w:sz w:val="18"/>
                <w:szCs w:val="18"/>
              </w:rPr>
              <w:t>米，宽</w:t>
            </w:r>
            <w:r>
              <w:rPr>
                <w:rFonts w:hint="eastAsia" w:eastAsia="仿宋_GB2312"/>
                <w:kern w:val="0"/>
                <w:sz w:val="18"/>
                <w:szCs w:val="18"/>
              </w:rPr>
              <w:t>15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2019.06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2316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555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正常推进。</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319</w:t>
            </w:r>
            <w:r>
              <w:rPr>
                <w:rFonts w:hint="eastAsia" w:ascii="仿宋_GB2312" w:hAnsi="宋体" w:eastAsia="仿宋_GB2312" w:cs="宋体"/>
                <w:kern w:val="0"/>
                <w:sz w:val="18"/>
                <w:szCs w:val="18"/>
              </w:rPr>
              <w:t>号路西段建设项目☆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起于金广路，止于规划</w:t>
            </w:r>
            <w:r>
              <w:rPr>
                <w:rFonts w:hint="eastAsia" w:eastAsia="仿宋_GB2312"/>
                <w:kern w:val="0"/>
                <w:sz w:val="18"/>
                <w:szCs w:val="18"/>
              </w:rPr>
              <w:t>355</w:t>
            </w:r>
            <w:r>
              <w:rPr>
                <w:rFonts w:hint="eastAsia" w:ascii="仿宋_GB2312" w:hAnsi="宋体" w:eastAsia="仿宋_GB2312" w:cs="宋体"/>
                <w:kern w:val="0"/>
                <w:sz w:val="18"/>
                <w:szCs w:val="18"/>
              </w:rPr>
              <w:t>号路，长</w:t>
            </w:r>
            <w:r>
              <w:rPr>
                <w:rFonts w:hint="eastAsia" w:eastAsia="仿宋_GB2312"/>
                <w:kern w:val="0"/>
                <w:sz w:val="18"/>
                <w:szCs w:val="18"/>
              </w:rPr>
              <w:t>840</w:t>
            </w:r>
            <w:r>
              <w:rPr>
                <w:rFonts w:hint="eastAsia" w:ascii="仿宋_GB2312" w:hAnsi="宋体" w:eastAsia="仿宋_GB2312" w:cs="宋体"/>
                <w:kern w:val="0"/>
                <w:sz w:val="18"/>
                <w:szCs w:val="18"/>
              </w:rPr>
              <w:t>米，规划红线宽</w:t>
            </w:r>
            <w:r>
              <w:rPr>
                <w:rFonts w:hint="eastAsia" w:eastAsia="仿宋_GB2312"/>
                <w:kern w:val="0"/>
                <w:sz w:val="18"/>
                <w:szCs w:val="18"/>
              </w:rPr>
              <w:t>15</w:t>
            </w:r>
            <w:r>
              <w:rPr>
                <w:rFonts w:hint="eastAsia" w:ascii="仿宋_GB2312" w:hAnsi="宋体" w:eastAsia="仿宋_GB2312" w:cs="宋体"/>
                <w:kern w:val="0"/>
                <w:sz w:val="18"/>
                <w:szCs w:val="18"/>
              </w:rPr>
              <w:t>至</w:t>
            </w:r>
            <w:r>
              <w:rPr>
                <w:rFonts w:hint="eastAsia" w:eastAsia="仿宋_GB2312"/>
                <w:kern w:val="0"/>
                <w:sz w:val="18"/>
                <w:szCs w:val="18"/>
              </w:rPr>
              <w:t>25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3768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2868</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该路施工单位已进场，陆广路至规划355号路段约320米已实现主路通车，剩余道路因地块正在进行基坑开挖不具备实施条件，暂未启动建设。</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50</w:t>
            </w:r>
            <w:r>
              <w:rPr>
                <w:rFonts w:hint="eastAsia" w:ascii="仿宋_GB2312" w:hAnsi="宋体" w:eastAsia="仿宋_GB2312" w:cs="宋体"/>
                <w:kern w:val="0"/>
                <w:sz w:val="18"/>
                <w:szCs w:val="18"/>
              </w:rPr>
              <w:t>号路东段建设项目☆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起于西园路，止于近华浦路，长</w:t>
            </w:r>
            <w:r>
              <w:rPr>
                <w:rFonts w:hint="eastAsia" w:eastAsia="仿宋_GB2312"/>
                <w:kern w:val="0"/>
                <w:sz w:val="18"/>
                <w:szCs w:val="18"/>
              </w:rPr>
              <w:t>890</w:t>
            </w:r>
            <w:r>
              <w:rPr>
                <w:rFonts w:hint="eastAsia" w:ascii="仿宋_GB2312" w:hAnsi="宋体" w:eastAsia="仿宋_GB2312" w:cs="宋体"/>
                <w:kern w:val="0"/>
                <w:sz w:val="18"/>
                <w:szCs w:val="18"/>
              </w:rPr>
              <w:t>米，规划红线宽</w:t>
            </w:r>
            <w:r>
              <w:rPr>
                <w:rFonts w:hint="eastAsia" w:eastAsia="仿宋_GB2312"/>
                <w:kern w:val="0"/>
                <w:sz w:val="18"/>
                <w:szCs w:val="18"/>
              </w:rPr>
              <w:t>15</w:t>
            </w:r>
            <w:r>
              <w:rPr>
                <w:rFonts w:hint="eastAsia" w:ascii="仿宋_GB2312" w:hAnsi="宋体" w:eastAsia="仿宋_GB2312" w:cs="宋体"/>
                <w:kern w:val="0"/>
                <w:sz w:val="18"/>
                <w:szCs w:val="18"/>
              </w:rPr>
              <w:t>至</w:t>
            </w:r>
            <w:r>
              <w:rPr>
                <w:rFonts w:hint="eastAsia" w:eastAsia="仿宋_GB2312"/>
                <w:kern w:val="0"/>
                <w:sz w:val="18"/>
                <w:szCs w:val="18"/>
              </w:rPr>
              <w:t>25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3468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1907</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已完成总工程量的75%，剩余路段因受片区开发商拆迁工作未完成影响，暂未建设。</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249</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起于国安巷，止于丹霞路，长</w:t>
            </w:r>
            <w:r>
              <w:rPr>
                <w:rFonts w:hint="eastAsia" w:eastAsia="仿宋_GB2312"/>
                <w:kern w:val="0"/>
                <w:sz w:val="18"/>
                <w:szCs w:val="18"/>
              </w:rPr>
              <w:t>750</w:t>
            </w:r>
            <w:r>
              <w:rPr>
                <w:rFonts w:hint="eastAsia" w:ascii="仿宋_GB2312" w:hAnsi="宋体" w:eastAsia="仿宋_GB2312" w:cs="宋体"/>
                <w:kern w:val="0"/>
                <w:sz w:val="18"/>
                <w:szCs w:val="18"/>
              </w:rPr>
              <w:t>米，规划红线宽</w:t>
            </w:r>
            <w:r>
              <w:rPr>
                <w:rFonts w:hint="eastAsia" w:eastAsia="仿宋_GB2312"/>
                <w:kern w:val="0"/>
                <w:sz w:val="18"/>
                <w:szCs w:val="18"/>
              </w:rPr>
              <w:t>15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6107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2778</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已完成总工程量的</w:t>
            </w:r>
            <w:r>
              <w:rPr>
                <w:rFonts w:hint="eastAsia" w:eastAsia="仿宋_GB2312"/>
                <w:kern w:val="0"/>
                <w:sz w:val="18"/>
                <w:szCs w:val="18"/>
              </w:rPr>
              <w:t>50%</w:t>
            </w:r>
            <w:r>
              <w:rPr>
                <w:rFonts w:hint="eastAsia" w:ascii="仿宋_GB2312" w:hAnsi="宋体" w:eastAsia="仿宋_GB2312" w:cs="宋体"/>
                <w:kern w:val="0"/>
                <w:sz w:val="18"/>
                <w:szCs w:val="18"/>
              </w:rPr>
              <w:t>，剩余路段因受片区开发商拆迁工作未完成影响，暂未建设。</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251</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起于西园北路，止于大观路，长约</w:t>
            </w:r>
            <w:r>
              <w:rPr>
                <w:rFonts w:hint="eastAsia" w:eastAsia="仿宋_GB2312"/>
                <w:kern w:val="0"/>
                <w:sz w:val="18"/>
                <w:szCs w:val="18"/>
              </w:rPr>
              <w:t>330</w:t>
            </w:r>
            <w:r>
              <w:rPr>
                <w:rFonts w:hint="eastAsia" w:ascii="仿宋_GB2312" w:hAnsi="宋体" w:eastAsia="仿宋_GB2312" w:cs="宋体"/>
                <w:kern w:val="0"/>
                <w:sz w:val="18"/>
                <w:szCs w:val="18"/>
              </w:rPr>
              <w:t>米，宽</w:t>
            </w:r>
            <w:r>
              <w:rPr>
                <w:rFonts w:hint="eastAsia" w:eastAsia="仿宋_GB2312"/>
                <w:kern w:val="0"/>
                <w:sz w:val="18"/>
                <w:szCs w:val="18"/>
              </w:rPr>
              <w:t>20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5003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2501</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2501</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76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12</w:t>
            </w:r>
            <w:r>
              <w:rPr>
                <w:rFonts w:hint="eastAsia" w:ascii="仿宋_GB2312" w:eastAsia="仿宋_GB2312"/>
                <w:kern w:val="0"/>
                <w:sz w:val="18"/>
                <w:szCs w:val="18"/>
              </w:rPr>
              <w:t>号片区采莲路建设项目</w:t>
            </w:r>
            <w:r>
              <w:rPr>
                <w:rFonts w:hint="eastAsia" w:ascii="宋体" w:hAnsi="宋体" w:eastAsia="仿宋_GB2312"/>
                <w:kern w:val="0"/>
                <w:sz w:val="18"/>
                <w:szCs w:val="18"/>
              </w:rPr>
              <w:t>☆</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进行道路、排水、照明、交通设施及绿化工程建设，并配套建设强电、弱电、燃气、给水等配套综合管网。</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4555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1699</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89</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进行道路、排水、照明、交通设施及绿化工程建设，并配套建设强电、弱电、燃气、给水等配套综合管网。</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1851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534</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国安巷道路建设项目☆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起于近华浦路，止于西园路，长</w:t>
            </w:r>
            <w:r>
              <w:rPr>
                <w:rFonts w:hint="eastAsia" w:eastAsia="仿宋_GB2312"/>
                <w:kern w:val="0"/>
                <w:sz w:val="18"/>
                <w:szCs w:val="18"/>
              </w:rPr>
              <w:t>450</w:t>
            </w:r>
            <w:r>
              <w:rPr>
                <w:rFonts w:hint="eastAsia" w:ascii="仿宋_GB2312" w:hAnsi="宋体" w:eastAsia="仿宋_GB2312" w:cs="宋体"/>
                <w:kern w:val="0"/>
                <w:sz w:val="18"/>
                <w:szCs w:val="18"/>
              </w:rPr>
              <w:t>米，规划红线宽</w:t>
            </w:r>
            <w:r>
              <w:rPr>
                <w:rFonts w:hint="eastAsia" w:eastAsia="仿宋_GB2312"/>
                <w:kern w:val="0"/>
                <w:sz w:val="18"/>
                <w:szCs w:val="18"/>
              </w:rPr>
              <w:t>15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3856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385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待片区具备条件后启动建设。</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云山路建设项目☆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起于南二环，止于西园路，长</w:t>
            </w:r>
            <w:r>
              <w:rPr>
                <w:rFonts w:hint="eastAsia" w:eastAsia="仿宋_GB2312"/>
                <w:kern w:val="0"/>
                <w:sz w:val="18"/>
                <w:szCs w:val="18"/>
              </w:rPr>
              <w:t>438</w:t>
            </w:r>
            <w:r>
              <w:rPr>
                <w:rFonts w:hint="eastAsia" w:ascii="仿宋_GB2312" w:hAnsi="宋体" w:eastAsia="仿宋_GB2312" w:cs="宋体"/>
                <w:kern w:val="0"/>
                <w:sz w:val="18"/>
                <w:szCs w:val="18"/>
              </w:rPr>
              <w:t>米，规划红线宽</w:t>
            </w:r>
            <w:r>
              <w:rPr>
                <w:rFonts w:hint="eastAsia" w:eastAsia="仿宋_GB2312"/>
                <w:kern w:val="0"/>
                <w:sz w:val="18"/>
                <w:szCs w:val="18"/>
              </w:rPr>
              <w:t>20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2808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280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待片区具备条件后启动建设。</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绿荫大道建设项目☆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起于采莲河，止于前兴路，道路全长</w:t>
            </w:r>
            <w:r>
              <w:rPr>
                <w:rFonts w:hint="eastAsia" w:eastAsia="仿宋_GB2312"/>
                <w:kern w:val="0"/>
                <w:sz w:val="18"/>
                <w:szCs w:val="18"/>
              </w:rPr>
              <w:t>2.7</w:t>
            </w:r>
            <w:r>
              <w:rPr>
                <w:rFonts w:hint="eastAsia" w:ascii="仿宋_GB2312" w:hAnsi="宋体" w:eastAsia="仿宋_GB2312" w:cs="宋体"/>
                <w:kern w:val="0"/>
                <w:sz w:val="18"/>
                <w:szCs w:val="18"/>
              </w:rPr>
              <w:t>千米，规划红线宽</w:t>
            </w:r>
            <w:r>
              <w:rPr>
                <w:rFonts w:hint="eastAsia" w:eastAsia="仿宋_GB2312"/>
                <w:kern w:val="0"/>
                <w:sz w:val="18"/>
                <w:szCs w:val="18"/>
              </w:rPr>
              <w:t>40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2021.08</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2023.08</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93048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20000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w:t>
            </w:r>
            <w:r>
              <w:rPr>
                <w:rFonts w:hint="eastAsia" w:eastAsia="仿宋_GB2312"/>
                <w:kern w:val="0"/>
                <w:sz w:val="18"/>
                <w:szCs w:val="18"/>
              </w:rPr>
              <w:t>PPP</w:t>
            </w:r>
            <w:r>
              <w:rPr>
                <w:rFonts w:hint="eastAsia" w:ascii="仿宋_GB2312" w:hAnsi="宋体" w:eastAsia="仿宋_GB2312" w:cs="宋体"/>
                <w:kern w:val="0"/>
                <w:sz w:val="18"/>
                <w:szCs w:val="18"/>
              </w:rPr>
              <w:t>入库工作。</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178</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金碧街道办事处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起于西坝路，止于安康路，道路全长</w:t>
            </w:r>
            <w:r>
              <w:rPr>
                <w:rFonts w:hint="eastAsia" w:eastAsia="仿宋_GB2312"/>
                <w:kern w:val="0"/>
                <w:sz w:val="18"/>
                <w:szCs w:val="18"/>
              </w:rPr>
              <w:t>206</w:t>
            </w:r>
            <w:r>
              <w:rPr>
                <w:rFonts w:hint="eastAsia" w:ascii="仿宋_GB2312" w:hAnsi="宋体" w:eastAsia="仿宋_GB2312" w:cs="宋体"/>
                <w:kern w:val="0"/>
                <w:sz w:val="18"/>
                <w:szCs w:val="18"/>
              </w:rPr>
              <w:t>米，道路红线宽</w:t>
            </w:r>
            <w:r>
              <w:rPr>
                <w:rFonts w:hint="eastAsia" w:eastAsia="仿宋_GB2312"/>
                <w:kern w:val="0"/>
                <w:sz w:val="18"/>
                <w:szCs w:val="18"/>
              </w:rPr>
              <w:t>12</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1175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587</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w:t>
            </w:r>
            <w:r>
              <w:rPr>
                <w:rFonts w:hint="eastAsia" w:eastAsia="仿宋_GB2312"/>
                <w:kern w:val="0"/>
                <w:sz w:val="18"/>
                <w:szCs w:val="18"/>
              </w:rPr>
              <w:t>PPP</w:t>
            </w:r>
            <w:r>
              <w:rPr>
                <w:rFonts w:hint="eastAsia" w:ascii="仿宋_GB2312" w:hAnsi="宋体" w:eastAsia="仿宋_GB2312" w:cs="宋体"/>
                <w:kern w:val="0"/>
                <w:sz w:val="18"/>
                <w:szCs w:val="18"/>
              </w:rPr>
              <w:t>入库工作。</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353</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起于陆广路，止于西山</w:t>
            </w:r>
            <w:r>
              <w:rPr>
                <w:rFonts w:hint="eastAsia" w:eastAsia="仿宋_GB2312"/>
                <w:kern w:val="0"/>
                <w:sz w:val="18"/>
                <w:szCs w:val="18"/>
              </w:rPr>
              <w:t>352</w:t>
            </w:r>
            <w:r>
              <w:rPr>
                <w:rFonts w:hint="eastAsia" w:ascii="仿宋_GB2312" w:hAnsi="宋体" w:eastAsia="仿宋_GB2312" w:cs="宋体"/>
                <w:kern w:val="0"/>
                <w:sz w:val="18"/>
                <w:szCs w:val="18"/>
              </w:rPr>
              <w:t>号路，长</w:t>
            </w:r>
            <w:r>
              <w:rPr>
                <w:rFonts w:hint="eastAsia" w:eastAsia="仿宋_GB2312"/>
                <w:kern w:val="0"/>
                <w:sz w:val="18"/>
                <w:szCs w:val="18"/>
              </w:rPr>
              <w:t>22</w:t>
            </w:r>
            <w:r>
              <w:rPr>
                <w:rFonts w:hint="eastAsia" w:ascii="仿宋_GB2312" w:hAnsi="宋体" w:eastAsia="仿宋_GB2312" w:cs="宋体"/>
                <w:kern w:val="0"/>
                <w:sz w:val="18"/>
                <w:szCs w:val="18"/>
              </w:rPr>
              <w:t>米，规划红线宽</w:t>
            </w:r>
            <w:r>
              <w:rPr>
                <w:rFonts w:hint="eastAsia" w:eastAsia="仿宋_GB2312"/>
                <w:kern w:val="0"/>
                <w:sz w:val="18"/>
                <w:szCs w:val="18"/>
              </w:rPr>
              <w:t>14</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640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342</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w:t>
            </w:r>
            <w:r>
              <w:rPr>
                <w:rFonts w:hint="eastAsia" w:eastAsia="仿宋_GB2312"/>
                <w:kern w:val="0"/>
                <w:sz w:val="18"/>
                <w:szCs w:val="18"/>
              </w:rPr>
              <w:t>PPP</w:t>
            </w:r>
            <w:r>
              <w:rPr>
                <w:rFonts w:hint="eastAsia" w:ascii="仿宋_GB2312" w:hAnsi="宋体" w:eastAsia="仿宋_GB2312" w:cs="宋体"/>
                <w:kern w:val="0"/>
                <w:sz w:val="18"/>
                <w:szCs w:val="18"/>
              </w:rPr>
              <w:t>入库工作。</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352</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起于绿荫大道，止于日新路，长</w:t>
            </w:r>
            <w:r>
              <w:rPr>
                <w:rFonts w:hint="eastAsia" w:eastAsia="仿宋_GB2312"/>
                <w:kern w:val="0"/>
                <w:sz w:val="18"/>
                <w:szCs w:val="18"/>
              </w:rPr>
              <w:t>550</w:t>
            </w:r>
            <w:r>
              <w:rPr>
                <w:rFonts w:hint="eastAsia" w:ascii="仿宋_GB2312" w:hAnsi="宋体" w:eastAsia="仿宋_GB2312" w:cs="宋体"/>
                <w:kern w:val="0"/>
                <w:sz w:val="18"/>
                <w:szCs w:val="18"/>
              </w:rPr>
              <w:t>米，规划红线宽</w:t>
            </w:r>
            <w:r>
              <w:rPr>
                <w:rFonts w:hint="eastAsia" w:eastAsia="仿宋_GB2312"/>
                <w:kern w:val="0"/>
                <w:sz w:val="18"/>
                <w:szCs w:val="18"/>
              </w:rPr>
              <w:t>20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3046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1594</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w:t>
            </w:r>
            <w:r>
              <w:rPr>
                <w:rFonts w:hint="eastAsia" w:eastAsia="仿宋_GB2312"/>
                <w:kern w:val="0"/>
                <w:sz w:val="18"/>
                <w:szCs w:val="18"/>
              </w:rPr>
              <w:t>PPP</w:t>
            </w:r>
            <w:r>
              <w:rPr>
                <w:rFonts w:hint="eastAsia" w:ascii="仿宋_GB2312" w:hAnsi="宋体" w:eastAsia="仿宋_GB2312" w:cs="宋体"/>
                <w:kern w:val="0"/>
                <w:sz w:val="18"/>
                <w:szCs w:val="18"/>
              </w:rPr>
              <w:t>入库工作。</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359</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起于绿荫大道，止于规划</w:t>
            </w:r>
            <w:r>
              <w:rPr>
                <w:rFonts w:hint="eastAsia" w:eastAsia="仿宋_GB2312"/>
                <w:kern w:val="0"/>
                <w:sz w:val="18"/>
                <w:szCs w:val="18"/>
              </w:rPr>
              <w:t>10</w:t>
            </w:r>
            <w:r>
              <w:rPr>
                <w:rFonts w:hint="eastAsia" w:ascii="仿宋_GB2312" w:hAnsi="宋体" w:eastAsia="仿宋_GB2312" w:cs="宋体"/>
                <w:kern w:val="0"/>
                <w:sz w:val="18"/>
                <w:szCs w:val="18"/>
              </w:rPr>
              <w:t>号路，长</w:t>
            </w:r>
            <w:r>
              <w:rPr>
                <w:rFonts w:hint="eastAsia" w:eastAsia="仿宋_GB2312"/>
                <w:kern w:val="0"/>
                <w:sz w:val="18"/>
                <w:szCs w:val="18"/>
              </w:rPr>
              <w:t>229</w:t>
            </w:r>
            <w:r>
              <w:rPr>
                <w:rFonts w:hint="eastAsia" w:ascii="仿宋_GB2312" w:hAnsi="宋体" w:eastAsia="仿宋_GB2312" w:cs="宋体"/>
                <w:kern w:val="0"/>
                <w:sz w:val="18"/>
                <w:szCs w:val="18"/>
              </w:rPr>
              <w:t>米，规划红线宽</w:t>
            </w:r>
            <w:r>
              <w:rPr>
                <w:rFonts w:hint="eastAsia" w:eastAsia="仿宋_GB2312"/>
                <w:kern w:val="0"/>
                <w:sz w:val="18"/>
                <w:szCs w:val="18"/>
              </w:rPr>
              <w:t>20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2104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1052</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待片区具备条件后启动建设。</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13</w:t>
            </w:r>
            <w:r>
              <w:rPr>
                <w:rFonts w:hint="eastAsia" w:ascii="仿宋_GB2312" w:hAnsi="宋体" w:eastAsia="仿宋_GB2312" w:cs="宋体"/>
                <w:kern w:val="0"/>
                <w:sz w:val="18"/>
                <w:szCs w:val="18"/>
              </w:rPr>
              <w:t>号路（东段）建设项目☆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起于规划</w:t>
            </w:r>
            <w:r>
              <w:rPr>
                <w:rFonts w:hint="eastAsia" w:eastAsia="仿宋_GB2312"/>
                <w:kern w:val="0"/>
                <w:sz w:val="18"/>
                <w:szCs w:val="18"/>
              </w:rPr>
              <w:t>112</w:t>
            </w:r>
            <w:r>
              <w:rPr>
                <w:rFonts w:hint="eastAsia" w:ascii="仿宋_GB2312" w:hAnsi="宋体" w:eastAsia="仿宋_GB2312" w:cs="宋体"/>
                <w:kern w:val="0"/>
                <w:sz w:val="18"/>
                <w:szCs w:val="18"/>
              </w:rPr>
              <w:t>号路，止于盘江西路，长</w:t>
            </w:r>
            <w:r>
              <w:rPr>
                <w:rFonts w:hint="eastAsia" w:eastAsia="仿宋_GB2312"/>
                <w:kern w:val="0"/>
                <w:sz w:val="18"/>
                <w:szCs w:val="18"/>
              </w:rPr>
              <w:t>200</w:t>
            </w:r>
            <w:r>
              <w:rPr>
                <w:rFonts w:hint="eastAsia" w:ascii="仿宋_GB2312" w:hAnsi="宋体" w:eastAsia="仿宋_GB2312" w:cs="宋体"/>
                <w:kern w:val="0"/>
                <w:sz w:val="18"/>
                <w:szCs w:val="18"/>
              </w:rPr>
              <w:t>米，规划红线宽</w:t>
            </w:r>
            <w:r>
              <w:rPr>
                <w:rFonts w:hint="eastAsia" w:eastAsia="仿宋_GB2312"/>
                <w:kern w:val="0"/>
                <w:sz w:val="18"/>
                <w:szCs w:val="18"/>
              </w:rPr>
              <w:t>25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2021.08</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3410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1133</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w:t>
            </w:r>
            <w:r>
              <w:rPr>
                <w:rFonts w:hint="eastAsia" w:eastAsia="仿宋_GB2312"/>
                <w:kern w:val="0"/>
                <w:sz w:val="18"/>
                <w:szCs w:val="18"/>
              </w:rPr>
              <w:t>PPP</w:t>
            </w:r>
            <w:r>
              <w:rPr>
                <w:rFonts w:hint="eastAsia" w:ascii="仿宋_GB2312" w:hAnsi="宋体" w:eastAsia="仿宋_GB2312" w:cs="宋体"/>
                <w:kern w:val="0"/>
                <w:sz w:val="18"/>
                <w:szCs w:val="18"/>
              </w:rPr>
              <w:t>入库工作。</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384</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起于华苑路，止于上锦路，道路全长</w:t>
            </w:r>
            <w:r>
              <w:rPr>
                <w:rFonts w:hint="eastAsia" w:eastAsia="仿宋_GB2312"/>
                <w:kern w:val="0"/>
                <w:sz w:val="18"/>
                <w:szCs w:val="18"/>
              </w:rPr>
              <w:t>327</w:t>
            </w:r>
            <w:r>
              <w:rPr>
                <w:rFonts w:hint="eastAsia" w:ascii="仿宋_GB2312" w:hAnsi="宋体" w:eastAsia="仿宋_GB2312" w:cs="宋体"/>
                <w:kern w:val="0"/>
                <w:sz w:val="18"/>
                <w:szCs w:val="18"/>
              </w:rPr>
              <w:t>米，规划红线宽</w:t>
            </w:r>
            <w:r>
              <w:rPr>
                <w:rFonts w:hint="eastAsia" w:eastAsia="仿宋_GB2312"/>
                <w:kern w:val="0"/>
                <w:sz w:val="18"/>
                <w:szCs w:val="18"/>
              </w:rPr>
              <w:t>15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1590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771</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771</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381</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起于昆州路，止于兴苑路，道路全长</w:t>
            </w:r>
            <w:r>
              <w:rPr>
                <w:rFonts w:hint="eastAsia" w:eastAsia="仿宋_GB2312"/>
                <w:kern w:val="0"/>
                <w:sz w:val="18"/>
                <w:szCs w:val="18"/>
              </w:rPr>
              <w:t>436</w:t>
            </w:r>
            <w:r>
              <w:rPr>
                <w:rFonts w:hint="eastAsia" w:ascii="仿宋_GB2312" w:hAnsi="宋体" w:eastAsia="仿宋_GB2312" w:cs="宋体"/>
                <w:kern w:val="0"/>
                <w:sz w:val="18"/>
                <w:szCs w:val="18"/>
              </w:rPr>
              <w:t>米，规划红线宽</w:t>
            </w:r>
            <w:r>
              <w:rPr>
                <w:rFonts w:hint="eastAsia" w:eastAsia="仿宋_GB2312"/>
                <w:kern w:val="0"/>
                <w:sz w:val="18"/>
                <w:szCs w:val="18"/>
              </w:rPr>
              <w:t>15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2235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1106</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正在开展前期工作。</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w:t>
            </w:r>
            <w:r>
              <w:rPr>
                <w:rFonts w:hint="eastAsia" w:ascii="仿宋_GB2312" w:hAnsi="宋体" w:eastAsia="仿宋_GB2312" w:cs="宋体"/>
                <w:kern w:val="0"/>
                <w:sz w:val="18"/>
                <w:szCs w:val="18"/>
              </w:rPr>
              <w:t>号路下穿成昆铁路北段建设项目☆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起于春雨路，止于成昆铁路，长约</w:t>
            </w:r>
            <w:r>
              <w:rPr>
                <w:rFonts w:hint="eastAsia" w:eastAsia="仿宋_GB2312"/>
                <w:kern w:val="0"/>
                <w:sz w:val="18"/>
                <w:szCs w:val="18"/>
              </w:rPr>
              <w:t>177</w:t>
            </w:r>
            <w:r>
              <w:rPr>
                <w:rFonts w:hint="eastAsia" w:ascii="仿宋_GB2312" w:hAnsi="宋体" w:eastAsia="仿宋_GB2312" w:cs="宋体"/>
                <w:kern w:val="0"/>
                <w:sz w:val="18"/>
                <w:szCs w:val="18"/>
              </w:rPr>
              <w:t>米，宽</w:t>
            </w:r>
            <w:r>
              <w:rPr>
                <w:rFonts w:hint="eastAsia" w:eastAsia="仿宋_GB2312"/>
                <w:kern w:val="0"/>
                <w:sz w:val="18"/>
                <w:szCs w:val="18"/>
              </w:rPr>
              <w:t>30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8493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4246</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正在开展前期工作。</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二环西路春苑小区西侧人行天桥建设项目☆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西苑街道办事处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修建天桥</w:t>
            </w:r>
            <w:r>
              <w:rPr>
                <w:rFonts w:hint="eastAsia" w:eastAsia="仿宋_GB2312"/>
                <w:kern w:val="0"/>
                <w:sz w:val="18"/>
                <w:szCs w:val="18"/>
              </w:rPr>
              <w:t>1</w:t>
            </w:r>
            <w:r>
              <w:rPr>
                <w:rFonts w:hint="eastAsia" w:ascii="仿宋_GB2312" w:hAnsi="宋体" w:eastAsia="仿宋_GB2312" w:cs="宋体"/>
                <w:kern w:val="0"/>
                <w:sz w:val="18"/>
                <w:szCs w:val="18"/>
              </w:rPr>
              <w:t>座。</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695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695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1156</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168</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进行道路、排水、照明、交通设施及绿化工程建设，并配套建设强电、弱电、燃气、给水等配套综合管网。</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18993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待片区具备条件后启动建设。</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中桃公路修缮工程☆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完善路面破损修复及病害处置，完善排水设施。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921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921</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850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正常推进。</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浑团公路修缮工程☆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完善路面破损修复及病害处置，完善排水设施。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689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689</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570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长坡社区主干道建设项目☆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对该段道路进行提升改造，优化排水设施，完善交通安全相关设施。</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项目资金未落实，未实施。</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94</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2021</w:t>
            </w:r>
            <w:r>
              <w:rPr>
                <w:rFonts w:hint="eastAsia" w:ascii="仿宋_GB2312" w:eastAsia="仿宋_GB2312"/>
                <w:kern w:val="0"/>
                <w:sz w:val="18"/>
                <w:szCs w:val="18"/>
              </w:rPr>
              <w:t>年安全生命防护工程</w:t>
            </w:r>
            <w:r>
              <w:rPr>
                <w:rFonts w:hint="eastAsia" w:ascii="宋体" w:hAnsi="宋体" w:eastAsia="仿宋_GB2312"/>
                <w:kern w:val="0"/>
                <w:sz w:val="18"/>
                <w:szCs w:val="18"/>
              </w:rPr>
              <w:t>☆</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完善乡村公路安全生命防护设施，加装标志标牌、完善交通标线，增设防护栏、防护挡墙，做好十字路口</w:t>
            </w:r>
            <w:r>
              <w:rPr>
                <w:rFonts w:hint="eastAsia" w:eastAsia="仿宋_GB2312"/>
                <w:kern w:val="0"/>
                <w:sz w:val="18"/>
                <w:szCs w:val="18"/>
              </w:rPr>
              <w:t>“</w:t>
            </w:r>
            <w:r>
              <w:rPr>
                <w:rFonts w:hint="eastAsia" w:ascii="仿宋_GB2312" w:hAnsi="宋体" w:eastAsia="仿宋_GB2312" w:cs="宋体"/>
                <w:kern w:val="0"/>
                <w:sz w:val="18"/>
                <w:szCs w:val="18"/>
              </w:rPr>
              <w:t>五小</w:t>
            </w:r>
            <w:r>
              <w:rPr>
                <w:rFonts w:hint="eastAsia" w:eastAsia="仿宋_GB2312"/>
                <w:kern w:val="0"/>
                <w:sz w:val="18"/>
                <w:szCs w:val="18"/>
              </w:rPr>
              <w:t>”</w:t>
            </w:r>
            <w:r>
              <w:rPr>
                <w:rFonts w:hint="eastAsia" w:ascii="仿宋_GB2312" w:hAnsi="宋体" w:eastAsia="仿宋_GB2312" w:cs="宋体"/>
                <w:kern w:val="0"/>
                <w:sz w:val="18"/>
                <w:szCs w:val="18"/>
              </w:rPr>
              <w:t>工程等。</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500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95</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昆安高速下层（</w:t>
            </w:r>
            <w:r>
              <w:rPr>
                <w:rFonts w:hint="eastAsia" w:eastAsia="仿宋_GB2312"/>
                <w:kern w:val="0"/>
                <w:sz w:val="18"/>
                <w:szCs w:val="18"/>
              </w:rPr>
              <w:t>A</w:t>
            </w:r>
            <w:r>
              <w:rPr>
                <w:rFonts w:hint="eastAsia" w:ascii="仿宋_GB2312" w:hAnsi="宋体" w:eastAsia="仿宋_GB2312" w:cs="宋体"/>
                <w:kern w:val="0"/>
                <w:sz w:val="18"/>
                <w:szCs w:val="18"/>
              </w:rPr>
              <w:t>段）改扩建工程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西山区发展投资集团有限公司</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起于明波立交，止于昆明西管理处，道路长约</w:t>
            </w:r>
            <w:r>
              <w:rPr>
                <w:rFonts w:hint="eastAsia" w:eastAsia="仿宋_GB2312"/>
                <w:kern w:val="0"/>
                <w:sz w:val="18"/>
                <w:szCs w:val="18"/>
              </w:rPr>
              <w:t>5900</w:t>
            </w:r>
            <w:r>
              <w:rPr>
                <w:rFonts w:hint="eastAsia" w:ascii="仿宋_GB2312" w:hAnsi="宋体" w:eastAsia="仿宋_GB2312" w:cs="宋体"/>
                <w:kern w:val="0"/>
                <w:sz w:val="18"/>
                <w:szCs w:val="18"/>
              </w:rPr>
              <w:t>米，规划红线宽</w:t>
            </w:r>
            <w:r>
              <w:rPr>
                <w:rFonts w:hint="eastAsia" w:eastAsia="仿宋_GB2312"/>
                <w:kern w:val="0"/>
                <w:sz w:val="18"/>
                <w:szCs w:val="18"/>
              </w:rPr>
              <w:t>50</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78769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19054</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正在积极推进项目二阶段</w:t>
            </w:r>
            <w:r>
              <w:rPr>
                <w:rFonts w:hint="eastAsia" w:eastAsia="仿宋_GB2312"/>
                <w:kern w:val="0"/>
                <w:sz w:val="18"/>
                <w:szCs w:val="18"/>
              </w:rPr>
              <w:t>50</w:t>
            </w:r>
            <w:r>
              <w:rPr>
                <w:rFonts w:hint="eastAsia" w:ascii="仿宋_GB2312" w:hAnsi="宋体" w:eastAsia="仿宋_GB2312" w:cs="宋体"/>
                <w:kern w:val="0"/>
                <w:sz w:val="18"/>
                <w:szCs w:val="18"/>
              </w:rPr>
              <w:t>米范围扩宽改造相关苗木移栽、管线迁改工作。</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96</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石安公路环境提升工程</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立交，终点至中冠建材城，全长约</w:t>
            </w:r>
            <w:r>
              <w:rPr>
                <w:rFonts w:hint="eastAsia" w:eastAsia="仿宋_GB2312"/>
                <w:kern w:val="0"/>
                <w:sz w:val="18"/>
                <w:szCs w:val="18"/>
              </w:rPr>
              <w:t>6.9</w:t>
            </w:r>
            <w:r>
              <w:rPr>
                <w:rFonts w:hint="eastAsia" w:ascii="仿宋_GB2312" w:hAnsi="宋体" w:eastAsia="仿宋_GB2312" w:cs="宋体"/>
                <w:kern w:val="0"/>
                <w:sz w:val="18"/>
                <w:szCs w:val="18"/>
              </w:rPr>
              <w:t>千米，在现状基础上进行提升，主要以设施查缺补漏、绿化补绿增色、问题区域整治为主。</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2021.08</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2998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2998</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2998</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97</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232</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起于规划</w:t>
            </w:r>
            <w:r>
              <w:rPr>
                <w:rFonts w:hint="eastAsia" w:eastAsia="仿宋_GB2312"/>
                <w:kern w:val="0"/>
                <w:sz w:val="18"/>
                <w:szCs w:val="18"/>
              </w:rPr>
              <w:t>377</w:t>
            </w:r>
            <w:r>
              <w:rPr>
                <w:rFonts w:hint="eastAsia" w:ascii="仿宋_GB2312" w:hAnsi="宋体" w:eastAsia="仿宋_GB2312" w:cs="宋体"/>
                <w:kern w:val="0"/>
                <w:sz w:val="18"/>
                <w:szCs w:val="18"/>
              </w:rPr>
              <w:t>号路，止于规划</w:t>
            </w:r>
            <w:r>
              <w:rPr>
                <w:rFonts w:hint="eastAsia" w:eastAsia="仿宋_GB2312"/>
                <w:kern w:val="0"/>
                <w:sz w:val="18"/>
                <w:szCs w:val="18"/>
              </w:rPr>
              <w:t>235</w:t>
            </w:r>
            <w:r>
              <w:rPr>
                <w:rFonts w:hint="eastAsia" w:ascii="仿宋_GB2312" w:hAnsi="宋体" w:eastAsia="仿宋_GB2312" w:cs="宋体"/>
                <w:kern w:val="0"/>
                <w:sz w:val="18"/>
                <w:szCs w:val="18"/>
              </w:rPr>
              <w:t>号路，长约</w:t>
            </w:r>
            <w:r>
              <w:rPr>
                <w:rFonts w:hint="eastAsia" w:eastAsia="仿宋_GB2312"/>
                <w:kern w:val="0"/>
                <w:sz w:val="18"/>
                <w:szCs w:val="18"/>
              </w:rPr>
              <w:t>280</w:t>
            </w:r>
            <w:r>
              <w:rPr>
                <w:rFonts w:hint="eastAsia" w:ascii="仿宋_GB2312" w:hAnsi="宋体" w:eastAsia="仿宋_GB2312" w:cs="宋体"/>
                <w:kern w:val="0"/>
                <w:sz w:val="18"/>
                <w:szCs w:val="18"/>
              </w:rPr>
              <w:t>米，宽</w:t>
            </w:r>
            <w:r>
              <w:rPr>
                <w:rFonts w:hint="eastAsia" w:eastAsia="仿宋_GB2312"/>
                <w:kern w:val="0"/>
                <w:sz w:val="18"/>
                <w:szCs w:val="18"/>
              </w:rPr>
              <w:t>15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3022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1392</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1392</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正开展主体施工。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98</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滇池绿道环湖路王家堆段</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立交南段下层转盘，止于环湖路第一段（高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立交北），道路全长</w:t>
            </w:r>
            <w:r>
              <w:rPr>
                <w:rFonts w:hint="eastAsia" w:eastAsia="仿宋_GB2312"/>
                <w:kern w:val="0"/>
                <w:sz w:val="18"/>
                <w:szCs w:val="18"/>
              </w:rPr>
              <w:t>2020</w:t>
            </w:r>
            <w:r>
              <w:rPr>
                <w:rFonts w:hint="eastAsia" w:ascii="仿宋_GB2312" w:hAnsi="宋体" w:eastAsia="仿宋_GB2312" w:cs="宋体"/>
                <w:kern w:val="0"/>
                <w:sz w:val="18"/>
                <w:szCs w:val="18"/>
              </w:rPr>
              <w:t>米，规划红线宽</w:t>
            </w:r>
            <w:r>
              <w:rPr>
                <w:rFonts w:hint="eastAsia" w:eastAsia="仿宋_GB2312"/>
                <w:kern w:val="0"/>
                <w:sz w:val="18"/>
                <w:szCs w:val="18"/>
              </w:rPr>
              <w:t>25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17197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3440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3440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正开展主体施工。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99</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16"/>
                <w:kern w:val="0"/>
                <w:sz w:val="18"/>
                <w:szCs w:val="18"/>
              </w:rPr>
            </w:pPr>
            <w:r>
              <w:rPr>
                <w:rFonts w:hint="eastAsia" w:ascii="仿宋_GB2312" w:hAnsi="宋体" w:eastAsia="仿宋_GB2312" w:cs="宋体"/>
                <w:spacing w:val="-16"/>
                <w:kern w:val="0"/>
                <w:sz w:val="18"/>
                <w:szCs w:val="18"/>
              </w:rPr>
              <w:t>春苑输变电站至近华浦路与云山路交叉口10千伏电缆通道建设项目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西苑街道办事处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110</w:t>
            </w:r>
            <w:r>
              <w:rPr>
                <w:rFonts w:hint="eastAsia" w:ascii="仿宋_GB2312" w:eastAsia="仿宋_GB2312"/>
                <w:kern w:val="0"/>
                <w:sz w:val="18"/>
                <w:szCs w:val="18"/>
              </w:rPr>
              <w:t>千伏春苑变电站为起点，沿近华浦路东侧，止于近华浦路与云山路交叉路口，建设电力通道。</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2021.06</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2021.08</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611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645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645</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已完工。</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100</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154</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起于规划</w:t>
            </w:r>
            <w:r>
              <w:rPr>
                <w:rFonts w:hint="eastAsia" w:eastAsia="仿宋_GB2312"/>
                <w:kern w:val="0"/>
                <w:sz w:val="18"/>
                <w:szCs w:val="18"/>
              </w:rPr>
              <w:t>191</w:t>
            </w:r>
            <w:r>
              <w:rPr>
                <w:rFonts w:hint="eastAsia" w:ascii="仿宋_GB2312" w:hAnsi="宋体" w:eastAsia="仿宋_GB2312" w:cs="宋体"/>
                <w:kern w:val="0"/>
                <w:sz w:val="18"/>
                <w:szCs w:val="18"/>
              </w:rPr>
              <w:t>号路，止于广福路，长约</w:t>
            </w:r>
            <w:r>
              <w:rPr>
                <w:rFonts w:hint="eastAsia" w:eastAsia="仿宋_GB2312"/>
                <w:kern w:val="0"/>
                <w:sz w:val="18"/>
                <w:szCs w:val="18"/>
              </w:rPr>
              <w:t>700</w:t>
            </w:r>
            <w:r>
              <w:rPr>
                <w:rFonts w:hint="eastAsia" w:ascii="仿宋_GB2312" w:hAnsi="宋体" w:eastAsia="仿宋_GB2312" w:cs="宋体"/>
                <w:kern w:val="0"/>
                <w:sz w:val="18"/>
                <w:szCs w:val="18"/>
              </w:rPr>
              <w:t>米，宽</w:t>
            </w:r>
            <w:r>
              <w:rPr>
                <w:rFonts w:hint="eastAsia" w:eastAsia="仿宋_GB2312"/>
                <w:kern w:val="0"/>
                <w:sz w:val="18"/>
                <w:szCs w:val="18"/>
              </w:rPr>
              <w:t>15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840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正在开展环评、水保、防震选址意见书、可研立项等工作。</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101</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318</w:t>
            </w:r>
            <w:r>
              <w:rPr>
                <w:rFonts w:hint="eastAsia" w:ascii="仿宋_GB2312" w:hAnsi="宋体" w:eastAsia="仿宋_GB2312" w:cs="宋体"/>
                <w:kern w:val="0"/>
                <w:sz w:val="18"/>
                <w:szCs w:val="18"/>
              </w:rPr>
              <w:t>号路建设项目☆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西山区住房和城乡建设局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起于前兴路，止于盘江西路，长约</w:t>
            </w:r>
            <w:r>
              <w:rPr>
                <w:rFonts w:hint="eastAsia" w:eastAsia="仿宋_GB2312"/>
                <w:kern w:val="0"/>
                <w:sz w:val="18"/>
                <w:szCs w:val="18"/>
              </w:rPr>
              <w:t>1000</w:t>
            </w:r>
            <w:r>
              <w:rPr>
                <w:rFonts w:hint="eastAsia" w:ascii="仿宋_GB2312" w:hAnsi="宋体" w:eastAsia="仿宋_GB2312" w:cs="宋体"/>
                <w:kern w:val="0"/>
                <w:sz w:val="18"/>
                <w:szCs w:val="18"/>
              </w:rPr>
              <w:t>米，宽</w:t>
            </w:r>
            <w:r>
              <w:rPr>
                <w:rFonts w:hint="eastAsia" w:eastAsia="仿宋_GB2312"/>
                <w:kern w:val="0"/>
                <w:sz w:val="18"/>
                <w:szCs w:val="18"/>
              </w:rPr>
              <w:t>25</w:t>
            </w:r>
            <w:r>
              <w:rPr>
                <w:rFonts w:hint="eastAsia" w:ascii="仿宋_GB2312" w:hAnsi="宋体" w:eastAsia="仿宋_GB2312" w:cs="宋体"/>
                <w:kern w:val="0"/>
                <w:sz w:val="18"/>
                <w:szCs w:val="18"/>
              </w:rPr>
              <w:t>米。</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6597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正在开展招投标工作。</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102</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团结片区快速通道建设项目☆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按照市政道路标准，启动团结片区连接主城区快速通道。</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87000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正开展前期工作。</w:t>
            </w:r>
          </w:p>
        </w:tc>
      </w:tr>
      <w:tr>
        <w:tblPrEx>
          <w:tblLayout w:type="fixed"/>
          <w:tblCellMar>
            <w:top w:w="0" w:type="dxa"/>
            <w:left w:w="108" w:type="dxa"/>
            <w:bottom w:w="0" w:type="dxa"/>
            <w:right w:w="108" w:type="dxa"/>
          </w:tblCellMar>
        </w:tblPrEx>
        <w:trPr>
          <w:trHeight w:val="20" w:hRule="atLeast"/>
          <w:jc w:val="center"/>
        </w:trPr>
        <w:tc>
          <w:tcPr>
            <w:tcW w:w="553"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103</w:t>
            </w:r>
          </w:p>
        </w:tc>
        <w:tc>
          <w:tcPr>
            <w:tcW w:w="12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和平多依至永靖道路建设项目☆</w:t>
            </w:r>
          </w:p>
        </w:tc>
        <w:tc>
          <w:tcPr>
            <w:tcW w:w="107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6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341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起于团结街道办事处永靖社区杨庄房，止于和平社区小厂村附近，沿现有路基进行硬化，优化片区交通网络。</w:t>
            </w:r>
          </w:p>
        </w:tc>
        <w:tc>
          <w:tcPr>
            <w:tcW w:w="11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0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1850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0</w:t>
            </w:r>
          </w:p>
        </w:tc>
        <w:tc>
          <w:tcPr>
            <w:tcW w:w="1689"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正开展前期工作。</w:t>
            </w:r>
          </w:p>
        </w:tc>
      </w:tr>
    </w:tbl>
    <w:p>
      <w:pPr>
        <w:widowControl/>
        <w:rPr>
          <w:rFonts w:eastAsia="黑体" w:cs="宋体"/>
          <w:spacing w:val="-2"/>
          <w:kern w:val="0"/>
        </w:rPr>
      </w:pPr>
      <w:r>
        <w:rPr>
          <w:rFonts w:hint="eastAsia" w:eastAsia="黑体" w:cs="宋体"/>
          <w:kern w:val="0"/>
        </w:rPr>
        <w:t>备注：</w:t>
      </w:r>
      <w:r>
        <w:rPr>
          <w:rFonts w:eastAsia="黑体"/>
          <w:kern w:val="0"/>
        </w:rPr>
        <w:t>1</w:t>
      </w:r>
      <w:r>
        <w:rPr>
          <w:rFonts w:hint="eastAsia" w:eastAsia="黑体"/>
          <w:kern w:val="0"/>
        </w:rPr>
        <w:t>．</w:t>
      </w:r>
      <w:r>
        <w:rPr>
          <w:rFonts w:hint="eastAsia" w:eastAsia="黑体" w:cs="宋体"/>
          <w:spacing w:val="-2"/>
          <w:kern w:val="0"/>
        </w:rPr>
        <w:t>表内项目中已纳入</w:t>
      </w:r>
      <w:r>
        <w:rPr>
          <w:rFonts w:eastAsia="黑体"/>
          <w:spacing w:val="-2"/>
          <w:kern w:val="0"/>
        </w:rPr>
        <w:t>2021</w:t>
      </w:r>
      <w:r>
        <w:rPr>
          <w:rFonts w:hint="eastAsia" w:eastAsia="黑体" w:cs="宋体"/>
          <w:spacing w:val="-2"/>
          <w:kern w:val="0"/>
        </w:rPr>
        <w:t>年区计划盘子的项目，名称、建设阶段、计划开竣工时间、计划总投资及</w:t>
      </w:r>
      <w:r>
        <w:rPr>
          <w:rFonts w:eastAsia="黑体"/>
          <w:spacing w:val="-2"/>
          <w:kern w:val="0"/>
        </w:rPr>
        <w:t>2021</w:t>
      </w:r>
      <w:r>
        <w:rPr>
          <w:rFonts w:hint="eastAsia" w:eastAsia="黑体" w:cs="宋体"/>
          <w:spacing w:val="-2"/>
          <w:kern w:val="0"/>
        </w:rPr>
        <w:t>年计划完</w:t>
      </w:r>
    </w:p>
    <w:p>
      <w:pPr>
        <w:widowControl/>
        <w:ind w:firstLine="945" w:firstLineChars="450"/>
        <w:rPr>
          <w:rFonts w:eastAsia="黑体"/>
          <w:kern w:val="0"/>
          <w:sz w:val="16"/>
          <w:szCs w:val="20"/>
        </w:rPr>
      </w:pPr>
      <w:r>
        <w:rPr>
          <w:rFonts w:hint="eastAsia" w:eastAsia="黑体" w:cs="宋体"/>
          <w:kern w:val="0"/>
        </w:rPr>
        <w:t>成投资等信息以</w:t>
      </w:r>
      <w:r>
        <w:rPr>
          <w:rFonts w:eastAsia="黑体"/>
          <w:kern w:val="0"/>
        </w:rPr>
        <w:t>2021</w:t>
      </w:r>
      <w:r>
        <w:rPr>
          <w:rFonts w:hint="eastAsia" w:eastAsia="黑体" w:cs="宋体"/>
          <w:kern w:val="0"/>
        </w:rPr>
        <w:t>年区</w:t>
      </w:r>
      <w:r>
        <w:rPr>
          <w:rFonts w:hint="eastAsia" w:eastAsia="黑体" w:cs="宋体"/>
          <w:kern w:val="0"/>
          <w:lang w:eastAsia="zh-CN"/>
        </w:rPr>
        <w:t>人民代表大会</w:t>
      </w:r>
      <w:r>
        <w:rPr>
          <w:rFonts w:hint="eastAsia" w:eastAsia="黑体" w:cs="宋体"/>
          <w:kern w:val="0"/>
        </w:rPr>
        <w:t>审议通过为准。</w:t>
      </w:r>
    </w:p>
    <w:p>
      <w:pPr>
        <w:widowControl/>
        <w:ind w:firstLine="630" w:firstLineChars="300"/>
        <w:rPr>
          <w:rFonts w:eastAsia="黑体"/>
          <w:sz w:val="18"/>
        </w:rPr>
      </w:pPr>
      <w:r>
        <w:rPr>
          <w:rFonts w:hint="eastAsia" w:eastAsia="黑体" w:cs="宋体"/>
          <w:kern w:val="0"/>
        </w:rPr>
        <w:t>2．标☆项目为计划内实施项目。</w:t>
      </w:r>
      <w:r>
        <w:rPr>
          <w:rFonts w:eastAsia="黑体"/>
          <w:sz w:val="18"/>
        </w:rPr>
        <w:br w:type="page"/>
      </w:r>
    </w:p>
    <w:p>
      <w:pPr>
        <w:topLinePunct/>
        <w:adjustRightInd w:val="0"/>
        <w:snapToGrid w:val="0"/>
        <w:spacing w:line="592" w:lineRule="exact"/>
        <w:rPr>
          <w:rFonts w:eastAsia="黑体"/>
          <w:kern w:val="0"/>
          <w:sz w:val="32"/>
          <w:szCs w:val="18"/>
        </w:rPr>
      </w:pPr>
      <w:r>
        <w:rPr>
          <w:rFonts w:hint="eastAsia" w:eastAsia="黑体"/>
          <w:kern w:val="0"/>
          <w:sz w:val="32"/>
          <w:szCs w:val="18"/>
        </w:rPr>
        <w:t>附表2</w:t>
      </w:r>
    </w:p>
    <w:p>
      <w:pPr>
        <w:topLinePunct/>
        <w:adjustRightInd w:val="0"/>
        <w:snapToGrid w:val="0"/>
        <w:spacing w:line="592" w:lineRule="exact"/>
        <w:jc w:val="center"/>
        <w:rPr>
          <w:rFonts w:ascii="方正小标宋简体" w:eastAsia="方正小标宋简体"/>
          <w:kern w:val="0"/>
          <w:sz w:val="44"/>
          <w:szCs w:val="18"/>
        </w:rPr>
      </w:pPr>
    </w:p>
    <w:p>
      <w:pPr>
        <w:topLinePunct/>
        <w:adjustRightInd w:val="0"/>
        <w:snapToGrid w:val="0"/>
        <w:spacing w:line="592" w:lineRule="exact"/>
        <w:jc w:val="center"/>
        <w:rPr>
          <w:rFonts w:ascii="方正小标宋简体" w:eastAsia="方正小标宋简体"/>
          <w:kern w:val="0"/>
          <w:sz w:val="44"/>
          <w:szCs w:val="18"/>
        </w:rPr>
      </w:pPr>
      <w:r>
        <w:rPr>
          <w:rFonts w:hint="eastAsia" w:ascii="方正小标宋简体" w:eastAsia="方正小标宋简体"/>
          <w:kern w:val="0"/>
          <w:sz w:val="44"/>
          <w:szCs w:val="18"/>
        </w:rPr>
        <w:t>昆明市西山区2022年政府投资基本建设项目计划表</w:t>
      </w:r>
    </w:p>
    <w:p>
      <w:pPr>
        <w:topLinePunct/>
        <w:adjustRightInd w:val="0"/>
        <w:snapToGrid w:val="0"/>
        <w:spacing w:line="592" w:lineRule="exact"/>
        <w:jc w:val="center"/>
        <w:rPr>
          <w:rFonts w:ascii="方正小标宋简体" w:eastAsia="方正小标宋简体"/>
          <w:kern w:val="0"/>
          <w:sz w:val="44"/>
          <w:szCs w:val="18"/>
        </w:rPr>
      </w:pPr>
    </w:p>
    <w:p>
      <w:pPr>
        <w:topLinePunct/>
        <w:adjustRightInd w:val="0"/>
        <w:snapToGrid w:val="0"/>
        <w:spacing w:line="592" w:lineRule="exact"/>
        <w:jc w:val="right"/>
        <w:rPr>
          <w:rFonts w:ascii="黑体" w:hAnsi="黑体" w:eastAsia="黑体"/>
          <w:bCs/>
          <w:kern w:val="0"/>
          <w:sz w:val="24"/>
          <w:szCs w:val="18"/>
        </w:rPr>
      </w:pPr>
      <w:r>
        <w:rPr>
          <w:rFonts w:hint="eastAsia" w:ascii="黑体" w:hAnsi="黑体" w:eastAsia="黑体"/>
          <w:bCs/>
          <w:kern w:val="0"/>
          <w:sz w:val="24"/>
          <w:szCs w:val="18"/>
        </w:rPr>
        <w:t>单位：万元</w:t>
      </w:r>
    </w:p>
    <w:tbl>
      <w:tblPr>
        <w:tblStyle w:val="19"/>
        <w:tblW w:w="14737" w:type="dxa"/>
        <w:jc w:val="center"/>
        <w:tblInd w:w="0" w:type="dxa"/>
        <w:tblLayout w:type="fixed"/>
        <w:tblCellMar>
          <w:top w:w="0" w:type="dxa"/>
          <w:left w:w="108" w:type="dxa"/>
          <w:bottom w:w="0" w:type="dxa"/>
          <w:right w:w="108" w:type="dxa"/>
        </w:tblCellMar>
      </w:tblPr>
      <w:tblGrid>
        <w:gridCol w:w="426"/>
        <w:gridCol w:w="992"/>
        <w:gridCol w:w="937"/>
        <w:gridCol w:w="906"/>
        <w:gridCol w:w="845"/>
        <w:gridCol w:w="2552"/>
        <w:gridCol w:w="850"/>
        <w:gridCol w:w="851"/>
        <w:gridCol w:w="708"/>
        <w:gridCol w:w="993"/>
        <w:gridCol w:w="850"/>
        <w:gridCol w:w="1418"/>
        <w:gridCol w:w="850"/>
        <w:gridCol w:w="567"/>
        <w:gridCol w:w="992"/>
      </w:tblGrid>
      <w:tr>
        <w:tblPrEx>
          <w:tblLayout w:type="fixed"/>
          <w:tblCellMar>
            <w:top w:w="0" w:type="dxa"/>
            <w:left w:w="108" w:type="dxa"/>
            <w:bottom w:w="0" w:type="dxa"/>
            <w:right w:w="108" w:type="dxa"/>
          </w:tblCellMar>
        </w:tblPrEx>
        <w:trPr>
          <w:tblHeader/>
          <w:jc w:val="center"/>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序号</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项目名称</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建设地点</w:t>
            </w:r>
          </w:p>
        </w:tc>
        <w:tc>
          <w:tcPr>
            <w:tcW w:w="906"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业主单位</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bCs/>
                <w:kern w:val="0"/>
                <w:sz w:val="18"/>
                <w:szCs w:val="18"/>
              </w:rPr>
            </w:pPr>
            <w:r>
              <w:rPr>
                <w:rFonts w:hint="eastAsia" w:ascii="黑体" w:hAnsi="黑体" w:eastAsia="黑体"/>
                <w:bCs/>
                <w:kern w:val="0"/>
                <w:sz w:val="18"/>
                <w:szCs w:val="18"/>
              </w:rPr>
              <w:t>建设阶段（续建、新开工、前期）</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建设内容及规模</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（预计）开工时间</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（预计）建成时间</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ascii="黑体" w:hAnsi="黑体" w:eastAsia="黑体"/>
                <w:bCs/>
                <w:kern w:val="0"/>
                <w:sz w:val="18"/>
                <w:szCs w:val="18"/>
              </w:rPr>
            </w:pPr>
            <w:r>
              <w:rPr>
                <w:rFonts w:hint="eastAsia" w:ascii="黑体" w:hAnsi="黑体" w:eastAsia="黑体"/>
                <w:bCs/>
                <w:kern w:val="0"/>
                <w:sz w:val="18"/>
                <w:szCs w:val="18"/>
              </w:rPr>
              <w:t>计划</w:t>
            </w:r>
          </w:p>
          <w:p>
            <w:pPr>
              <w:widowControl/>
              <w:topLinePunct/>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总投资</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bCs/>
                <w:kern w:val="0"/>
                <w:sz w:val="18"/>
                <w:szCs w:val="18"/>
              </w:rPr>
            </w:pPr>
            <w:r>
              <w:rPr>
                <w:rFonts w:hint="eastAsia" w:ascii="黑体" w:hAnsi="黑体" w:eastAsia="黑体"/>
                <w:bCs/>
                <w:kern w:val="0"/>
                <w:sz w:val="18"/>
                <w:szCs w:val="18"/>
              </w:rPr>
              <w:t>开工以来累计完成投资（截止</w:t>
            </w:r>
            <w:r>
              <w:rPr>
                <w:rFonts w:hint="eastAsia" w:eastAsia="仿宋_GB2312"/>
                <w:bCs/>
                <w:kern w:val="0"/>
                <w:sz w:val="18"/>
                <w:szCs w:val="18"/>
              </w:rPr>
              <w:t>2021</w:t>
            </w:r>
            <w:r>
              <w:rPr>
                <w:rFonts w:hint="eastAsia" w:ascii="黑体" w:hAnsi="黑体" w:eastAsia="黑体"/>
                <w:bCs/>
                <w:kern w:val="0"/>
                <w:sz w:val="18"/>
                <w:szCs w:val="18"/>
              </w:rPr>
              <w:t>年底）</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Cs/>
                <w:kern w:val="0"/>
                <w:sz w:val="18"/>
                <w:szCs w:val="18"/>
              </w:rPr>
            </w:pPr>
            <w:r>
              <w:rPr>
                <w:rFonts w:hint="eastAsia" w:eastAsia="仿宋_GB2312"/>
                <w:bCs/>
                <w:kern w:val="0"/>
                <w:sz w:val="18"/>
                <w:szCs w:val="18"/>
              </w:rPr>
              <w:t>2022</w:t>
            </w:r>
            <w:r>
              <w:rPr>
                <w:rFonts w:hint="eastAsia" w:ascii="黑体" w:hAnsi="黑体" w:eastAsia="黑体"/>
                <w:bCs/>
                <w:kern w:val="0"/>
                <w:sz w:val="18"/>
                <w:szCs w:val="18"/>
              </w:rPr>
              <w:t>年计划投资</w:t>
            </w:r>
          </w:p>
        </w:tc>
        <w:tc>
          <w:tcPr>
            <w:tcW w:w="3827" w:type="dxa"/>
            <w:gridSpan w:val="4"/>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Cs/>
                <w:kern w:val="0"/>
                <w:sz w:val="18"/>
                <w:szCs w:val="18"/>
              </w:rPr>
            </w:pPr>
            <w:r>
              <w:rPr>
                <w:rFonts w:hint="eastAsia" w:eastAsia="仿宋_GB2312"/>
                <w:bCs/>
                <w:kern w:val="0"/>
                <w:sz w:val="18"/>
                <w:szCs w:val="18"/>
              </w:rPr>
              <w:t>2022</w:t>
            </w:r>
            <w:r>
              <w:rPr>
                <w:rFonts w:hint="eastAsia" w:ascii="黑体" w:hAnsi="黑体" w:eastAsia="黑体"/>
                <w:bCs/>
                <w:kern w:val="0"/>
                <w:sz w:val="18"/>
                <w:szCs w:val="18"/>
              </w:rPr>
              <w:t>年建设资金来源计划</w:t>
            </w:r>
          </w:p>
        </w:tc>
      </w:tr>
      <w:tr>
        <w:tblPrEx>
          <w:tblLayout w:type="fixed"/>
          <w:tblCellMar>
            <w:top w:w="0" w:type="dxa"/>
            <w:left w:w="108" w:type="dxa"/>
            <w:bottom w:w="0" w:type="dxa"/>
            <w:right w:w="108" w:type="dxa"/>
          </w:tblCellMar>
        </w:tblPrEx>
        <w:trPr>
          <w:tblHeader/>
          <w:jc w:val="center"/>
        </w:trPr>
        <w:tc>
          <w:tcPr>
            <w:tcW w:w="426"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rFonts w:eastAsia="仿宋_GB2312"/>
                <w:bCs/>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rFonts w:ascii="黑体" w:hAnsi="黑体" w:eastAsia="黑体" w:cs="宋体"/>
                <w:bCs/>
                <w:kern w:val="0"/>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bCs/>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bCs/>
                <w:kern w:val="0"/>
                <w:sz w:val="18"/>
                <w:szCs w:val="18"/>
              </w:rPr>
            </w:pPr>
          </w:p>
        </w:tc>
        <w:tc>
          <w:tcPr>
            <w:tcW w:w="845"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bCs/>
                <w:kern w:val="0"/>
                <w:sz w:val="18"/>
                <w:szCs w:val="18"/>
              </w:rPr>
            </w:pPr>
          </w:p>
        </w:tc>
        <w:tc>
          <w:tcPr>
            <w:tcW w:w="255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bCs/>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bCs/>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bCs/>
                <w:kern w:val="0"/>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bCs/>
                <w:kern w:val="0"/>
                <w:sz w:val="18"/>
                <w:szCs w:val="18"/>
              </w:rPr>
            </w:pPr>
          </w:p>
        </w:tc>
        <w:tc>
          <w:tcPr>
            <w:tcW w:w="993"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bCs/>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opLinePunct/>
              <w:adjustRightInd w:val="0"/>
              <w:snapToGrid w:val="0"/>
              <w:spacing w:line="240" w:lineRule="atLeast"/>
              <w:jc w:val="left"/>
              <w:rPr>
                <w:rFonts w:eastAsia="仿宋_GB2312"/>
                <w:bCs/>
                <w:kern w:val="0"/>
                <w:sz w:val="18"/>
                <w:szCs w:val="18"/>
              </w:rPr>
            </w:pP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bCs/>
                <w:spacing w:val="-12"/>
                <w:kern w:val="0"/>
                <w:sz w:val="18"/>
                <w:szCs w:val="18"/>
              </w:rPr>
            </w:pPr>
            <w:r>
              <w:rPr>
                <w:rFonts w:hint="eastAsia" w:ascii="黑体" w:hAnsi="黑体" w:eastAsia="黑体"/>
                <w:bCs/>
                <w:spacing w:val="-12"/>
                <w:kern w:val="0"/>
                <w:sz w:val="18"/>
                <w:szCs w:val="18"/>
              </w:rPr>
              <w:t>争取上级资金（包括争取中央、省、市资金及地方政府专项债券等）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区级财政预算资金</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bCs/>
                <w:kern w:val="0"/>
                <w:sz w:val="18"/>
                <w:szCs w:val="18"/>
              </w:rPr>
            </w:pPr>
            <w:r>
              <w:rPr>
                <w:rFonts w:hint="eastAsia" w:ascii="黑体" w:hAnsi="黑体" w:eastAsia="黑体"/>
                <w:bCs/>
                <w:kern w:val="0"/>
                <w:sz w:val="18"/>
                <w:szCs w:val="18"/>
              </w:rPr>
              <w:t>融资</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bCs/>
                <w:spacing w:val="-10"/>
                <w:kern w:val="0"/>
                <w:sz w:val="18"/>
                <w:szCs w:val="18"/>
              </w:rPr>
            </w:pPr>
            <w:r>
              <w:rPr>
                <w:rFonts w:hint="eastAsia" w:ascii="黑体" w:hAnsi="黑体" w:eastAsia="黑体"/>
                <w:bCs/>
                <w:spacing w:val="-10"/>
                <w:kern w:val="0"/>
                <w:sz w:val="18"/>
                <w:szCs w:val="18"/>
              </w:rPr>
              <w:t>其他</w:t>
            </w:r>
            <w:r>
              <w:rPr>
                <w:rFonts w:hint="eastAsia" w:eastAsia="仿宋_GB2312"/>
                <w:bCs/>
                <w:spacing w:val="-10"/>
                <w:kern w:val="0"/>
                <w:sz w:val="18"/>
                <w:szCs w:val="18"/>
              </w:rPr>
              <w:t>(</w:t>
            </w:r>
            <w:r>
              <w:rPr>
                <w:rFonts w:hint="eastAsia" w:ascii="黑体" w:hAnsi="黑体" w:eastAsia="黑体"/>
                <w:bCs/>
                <w:spacing w:val="-10"/>
                <w:kern w:val="0"/>
                <w:sz w:val="18"/>
                <w:szCs w:val="18"/>
              </w:rPr>
              <w:t>可纳入片区交易成本、实物移交、自筹等）</w:t>
            </w:r>
          </w:p>
        </w:tc>
      </w:tr>
      <w:tr>
        <w:tblPrEx>
          <w:tblLayout w:type="fixed"/>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共</w:t>
            </w:r>
            <w:r>
              <w:rPr>
                <w:rFonts w:hint="eastAsia" w:eastAsia="仿宋_GB2312"/>
                <w:b/>
                <w:bCs/>
                <w:kern w:val="0"/>
                <w:sz w:val="18"/>
                <w:szCs w:val="18"/>
              </w:rPr>
              <w:t>56</w:t>
            </w:r>
            <w:r>
              <w:rPr>
                <w:rFonts w:hint="eastAsia" w:ascii="黑体" w:hAnsi="黑体" w:eastAsia="黑体"/>
                <w:b/>
                <w:bCs/>
                <w:kern w:val="0"/>
                <w:sz w:val="18"/>
                <w:szCs w:val="18"/>
              </w:rPr>
              <w:t>项（续建</w:t>
            </w:r>
            <w:r>
              <w:rPr>
                <w:rFonts w:hint="eastAsia" w:eastAsia="仿宋_GB2312"/>
                <w:b/>
                <w:bCs/>
                <w:kern w:val="0"/>
                <w:sz w:val="18"/>
                <w:szCs w:val="18"/>
              </w:rPr>
              <w:t>15</w:t>
            </w:r>
            <w:r>
              <w:rPr>
                <w:rFonts w:hint="eastAsia" w:ascii="黑体" w:hAnsi="黑体" w:eastAsia="黑体"/>
                <w:b/>
                <w:bCs/>
                <w:kern w:val="0"/>
                <w:sz w:val="18"/>
                <w:szCs w:val="18"/>
              </w:rPr>
              <w:t>项，新开工</w:t>
            </w:r>
            <w:r>
              <w:rPr>
                <w:rFonts w:hint="eastAsia" w:eastAsia="仿宋_GB2312"/>
                <w:b/>
                <w:bCs/>
                <w:kern w:val="0"/>
                <w:sz w:val="18"/>
                <w:szCs w:val="18"/>
              </w:rPr>
              <w:t>38</w:t>
            </w:r>
            <w:r>
              <w:rPr>
                <w:rFonts w:hint="eastAsia" w:ascii="黑体" w:hAnsi="黑体" w:eastAsia="黑体"/>
                <w:b/>
                <w:bCs/>
                <w:kern w:val="0"/>
                <w:sz w:val="18"/>
                <w:szCs w:val="18"/>
              </w:rPr>
              <w:t>项，前期</w:t>
            </w:r>
            <w:r>
              <w:rPr>
                <w:rFonts w:hint="eastAsia" w:eastAsia="仿宋_GB2312"/>
                <w:b/>
                <w:bCs/>
                <w:kern w:val="0"/>
                <w:sz w:val="18"/>
                <w:szCs w:val="18"/>
              </w:rPr>
              <w:t>3</w:t>
            </w:r>
            <w:r>
              <w:rPr>
                <w:rFonts w:hint="eastAsia" w:ascii="黑体" w:hAnsi="黑体" w:eastAsia="黑体"/>
                <w:b/>
                <w:bCs/>
                <w:kern w:val="0"/>
                <w:sz w:val="18"/>
                <w:szCs w:val="18"/>
              </w:rPr>
              <w:t>项），</w:t>
            </w:r>
            <w:r>
              <w:rPr>
                <w:rFonts w:hint="eastAsia" w:eastAsia="仿宋_GB2312"/>
                <w:b/>
                <w:bCs/>
                <w:kern w:val="0"/>
                <w:sz w:val="18"/>
                <w:szCs w:val="18"/>
              </w:rPr>
              <w:t>2022</w:t>
            </w:r>
            <w:r>
              <w:rPr>
                <w:rFonts w:hint="eastAsia" w:ascii="黑体" w:hAnsi="黑体" w:eastAsia="黑体"/>
                <w:b/>
                <w:bCs/>
                <w:kern w:val="0"/>
                <w:sz w:val="18"/>
                <w:szCs w:val="18"/>
              </w:rPr>
              <w:t>年计划投资</w:t>
            </w:r>
            <w:r>
              <w:rPr>
                <w:rFonts w:hint="eastAsia" w:eastAsia="仿宋_GB2312"/>
                <w:b/>
                <w:bCs/>
                <w:kern w:val="0"/>
                <w:sz w:val="18"/>
                <w:szCs w:val="18"/>
              </w:rPr>
              <w:t>406812</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1285238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182413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406812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45703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13871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80624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266614 </w:t>
            </w:r>
          </w:p>
        </w:tc>
      </w:tr>
      <w:tr>
        <w:tblPrEx>
          <w:tblLayout w:type="fixed"/>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一、乡村振兴建设项目（共</w:t>
            </w:r>
            <w:r>
              <w:rPr>
                <w:rFonts w:hint="eastAsia" w:eastAsia="仿宋_GB2312"/>
                <w:b/>
                <w:bCs/>
                <w:kern w:val="0"/>
                <w:sz w:val="18"/>
                <w:szCs w:val="18"/>
              </w:rPr>
              <w:t>2</w:t>
            </w:r>
            <w:r>
              <w:rPr>
                <w:rFonts w:hint="eastAsia" w:ascii="黑体" w:hAnsi="黑体" w:eastAsia="黑体"/>
                <w:b/>
                <w:bCs/>
                <w:kern w:val="0"/>
                <w:sz w:val="18"/>
                <w:szCs w:val="18"/>
              </w:rPr>
              <w:t>项，</w:t>
            </w:r>
            <w:r>
              <w:rPr>
                <w:rFonts w:hint="eastAsia" w:eastAsia="仿宋_GB2312"/>
                <w:b/>
                <w:bCs/>
                <w:kern w:val="0"/>
                <w:sz w:val="18"/>
                <w:szCs w:val="18"/>
              </w:rPr>
              <w:t>2022</w:t>
            </w:r>
            <w:r>
              <w:rPr>
                <w:rFonts w:hint="eastAsia" w:ascii="黑体" w:hAnsi="黑体" w:eastAsia="黑体"/>
                <w:b/>
                <w:bCs/>
                <w:kern w:val="0"/>
                <w:sz w:val="18"/>
                <w:szCs w:val="18"/>
              </w:rPr>
              <w:t>年计划投资</w:t>
            </w:r>
            <w:r>
              <w:rPr>
                <w:rFonts w:hint="eastAsia" w:eastAsia="仿宋_GB2312"/>
                <w:b/>
                <w:bCs/>
                <w:kern w:val="0"/>
                <w:sz w:val="18"/>
                <w:szCs w:val="18"/>
              </w:rPr>
              <w:t>2819</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5343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2524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2819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1631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1188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西山区农村供水保障工程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碧鸡、海口、团结街道办事处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西山区水务局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新建或更换输水管、配水管、入户管道</w:t>
            </w:r>
            <w:r>
              <w:rPr>
                <w:rFonts w:hint="eastAsia" w:eastAsia="仿宋_GB2312"/>
                <w:kern w:val="0"/>
                <w:sz w:val="18"/>
                <w:szCs w:val="18"/>
              </w:rPr>
              <w:t>131</w:t>
            </w:r>
            <w:r>
              <w:rPr>
                <w:rFonts w:hint="eastAsia" w:ascii="仿宋_GB2312" w:eastAsia="仿宋_GB2312"/>
                <w:kern w:val="0"/>
                <w:sz w:val="18"/>
                <w:szCs w:val="18"/>
              </w:rPr>
              <w:t>千米；新建泵站</w:t>
            </w:r>
            <w:r>
              <w:rPr>
                <w:rFonts w:hint="eastAsia" w:eastAsia="仿宋_GB2312"/>
                <w:kern w:val="0"/>
                <w:sz w:val="18"/>
                <w:szCs w:val="18"/>
              </w:rPr>
              <w:t>7</w:t>
            </w:r>
            <w:r>
              <w:rPr>
                <w:rFonts w:hint="eastAsia" w:ascii="仿宋_GB2312" w:eastAsia="仿宋_GB2312"/>
                <w:kern w:val="0"/>
                <w:sz w:val="18"/>
                <w:szCs w:val="18"/>
              </w:rPr>
              <w:t>座；重建取水池</w:t>
            </w:r>
            <w:r>
              <w:rPr>
                <w:rFonts w:hint="eastAsia" w:eastAsia="仿宋_GB2312"/>
                <w:kern w:val="0"/>
                <w:sz w:val="18"/>
                <w:szCs w:val="18"/>
              </w:rPr>
              <w:t>17</w:t>
            </w:r>
            <w:r>
              <w:rPr>
                <w:rFonts w:hint="eastAsia" w:ascii="仿宋_GB2312" w:eastAsia="仿宋_GB2312"/>
                <w:kern w:val="0"/>
                <w:sz w:val="18"/>
                <w:szCs w:val="18"/>
              </w:rPr>
              <w:t>座，新建蓄水池</w:t>
            </w:r>
            <w:r>
              <w:rPr>
                <w:rFonts w:hint="eastAsia" w:eastAsia="仿宋_GB2312"/>
                <w:kern w:val="0"/>
                <w:sz w:val="18"/>
                <w:szCs w:val="18"/>
              </w:rPr>
              <w:t>19</w:t>
            </w:r>
            <w:r>
              <w:rPr>
                <w:rFonts w:hint="eastAsia" w:ascii="仿宋_GB2312" w:eastAsia="仿宋_GB2312"/>
                <w:kern w:val="0"/>
                <w:sz w:val="18"/>
                <w:szCs w:val="18"/>
              </w:rPr>
              <w:t>座；配套净</w:t>
            </w:r>
            <w:r>
              <w:rPr>
                <w:rFonts w:hint="eastAsia" w:eastAsia="仿宋_GB2312"/>
                <w:kern w:val="0"/>
                <w:sz w:val="18"/>
                <w:szCs w:val="18"/>
              </w:rPr>
              <w:t xml:space="preserve"> </w:t>
            </w:r>
            <w:r>
              <w:rPr>
                <w:rFonts w:hint="eastAsia" w:ascii="仿宋_GB2312" w:eastAsia="仿宋_GB2312"/>
                <w:kern w:val="0"/>
                <w:sz w:val="18"/>
                <w:szCs w:val="18"/>
              </w:rPr>
              <w:t>水设备</w:t>
            </w:r>
            <w:r>
              <w:rPr>
                <w:rFonts w:hint="eastAsia" w:eastAsia="仿宋_GB2312"/>
                <w:kern w:val="0"/>
                <w:sz w:val="18"/>
                <w:szCs w:val="18"/>
              </w:rPr>
              <w:t>21</w:t>
            </w:r>
            <w:r>
              <w:rPr>
                <w:rFonts w:hint="eastAsia" w:ascii="仿宋_GB2312" w:eastAsia="仿宋_GB2312"/>
                <w:kern w:val="0"/>
                <w:sz w:val="18"/>
                <w:szCs w:val="18"/>
              </w:rPr>
              <w:t>套；安装闸阀</w:t>
            </w:r>
            <w:r>
              <w:rPr>
                <w:rFonts w:hint="eastAsia" w:eastAsia="仿宋_GB2312"/>
                <w:kern w:val="0"/>
                <w:sz w:val="18"/>
                <w:szCs w:val="18"/>
              </w:rPr>
              <w:t>510</w:t>
            </w:r>
            <w:r>
              <w:rPr>
                <w:rFonts w:hint="eastAsia" w:ascii="仿宋_GB2312" w:eastAsia="仿宋_GB2312"/>
                <w:kern w:val="0"/>
                <w:sz w:val="18"/>
                <w:szCs w:val="18"/>
              </w:rPr>
              <w:t>个、消防栓</w:t>
            </w:r>
            <w:r>
              <w:rPr>
                <w:rFonts w:hint="eastAsia" w:eastAsia="仿宋_GB2312"/>
                <w:kern w:val="0"/>
                <w:sz w:val="18"/>
                <w:szCs w:val="18"/>
              </w:rPr>
              <w:t>238</w:t>
            </w:r>
            <w:r>
              <w:rPr>
                <w:rFonts w:hint="eastAsia" w:ascii="仿宋_GB2312" w:eastAsia="仿宋_GB2312"/>
                <w:kern w:val="0"/>
                <w:sz w:val="18"/>
                <w:szCs w:val="18"/>
              </w:rPr>
              <w:t>套、配套阀门井</w:t>
            </w:r>
            <w:r>
              <w:rPr>
                <w:rFonts w:hint="eastAsia" w:eastAsia="仿宋_GB2312"/>
                <w:kern w:val="0"/>
                <w:sz w:val="18"/>
                <w:szCs w:val="18"/>
              </w:rPr>
              <w:t>280</w:t>
            </w:r>
            <w:r>
              <w:rPr>
                <w:rFonts w:hint="eastAsia" w:ascii="仿宋_GB2312" w:eastAsia="仿宋_GB2312"/>
                <w:kern w:val="0"/>
                <w:sz w:val="18"/>
                <w:szCs w:val="18"/>
              </w:rPr>
              <w:t>座、安装水表</w:t>
            </w:r>
            <w:r>
              <w:rPr>
                <w:rFonts w:hint="eastAsia" w:eastAsia="仿宋_GB2312"/>
                <w:kern w:val="0"/>
                <w:sz w:val="18"/>
                <w:szCs w:val="18"/>
              </w:rPr>
              <w:t xml:space="preserve"> 4304</w:t>
            </w:r>
            <w:r>
              <w:rPr>
                <w:rFonts w:hint="eastAsia" w:ascii="仿宋_GB2312" w:eastAsia="仿宋_GB2312"/>
                <w:kern w:val="0"/>
                <w:sz w:val="18"/>
                <w:szCs w:val="18"/>
              </w:rPr>
              <w:t>套。</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2022.04</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3155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2524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631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631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6"/>
                <w:kern w:val="0"/>
                <w:sz w:val="18"/>
                <w:szCs w:val="18"/>
              </w:rPr>
            </w:pPr>
            <w:r>
              <w:rPr>
                <w:rFonts w:hint="eastAsia" w:ascii="仿宋_GB2312" w:eastAsia="仿宋_GB2312"/>
                <w:spacing w:val="-16"/>
                <w:kern w:val="0"/>
                <w:sz w:val="18"/>
                <w:szCs w:val="18"/>
              </w:rPr>
              <w:t>西山区2022年乡村振兴美丽宜居乡村建设</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碧鸡、海口、团结街道办事处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西山区农业农村局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在西山区涉农街道选择</w:t>
            </w:r>
            <w:r>
              <w:rPr>
                <w:rFonts w:hint="eastAsia" w:eastAsia="仿宋_GB2312"/>
                <w:kern w:val="0"/>
                <w:sz w:val="18"/>
                <w:szCs w:val="18"/>
              </w:rPr>
              <w:t>5</w:t>
            </w:r>
            <w:r>
              <w:rPr>
                <w:rFonts w:hint="eastAsia" w:ascii="仿宋_GB2312" w:eastAsia="仿宋_GB2312"/>
                <w:kern w:val="0"/>
                <w:sz w:val="18"/>
                <w:szCs w:val="18"/>
              </w:rPr>
              <w:t>个村建设</w:t>
            </w:r>
            <w:r>
              <w:rPr>
                <w:rFonts w:hint="eastAsia" w:eastAsia="仿宋_GB2312"/>
                <w:kern w:val="0"/>
                <w:sz w:val="18"/>
                <w:szCs w:val="18"/>
              </w:rPr>
              <w:t>“</w:t>
            </w:r>
            <w:r>
              <w:rPr>
                <w:rFonts w:hint="eastAsia" w:ascii="仿宋_GB2312" w:eastAsia="仿宋_GB2312"/>
                <w:kern w:val="0"/>
                <w:sz w:val="18"/>
                <w:szCs w:val="18"/>
              </w:rPr>
              <w:t>三清四美三宜</w:t>
            </w:r>
            <w:r>
              <w:rPr>
                <w:rFonts w:hint="eastAsia" w:eastAsia="仿宋_GB2312"/>
                <w:kern w:val="0"/>
                <w:sz w:val="18"/>
                <w:szCs w:val="18"/>
              </w:rPr>
              <w:t>”</w:t>
            </w:r>
            <w:r>
              <w:rPr>
                <w:rFonts w:hint="eastAsia" w:ascii="仿宋_GB2312" w:eastAsia="仿宋_GB2312"/>
                <w:kern w:val="0"/>
                <w:sz w:val="18"/>
                <w:szCs w:val="18"/>
              </w:rPr>
              <w:t>的美丽宜居乡村，补齐农村建设短板。</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2188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2188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1000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1188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二、水利基础设施建设项目（共</w:t>
            </w:r>
            <w:r>
              <w:rPr>
                <w:rFonts w:hint="eastAsia" w:eastAsia="仿宋_GB2312"/>
                <w:b/>
                <w:bCs/>
                <w:kern w:val="0"/>
                <w:sz w:val="18"/>
                <w:szCs w:val="18"/>
              </w:rPr>
              <w:t>1</w:t>
            </w:r>
            <w:r>
              <w:rPr>
                <w:rFonts w:hint="eastAsia" w:ascii="黑体" w:hAnsi="黑体" w:eastAsia="黑体"/>
                <w:b/>
                <w:bCs/>
                <w:kern w:val="0"/>
                <w:sz w:val="18"/>
                <w:szCs w:val="18"/>
              </w:rPr>
              <w:t>项，</w:t>
            </w:r>
            <w:r>
              <w:rPr>
                <w:rFonts w:hint="eastAsia" w:eastAsia="仿宋_GB2312"/>
                <w:b/>
                <w:bCs/>
                <w:kern w:val="0"/>
                <w:sz w:val="18"/>
                <w:szCs w:val="18"/>
              </w:rPr>
              <w:t>2022</w:t>
            </w:r>
            <w:r>
              <w:rPr>
                <w:rFonts w:hint="eastAsia" w:ascii="黑体" w:hAnsi="黑体" w:eastAsia="黑体"/>
                <w:b/>
                <w:bCs/>
                <w:kern w:val="0"/>
                <w:sz w:val="18"/>
                <w:szCs w:val="18"/>
              </w:rPr>
              <w:t>年计划投资</w:t>
            </w:r>
            <w:r>
              <w:rPr>
                <w:rFonts w:hint="eastAsia" w:eastAsia="仿宋_GB2312"/>
                <w:b/>
                <w:bCs/>
                <w:kern w:val="0"/>
                <w:sz w:val="18"/>
                <w:szCs w:val="18"/>
              </w:rPr>
              <w:t>20000</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49989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20000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20000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海口自来水厂及管道建设项目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海口街道办事处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6"/>
                <w:kern w:val="0"/>
                <w:sz w:val="18"/>
                <w:szCs w:val="18"/>
              </w:rPr>
            </w:pPr>
            <w:r>
              <w:rPr>
                <w:rFonts w:hint="eastAsia" w:ascii="仿宋_GB2312" w:eastAsia="仿宋_GB2312"/>
                <w:spacing w:val="-16"/>
                <w:kern w:val="0"/>
                <w:sz w:val="18"/>
                <w:szCs w:val="18"/>
              </w:rPr>
              <w:t>西山区兴禹水资源开发有限公司</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建设自来水处理厂</w:t>
            </w:r>
            <w:r>
              <w:rPr>
                <w:rFonts w:hint="eastAsia" w:eastAsia="仿宋_GB2312"/>
                <w:kern w:val="0"/>
                <w:sz w:val="18"/>
                <w:szCs w:val="18"/>
              </w:rPr>
              <w:t>1</w:t>
            </w:r>
            <w:r>
              <w:rPr>
                <w:rFonts w:hint="eastAsia" w:ascii="仿宋_GB2312" w:eastAsia="仿宋_GB2312"/>
                <w:kern w:val="0"/>
                <w:sz w:val="18"/>
                <w:szCs w:val="18"/>
              </w:rPr>
              <w:t>座及配套主管网约</w:t>
            </w:r>
            <w:r>
              <w:rPr>
                <w:rFonts w:hint="eastAsia" w:eastAsia="仿宋_GB2312"/>
                <w:kern w:val="0"/>
                <w:sz w:val="18"/>
                <w:szCs w:val="18"/>
              </w:rPr>
              <w:t>110</w:t>
            </w:r>
            <w:r>
              <w:rPr>
                <w:rFonts w:hint="eastAsia" w:ascii="仿宋_GB2312" w:eastAsia="仿宋_GB2312"/>
                <w:kern w:val="0"/>
                <w:sz w:val="18"/>
                <w:szCs w:val="18"/>
              </w:rPr>
              <w:t>公里，支次管网约</w:t>
            </w:r>
            <w:r>
              <w:rPr>
                <w:rFonts w:hint="eastAsia" w:eastAsia="仿宋_GB2312"/>
                <w:kern w:val="0"/>
                <w:sz w:val="18"/>
                <w:szCs w:val="18"/>
              </w:rPr>
              <w:t>200</w:t>
            </w:r>
            <w:r>
              <w:rPr>
                <w:rFonts w:hint="eastAsia" w:ascii="仿宋_GB2312" w:eastAsia="仿宋_GB2312"/>
                <w:kern w:val="0"/>
                <w:sz w:val="18"/>
                <w:szCs w:val="18"/>
              </w:rPr>
              <w:t>公里。</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49989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20000 </w:t>
            </w:r>
          </w:p>
        </w:tc>
      </w:tr>
      <w:tr>
        <w:tblPrEx>
          <w:tblLayout w:type="fixed"/>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三、生态环保建设项目（共</w:t>
            </w:r>
            <w:r>
              <w:rPr>
                <w:rFonts w:hint="eastAsia" w:eastAsia="仿宋_GB2312"/>
                <w:b/>
                <w:bCs/>
                <w:kern w:val="0"/>
                <w:sz w:val="18"/>
                <w:szCs w:val="18"/>
              </w:rPr>
              <w:t>11</w:t>
            </w:r>
            <w:r>
              <w:rPr>
                <w:rFonts w:hint="eastAsia" w:ascii="黑体" w:hAnsi="黑体" w:eastAsia="黑体"/>
                <w:b/>
                <w:bCs/>
                <w:kern w:val="0"/>
                <w:sz w:val="18"/>
                <w:szCs w:val="18"/>
              </w:rPr>
              <w:t>项，</w:t>
            </w:r>
            <w:r>
              <w:rPr>
                <w:rFonts w:hint="eastAsia" w:eastAsia="仿宋_GB2312"/>
                <w:b/>
                <w:bCs/>
                <w:kern w:val="0"/>
                <w:sz w:val="18"/>
                <w:szCs w:val="18"/>
              </w:rPr>
              <w:t>2022</w:t>
            </w:r>
            <w:r>
              <w:rPr>
                <w:rFonts w:hint="eastAsia" w:ascii="黑体" w:hAnsi="黑体" w:eastAsia="黑体"/>
                <w:b/>
                <w:bCs/>
                <w:kern w:val="0"/>
                <w:sz w:val="18"/>
                <w:szCs w:val="18"/>
              </w:rPr>
              <w:t>年计划投资</w:t>
            </w:r>
            <w:r>
              <w:rPr>
                <w:rFonts w:hint="eastAsia" w:eastAsia="仿宋_GB2312"/>
                <w:b/>
                <w:bCs/>
                <w:kern w:val="0"/>
                <w:sz w:val="18"/>
                <w:szCs w:val="18"/>
              </w:rPr>
              <w:t>73881</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120229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18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73881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210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1145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72526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6"/>
                <w:kern w:val="0"/>
                <w:sz w:val="18"/>
                <w:szCs w:val="18"/>
              </w:rPr>
            </w:pPr>
            <w:r>
              <w:rPr>
                <w:rFonts w:hint="eastAsia" w:ascii="仿宋_GB2312" w:eastAsia="仿宋_GB2312"/>
                <w:spacing w:val="-16"/>
                <w:kern w:val="0"/>
                <w:sz w:val="18"/>
                <w:szCs w:val="18"/>
              </w:rPr>
              <w:t>“中国天然氧吧”创建项目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西山区气象局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开展负氧离子设备数据采集，申报创建</w:t>
            </w:r>
            <w:r>
              <w:rPr>
                <w:rFonts w:hint="eastAsia" w:eastAsia="仿宋_GB2312"/>
                <w:kern w:val="0"/>
                <w:sz w:val="18"/>
                <w:szCs w:val="18"/>
              </w:rPr>
              <w:t>“</w:t>
            </w:r>
            <w:r>
              <w:rPr>
                <w:rFonts w:hint="eastAsia" w:ascii="仿宋_GB2312" w:eastAsia="仿宋_GB2312"/>
                <w:kern w:val="0"/>
                <w:sz w:val="18"/>
                <w:szCs w:val="18"/>
              </w:rPr>
              <w:t>中国天然氧吧</w:t>
            </w:r>
            <w:r>
              <w:rPr>
                <w:rFonts w:hint="eastAsia" w:eastAsia="仿宋_GB2312"/>
                <w:kern w:val="0"/>
                <w:sz w:val="18"/>
                <w:szCs w:val="18"/>
              </w:rPr>
              <w:t>”</w:t>
            </w:r>
            <w:r>
              <w:rPr>
                <w:rFonts w:hint="eastAsia" w:ascii="仿宋_GB2312" w:eastAsia="仿宋_GB2312"/>
                <w:kern w:val="0"/>
                <w:sz w:val="18"/>
                <w:szCs w:val="18"/>
              </w:rPr>
              <w:t>。</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290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18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kern w:val="0"/>
                <w:sz w:val="18"/>
                <w:szCs w:val="18"/>
              </w:rPr>
            </w:pPr>
            <w:r>
              <w:rPr>
                <w:rFonts w:hint="eastAsia" w:ascii="仿宋_GB2312" w:eastAsia="仿宋_GB2312"/>
                <w:kern w:val="0"/>
                <w:sz w:val="18"/>
                <w:szCs w:val="18"/>
              </w:rPr>
              <w:t>主城区城市排水管网排查、雨污分流、化粪池清理整治暨溢流物防控项目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工程建设内容涉及市政道路雨污分流改造、错接乱接整治、管网缺陷整治、初期雨水控制、居住小区单位改造、化粪池、隔油池改造等内容。</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2022.03 </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45552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210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19790</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白沙地项目一期KCXS2019—9号地块垃圾转运站建设工程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马街街道办事处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建设垃圾转运站，净用地面积</w:t>
            </w:r>
            <w:r>
              <w:rPr>
                <w:rFonts w:hint="eastAsia" w:eastAsia="仿宋_GB2312"/>
                <w:kern w:val="0"/>
                <w:sz w:val="18"/>
                <w:szCs w:val="18"/>
              </w:rPr>
              <w:t>1306</w:t>
            </w:r>
            <w:r>
              <w:rPr>
                <w:rFonts w:hint="eastAsia" w:ascii="仿宋_GB2312" w:eastAsia="仿宋_GB2312"/>
                <w:kern w:val="0"/>
                <w:sz w:val="18"/>
                <w:szCs w:val="18"/>
              </w:rPr>
              <w:t>平方米，总建筑面积</w:t>
            </w:r>
            <w:r>
              <w:rPr>
                <w:rFonts w:hint="eastAsia" w:eastAsia="仿宋_GB2312"/>
                <w:kern w:val="0"/>
                <w:sz w:val="18"/>
                <w:szCs w:val="18"/>
              </w:rPr>
              <w:t>1297</w:t>
            </w:r>
            <w:r>
              <w:rPr>
                <w:rFonts w:hint="eastAsia" w:ascii="仿宋_GB2312" w:eastAsia="仿宋_GB2312"/>
                <w:kern w:val="0"/>
                <w:sz w:val="18"/>
                <w:szCs w:val="18"/>
              </w:rPr>
              <w:t>平方米，建筑密度</w:t>
            </w:r>
            <w:r>
              <w:rPr>
                <w:rFonts w:hint="eastAsia" w:eastAsia="仿宋_GB2312"/>
                <w:kern w:val="0"/>
                <w:sz w:val="18"/>
                <w:szCs w:val="18"/>
              </w:rPr>
              <w:t>33%</w:t>
            </w:r>
            <w:r>
              <w:rPr>
                <w:rFonts w:hint="eastAsia" w:ascii="仿宋_GB2312" w:eastAsia="仿宋_GB2312"/>
                <w:kern w:val="0"/>
                <w:sz w:val="18"/>
                <w:szCs w:val="18"/>
              </w:rPr>
              <w:t>，建筑基底面积</w:t>
            </w:r>
            <w:r>
              <w:rPr>
                <w:rFonts w:hint="eastAsia" w:eastAsia="仿宋_GB2312"/>
                <w:kern w:val="0"/>
                <w:sz w:val="18"/>
                <w:szCs w:val="18"/>
              </w:rPr>
              <w:t>436</w:t>
            </w:r>
            <w:r>
              <w:rPr>
                <w:rFonts w:hint="eastAsia" w:ascii="仿宋_GB2312" w:eastAsia="仿宋_GB2312"/>
                <w:kern w:val="0"/>
                <w:sz w:val="18"/>
                <w:szCs w:val="18"/>
              </w:rPr>
              <w:t>平方米。</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986</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986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986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中桃公路污水管网建设项目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海口街道办事处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西山区交通运输局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项目污水管线包括</w:t>
            </w:r>
            <w:r>
              <w:rPr>
                <w:rFonts w:hint="eastAsia" w:eastAsia="仿宋_GB2312"/>
                <w:kern w:val="0"/>
                <w:sz w:val="18"/>
                <w:szCs w:val="18"/>
              </w:rPr>
              <w:t>DN500</w:t>
            </w:r>
            <w:r>
              <w:rPr>
                <w:rFonts w:hint="eastAsia" w:ascii="仿宋_GB2312" w:eastAsia="仿宋_GB2312"/>
                <w:kern w:val="0"/>
                <w:sz w:val="18"/>
                <w:szCs w:val="18"/>
              </w:rPr>
              <w:t>二级钢筋混凝土主管</w:t>
            </w:r>
            <w:r>
              <w:rPr>
                <w:rFonts w:hint="eastAsia" w:eastAsia="仿宋_GB2312"/>
                <w:kern w:val="0"/>
                <w:sz w:val="18"/>
                <w:szCs w:val="18"/>
              </w:rPr>
              <w:t>1838</w:t>
            </w:r>
            <w:r>
              <w:rPr>
                <w:rFonts w:hint="eastAsia" w:ascii="仿宋_GB2312" w:eastAsia="仿宋_GB2312"/>
                <w:kern w:val="0"/>
                <w:sz w:val="18"/>
                <w:szCs w:val="18"/>
              </w:rPr>
              <w:t>米，</w:t>
            </w:r>
            <w:r>
              <w:rPr>
                <w:rFonts w:hint="eastAsia" w:eastAsia="仿宋_GB2312"/>
                <w:kern w:val="0"/>
                <w:sz w:val="18"/>
                <w:szCs w:val="18"/>
              </w:rPr>
              <w:t>DN300</w:t>
            </w:r>
            <w:r>
              <w:rPr>
                <w:rFonts w:hint="eastAsia" w:ascii="仿宋_GB2312" w:eastAsia="仿宋_GB2312"/>
                <w:kern w:val="0"/>
                <w:sz w:val="18"/>
                <w:szCs w:val="18"/>
              </w:rPr>
              <w:t>二级钢筋混凝土过路支管</w:t>
            </w:r>
            <w:r>
              <w:rPr>
                <w:rFonts w:hint="eastAsia" w:eastAsia="仿宋_GB2312"/>
                <w:kern w:val="0"/>
                <w:sz w:val="18"/>
                <w:szCs w:val="18"/>
              </w:rPr>
              <w:t>204</w:t>
            </w:r>
            <w:r>
              <w:rPr>
                <w:rFonts w:hint="eastAsia" w:ascii="仿宋_GB2312" w:eastAsia="仿宋_GB2312"/>
                <w:kern w:val="0"/>
                <w:sz w:val="18"/>
                <w:szCs w:val="18"/>
              </w:rPr>
              <w:t>米，污水检查井</w:t>
            </w:r>
            <w:r>
              <w:rPr>
                <w:rFonts w:hint="eastAsia" w:eastAsia="仿宋_GB2312"/>
                <w:kern w:val="0"/>
                <w:sz w:val="18"/>
                <w:szCs w:val="18"/>
              </w:rPr>
              <w:t>73</w:t>
            </w:r>
            <w:r>
              <w:rPr>
                <w:rFonts w:hint="eastAsia" w:ascii="仿宋_GB2312" w:eastAsia="仿宋_GB2312"/>
                <w:kern w:val="0"/>
                <w:sz w:val="18"/>
                <w:szCs w:val="18"/>
              </w:rPr>
              <w:t>个，沿途重修雨水排沟</w:t>
            </w:r>
            <w:r>
              <w:rPr>
                <w:rFonts w:hint="eastAsia" w:eastAsia="仿宋_GB2312"/>
                <w:kern w:val="0"/>
                <w:sz w:val="18"/>
                <w:szCs w:val="18"/>
              </w:rPr>
              <w:t>1301</w:t>
            </w:r>
            <w:r>
              <w:rPr>
                <w:rFonts w:hint="eastAsia" w:ascii="仿宋_GB2312" w:eastAsia="仿宋_GB2312"/>
                <w:kern w:val="0"/>
                <w:sz w:val="18"/>
                <w:szCs w:val="18"/>
              </w:rPr>
              <w:t>米。</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995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995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995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草海</w:t>
            </w:r>
            <w:r>
              <w:rPr>
                <w:rFonts w:hint="eastAsia" w:eastAsia="仿宋_GB2312"/>
                <w:kern w:val="0"/>
                <w:sz w:val="18"/>
                <w:szCs w:val="18"/>
              </w:rPr>
              <w:t>5</w:t>
            </w:r>
            <w:r>
              <w:rPr>
                <w:rFonts w:hint="eastAsia" w:ascii="仿宋_GB2312" w:hAnsi="宋体" w:eastAsia="仿宋_GB2312" w:cs="宋体"/>
                <w:kern w:val="0"/>
                <w:sz w:val="18"/>
                <w:szCs w:val="18"/>
              </w:rPr>
              <w:t>号片区</w:t>
            </w:r>
            <w:r>
              <w:rPr>
                <w:rFonts w:hint="eastAsia" w:eastAsia="仿宋_GB2312"/>
                <w:kern w:val="0"/>
                <w:sz w:val="18"/>
                <w:szCs w:val="18"/>
              </w:rPr>
              <w:t>B09</w:t>
            </w:r>
            <w:r>
              <w:rPr>
                <w:rFonts w:hint="eastAsia" w:ascii="仿宋_GB2312" w:hAnsi="宋体" w:eastAsia="仿宋_GB2312" w:cs="宋体"/>
                <w:kern w:val="0"/>
                <w:sz w:val="18"/>
                <w:szCs w:val="18"/>
              </w:rPr>
              <w:t>、</w:t>
            </w:r>
            <w:r>
              <w:rPr>
                <w:rFonts w:hint="eastAsia" w:eastAsia="仿宋_GB2312"/>
                <w:kern w:val="0"/>
                <w:sz w:val="18"/>
                <w:szCs w:val="18"/>
              </w:rPr>
              <w:t>B11</w:t>
            </w:r>
            <w:r>
              <w:rPr>
                <w:rFonts w:hint="eastAsia" w:ascii="仿宋_GB2312" w:hAnsi="宋体" w:eastAsia="仿宋_GB2312" w:cs="宋体"/>
                <w:kern w:val="0"/>
                <w:sz w:val="18"/>
                <w:szCs w:val="18"/>
              </w:rPr>
              <w:t>、</w:t>
            </w:r>
            <w:r>
              <w:rPr>
                <w:rFonts w:hint="eastAsia" w:eastAsia="仿宋_GB2312"/>
                <w:kern w:val="0"/>
                <w:sz w:val="18"/>
                <w:szCs w:val="18"/>
              </w:rPr>
              <w:t>B12</w:t>
            </w:r>
            <w:r>
              <w:rPr>
                <w:rFonts w:hint="eastAsia" w:ascii="仿宋_GB2312" w:hAnsi="宋体" w:eastAsia="仿宋_GB2312" w:cs="宋体"/>
                <w:kern w:val="0"/>
                <w:sz w:val="18"/>
                <w:szCs w:val="18"/>
              </w:rPr>
              <w:t>地块公园绿地建设项目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总占地面积约7万平方米，包括绿地建设及用地范围内涉及的硬地铺装、公园配套设施建设等。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4487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4487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4487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城中村改造21号片区A2—1地块公园绿地项目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总占地面积约8332平方米，包括但不限于绿地建设，绿地建设用地范围内涉及的硬地铺装、园林绿化以及公园配套设施建设等。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717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717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717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城中村改造</w:t>
            </w:r>
            <w:r>
              <w:rPr>
                <w:rFonts w:hint="eastAsia" w:eastAsia="仿宋_GB2312"/>
                <w:kern w:val="0"/>
                <w:sz w:val="18"/>
                <w:szCs w:val="18"/>
              </w:rPr>
              <w:t>21</w:t>
            </w:r>
            <w:r>
              <w:rPr>
                <w:rFonts w:hint="eastAsia" w:ascii="仿宋_GB2312" w:hAnsi="宋体" w:eastAsia="仿宋_GB2312" w:cs="宋体"/>
                <w:kern w:val="0"/>
                <w:sz w:val="18"/>
                <w:szCs w:val="18"/>
              </w:rPr>
              <w:t>号片区</w:t>
            </w:r>
            <w:r>
              <w:rPr>
                <w:rFonts w:hint="eastAsia" w:eastAsia="仿宋_GB2312"/>
                <w:kern w:val="0"/>
                <w:sz w:val="18"/>
                <w:szCs w:val="18"/>
              </w:rPr>
              <w:t>A1—1</w:t>
            </w:r>
            <w:r>
              <w:rPr>
                <w:rFonts w:hint="eastAsia" w:ascii="仿宋_GB2312" w:hAnsi="宋体" w:eastAsia="仿宋_GB2312" w:cs="宋体"/>
                <w:kern w:val="0"/>
                <w:sz w:val="18"/>
                <w:szCs w:val="18"/>
              </w:rPr>
              <w:t>地块公园绿地项目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总占地面积约</w:t>
            </w:r>
            <w:r>
              <w:rPr>
                <w:rFonts w:hint="eastAsia" w:eastAsia="仿宋_GB2312"/>
                <w:kern w:val="0"/>
                <w:sz w:val="18"/>
                <w:szCs w:val="18"/>
              </w:rPr>
              <w:t>1.6</w:t>
            </w:r>
            <w:r>
              <w:rPr>
                <w:rFonts w:hint="eastAsia" w:ascii="仿宋_GB2312" w:eastAsia="仿宋_GB2312"/>
                <w:kern w:val="0"/>
                <w:sz w:val="18"/>
                <w:szCs w:val="18"/>
              </w:rPr>
              <w:t>万平方米，包括绿地建设，绿地用地范围内涉及的硬地铺装、园林绿化以及公园配套设施建设等。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1410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1410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1410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kern w:val="0"/>
                <w:sz w:val="18"/>
                <w:szCs w:val="18"/>
              </w:rPr>
            </w:pPr>
            <w:r>
              <w:rPr>
                <w:rFonts w:hint="eastAsia" w:ascii="仿宋_GB2312" w:eastAsia="仿宋_GB2312"/>
                <w:kern w:val="0"/>
                <w:sz w:val="18"/>
                <w:szCs w:val="18"/>
              </w:rPr>
              <w:t>城中村改造21号片区A2—2、A1—5地块公园绿地项目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总占地面积约</w:t>
            </w:r>
            <w:r>
              <w:rPr>
                <w:rFonts w:hint="eastAsia" w:eastAsia="仿宋_GB2312"/>
                <w:kern w:val="0"/>
                <w:sz w:val="18"/>
                <w:szCs w:val="18"/>
              </w:rPr>
              <w:t>2.4</w:t>
            </w:r>
            <w:r>
              <w:rPr>
                <w:rFonts w:hint="eastAsia" w:ascii="仿宋_GB2312" w:eastAsia="仿宋_GB2312"/>
                <w:kern w:val="0"/>
                <w:sz w:val="18"/>
                <w:szCs w:val="18"/>
              </w:rPr>
              <w:t>万平方米，包括绿地建设及绿地建设用地范围内涉及的硬地铺装、园林绿化以及公园配套设施建设等。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2022.02</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1926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1926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1926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kern w:val="0"/>
                <w:sz w:val="18"/>
                <w:szCs w:val="18"/>
              </w:rPr>
            </w:pPr>
            <w:r>
              <w:rPr>
                <w:rFonts w:hint="eastAsia" w:ascii="仿宋_GB2312" w:eastAsia="仿宋_GB2312"/>
                <w:kern w:val="0"/>
                <w:sz w:val="18"/>
                <w:szCs w:val="18"/>
              </w:rPr>
              <w:t>关停矿山生态修复治理整改提升项目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海口街道办事处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西山区兴禹水资源开发有限公司</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eastAsia="仿宋_GB2312"/>
                <w:kern w:val="0"/>
                <w:sz w:val="18"/>
                <w:szCs w:val="18"/>
              </w:rPr>
              <w:t>8</w:t>
            </w:r>
            <w:r>
              <w:rPr>
                <w:rFonts w:hint="eastAsia" w:ascii="仿宋_GB2312" w:eastAsia="仿宋_GB2312"/>
                <w:kern w:val="0"/>
                <w:sz w:val="18"/>
                <w:szCs w:val="18"/>
              </w:rPr>
              <w:t>个西山区矿山修复点建设。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2022.02</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13000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6000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kern w:val="0"/>
                <w:sz w:val="18"/>
                <w:szCs w:val="18"/>
              </w:rPr>
            </w:pPr>
            <w:r>
              <w:rPr>
                <w:rFonts w:hint="eastAsia" w:ascii="仿宋_GB2312" w:eastAsia="仿宋_GB2312"/>
                <w:kern w:val="0"/>
                <w:sz w:val="18"/>
                <w:szCs w:val="18"/>
              </w:rPr>
              <w:t>螳螂川富藻水处置及资源化利用工程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海口街道办事处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西山区兴禹水资源开发有限公司</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建设取水设施、蓝藻处理站、蓝藻尾水回补管道系统，其中藻水处理站</w:t>
            </w:r>
            <w:r>
              <w:rPr>
                <w:rFonts w:hint="eastAsia" w:eastAsia="仿宋_GB2312"/>
                <w:kern w:val="0"/>
                <w:sz w:val="18"/>
                <w:szCs w:val="18"/>
              </w:rPr>
              <w:t>1</w:t>
            </w:r>
            <w:r>
              <w:rPr>
                <w:rFonts w:hint="eastAsia" w:ascii="仿宋_GB2312" w:eastAsia="仿宋_GB2312"/>
                <w:kern w:val="0"/>
                <w:sz w:val="18"/>
                <w:szCs w:val="18"/>
              </w:rPr>
              <w:t>座。</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37210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37210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37210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绿荫大道公园绿带建设项目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前期</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绿荫大道（公园绿带部分）包括面积约</w:t>
            </w:r>
            <w:r>
              <w:rPr>
                <w:rFonts w:hint="eastAsia" w:eastAsia="仿宋_GB2312"/>
                <w:kern w:val="0"/>
                <w:sz w:val="18"/>
                <w:szCs w:val="18"/>
              </w:rPr>
              <w:t>22.76</w:t>
            </w:r>
            <w:r>
              <w:rPr>
                <w:rFonts w:hint="eastAsia" w:ascii="仿宋_GB2312" w:eastAsia="仿宋_GB2312"/>
                <w:kern w:val="0"/>
                <w:sz w:val="18"/>
                <w:szCs w:val="18"/>
              </w:rPr>
              <w:t>万平方米绿地带状公园的建设及用地范围内涉及的硬地铺装、以及配套设施等。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2024.12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13656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四、教育基础设施建设项目（共</w:t>
            </w:r>
            <w:r>
              <w:rPr>
                <w:rFonts w:hint="eastAsia" w:eastAsia="仿宋_GB2312"/>
                <w:b/>
                <w:bCs/>
                <w:kern w:val="0"/>
                <w:sz w:val="18"/>
                <w:szCs w:val="18"/>
              </w:rPr>
              <w:t>7</w:t>
            </w:r>
            <w:r>
              <w:rPr>
                <w:rFonts w:hint="eastAsia" w:ascii="黑体" w:hAnsi="黑体" w:eastAsia="黑体"/>
                <w:b/>
                <w:bCs/>
                <w:kern w:val="0"/>
                <w:sz w:val="18"/>
                <w:szCs w:val="18"/>
              </w:rPr>
              <w:t>项，</w:t>
            </w:r>
            <w:r>
              <w:rPr>
                <w:rFonts w:hint="eastAsia" w:eastAsia="仿宋_GB2312"/>
                <w:b/>
                <w:bCs/>
                <w:kern w:val="0"/>
                <w:sz w:val="18"/>
                <w:szCs w:val="18"/>
              </w:rPr>
              <w:t>2022</w:t>
            </w:r>
            <w:r>
              <w:rPr>
                <w:rFonts w:hint="eastAsia" w:ascii="黑体" w:hAnsi="黑体" w:eastAsia="黑体"/>
                <w:b/>
                <w:bCs/>
                <w:kern w:val="0"/>
                <w:sz w:val="18"/>
                <w:szCs w:val="18"/>
              </w:rPr>
              <w:t>年计划投资</w:t>
            </w:r>
            <w:r>
              <w:rPr>
                <w:rFonts w:hint="eastAsia" w:eastAsia="仿宋_GB2312"/>
                <w:b/>
                <w:bCs/>
                <w:kern w:val="0"/>
                <w:sz w:val="18"/>
                <w:szCs w:val="18"/>
              </w:rPr>
              <w:t>61645</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143107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41695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61645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500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200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60945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白沙地项目一期配套学校建设项目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马街街道办事处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西山区教育体育局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配建小学36班、初中18班学校1所。同步完善室外围墙、大门、运动场、室外绿化及景观、电气、给排水等室外附属配套设施建设。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28309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26118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2191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2191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6"/>
                <w:kern w:val="0"/>
                <w:sz w:val="18"/>
                <w:szCs w:val="18"/>
              </w:rPr>
            </w:pPr>
            <w:r>
              <w:rPr>
                <w:rFonts w:hint="eastAsia" w:ascii="仿宋_GB2312" w:eastAsia="仿宋_GB2312"/>
                <w:spacing w:val="-16"/>
                <w:kern w:val="0"/>
                <w:sz w:val="18"/>
                <w:szCs w:val="18"/>
              </w:rPr>
              <w:t>西山区第一中学强基提质暨排危改造建设项目（二期）</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马街街道</w:t>
            </w:r>
            <w:r>
              <w:rPr>
                <w:rFonts w:hint="eastAsia" w:eastAsia="仿宋_GB2312"/>
                <w:kern w:val="0"/>
                <w:sz w:val="18"/>
                <w:szCs w:val="18"/>
              </w:rPr>
              <w:br w:type="textWrapping"/>
            </w:r>
            <w:r>
              <w:rPr>
                <w:rFonts w:hint="eastAsia" w:ascii="仿宋_GB2312" w:eastAsia="仿宋_GB2312"/>
                <w:kern w:val="0"/>
                <w:sz w:val="18"/>
                <w:szCs w:val="18"/>
              </w:rPr>
              <w:t>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西山区教育体育局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拆除危旧建筑</w:t>
            </w:r>
            <w:r>
              <w:rPr>
                <w:rFonts w:hint="eastAsia" w:eastAsia="仿宋_GB2312"/>
                <w:kern w:val="0"/>
                <w:sz w:val="18"/>
                <w:szCs w:val="18"/>
              </w:rPr>
              <w:t>5610</w:t>
            </w:r>
            <w:r>
              <w:rPr>
                <w:rFonts w:hint="eastAsia" w:ascii="Segoe UI Symbol" w:hAnsi="Segoe UI Symbol" w:eastAsia="Segoe UI Symbol" w:cs="Segoe UI Symbol"/>
                <w:kern w:val="0"/>
                <w:sz w:val="18"/>
                <w:szCs w:val="18"/>
              </w:rPr>
              <w:t>㎡</w:t>
            </w:r>
            <w:r>
              <w:rPr>
                <w:rFonts w:hint="eastAsia" w:ascii="仿宋_GB2312" w:eastAsia="仿宋_GB2312"/>
                <w:kern w:val="0"/>
                <w:sz w:val="18"/>
                <w:szCs w:val="18"/>
              </w:rPr>
              <w:t>，新建教学综合楼一幢，总建筑面积</w:t>
            </w:r>
            <w:r>
              <w:rPr>
                <w:rFonts w:hint="eastAsia" w:eastAsia="仿宋_GB2312"/>
                <w:kern w:val="0"/>
                <w:sz w:val="18"/>
                <w:szCs w:val="18"/>
              </w:rPr>
              <w:t>37390.14</w:t>
            </w:r>
            <w:r>
              <w:rPr>
                <w:rFonts w:hint="eastAsia" w:ascii="Segoe UI Symbol" w:hAnsi="Segoe UI Symbol" w:eastAsia="Segoe UI Symbol" w:cs="Segoe UI Symbol"/>
                <w:kern w:val="0"/>
                <w:sz w:val="18"/>
                <w:szCs w:val="18"/>
              </w:rPr>
              <w:t>㎡</w:t>
            </w:r>
            <w:r>
              <w:rPr>
                <w:rFonts w:hint="eastAsia" w:ascii="仿宋_GB2312" w:eastAsia="仿宋_GB2312"/>
                <w:kern w:val="0"/>
                <w:sz w:val="18"/>
                <w:szCs w:val="18"/>
              </w:rPr>
              <w:t>，同步完善附属配套设施。</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22155</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11995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10160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9960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中央民族大学附属中学昆明西山实验小学建设项目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永昌街道办事处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西山区教育体育局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项目用地面积为</w:t>
            </w:r>
            <w:r>
              <w:rPr>
                <w:rFonts w:hint="eastAsia" w:eastAsia="仿宋_GB2312"/>
                <w:kern w:val="0"/>
                <w:sz w:val="18"/>
                <w:szCs w:val="18"/>
              </w:rPr>
              <w:t>14630.5</w:t>
            </w:r>
            <w:r>
              <w:rPr>
                <w:rFonts w:hint="eastAsia" w:ascii="仿宋_GB2312" w:eastAsia="仿宋_GB2312"/>
                <w:kern w:val="0"/>
                <w:sz w:val="18"/>
                <w:szCs w:val="18"/>
              </w:rPr>
              <w:t>平方米，总建筑面积为</w:t>
            </w:r>
            <w:r>
              <w:rPr>
                <w:rFonts w:hint="eastAsia" w:eastAsia="仿宋_GB2312"/>
                <w:kern w:val="0"/>
                <w:sz w:val="18"/>
                <w:szCs w:val="18"/>
              </w:rPr>
              <w:t>8632</w:t>
            </w:r>
            <w:r>
              <w:rPr>
                <w:rFonts w:hint="eastAsia" w:ascii="仿宋_GB2312" w:eastAsia="仿宋_GB2312"/>
                <w:kern w:val="0"/>
                <w:sz w:val="18"/>
                <w:szCs w:val="18"/>
              </w:rPr>
              <w:t>平方米，地下建筑面积</w:t>
            </w:r>
            <w:r>
              <w:rPr>
                <w:rFonts w:hint="eastAsia" w:eastAsia="仿宋_GB2312"/>
                <w:kern w:val="0"/>
                <w:sz w:val="18"/>
                <w:szCs w:val="18"/>
              </w:rPr>
              <w:t>180</w:t>
            </w:r>
            <w:r>
              <w:rPr>
                <w:rFonts w:hint="eastAsia" w:ascii="仿宋_GB2312" w:eastAsia="仿宋_GB2312"/>
                <w:kern w:val="0"/>
                <w:sz w:val="18"/>
                <w:szCs w:val="18"/>
              </w:rPr>
              <w:t>平方米，按</w:t>
            </w:r>
            <w:r>
              <w:rPr>
                <w:rFonts w:hint="eastAsia" w:eastAsia="仿宋_GB2312"/>
                <w:kern w:val="0"/>
                <w:sz w:val="18"/>
                <w:szCs w:val="18"/>
              </w:rPr>
              <w:t>24</w:t>
            </w:r>
            <w:r>
              <w:rPr>
                <w:rFonts w:hint="eastAsia" w:ascii="仿宋_GB2312" w:eastAsia="仿宋_GB2312"/>
                <w:kern w:val="0"/>
                <w:sz w:val="18"/>
                <w:szCs w:val="18"/>
              </w:rPr>
              <w:t>班规模建设。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4748</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3582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1166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666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云大附中西山学校初中部新建项目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马街街道办事处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西山区教育体育局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占地面积5.3万平方米，总建筑面积4.2万平方米，新建校舍包含教学楼、运动场及附属配套设施等。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62129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31064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31064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19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城中村改造21号片区A1—5地块42班小学建设项目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西山区教育体育局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净用地面积为</w:t>
            </w:r>
            <w:r>
              <w:rPr>
                <w:rFonts w:hint="eastAsia" w:eastAsia="仿宋_GB2312"/>
                <w:kern w:val="0"/>
                <w:sz w:val="18"/>
                <w:szCs w:val="18"/>
              </w:rPr>
              <w:t>2.3</w:t>
            </w:r>
            <w:r>
              <w:rPr>
                <w:rFonts w:hint="eastAsia" w:ascii="仿宋_GB2312" w:eastAsia="仿宋_GB2312"/>
                <w:kern w:val="0"/>
                <w:sz w:val="18"/>
                <w:szCs w:val="18"/>
              </w:rPr>
              <w:t>万平方米，总建筑面积</w:t>
            </w:r>
            <w:r>
              <w:rPr>
                <w:rFonts w:hint="eastAsia" w:eastAsia="仿宋_GB2312"/>
                <w:kern w:val="0"/>
                <w:sz w:val="18"/>
                <w:szCs w:val="18"/>
              </w:rPr>
              <w:t>1.9</w:t>
            </w:r>
            <w:r>
              <w:rPr>
                <w:rFonts w:hint="eastAsia" w:ascii="仿宋_GB2312" w:eastAsia="仿宋_GB2312"/>
                <w:kern w:val="0"/>
                <w:sz w:val="18"/>
                <w:szCs w:val="18"/>
              </w:rPr>
              <w:t>万平方米。建设校舍用房、办公用房、生活服务用房、机动车停车库、非机动车停车库等。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2022.05</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9499</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5699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5699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城中村改造3号片区配套36班初级中学建设项目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棕树营街道办事处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西山区教育体育局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总用地面积</w:t>
            </w:r>
            <w:r>
              <w:rPr>
                <w:rFonts w:hint="eastAsia" w:eastAsia="仿宋_GB2312"/>
                <w:kern w:val="0"/>
                <w:sz w:val="18"/>
                <w:szCs w:val="18"/>
              </w:rPr>
              <w:t>2.8</w:t>
            </w:r>
            <w:r>
              <w:rPr>
                <w:rFonts w:hint="eastAsia" w:ascii="仿宋_GB2312" w:eastAsia="仿宋_GB2312"/>
                <w:kern w:val="0"/>
                <w:sz w:val="18"/>
                <w:szCs w:val="18"/>
              </w:rPr>
              <w:t>万平方米，新建办学规模为</w:t>
            </w:r>
            <w:r>
              <w:rPr>
                <w:rFonts w:hint="eastAsia" w:eastAsia="仿宋_GB2312"/>
                <w:kern w:val="0"/>
                <w:sz w:val="18"/>
                <w:szCs w:val="18"/>
              </w:rPr>
              <w:t>36</w:t>
            </w:r>
            <w:r>
              <w:rPr>
                <w:rFonts w:hint="eastAsia" w:ascii="仿宋_GB2312" w:eastAsia="仿宋_GB2312"/>
                <w:kern w:val="0"/>
                <w:sz w:val="18"/>
                <w:szCs w:val="18"/>
              </w:rPr>
              <w:t>班的初级中学</w:t>
            </w:r>
            <w:r>
              <w:rPr>
                <w:rFonts w:hint="eastAsia" w:eastAsia="仿宋_GB2312"/>
                <w:kern w:val="0"/>
                <w:sz w:val="18"/>
                <w:szCs w:val="18"/>
              </w:rPr>
              <w:t>1</w:t>
            </w:r>
            <w:r>
              <w:rPr>
                <w:rFonts w:hint="eastAsia" w:ascii="仿宋_GB2312" w:eastAsia="仿宋_GB2312"/>
                <w:kern w:val="0"/>
                <w:sz w:val="18"/>
                <w:szCs w:val="18"/>
              </w:rPr>
              <w:t>所。主要建设内容包括教学楼、综合楼、地下室及室内外给排水、电力电气、消防、人防、篮球场、足球场、跑道、海绵城市等附属配套设施。</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9904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6932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6932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草海5号片区配套初级中学建设项目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西山区教育体育局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配建</w:t>
            </w:r>
            <w:r>
              <w:rPr>
                <w:rFonts w:hint="eastAsia" w:eastAsia="仿宋_GB2312"/>
                <w:kern w:val="0"/>
                <w:sz w:val="18"/>
                <w:szCs w:val="18"/>
              </w:rPr>
              <w:t>21</w:t>
            </w:r>
            <w:r>
              <w:rPr>
                <w:rFonts w:hint="eastAsia" w:ascii="仿宋_GB2312" w:eastAsia="仿宋_GB2312"/>
                <w:kern w:val="0"/>
                <w:sz w:val="18"/>
                <w:szCs w:val="18"/>
              </w:rPr>
              <w:t>班初级中学</w:t>
            </w:r>
            <w:r>
              <w:rPr>
                <w:rFonts w:hint="eastAsia" w:eastAsia="仿宋_GB2312"/>
                <w:kern w:val="0"/>
                <w:sz w:val="18"/>
                <w:szCs w:val="18"/>
              </w:rPr>
              <w:t>1</w:t>
            </w:r>
            <w:r>
              <w:rPr>
                <w:rFonts w:hint="eastAsia" w:ascii="仿宋_GB2312" w:eastAsia="仿宋_GB2312"/>
                <w:kern w:val="0"/>
                <w:sz w:val="18"/>
                <w:szCs w:val="18"/>
              </w:rPr>
              <w:t>所。同步完善室外围墙、大门、运动场、室外绿化及景观、电气、给排水等室外附属配套设施。</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6362</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4433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4433 </w:t>
            </w:r>
          </w:p>
        </w:tc>
      </w:tr>
      <w:tr>
        <w:tblPrEx>
          <w:tblLayout w:type="fixed"/>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五、社会民生建设项目（共</w:t>
            </w:r>
            <w:r>
              <w:rPr>
                <w:rFonts w:hint="eastAsia" w:eastAsia="仿宋_GB2312"/>
                <w:b/>
                <w:bCs/>
                <w:kern w:val="0"/>
                <w:sz w:val="18"/>
                <w:szCs w:val="18"/>
              </w:rPr>
              <w:t>9</w:t>
            </w:r>
            <w:r>
              <w:rPr>
                <w:rFonts w:hint="eastAsia" w:ascii="黑体" w:hAnsi="黑体" w:eastAsia="黑体"/>
                <w:b/>
                <w:bCs/>
                <w:kern w:val="0"/>
                <w:sz w:val="18"/>
                <w:szCs w:val="18"/>
              </w:rPr>
              <w:t>项，</w:t>
            </w:r>
            <w:r>
              <w:rPr>
                <w:rFonts w:hint="eastAsia" w:eastAsia="仿宋_GB2312"/>
                <w:b/>
                <w:bCs/>
                <w:kern w:val="0"/>
                <w:sz w:val="18"/>
                <w:szCs w:val="18"/>
              </w:rPr>
              <w:t>2022</w:t>
            </w:r>
            <w:r>
              <w:rPr>
                <w:rFonts w:hint="eastAsia" w:ascii="黑体" w:hAnsi="黑体" w:eastAsia="黑体"/>
                <w:b/>
                <w:bCs/>
                <w:kern w:val="0"/>
                <w:sz w:val="18"/>
                <w:szCs w:val="18"/>
              </w:rPr>
              <w:t>年计划投资</w:t>
            </w:r>
            <w:r>
              <w:rPr>
                <w:rFonts w:hint="eastAsia" w:eastAsia="仿宋_GB2312"/>
                <w:b/>
                <w:bCs/>
                <w:kern w:val="0"/>
                <w:sz w:val="18"/>
                <w:szCs w:val="18"/>
              </w:rPr>
              <w:t>62213</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217766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51793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62213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7416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4797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50000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2021</w:t>
            </w:r>
            <w:r>
              <w:rPr>
                <w:rFonts w:hint="eastAsia" w:ascii="仿宋_GB2312" w:eastAsia="仿宋_GB2312"/>
                <w:kern w:val="0"/>
                <w:sz w:val="18"/>
                <w:szCs w:val="18"/>
              </w:rPr>
              <w:t>年军休老旧小区改造工程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西山区退役军人事务局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该项目涉及</w:t>
            </w:r>
            <w:r>
              <w:rPr>
                <w:rFonts w:hint="eastAsia" w:eastAsia="仿宋_GB2312"/>
                <w:kern w:val="0"/>
                <w:sz w:val="18"/>
                <w:szCs w:val="18"/>
              </w:rPr>
              <w:t>3</w:t>
            </w:r>
            <w:r>
              <w:rPr>
                <w:rFonts w:hint="eastAsia" w:ascii="仿宋_GB2312" w:eastAsia="仿宋_GB2312"/>
                <w:kern w:val="0"/>
                <w:sz w:val="18"/>
                <w:szCs w:val="18"/>
              </w:rPr>
              <w:t>个军休老旧小区，计划改造总建筑面积</w:t>
            </w:r>
            <w:r>
              <w:rPr>
                <w:rFonts w:hint="eastAsia" w:eastAsia="仿宋_GB2312"/>
                <w:kern w:val="0"/>
                <w:sz w:val="18"/>
                <w:szCs w:val="18"/>
              </w:rPr>
              <w:t>3</w:t>
            </w:r>
            <w:r>
              <w:rPr>
                <w:rFonts w:hint="eastAsia" w:ascii="仿宋_GB2312" w:eastAsia="仿宋_GB2312"/>
                <w:kern w:val="0"/>
                <w:sz w:val="18"/>
                <w:szCs w:val="18"/>
              </w:rPr>
              <w:t>万平方米，涉及</w:t>
            </w:r>
            <w:r>
              <w:rPr>
                <w:rFonts w:hint="eastAsia" w:eastAsia="仿宋_GB2312"/>
                <w:kern w:val="0"/>
                <w:sz w:val="18"/>
                <w:szCs w:val="18"/>
              </w:rPr>
              <w:t>303</w:t>
            </w:r>
            <w:r>
              <w:rPr>
                <w:rFonts w:hint="eastAsia" w:ascii="仿宋_GB2312" w:eastAsia="仿宋_GB2312"/>
                <w:kern w:val="0"/>
                <w:sz w:val="18"/>
                <w:szCs w:val="18"/>
              </w:rPr>
              <w:t>户。主要建设内容包括供水、供电系统一户一表改造，屋面防水，雨污分流等。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1858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657</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1201</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1201</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城中村改造</w:t>
            </w:r>
            <w:r>
              <w:rPr>
                <w:rFonts w:hint="eastAsia" w:eastAsia="仿宋_GB2312"/>
                <w:kern w:val="0"/>
                <w:sz w:val="18"/>
                <w:szCs w:val="18"/>
              </w:rPr>
              <w:t>29</w:t>
            </w:r>
            <w:r>
              <w:rPr>
                <w:rFonts w:hint="eastAsia" w:ascii="仿宋_GB2312" w:hAnsi="宋体" w:eastAsia="仿宋_GB2312" w:cs="宋体"/>
                <w:kern w:val="0"/>
                <w:sz w:val="18"/>
                <w:szCs w:val="18"/>
              </w:rPr>
              <w:t>号片区棚户区改造项目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西山区城市更新改造局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本项目总建设规模为35.9万平方米，新建实物安置房2400套，其中：安置房24万平方米，配套商业1.5万平方米，公建配套9600平方米，地下室9.5万平方米，地下车位2642个，非机动车位2642个。</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2021.12</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2024.12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206360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49600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53000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3000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50000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福海街道办事处</w:t>
            </w:r>
            <w:r>
              <w:rPr>
                <w:rFonts w:hint="eastAsia" w:eastAsia="仿宋_GB2312"/>
                <w:kern w:val="0"/>
                <w:sz w:val="18"/>
                <w:szCs w:val="18"/>
              </w:rPr>
              <w:t>2021</w:t>
            </w:r>
            <w:r>
              <w:rPr>
                <w:rFonts w:hint="eastAsia" w:ascii="仿宋_GB2312" w:hAnsi="宋体" w:eastAsia="仿宋_GB2312" w:cs="宋体"/>
                <w:kern w:val="0"/>
                <w:sz w:val="18"/>
                <w:szCs w:val="18"/>
              </w:rPr>
              <w:t>年老旧小区改造项目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涉及和清巷小区、和秀巷小区、和正巷小区、隆居花园四个小区改造，改造总建筑面积</w:t>
            </w:r>
            <w:r>
              <w:rPr>
                <w:rFonts w:hint="eastAsia" w:eastAsia="仿宋_GB2312"/>
                <w:kern w:val="0"/>
                <w:sz w:val="18"/>
                <w:szCs w:val="18"/>
              </w:rPr>
              <w:t>10.4</w:t>
            </w:r>
            <w:r>
              <w:rPr>
                <w:rFonts w:hint="eastAsia" w:ascii="仿宋_GB2312" w:eastAsia="仿宋_GB2312"/>
                <w:kern w:val="0"/>
                <w:sz w:val="18"/>
                <w:szCs w:val="18"/>
              </w:rPr>
              <w:t>万平方米，涉及</w:t>
            </w:r>
            <w:r>
              <w:rPr>
                <w:rFonts w:hint="eastAsia" w:eastAsia="仿宋_GB2312"/>
                <w:kern w:val="0"/>
                <w:sz w:val="18"/>
                <w:szCs w:val="18"/>
              </w:rPr>
              <w:t>3105</w:t>
            </w:r>
            <w:r>
              <w:rPr>
                <w:rFonts w:hint="eastAsia" w:ascii="仿宋_GB2312" w:eastAsia="仿宋_GB2312"/>
                <w:kern w:val="0"/>
                <w:sz w:val="18"/>
                <w:szCs w:val="18"/>
              </w:rPr>
              <w:t>户。</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2022.05</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3365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150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3215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3215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西山区公安分局一站式办案中心</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w:t>
            </w:r>
            <w:r>
              <w:rPr>
                <w:rFonts w:hint="eastAsia" w:eastAsia="仿宋_GB2312"/>
                <w:kern w:val="0"/>
                <w:sz w:val="18"/>
                <w:szCs w:val="18"/>
              </w:rPr>
              <w:br w:type="textWrapping"/>
            </w:r>
            <w:r>
              <w:rPr>
                <w:rFonts w:hint="eastAsia" w:ascii="仿宋_GB2312" w:eastAsia="仿宋_GB2312"/>
                <w:kern w:val="0"/>
                <w:sz w:val="18"/>
                <w:szCs w:val="18"/>
              </w:rPr>
              <w:t>看守所</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昆明市公安局西山分局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建设一站式执法办案中心用房</w:t>
            </w:r>
            <w:r>
              <w:rPr>
                <w:rFonts w:hint="eastAsia" w:eastAsia="仿宋_GB2312"/>
                <w:kern w:val="0"/>
                <w:sz w:val="18"/>
                <w:szCs w:val="18"/>
              </w:rPr>
              <w:t>1</w:t>
            </w:r>
            <w:r>
              <w:rPr>
                <w:rFonts w:hint="eastAsia" w:ascii="仿宋_GB2312" w:eastAsia="仿宋_GB2312"/>
                <w:kern w:val="0"/>
                <w:sz w:val="18"/>
                <w:szCs w:val="18"/>
              </w:rPr>
              <w:t>栋，</w:t>
            </w:r>
            <w:r>
              <w:rPr>
                <w:rFonts w:hint="eastAsia" w:eastAsia="仿宋_GB2312"/>
                <w:kern w:val="0"/>
                <w:sz w:val="18"/>
                <w:szCs w:val="18"/>
              </w:rPr>
              <w:t>3</w:t>
            </w:r>
            <w:r>
              <w:rPr>
                <w:rFonts w:hint="eastAsia" w:ascii="仿宋_GB2312" w:eastAsia="仿宋_GB2312"/>
                <w:kern w:val="0"/>
                <w:sz w:val="18"/>
                <w:szCs w:val="18"/>
              </w:rPr>
              <w:t>层框架结构，用地面积</w:t>
            </w:r>
            <w:r>
              <w:rPr>
                <w:rFonts w:hint="eastAsia" w:eastAsia="仿宋_GB2312"/>
                <w:kern w:val="0"/>
                <w:sz w:val="18"/>
                <w:szCs w:val="18"/>
              </w:rPr>
              <w:t>4704</w:t>
            </w:r>
            <w:r>
              <w:rPr>
                <w:rFonts w:hint="eastAsia" w:ascii="仿宋_GB2312" w:eastAsia="仿宋_GB2312"/>
                <w:kern w:val="0"/>
                <w:sz w:val="18"/>
                <w:szCs w:val="18"/>
              </w:rPr>
              <w:t>平方米，建筑占地面积</w:t>
            </w:r>
            <w:r>
              <w:rPr>
                <w:rFonts w:hint="eastAsia" w:eastAsia="仿宋_GB2312"/>
                <w:kern w:val="0"/>
                <w:sz w:val="18"/>
                <w:szCs w:val="18"/>
              </w:rPr>
              <w:t>1813</w:t>
            </w:r>
            <w:r>
              <w:rPr>
                <w:rFonts w:hint="eastAsia" w:ascii="仿宋_GB2312" w:eastAsia="仿宋_GB2312"/>
                <w:kern w:val="0"/>
                <w:sz w:val="18"/>
                <w:szCs w:val="18"/>
              </w:rPr>
              <w:t>平方米，总建筑面积为</w:t>
            </w:r>
            <w:r>
              <w:rPr>
                <w:rFonts w:hint="eastAsia" w:eastAsia="仿宋_GB2312"/>
                <w:kern w:val="0"/>
                <w:sz w:val="18"/>
                <w:szCs w:val="18"/>
              </w:rPr>
              <w:t>3965</w:t>
            </w:r>
            <w:r>
              <w:rPr>
                <w:rFonts w:hint="eastAsia" w:ascii="仿宋_GB2312" w:eastAsia="仿宋_GB2312"/>
                <w:kern w:val="0"/>
                <w:sz w:val="18"/>
                <w:szCs w:val="18"/>
              </w:rPr>
              <w:t>平方米。</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2020.09</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4337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1386</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2951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2951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6"/>
                <w:kern w:val="0"/>
                <w:sz w:val="18"/>
                <w:szCs w:val="18"/>
              </w:rPr>
            </w:pPr>
            <w:r>
              <w:rPr>
                <w:rFonts w:hint="eastAsia" w:ascii="仿宋_GB2312" w:hAnsi="宋体" w:eastAsia="仿宋_GB2312" w:cs="宋体"/>
                <w:spacing w:val="-16"/>
                <w:kern w:val="0"/>
                <w:sz w:val="18"/>
                <w:szCs w:val="18"/>
              </w:rPr>
              <w:t>西山公安分局看守所自来水给水工程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西山区看守所</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昆明市公安局西山分局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改造西山看守所的供水设施，提高用水保障能力。</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255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255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255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龙江公园照明设施改建补建工程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对盘龙江沿线的龙江公园人行步道照明设施进行改建补建，包括其配套的综合管线设施。</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2022.02</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501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501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501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2022年功能性照明设施改建补建工程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针对“有路无灯”“有灯不亮”路段进行改建补建。</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600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600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6"/>
                <w:kern w:val="0"/>
                <w:sz w:val="18"/>
                <w:szCs w:val="18"/>
              </w:rPr>
            </w:pPr>
            <w:r>
              <w:rPr>
                <w:rFonts w:hint="eastAsia" w:ascii="仿宋_GB2312" w:hAnsi="宋体" w:eastAsia="仿宋_GB2312" w:cs="宋体"/>
                <w:spacing w:val="-16"/>
                <w:kern w:val="0"/>
                <w:sz w:val="18"/>
                <w:szCs w:val="18"/>
              </w:rPr>
              <w:t>金碧法庭数字化改造项目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金碧街道办事处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西山区法院</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对区法院派出的金碧街道法庭进行智慧、数字化改造提升。</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230</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230</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230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西山区碧鸡街道党群服务中心建设项目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碧鸡街道办事处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碧鸡街道办事处</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建设碧鸡街道党员、干部、群众活动中心。</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2022.09</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260</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260</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260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r>
      <w:tr>
        <w:tblPrEx>
          <w:tblLayout w:type="fixed"/>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六、文化旅游建设项目（共</w:t>
            </w:r>
            <w:r>
              <w:rPr>
                <w:rFonts w:hint="eastAsia" w:eastAsia="仿宋_GB2312"/>
                <w:b/>
                <w:bCs/>
                <w:kern w:val="0"/>
                <w:sz w:val="18"/>
                <w:szCs w:val="18"/>
              </w:rPr>
              <w:t>7</w:t>
            </w:r>
            <w:r>
              <w:rPr>
                <w:rFonts w:hint="eastAsia" w:ascii="黑体" w:hAnsi="黑体" w:eastAsia="黑体"/>
                <w:b/>
                <w:bCs/>
                <w:kern w:val="0"/>
                <w:sz w:val="18"/>
                <w:szCs w:val="18"/>
              </w:rPr>
              <w:t>项，</w:t>
            </w:r>
            <w:r>
              <w:rPr>
                <w:rFonts w:hint="eastAsia" w:eastAsia="仿宋_GB2312"/>
                <w:b/>
                <w:bCs/>
                <w:kern w:val="0"/>
                <w:sz w:val="18"/>
                <w:szCs w:val="18"/>
              </w:rPr>
              <w:t>2022</w:t>
            </w:r>
            <w:r>
              <w:rPr>
                <w:rFonts w:hint="eastAsia" w:ascii="黑体" w:hAnsi="黑体" w:eastAsia="黑体"/>
                <w:b/>
                <w:bCs/>
                <w:kern w:val="0"/>
                <w:sz w:val="18"/>
                <w:szCs w:val="18"/>
              </w:rPr>
              <w:t>年计划投资</w:t>
            </w:r>
            <w:r>
              <w:rPr>
                <w:rFonts w:hint="eastAsia" w:eastAsia="仿宋_GB2312"/>
                <w:b/>
                <w:bCs/>
                <w:kern w:val="0"/>
                <w:sz w:val="18"/>
                <w:szCs w:val="18"/>
              </w:rPr>
              <w:t>41119</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300072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85033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41119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7500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29436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4183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白沙地片区翠峰公园建设项目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马街街道</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10"/>
                <w:kern w:val="0"/>
                <w:sz w:val="18"/>
                <w:szCs w:val="18"/>
              </w:rPr>
              <w:t>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项目总面积约108.9万平方米，主要开展绿化建设、休憩设施、步道建设等。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2020.03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2024.12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246192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79888</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975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975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6"/>
                <w:kern w:val="0"/>
                <w:sz w:val="18"/>
                <w:szCs w:val="18"/>
              </w:rPr>
            </w:pPr>
            <w:r>
              <w:rPr>
                <w:rFonts w:hint="eastAsia" w:ascii="仿宋_GB2312" w:hAnsi="宋体" w:eastAsia="仿宋_GB2312" w:cs="宋体"/>
                <w:spacing w:val="-16"/>
                <w:kern w:val="0"/>
                <w:sz w:val="18"/>
                <w:szCs w:val="18"/>
              </w:rPr>
              <w:t>城中村改造35号片区公园绿地、防护绿地建设项目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福海街道</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10"/>
                <w:kern w:val="0"/>
                <w:sz w:val="18"/>
                <w:szCs w:val="18"/>
              </w:rPr>
              <w:t>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总计11个地块，总占地面积7万平方米，包括绿地建设及用地范围内涉及的管线、电力工程及其附属设施建设等。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4817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4145</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672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672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聂耳和国歌文化基地</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碧鸡街道办事处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中共西山区委组织部</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以“三区一廊”为依托，以“六二驱动”为引领，展开阵地建设、内容建设、模式建设“三大建设”：阵地建设即“三区一廊”四大阵地建设，“三区”包括聂耳和国歌文化国际交流培训区、聂耳和国歌文化主体区、聂耳和国歌文化主题小镇；“一廊”指的是聂耳和国歌文化长廊，总占地面积约2430亩。</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2021.09</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25000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1000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22236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22236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西山区图书馆新馆建设</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西山区棕树营街道办事处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西山区文化和旅游局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建设</w:t>
            </w:r>
            <w:r>
              <w:rPr>
                <w:rFonts w:hint="eastAsia" w:eastAsia="仿宋_GB2312"/>
                <w:kern w:val="0"/>
                <w:sz w:val="18"/>
                <w:szCs w:val="18"/>
              </w:rPr>
              <w:t>5</w:t>
            </w:r>
            <w:r>
              <w:rPr>
                <w:rFonts w:hint="eastAsia" w:ascii="仿宋_GB2312" w:eastAsia="仿宋_GB2312"/>
                <w:kern w:val="0"/>
                <w:sz w:val="18"/>
                <w:szCs w:val="18"/>
              </w:rPr>
              <w:t>层楼图书馆，总面积</w:t>
            </w:r>
            <w:r>
              <w:rPr>
                <w:rFonts w:hint="eastAsia" w:eastAsia="仿宋_GB2312"/>
                <w:kern w:val="0"/>
                <w:sz w:val="18"/>
                <w:szCs w:val="18"/>
              </w:rPr>
              <w:t>8000</w:t>
            </w:r>
            <w:r>
              <w:rPr>
                <w:rFonts w:hint="eastAsia" w:ascii="仿宋_GB2312" w:eastAsia="仿宋_GB2312"/>
                <w:kern w:val="0"/>
                <w:sz w:val="18"/>
                <w:szCs w:val="18"/>
              </w:rPr>
              <w:t>平方米。</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2022.05</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8500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1700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1700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草海5号片区3号公园绿地建设项目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总占地面积</w:t>
            </w:r>
            <w:r>
              <w:rPr>
                <w:rFonts w:hint="eastAsia" w:eastAsia="仿宋_GB2312"/>
                <w:kern w:val="0"/>
                <w:sz w:val="18"/>
                <w:szCs w:val="18"/>
              </w:rPr>
              <w:t>1.3</w:t>
            </w:r>
            <w:r>
              <w:rPr>
                <w:rFonts w:hint="eastAsia" w:ascii="仿宋_GB2312" w:eastAsia="仿宋_GB2312"/>
                <w:kern w:val="0"/>
                <w:sz w:val="18"/>
                <w:szCs w:val="18"/>
              </w:rPr>
              <w:t>万平方米，包括绿地建设及用地范围内涉及的管线、电力工程及其附属设施、人行步道、休憩设施建设等。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2022.02</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2022.08</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863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836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836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西山区体育场提升改造项目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马街街道办事处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20"/>
                <w:kern w:val="0"/>
                <w:sz w:val="18"/>
                <w:szCs w:val="18"/>
              </w:rPr>
            </w:pPr>
            <w:r>
              <w:rPr>
                <w:rFonts w:hint="eastAsia" w:ascii="仿宋_GB2312" w:hAnsi="宋体" w:eastAsia="仿宋_GB2312" w:cs="宋体"/>
                <w:spacing w:val="-20"/>
                <w:kern w:val="0"/>
                <w:sz w:val="18"/>
                <w:szCs w:val="18"/>
              </w:rPr>
              <w:t>西山区教育投资有限公司</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规划新建综合训练馆（地上1.2万平方米，地下5986平方米）。对原足球场、跑道等设施进行提升改造。</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14700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14700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7500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7200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西山区青少年活动中心建设项目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马街街道办事处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前期</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待定。</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ascii="仿宋_GB2312" w:eastAsia="仿宋_GB2312"/>
                <w:kern w:val="0"/>
                <w:sz w:val="18"/>
                <w:szCs w:val="18"/>
              </w:rPr>
              <w:t>待定</w:t>
            </w:r>
          </w:p>
        </w:tc>
      </w:tr>
      <w:tr>
        <w:tblPrEx>
          <w:tblLayout w:type="fixed"/>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七、卫生健康建设项目（共</w:t>
            </w:r>
            <w:r>
              <w:rPr>
                <w:rFonts w:hint="eastAsia" w:eastAsia="仿宋_GB2312"/>
                <w:b/>
                <w:bCs/>
                <w:kern w:val="0"/>
                <w:sz w:val="18"/>
                <w:szCs w:val="18"/>
              </w:rPr>
              <w:t>1</w:t>
            </w:r>
            <w:r>
              <w:rPr>
                <w:rFonts w:hint="eastAsia" w:ascii="黑体" w:hAnsi="黑体" w:eastAsia="黑体"/>
                <w:b/>
                <w:bCs/>
                <w:kern w:val="0"/>
                <w:sz w:val="18"/>
                <w:szCs w:val="18"/>
              </w:rPr>
              <w:t>项，</w:t>
            </w:r>
            <w:r>
              <w:rPr>
                <w:rFonts w:hint="eastAsia" w:eastAsia="仿宋_GB2312"/>
                <w:b/>
                <w:bCs/>
                <w:kern w:val="0"/>
                <w:sz w:val="18"/>
                <w:szCs w:val="18"/>
              </w:rPr>
              <w:t>2021</w:t>
            </w:r>
            <w:r>
              <w:rPr>
                <w:rFonts w:hint="eastAsia" w:ascii="黑体" w:hAnsi="黑体" w:eastAsia="黑体"/>
                <w:b/>
                <w:bCs/>
                <w:kern w:val="0"/>
                <w:sz w:val="18"/>
                <w:szCs w:val="18"/>
              </w:rPr>
              <w:t>年计划投资</w:t>
            </w:r>
            <w:r>
              <w:rPr>
                <w:rFonts w:hint="eastAsia" w:eastAsia="仿宋_GB2312"/>
                <w:b/>
                <w:bCs/>
                <w:kern w:val="0"/>
                <w:sz w:val="18"/>
                <w:szCs w:val="18"/>
              </w:rPr>
              <w:t>15000</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168000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15000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15000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西山区人民医院三级综合医院迁建项目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马街街道办事处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西山区卫生健康局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净用地面积</w:t>
            </w:r>
            <w:r>
              <w:rPr>
                <w:rFonts w:hint="eastAsia" w:eastAsia="仿宋_GB2312"/>
                <w:kern w:val="0"/>
                <w:sz w:val="18"/>
                <w:szCs w:val="18"/>
              </w:rPr>
              <w:t>4.7</w:t>
            </w:r>
            <w:r>
              <w:rPr>
                <w:rFonts w:hint="eastAsia" w:ascii="仿宋_GB2312" w:eastAsia="仿宋_GB2312"/>
                <w:kern w:val="0"/>
                <w:sz w:val="18"/>
                <w:szCs w:val="18"/>
              </w:rPr>
              <w:t>万平方米，规划总建筑面积</w:t>
            </w:r>
            <w:r>
              <w:rPr>
                <w:rFonts w:hint="eastAsia" w:eastAsia="仿宋_GB2312"/>
                <w:kern w:val="0"/>
                <w:sz w:val="18"/>
                <w:szCs w:val="18"/>
              </w:rPr>
              <w:t>14.6</w:t>
            </w:r>
            <w:r>
              <w:rPr>
                <w:rFonts w:hint="eastAsia" w:ascii="仿宋_GB2312" w:eastAsia="仿宋_GB2312"/>
                <w:kern w:val="0"/>
                <w:sz w:val="18"/>
                <w:szCs w:val="18"/>
              </w:rPr>
              <w:t>万平方米，包括地上建筑面积</w:t>
            </w:r>
            <w:r>
              <w:rPr>
                <w:rFonts w:hint="eastAsia" w:eastAsia="仿宋_GB2312"/>
                <w:kern w:val="0"/>
                <w:sz w:val="18"/>
                <w:szCs w:val="18"/>
              </w:rPr>
              <w:t>9.1</w:t>
            </w:r>
            <w:r>
              <w:rPr>
                <w:rFonts w:hint="eastAsia" w:ascii="仿宋_GB2312" w:eastAsia="仿宋_GB2312"/>
                <w:kern w:val="0"/>
                <w:sz w:val="18"/>
                <w:szCs w:val="18"/>
              </w:rPr>
              <w:t>万平方米，地下建筑面积</w:t>
            </w:r>
            <w:r>
              <w:rPr>
                <w:rFonts w:hint="eastAsia" w:eastAsia="仿宋_GB2312"/>
                <w:kern w:val="0"/>
                <w:sz w:val="18"/>
                <w:szCs w:val="18"/>
              </w:rPr>
              <w:t>5.5</w:t>
            </w:r>
            <w:r>
              <w:rPr>
                <w:rFonts w:hint="eastAsia" w:ascii="仿宋_GB2312" w:eastAsia="仿宋_GB2312"/>
                <w:kern w:val="0"/>
                <w:sz w:val="18"/>
                <w:szCs w:val="18"/>
              </w:rPr>
              <w:t>万平方米。</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2024.01</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168000</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15000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8359"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ascii="黑体" w:hAnsi="黑体" w:eastAsia="黑体"/>
                <w:b/>
                <w:bCs/>
                <w:kern w:val="0"/>
                <w:sz w:val="18"/>
                <w:szCs w:val="18"/>
              </w:rPr>
              <w:t>八、道路基础设施建设项目（共</w:t>
            </w:r>
            <w:r>
              <w:rPr>
                <w:rFonts w:hint="eastAsia" w:eastAsia="仿宋_GB2312"/>
                <w:b/>
                <w:bCs/>
                <w:kern w:val="0"/>
                <w:sz w:val="18"/>
                <w:szCs w:val="18"/>
              </w:rPr>
              <w:t>18</w:t>
            </w:r>
            <w:r>
              <w:rPr>
                <w:rFonts w:hint="eastAsia" w:ascii="黑体" w:hAnsi="黑体" w:eastAsia="黑体"/>
                <w:b/>
                <w:bCs/>
                <w:kern w:val="0"/>
                <w:sz w:val="18"/>
                <w:szCs w:val="18"/>
              </w:rPr>
              <w:t>项，</w:t>
            </w:r>
            <w:r>
              <w:rPr>
                <w:rFonts w:hint="eastAsia" w:eastAsia="仿宋_GB2312"/>
                <w:b/>
                <w:bCs/>
                <w:kern w:val="0"/>
                <w:sz w:val="18"/>
                <w:szCs w:val="18"/>
              </w:rPr>
              <w:t>2022</w:t>
            </w:r>
            <w:r>
              <w:rPr>
                <w:rFonts w:hint="eastAsia" w:ascii="黑体" w:hAnsi="黑体" w:eastAsia="黑体"/>
                <w:b/>
                <w:bCs/>
                <w:kern w:val="0"/>
                <w:sz w:val="18"/>
                <w:szCs w:val="18"/>
              </w:rPr>
              <w:t>年计划投资</w:t>
            </w:r>
            <w:r>
              <w:rPr>
                <w:rFonts w:hint="eastAsia" w:eastAsia="仿宋_GB2312"/>
                <w:b/>
                <w:bCs/>
                <w:kern w:val="0"/>
                <w:sz w:val="18"/>
                <w:szCs w:val="18"/>
              </w:rPr>
              <w:t>130135</w:t>
            </w:r>
            <w:r>
              <w:rPr>
                <w:rFonts w:hint="eastAsia" w:ascii="黑体" w:hAnsi="黑体" w:eastAsia="黑体"/>
                <w:b/>
                <w:bCs/>
                <w:kern w:val="0"/>
                <w:sz w:val="18"/>
                <w:szCs w:val="18"/>
              </w:rPr>
              <w:t>万元）</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280732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1350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130135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15077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6098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b/>
                <w:bCs/>
                <w:kern w:val="0"/>
                <w:sz w:val="18"/>
                <w:szCs w:val="18"/>
              </w:rPr>
            </w:pPr>
            <w:r>
              <w:rPr>
                <w:rFonts w:hint="eastAsia" w:eastAsia="仿宋_GB2312"/>
                <w:b/>
                <w:bCs/>
                <w:kern w:val="0"/>
                <w:sz w:val="18"/>
                <w:szCs w:val="18"/>
              </w:rPr>
              <w:t xml:space="preserve">108960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39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中桃公路修缮工程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海口街道办事处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西山区交通运输局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完善路面破损修复及病害处置，完善排水设施。</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2021.07</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927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850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77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77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石安公路西山区高</w:t>
            </w:r>
            <w:r>
              <w:rPr>
                <w:rFonts w:hint="eastAsia" w:ascii="方正仿宋_GBK" w:hAnsi="微软雅黑" w:eastAsia="方正仿宋_GBK" w:cs="微软雅黑"/>
                <w:spacing w:val="-14"/>
                <w:kern w:val="0"/>
                <w:sz w:val="18"/>
                <w:szCs w:val="18"/>
              </w:rPr>
              <w:t>峣</w:t>
            </w:r>
            <w:r>
              <w:rPr>
                <w:rFonts w:hint="eastAsia" w:ascii="仿宋_GB2312" w:hAnsi="宋体" w:eastAsia="仿宋_GB2312" w:cs="宋体"/>
                <w:spacing w:val="-14"/>
                <w:kern w:val="0"/>
                <w:sz w:val="18"/>
                <w:szCs w:val="18"/>
              </w:rPr>
              <w:t>立交—中冠建材城提升改造项目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碧鸡街道办事处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西山区交通运输局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对路段进行提升改造，增加路灯照明、补植树木等。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2021.01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2998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500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2498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2498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西山区cop15二阶段重要道路景观节点提升工程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西山区城市管理局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续建</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对二环路下层等高架桥下行空间绿化和万达文华酒店等接待酒店周边公园绿地开展景观提升工作。</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2022.02</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2022.04</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3000</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3000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绿荫大道建设项目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起于采莲河，止于前兴路，全长</w:t>
            </w:r>
            <w:r>
              <w:rPr>
                <w:rFonts w:hint="eastAsia" w:eastAsia="仿宋_GB2312"/>
                <w:kern w:val="0"/>
                <w:sz w:val="18"/>
                <w:szCs w:val="18"/>
              </w:rPr>
              <w:t>2.7</w:t>
            </w:r>
            <w:r>
              <w:rPr>
                <w:rFonts w:hint="eastAsia" w:ascii="仿宋_GB2312" w:eastAsia="仿宋_GB2312"/>
                <w:kern w:val="0"/>
                <w:sz w:val="18"/>
                <w:szCs w:val="18"/>
              </w:rPr>
              <w:t>千米。建设内容包括道路、排水、交通、桥涵、照明、绿化及综合管廊工程。</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2024.05</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93048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24273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24273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352</w:t>
            </w:r>
            <w:r>
              <w:rPr>
                <w:rFonts w:hint="eastAsia" w:ascii="仿宋_GB2312" w:hAnsi="宋体" w:eastAsia="仿宋_GB2312" w:cs="宋体"/>
                <w:kern w:val="0"/>
                <w:sz w:val="18"/>
                <w:szCs w:val="18"/>
              </w:rPr>
              <w:t>号路建设项目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spacing w:val="-14"/>
                <w:kern w:val="0"/>
                <w:sz w:val="18"/>
                <w:szCs w:val="18"/>
              </w:rPr>
            </w:pPr>
            <w:r>
              <w:rPr>
                <w:rFonts w:hint="eastAsia" w:ascii="仿宋_GB2312" w:hAnsi="宋体" w:eastAsia="仿宋_GB2312" w:cs="宋体"/>
                <w:spacing w:val="-14"/>
                <w:kern w:val="0"/>
                <w:sz w:val="18"/>
                <w:szCs w:val="18"/>
              </w:rPr>
              <w:t>项目起于绿荫大道，止于日新路，全长554米。主要建设内容包括道路、排水、照明、交通设施及绿化工程建设，并配套建设电力、燃气、给水等综合管网。</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3190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1600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1600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353</w:t>
            </w:r>
            <w:r>
              <w:rPr>
                <w:rFonts w:hint="eastAsia" w:ascii="仿宋_GB2312" w:hAnsi="宋体" w:eastAsia="仿宋_GB2312" w:cs="宋体"/>
                <w:kern w:val="0"/>
                <w:sz w:val="18"/>
                <w:szCs w:val="18"/>
              </w:rPr>
              <w:t>号路建设项目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起于陆广路，止于</w:t>
            </w:r>
            <w:r>
              <w:rPr>
                <w:rFonts w:hint="eastAsia" w:eastAsia="仿宋_GB2312"/>
                <w:kern w:val="0"/>
                <w:sz w:val="18"/>
                <w:szCs w:val="18"/>
              </w:rPr>
              <w:t>352</w:t>
            </w:r>
            <w:r>
              <w:rPr>
                <w:rFonts w:hint="eastAsia" w:ascii="仿宋_GB2312" w:eastAsia="仿宋_GB2312"/>
                <w:kern w:val="0"/>
                <w:sz w:val="18"/>
                <w:szCs w:val="18"/>
              </w:rPr>
              <w:t>号规划路，全长</w:t>
            </w:r>
            <w:r>
              <w:rPr>
                <w:rFonts w:hint="eastAsia" w:eastAsia="仿宋_GB2312"/>
                <w:kern w:val="0"/>
                <w:sz w:val="18"/>
                <w:szCs w:val="18"/>
              </w:rPr>
              <w:t>167</w:t>
            </w:r>
            <w:r>
              <w:rPr>
                <w:rFonts w:hint="eastAsia" w:ascii="仿宋_GB2312" w:eastAsia="仿宋_GB2312"/>
                <w:kern w:val="0"/>
                <w:sz w:val="18"/>
                <w:szCs w:val="18"/>
              </w:rPr>
              <w:t>米。主要建设内容包括道路、排水、照明、交通设施及绿化工程，并配套建设电力、燃气、给水等综合管网。</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685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340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340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290</w:t>
            </w:r>
            <w:r>
              <w:rPr>
                <w:rFonts w:hint="eastAsia" w:ascii="仿宋_GB2312" w:hAnsi="宋体" w:eastAsia="仿宋_GB2312" w:cs="宋体"/>
                <w:kern w:val="0"/>
                <w:sz w:val="18"/>
                <w:szCs w:val="18"/>
              </w:rPr>
              <w:t>号路建设项目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道路全长381米，规划道路等级为7至12米城市道路。主要建设内容包括道路、排水、交通、照明、绿化及配套电力、燃气、电信等综合管网附属设施工程建设等。</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1345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1345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1345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陆广路改扩建工程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eastAsia="仿宋_GB2312"/>
                <w:spacing w:val="-10"/>
                <w:kern w:val="0"/>
                <w:sz w:val="18"/>
                <w:szCs w:val="18"/>
              </w:rPr>
            </w:pPr>
            <w:r>
              <w:rPr>
                <w:rFonts w:hint="eastAsia" w:ascii="仿宋_GB2312" w:eastAsia="仿宋_GB2312"/>
                <w:spacing w:val="-10"/>
                <w:kern w:val="0"/>
                <w:sz w:val="18"/>
                <w:szCs w:val="18"/>
              </w:rPr>
              <w:t>起于金广路，止于日新路，长1041米。主要建设内容包括道路、排水、交通、照明、绿化工程及配套电力、燃气、电信、给水等综合管网附属设施工程建设。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14512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7300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7300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47</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168</w:t>
            </w:r>
            <w:r>
              <w:rPr>
                <w:rFonts w:hint="eastAsia" w:ascii="仿宋_GB2312" w:hAnsi="宋体" w:eastAsia="仿宋_GB2312" w:cs="宋体"/>
                <w:kern w:val="0"/>
                <w:sz w:val="18"/>
                <w:szCs w:val="18"/>
              </w:rPr>
              <w:t>号路建设项目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永昌街道办事处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进行市政道路及配套的综合管线、照明、交通和绿化工程的建设。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2022.06</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2023.06</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18993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9500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9500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48</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183</w:t>
            </w:r>
            <w:r>
              <w:rPr>
                <w:rFonts w:hint="eastAsia" w:ascii="仿宋_GB2312" w:hAnsi="宋体" w:eastAsia="仿宋_GB2312" w:cs="宋体"/>
                <w:kern w:val="0"/>
                <w:sz w:val="18"/>
                <w:szCs w:val="18"/>
              </w:rPr>
              <w:t>号路建设项目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福海街道办事处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起于289号规划路，止于282号规划路，全长964米。主要建设内容包括道路、桥涵、排水、交通、绿化、照明和综合管线等工程建设。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2022.02</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15501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15500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15500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49</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172</w:t>
            </w:r>
            <w:r>
              <w:rPr>
                <w:rFonts w:hint="eastAsia" w:ascii="仿宋_GB2312" w:hAnsi="宋体" w:eastAsia="仿宋_GB2312" w:cs="宋体"/>
                <w:kern w:val="0"/>
                <w:sz w:val="18"/>
                <w:szCs w:val="18"/>
              </w:rPr>
              <w:t>号路建设项目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起于</w:t>
            </w:r>
            <w:r>
              <w:rPr>
                <w:rFonts w:hint="eastAsia" w:eastAsia="仿宋_GB2312"/>
                <w:kern w:val="0"/>
                <w:sz w:val="18"/>
                <w:szCs w:val="18"/>
              </w:rPr>
              <w:t>154</w:t>
            </w:r>
            <w:r>
              <w:rPr>
                <w:rFonts w:hint="eastAsia" w:ascii="仿宋_GB2312" w:eastAsia="仿宋_GB2312"/>
                <w:kern w:val="0"/>
                <w:sz w:val="18"/>
                <w:szCs w:val="18"/>
              </w:rPr>
              <w:t>号规划路，止于前兴路，道路全长</w:t>
            </w:r>
            <w:r>
              <w:rPr>
                <w:rFonts w:hint="eastAsia" w:eastAsia="仿宋_GB2312"/>
                <w:kern w:val="0"/>
                <w:sz w:val="18"/>
                <w:szCs w:val="18"/>
              </w:rPr>
              <w:t>678</w:t>
            </w:r>
            <w:r>
              <w:rPr>
                <w:rFonts w:hint="eastAsia" w:ascii="仿宋_GB2312" w:eastAsia="仿宋_GB2312"/>
                <w:kern w:val="0"/>
                <w:sz w:val="18"/>
                <w:szCs w:val="18"/>
              </w:rPr>
              <w:t>米。主要建设内容包括道路、排水、桥梁、交通、照明、绿化及配套电力、燃气、电信、自来水等综合管网附属设施建设工程。</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9198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4000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173</w:t>
            </w:r>
            <w:r>
              <w:rPr>
                <w:rFonts w:hint="eastAsia" w:ascii="仿宋_GB2312" w:hAnsi="宋体" w:eastAsia="仿宋_GB2312" w:cs="宋体"/>
                <w:kern w:val="0"/>
                <w:sz w:val="18"/>
                <w:szCs w:val="18"/>
              </w:rPr>
              <w:t>号路改扩建项目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起于</w:t>
            </w:r>
            <w:r>
              <w:rPr>
                <w:rFonts w:hint="eastAsia" w:eastAsia="仿宋_GB2312"/>
                <w:kern w:val="0"/>
                <w:sz w:val="18"/>
                <w:szCs w:val="18"/>
              </w:rPr>
              <w:t>21</w:t>
            </w:r>
            <w:r>
              <w:rPr>
                <w:rFonts w:hint="eastAsia" w:ascii="仿宋_GB2312" w:eastAsia="仿宋_GB2312"/>
                <w:kern w:val="0"/>
                <w:sz w:val="18"/>
                <w:szCs w:val="18"/>
              </w:rPr>
              <w:t>号规划路，止于广福路。主要建设内容包括道路、排水、桥梁、交通、照明、绿化及配套电力、燃气、电信、自来水等综合管网附属设施工程建设。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2022.03</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2023.03</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33890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16000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16000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51</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国安巷道路建设项目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棕树营街道办事处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起于近华浦路，止于西园路，长</w:t>
            </w:r>
            <w:r>
              <w:rPr>
                <w:rFonts w:hint="eastAsia" w:eastAsia="仿宋_GB2312"/>
                <w:kern w:val="0"/>
                <w:sz w:val="18"/>
                <w:szCs w:val="18"/>
              </w:rPr>
              <w:t>450</w:t>
            </w:r>
            <w:r>
              <w:rPr>
                <w:rFonts w:hint="eastAsia" w:ascii="仿宋_GB2312" w:eastAsia="仿宋_GB2312"/>
                <w:kern w:val="0"/>
                <w:sz w:val="18"/>
                <w:szCs w:val="18"/>
              </w:rPr>
              <w:t>米。主要建设内容包括进行道路、排水、箱涵、照明、交通设施及绿化工程建设，并配套建设电力、燃气、给水等配套综合管网。</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3855</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3855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3855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52</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154</w:t>
            </w:r>
            <w:r>
              <w:rPr>
                <w:rFonts w:hint="eastAsia" w:ascii="仿宋_GB2312" w:hAnsi="宋体" w:eastAsia="仿宋_GB2312" w:cs="宋体"/>
                <w:kern w:val="0"/>
                <w:sz w:val="18"/>
                <w:szCs w:val="18"/>
              </w:rPr>
              <w:t>号路建设项目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起于</w:t>
            </w:r>
            <w:r>
              <w:rPr>
                <w:rFonts w:hint="eastAsia" w:eastAsia="仿宋_GB2312"/>
                <w:kern w:val="0"/>
                <w:sz w:val="18"/>
                <w:szCs w:val="18"/>
              </w:rPr>
              <w:t>191</w:t>
            </w:r>
            <w:r>
              <w:rPr>
                <w:rFonts w:hint="eastAsia" w:ascii="仿宋_GB2312" w:eastAsia="仿宋_GB2312"/>
                <w:kern w:val="0"/>
                <w:sz w:val="18"/>
                <w:szCs w:val="18"/>
              </w:rPr>
              <w:t>号规划路，止于广福路，道路全长</w:t>
            </w:r>
            <w:r>
              <w:rPr>
                <w:rFonts w:hint="eastAsia" w:eastAsia="仿宋_GB2312"/>
                <w:kern w:val="0"/>
                <w:sz w:val="18"/>
                <w:szCs w:val="18"/>
              </w:rPr>
              <w:t>685</w:t>
            </w:r>
            <w:r>
              <w:rPr>
                <w:rFonts w:hint="eastAsia" w:ascii="仿宋_GB2312" w:eastAsia="仿宋_GB2312"/>
                <w:kern w:val="0"/>
                <w:sz w:val="18"/>
                <w:szCs w:val="18"/>
              </w:rPr>
              <w:t>米。主要建设内容包括道路、排水、交通、照明、绿化及配套电力、燃气、电信、自来水等综合管网附属设施工程建设。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4732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4732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4732</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53</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hint="eastAsia" w:eastAsia="仿宋_GB2312"/>
                <w:kern w:val="0"/>
                <w:sz w:val="18"/>
                <w:szCs w:val="18"/>
              </w:rPr>
              <w:t>318</w:t>
            </w:r>
            <w:r>
              <w:rPr>
                <w:rFonts w:hint="eastAsia" w:ascii="仿宋_GB2312" w:hAnsi="宋体" w:eastAsia="仿宋_GB2312" w:cs="宋体"/>
                <w:kern w:val="0"/>
                <w:sz w:val="18"/>
                <w:szCs w:val="18"/>
              </w:rPr>
              <w:t>号路建设项目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前卫街道办事处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西山区住房和城乡建设局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起于前兴路，止于南博路，道路全长</w:t>
            </w:r>
            <w:r>
              <w:rPr>
                <w:rFonts w:hint="eastAsia" w:eastAsia="仿宋_GB2312"/>
                <w:kern w:val="0"/>
                <w:sz w:val="18"/>
                <w:szCs w:val="18"/>
              </w:rPr>
              <w:t>585</w:t>
            </w:r>
            <w:r>
              <w:rPr>
                <w:rFonts w:hint="eastAsia" w:ascii="仿宋_GB2312" w:eastAsia="仿宋_GB2312"/>
                <w:kern w:val="0"/>
                <w:sz w:val="18"/>
                <w:szCs w:val="18"/>
              </w:rPr>
              <w:t>米。主要建设内容包括道路、排水、交通、照明、绿化及配套电力、燃气、电信等综合管网附属设施工程建设。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20515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20515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0</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20515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54</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西山区兴团大道（北段）项目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团结街道办事处</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西山区交通运输局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本项目分新建段与提升段两部分。新建段</w:t>
            </w:r>
            <w:r>
              <w:rPr>
                <w:rFonts w:hint="eastAsia" w:eastAsia="仿宋_GB2312"/>
                <w:kern w:val="0"/>
                <w:sz w:val="18"/>
                <w:szCs w:val="18"/>
              </w:rPr>
              <w:t>:</w:t>
            </w:r>
            <w:r>
              <w:rPr>
                <w:rFonts w:hint="eastAsia" w:ascii="仿宋_GB2312" w:eastAsia="仿宋_GB2312"/>
                <w:kern w:val="0"/>
                <w:sz w:val="18"/>
                <w:szCs w:val="18"/>
              </w:rPr>
              <w:t>起于花红园南侧宝花路</w:t>
            </w:r>
            <w:r>
              <w:rPr>
                <w:rFonts w:hint="eastAsia" w:eastAsia="仿宋_GB2312"/>
                <w:kern w:val="0"/>
                <w:sz w:val="18"/>
                <w:szCs w:val="18"/>
              </w:rPr>
              <w:t>,</w:t>
            </w:r>
            <w:r>
              <w:rPr>
                <w:rFonts w:hint="eastAsia" w:ascii="仿宋_GB2312" w:eastAsia="仿宋_GB2312"/>
                <w:kern w:val="0"/>
                <w:sz w:val="18"/>
                <w:szCs w:val="18"/>
              </w:rPr>
              <w:t>接浑团二级公路起点</w:t>
            </w:r>
            <w:r>
              <w:rPr>
                <w:rFonts w:hint="eastAsia" w:eastAsia="仿宋_GB2312"/>
                <w:kern w:val="0"/>
                <w:sz w:val="18"/>
                <w:szCs w:val="18"/>
              </w:rPr>
              <w:t>,</w:t>
            </w:r>
            <w:r>
              <w:rPr>
                <w:rFonts w:hint="eastAsia" w:ascii="仿宋_GB2312" w:eastAsia="仿宋_GB2312"/>
                <w:kern w:val="0"/>
                <w:sz w:val="18"/>
                <w:szCs w:val="18"/>
              </w:rPr>
              <w:t>路线总长</w:t>
            </w:r>
            <w:r>
              <w:rPr>
                <w:rFonts w:hint="eastAsia" w:eastAsia="仿宋_GB2312"/>
                <w:kern w:val="0"/>
                <w:sz w:val="18"/>
                <w:szCs w:val="18"/>
              </w:rPr>
              <w:t xml:space="preserve"> 4</w:t>
            </w:r>
            <w:r>
              <w:rPr>
                <w:rFonts w:hint="eastAsia" w:ascii="仿宋_GB2312" w:eastAsia="仿宋_GB2312"/>
                <w:kern w:val="0"/>
                <w:sz w:val="18"/>
                <w:szCs w:val="18"/>
              </w:rPr>
              <w:t>千米</w:t>
            </w:r>
            <w:r>
              <w:rPr>
                <w:rFonts w:hint="eastAsia" w:eastAsia="仿宋_GB2312"/>
                <w:kern w:val="0"/>
                <w:sz w:val="18"/>
                <w:szCs w:val="18"/>
              </w:rPr>
              <w:t>,</w:t>
            </w:r>
            <w:r>
              <w:rPr>
                <w:rFonts w:hint="eastAsia" w:ascii="仿宋_GB2312" w:eastAsia="仿宋_GB2312"/>
                <w:kern w:val="0"/>
                <w:sz w:val="18"/>
                <w:szCs w:val="18"/>
              </w:rPr>
              <w:t>全线为道路工程。提升段</w:t>
            </w:r>
            <w:r>
              <w:rPr>
                <w:rFonts w:hint="eastAsia" w:eastAsia="仿宋_GB2312"/>
                <w:kern w:val="0"/>
                <w:sz w:val="18"/>
                <w:szCs w:val="18"/>
              </w:rPr>
              <w:t>:</w:t>
            </w:r>
            <w:r>
              <w:rPr>
                <w:rFonts w:hint="eastAsia" w:ascii="仿宋_GB2312" w:eastAsia="仿宋_GB2312"/>
                <w:kern w:val="0"/>
                <w:sz w:val="18"/>
                <w:szCs w:val="18"/>
              </w:rPr>
              <w:t>浑团公路提升段东起新建盘山段</w:t>
            </w:r>
            <w:r>
              <w:rPr>
                <w:rFonts w:hint="eastAsia" w:eastAsia="仿宋_GB2312"/>
                <w:kern w:val="0"/>
                <w:sz w:val="18"/>
                <w:szCs w:val="18"/>
              </w:rPr>
              <w:t>,</w:t>
            </w:r>
            <w:r>
              <w:rPr>
                <w:rFonts w:hint="eastAsia" w:ascii="仿宋_GB2312" w:eastAsia="仿宋_GB2312"/>
                <w:kern w:val="0"/>
                <w:sz w:val="18"/>
                <w:szCs w:val="18"/>
              </w:rPr>
              <w:t>西至棋台公路</w:t>
            </w:r>
            <w:r>
              <w:rPr>
                <w:rFonts w:hint="eastAsia" w:eastAsia="仿宋_GB2312"/>
                <w:kern w:val="0"/>
                <w:sz w:val="18"/>
                <w:szCs w:val="18"/>
              </w:rPr>
              <w:t>,</w:t>
            </w:r>
            <w:r>
              <w:rPr>
                <w:rFonts w:hint="eastAsia" w:ascii="仿宋_GB2312" w:eastAsia="仿宋_GB2312"/>
                <w:kern w:val="0"/>
                <w:sz w:val="18"/>
                <w:szCs w:val="18"/>
              </w:rPr>
              <w:t>路线长约</w:t>
            </w:r>
            <w:r>
              <w:rPr>
                <w:rFonts w:hint="eastAsia" w:eastAsia="仿宋_GB2312"/>
                <w:kern w:val="0"/>
                <w:sz w:val="18"/>
                <w:szCs w:val="18"/>
              </w:rPr>
              <w:t xml:space="preserve"> 9.6</w:t>
            </w:r>
            <w:r>
              <w:rPr>
                <w:rFonts w:hint="eastAsia" w:ascii="仿宋_GB2312" w:eastAsia="仿宋_GB2312"/>
                <w:kern w:val="0"/>
                <w:sz w:val="18"/>
                <w:szCs w:val="18"/>
              </w:rPr>
              <w:t>千米</w:t>
            </w:r>
            <w:r>
              <w:rPr>
                <w:rFonts w:hint="eastAsia" w:eastAsia="仿宋_GB2312"/>
                <w:kern w:val="0"/>
                <w:sz w:val="18"/>
                <w:szCs w:val="18"/>
              </w:rPr>
              <w:t>,</w:t>
            </w:r>
            <w:r>
              <w:rPr>
                <w:rFonts w:hint="eastAsia" w:ascii="仿宋_GB2312" w:eastAsia="仿宋_GB2312"/>
                <w:kern w:val="0"/>
                <w:sz w:val="18"/>
                <w:szCs w:val="18"/>
              </w:rPr>
              <w:t>近期仅进行罩面及照明设施改善提升。</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2022.01</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2023.12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53744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15000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15000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55</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eastAsia="仿宋_GB2312"/>
                <w:kern w:val="0"/>
                <w:sz w:val="18"/>
                <w:szCs w:val="18"/>
              </w:rPr>
              <w:t>2022</w:t>
            </w:r>
            <w:r>
              <w:rPr>
                <w:rFonts w:hint="eastAsia" w:ascii="仿宋_GB2312" w:eastAsia="仿宋_GB2312"/>
                <w:kern w:val="0"/>
                <w:sz w:val="18"/>
                <w:szCs w:val="18"/>
              </w:rPr>
              <w:t>年安全生命防护工程</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西山区交通运输局</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新开工</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kern w:val="0"/>
                <w:sz w:val="18"/>
                <w:szCs w:val="18"/>
              </w:rPr>
            </w:pPr>
            <w:r>
              <w:rPr>
                <w:rFonts w:hint="eastAsia" w:ascii="仿宋_GB2312" w:eastAsia="仿宋_GB2312"/>
                <w:kern w:val="0"/>
                <w:sz w:val="18"/>
                <w:szCs w:val="18"/>
              </w:rPr>
              <w:t>对涉农办事处范围内的县乡村公路安全生命防护、交通设施、安全隐患等进行完善整治。</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2022.08</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2022.11</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600 </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600 </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600 </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eastAsia="仿宋_GB2312"/>
                <w:kern w:val="0"/>
                <w:sz w:val="18"/>
                <w:szCs w:val="18"/>
              </w:rPr>
              <w:t xml:space="preserve">0 </w:t>
            </w:r>
          </w:p>
        </w:tc>
      </w:tr>
      <w:tr>
        <w:tblPrEx>
          <w:tblLayout w:type="fixed"/>
          <w:tblCellMar>
            <w:top w:w="0" w:type="dxa"/>
            <w:left w:w="108" w:type="dxa"/>
            <w:bottom w:w="0" w:type="dxa"/>
            <w:right w:w="108" w:type="dxa"/>
          </w:tblCellMar>
        </w:tblPrEx>
        <w:trPr>
          <w:jc w:val="center"/>
        </w:trPr>
        <w:tc>
          <w:tcPr>
            <w:tcW w:w="426"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56</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西山区益宁路下穿贯通项目</w:t>
            </w:r>
          </w:p>
        </w:tc>
        <w:tc>
          <w:tcPr>
            <w:tcW w:w="93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西山区</w:t>
            </w:r>
          </w:p>
        </w:tc>
        <w:tc>
          <w:tcPr>
            <w:tcW w:w="90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845"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前期</w:t>
            </w:r>
          </w:p>
        </w:tc>
        <w:tc>
          <w:tcPr>
            <w:tcW w:w="255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rPr>
                <w:rFonts w:eastAsia="仿宋_GB2312"/>
                <w:kern w:val="0"/>
                <w:sz w:val="18"/>
                <w:szCs w:val="18"/>
              </w:rPr>
            </w:pPr>
            <w:r>
              <w:rPr>
                <w:rFonts w:hint="eastAsia" w:ascii="仿宋_GB2312" w:eastAsia="仿宋_GB2312"/>
                <w:kern w:val="0"/>
                <w:sz w:val="18"/>
                <w:szCs w:val="18"/>
              </w:rPr>
              <w:t>协调市轨道公司，由我区完成征地拆迁后，交由市轨道公司完成益宁路下穿成昆铁路南段的建设。</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kern w:val="0"/>
                <w:sz w:val="18"/>
                <w:szCs w:val="18"/>
              </w:rPr>
            </w:pPr>
            <w:r>
              <w:rPr>
                <w:rFonts w:hint="eastAsia" w:ascii="仿宋_GB2312" w:eastAsia="仿宋_GB2312"/>
                <w:kern w:val="0"/>
                <w:sz w:val="18"/>
                <w:szCs w:val="18"/>
              </w:rPr>
              <w:t>待定</w:t>
            </w:r>
          </w:p>
        </w:tc>
        <w:tc>
          <w:tcPr>
            <w:tcW w:w="851"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eastAsia="仿宋_GB2312"/>
                <w:kern w:val="0"/>
                <w:sz w:val="18"/>
                <w:szCs w:val="18"/>
              </w:rPr>
              <w:t>2022.12</w:t>
            </w:r>
          </w:p>
        </w:tc>
        <w:tc>
          <w:tcPr>
            <w:tcW w:w="70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99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141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85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56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c>
          <w:tcPr>
            <w:tcW w:w="99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topLinePunct/>
              <w:adjustRightInd w:val="0"/>
              <w:snapToGrid w:val="0"/>
              <w:spacing w:line="240" w:lineRule="atLeast"/>
              <w:jc w:val="center"/>
              <w:rPr>
                <w:rFonts w:eastAsia="仿宋_GB2312"/>
                <w:kern w:val="0"/>
                <w:sz w:val="18"/>
                <w:szCs w:val="18"/>
              </w:rPr>
            </w:pPr>
            <w:r>
              <w:rPr>
                <w:rFonts w:hint="eastAsia" w:ascii="仿宋_GB2312" w:eastAsia="仿宋_GB2312"/>
                <w:kern w:val="0"/>
                <w:sz w:val="18"/>
                <w:szCs w:val="18"/>
              </w:rPr>
              <w:t>待定</w:t>
            </w:r>
          </w:p>
        </w:tc>
      </w:tr>
    </w:tbl>
    <w:p>
      <w:pPr>
        <w:rPr>
          <w:rFonts w:eastAsia="仿宋_GB2312"/>
        </w:rPr>
      </w:pPr>
    </w:p>
    <w:p>
      <w:pPr>
        <w:widowControl/>
        <w:jc w:val="left"/>
        <w:rPr>
          <w:rFonts w:eastAsia="仿宋_GB2312"/>
        </w:rPr>
      </w:pPr>
      <w:r>
        <w:rPr>
          <w:rFonts w:eastAsia="仿宋_GB2312"/>
        </w:rPr>
        <w:br w:type="page"/>
      </w:r>
    </w:p>
    <w:p>
      <w:pPr>
        <w:topLinePunct/>
        <w:adjustRightInd w:val="0"/>
        <w:snapToGrid w:val="0"/>
        <w:spacing w:line="592" w:lineRule="exact"/>
        <w:rPr>
          <w:rFonts w:eastAsia="黑体"/>
          <w:kern w:val="0"/>
          <w:sz w:val="32"/>
          <w:szCs w:val="18"/>
        </w:rPr>
      </w:pPr>
      <w:r>
        <w:rPr>
          <w:rFonts w:hint="eastAsia" w:eastAsia="黑体"/>
          <w:kern w:val="0"/>
          <w:sz w:val="32"/>
          <w:szCs w:val="18"/>
        </w:rPr>
        <w:t>附表3</w:t>
      </w:r>
    </w:p>
    <w:p>
      <w:pPr>
        <w:pStyle w:val="26"/>
        <w:topLinePunct/>
        <w:adjustRightInd w:val="0"/>
        <w:snapToGrid w:val="0"/>
        <w:spacing w:line="592" w:lineRule="exact"/>
        <w:ind w:firstLine="0" w:firstLineChars="0"/>
        <w:rPr>
          <w:rFonts w:eastAsia="仿宋_GB2312"/>
        </w:rPr>
      </w:pPr>
    </w:p>
    <w:p>
      <w:pPr>
        <w:topLinePunct/>
        <w:adjustRightInd w:val="0"/>
        <w:snapToGrid w:val="0"/>
        <w:spacing w:line="592" w:lineRule="exact"/>
        <w:jc w:val="center"/>
        <w:rPr>
          <w:rFonts w:ascii="方正小标宋简体" w:hAnsi="宋体" w:eastAsia="方正小标宋简体" w:cs="宋体"/>
          <w:kern w:val="0"/>
          <w:sz w:val="44"/>
          <w:szCs w:val="18"/>
        </w:rPr>
      </w:pPr>
      <w:r>
        <w:rPr>
          <w:rFonts w:hint="eastAsia" w:ascii="方正小标宋简体" w:hAnsi="宋体" w:eastAsia="方正小标宋简体" w:cs="宋体"/>
          <w:kern w:val="0"/>
          <w:sz w:val="44"/>
          <w:szCs w:val="18"/>
        </w:rPr>
        <w:t>昆明市西山区</w:t>
      </w:r>
      <w:r>
        <w:rPr>
          <w:rFonts w:hint="eastAsia" w:ascii="方正小标宋简体" w:eastAsia="方正小标宋简体"/>
          <w:kern w:val="0"/>
          <w:sz w:val="44"/>
          <w:szCs w:val="18"/>
        </w:rPr>
        <w:t>2022</w:t>
      </w:r>
      <w:r>
        <w:rPr>
          <w:rFonts w:hint="eastAsia" w:ascii="方正小标宋简体" w:hAnsi="宋体" w:eastAsia="方正小标宋简体" w:cs="宋体"/>
          <w:kern w:val="0"/>
          <w:sz w:val="44"/>
          <w:szCs w:val="18"/>
        </w:rPr>
        <w:t>年政府投资基本建设项目动态储备表</w:t>
      </w:r>
    </w:p>
    <w:p>
      <w:pPr>
        <w:pStyle w:val="26"/>
        <w:topLinePunct/>
        <w:adjustRightInd w:val="0"/>
        <w:snapToGrid w:val="0"/>
        <w:spacing w:line="592" w:lineRule="exact"/>
        <w:ind w:firstLine="0" w:firstLineChars="0"/>
        <w:rPr>
          <w:rFonts w:eastAsia="仿宋_GB2312"/>
        </w:rPr>
      </w:pPr>
    </w:p>
    <w:p>
      <w:pPr>
        <w:topLinePunct/>
        <w:adjustRightInd w:val="0"/>
        <w:snapToGrid w:val="0"/>
        <w:spacing w:line="592" w:lineRule="exact"/>
        <w:jc w:val="right"/>
        <w:rPr>
          <w:rFonts w:ascii="黑体" w:hAnsi="黑体" w:eastAsia="黑体" w:cs="宋体"/>
          <w:kern w:val="0"/>
          <w:sz w:val="24"/>
          <w:szCs w:val="18"/>
        </w:rPr>
      </w:pPr>
      <w:r>
        <w:rPr>
          <w:rFonts w:hint="eastAsia" w:ascii="黑体" w:hAnsi="黑体" w:eastAsia="黑体" w:cs="宋体"/>
          <w:kern w:val="0"/>
          <w:sz w:val="24"/>
          <w:szCs w:val="18"/>
        </w:rPr>
        <w:t>单位：万元</w:t>
      </w:r>
    </w:p>
    <w:tbl>
      <w:tblPr>
        <w:tblStyle w:val="19"/>
        <w:tblW w:w="13827" w:type="dxa"/>
        <w:jc w:val="center"/>
        <w:tblInd w:w="0" w:type="dxa"/>
        <w:tblLayout w:type="fixed"/>
        <w:tblCellMar>
          <w:top w:w="0" w:type="dxa"/>
          <w:left w:w="108" w:type="dxa"/>
          <w:bottom w:w="0" w:type="dxa"/>
          <w:right w:w="108" w:type="dxa"/>
        </w:tblCellMar>
      </w:tblPr>
      <w:tblGrid>
        <w:gridCol w:w="484"/>
        <w:gridCol w:w="1483"/>
        <w:gridCol w:w="947"/>
        <w:gridCol w:w="1033"/>
        <w:gridCol w:w="1354"/>
        <w:gridCol w:w="3266"/>
        <w:gridCol w:w="800"/>
        <w:gridCol w:w="834"/>
        <w:gridCol w:w="766"/>
        <w:gridCol w:w="1888"/>
        <w:gridCol w:w="972"/>
      </w:tblGrid>
      <w:tr>
        <w:tblPrEx>
          <w:tblLayout w:type="fixed"/>
          <w:tblCellMar>
            <w:top w:w="0" w:type="dxa"/>
            <w:left w:w="108" w:type="dxa"/>
            <w:bottom w:w="0" w:type="dxa"/>
            <w:right w:w="108" w:type="dxa"/>
          </w:tblCellMar>
        </w:tblPrEx>
        <w:trPr>
          <w:trHeight w:val="20" w:hRule="atLeast"/>
          <w:tblHeader/>
          <w:jc w:val="center"/>
        </w:trPr>
        <w:tc>
          <w:tcPr>
            <w:tcW w:w="48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148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项目名称</w:t>
            </w:r>
          </w:p>
        </w:tc>
        <w:tc>
          <w:tcPr>
            <w:tcW w:w="947"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建设地点</w:t>
            </w:r>
          </w:p>
        </w:tc>
        <w:tc>
          <w:tcPr>
            <w:tcW w:w="103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业主单位</w:t>
            </w:r>
          </w:p>
        </w:tc>
        <w:tc>
          <w:tcPr>
            <w:tcW w:w="135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黑体" w:hAnsi="黑体" w:eastAsia="黑体" w:cs="宋体"/>
                <w:bCs/>
                <w:kern w:val="0"/>
                <w:sz w:val="18"/>
                <w:szCs w:val="18"/>
              </w:rPr>
            </w:pPr>
            <w:r>
              <w:rPr>
                <w:rFonts w:hint="eastAsia" w:ascii="黑体" w:hAnsi="黑体" w:eastAsia="黑体" w:cs="宋体"/>
                <w:bCs/>
                <w:kern w:val="0"/>
                <w:sz w:val="18"/>
                <w:szCs w:val="18"/>
              </w:rPr>
              <w:t>建设阶段（续建、新开工、前期）</w:t>
            </w:r>
          </w:p>
        </w:tc>
        <w:tc>
          <w:tcPr>
            <w:tcW w:w="3266"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建设内容及规模</w:t>
            </w:r>
          </w:p>
        </w:tc>
        <w:tc>
          <w:tcPr>
            <w:tcW w:w="80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（预计）开工时间</w:t>
            </w:r>
          </w:p>
        </w:tc>
        <w:tc>
          <w:tcPr>
            <w:tcW w:w="8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（预计）竣工时间</w:t>
            </w:r>
          </w:p>
        </w:tc>
        <w:tc>
          <w:tcPr>
            <w:tcW w:w="766"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计划</w:t>
            </w:r>
          </w:p>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总投资</w:t>
            </w:r>
          </w:p>
        </w:tc>
        <w:tc>
          <w:tcPr>
            <w:tcW w:w="188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开工以来累计完成投资（截止2021年底）</w:t>
            </w:r>
          </w:p>
        </w:tc>
        <w:tc>
          <w:tcPr>
            <w:tcW w:w="972"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Cs/>
                <w:kern w:val="0"/>
                <w:sz w:val="18"/>
                <w:szCs w:val="18"/>
              </w:rPr>
            </w:pPr>
            <w:r>
              <w:rPr>
                <w:rFonts w:hint="eastAsia" w:ascii="黑体" w:hAnsi="黑体" w:eastAsia="黑体" w:cs="宋体"/>
                <w:bCs/>
                <w:kern w:val="0"/>
                <w:sz w:val="18"/>
                <w:szCs w:val="18"/>
              </w:rPr>
              <w:t>2022年计划投资</w:t>
            </w:r>
          </w:p>
        </w:tc>
      </w:tr>
      <w:tr>
        <w:tblPrEx>
          <w:tblLayout w:type="fixed"/>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全区共</w:t>
            </w:r>
            <w:r>
              <w:rPr>
                <w:rFonts w:eastAsia="黑体"/>
                <w:b/>
                <w:bCs/>
                <w:kern w:val="0"/>
                <w:sz w:val="18"/>
                <w:szCs w:val="18"/>
              </w:rPr>
              <w:t>96</w:t>
            </w:r>
            <w:r>
              <w:rPr>
                <w:rFonts w:hint="eastAsia" w:ascii="黑体" w:hAnsi="黑体" w:eastAsia="黑体" w:cs="宋体"/>
                <w:b/>
                <w:bCs/>
                <w:kern w:val="0"/>
                <w:sz w:val="18"/>
                <w:szCs w:val="18"/>
              </w:rPr>
              <w:t>项（续建</w:t>
            </w:r>
            <w:r>
              <w:rPr>
                <w:rFonts w:eastAsia="黑体"/>
                <w:b/>
                <w:bCs/>
                <w:kern w:val="0"/>
                <w:sz w:val="18"/>
                <w:szCs w:val="18"/>
              </w:rPr>
              <w:t>25</w:t>
            </w:r>
            <w:r>
              <w:rPr>
                <w:rFonts w:hint="eastAsia" w:ascii="黑体" w:hAnsi="黑体" w:eastAsia="黑体" w:cs="宋体"/>
                <w:b/>
                <w:bCs/>
                <w:kern w:val="0"/>
                <w:sz w:val="18"/>
                <w:szCs w:val="18"/>
              </w:rPr>
              <w:t>项，新开工</w:t>
            </w:r>
            <w:r>
              <w:rPr>
                <w:rFonts w:eastAsia="黑体"/>
                <w:b/>
                <w:bCs/>
                <w:kern w:val="0"/>
                <w:sz w:val="18"/>
                <w:szCs w:val="18"/>
              </w:rPr>
              <w:t>57</w:t>
            </w:r>
            <w:r>
              <w:rPr>
                <w:rFonts w:hint="eastAsia" w:ascii="黑体" w:hAnsi="黑体" w:eastAsia="黑体" w:cs="宋体"/>
                <w:b/>
                <w:bCs/>
                <w:kern w:val="0"/>
                <w:sz w:val="18"/>
                <w:szCs w:val="18"/>
              </w:rPr>
              <w:t>项，前期</w:t>
            </w:r>
            <w:r>
              <w:rPr>
                <w:rFonts w:eastAsia="黑体"/>
                <w:b/>
                <w:bCs/>
                <w:kern w:val="0"/>
                <w:sz w:val="18"/>
                <w:szCs w:val="18"/>
              </w:rPr>
              <w:t>14</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458746</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1158164</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129795</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458466</w:t>
            </w:r>
          </w:p>
        </w:tc>
      </w:tr>
      <w:tr>
        <w:tblPrEx>
          <w:tblLayout w:type="fixed"/>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一、乡村振兴建设项目（共</w:t>
            </w:r>
            <w:r>
              <w:rPr>
                <w:rFonts w:eastAsia="黑体"/>
                <w:b/>
                <w:bCs/>
                <w:kern w:val="0"/>
                <w:sz w:val="18"/>
                <w:szCs w:val="18"/>
              </w:rPr>
              <w:t>3</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9633</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11433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800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9633</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观音山社区都市驱动型乡村振兴美丽宜居示范村建设</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西山区农业农村局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在碧鸡街道办事处观音山社区观音山居民小组、白草居民小组、杨林港居民小组实施美丽宜居乡村示范村建设。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1280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800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480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西山区2022年农村饮水安全巩固提升工程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碧鸡、海口、团结街道办事处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完成农村饮水安全巩固提升工程</w:t>
            </w:r>
            <w:r>
              <w:rPr>
                <w:rFonts w:eastAsia="仿宋_GB2312"/>
                <w:kern w:val="0"/>
                <w:sz w:val="18"/>
                <w:szCs w:val="18"/>
              </w:rPr>
              <w:t>17</w:t>
            </w:r>
            <w:r>
              <w:rPr>
                <w:rFonts w:hint="eastAsia" w:ascii="仿宋_GB2312" w:hAnsi="宋体" w:eastAsia="仿宋_GB2312" w:cs="宋体"/>
                <w:kern w:val="0"/>
                <w:sz w:val="18"/>
                <w:szCs w:val="18"/>
              </w:rPr>
              <w:t>件。</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2000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西山区农村污水收集处理系统完善项目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建设截污管网系统；建设雨水管网系统；建设清水通道；实现工程日处理污水量</w:t>
            </w:r>
            <w:r>
              <w:rPr>
                <w:rFonts w:eastAsia="仿宋_GB2312"/>
                <w:kern w:val="0"/>
                <w:sz w:val="18"/>
                <w:szCs w:val="18"/>
              </w:rPr>
              <w:t>720</w:t>
            </w:r>
            <w:r>
              <w:rPr>
                <w:rFonts w:hint="eastAsia" w:ascii="仿宋_GB2312" w:hAnsi="宋体" w:eastAsia="仿宋_GB2312" w:cs="宋体"/>
                <w:kern w:val="0"/>
                <w:sz w:val="18"/>
                <w:szCs w:val="18"/>
              </w:rPr>
              <w:t>立方米每天，清水资源日补水量</w:t>
            </w:r>
            <w:r>
              <w:rPr>
                <w:rFonts w:eastAsia="仿宋_GB2312"/>
                <w:kern w:val="0"/>
                <w:sz w:val="18"/>
                <w:szCs w:val="18"/>
              </w:rPr>
              <w:t>9792</w:t>
            </w:r>
            <w:r>
              <w:rPr>
                <w:rFonts w:hint="eastAsia" w:ascii="仿宋_GB2312" w:hAnsi="宋体" w:eastAsia="仿宋_GB2312" w:cs="宋体"/>
                <w:kern w:val="0"/>
                <w:sz w:val="18"/>
                <w:szCs w:val="18"/>
              </w:rPr>
              <w:t>立方米每天。</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7153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7153</w:t>
            </w:r>
          </w:p>
        </w:tc>
      </w:tr>
      <w:tr>
        <w:tblPrEx>
          <w:tblLayout w:type="fixed"/>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二、水利基础设施项目（共</w:t>
            </w:r>
            <w:r>
              <w:rPr>
                <w:rFonts w:eastAsia="黑体"/>
                <w:b/>
                <w:bCs/>
                <w:kern w:val="0"/>
                <w:sz w:val="18"/>
                <w:szCs w:val="18"/>
              </w:rPr>
              <w:t>14</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43893</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117773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947</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43893</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团结集镇取水工程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西山区发展投资集团有限公司</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新建取水池</w:t>
            </w:r>
            <w:r>
              <w:rPr>
                <w:rFonts w:eastAsia="仿宋_GB2312"/>
                <w:kern w:val="0"/>
                <w:sz w:val="18"/>
                <w:szCs w:val="18"/>
              </w:rPr>
              <w:t>2</w:t>
            </w:r>
            <w:r>
              <w:rPr>
                <w:rFonts w:hint="eastAsia" w:ascii="仿宋_GB2312" w:hAnsi="宋体" w:eastAsia="仿宋_GB2312" w:cs="宋体"/>
                <w:kern w:val="0"/>
                <w:sz w:val="18"/>
                <w:szCs w:val="18"/>
              </w:rPr>
              <w:t>个。在</w:t>
            </w:r>
            <w:r>
              <w:rPr>
                <w:rFonts w:eastAsia="仿宋_GB2312"/>
                <w:kern w:val="0"/>
                <w:sz w:val="18"/>
                <w:szCs w:val="18"/>
              </w:rPr>
              <w:t>2</w:t>
            </w:r>
            <w:r>
              <w:rPr>
                <w:rFonts w:hint="eastAsia" w:ascii="仿宋_GB2312" w:hAnsi="宋体" w:eastAsia="仿宋_GB2312" w:cs="宋体"/>
                <w:kern w:val="0"/>
                <w:sz w:val="18"/>
                <w:szCs w:val="18"/>
              </w:rPr>
              <w:t>个水源地保护地各设置一套监控设备。新建混凝土挡水堰及布水堰等设施。</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568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280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288</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富善大闸水库除险加固工程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小（二）型水库除险加固。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393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192</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104</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力哨水库除险加固工程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小（二）型水库除险加固。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343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248</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黑荞母水库除险加固工程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小（二）型水库除险加固。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105</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云龙寺水库除险加固工程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小（二）型水库除险加固。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382</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287</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古莲大闸水库除险加固工程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小（二）型水库除险加固。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301</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206</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里高水库除险加固工程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小（二）型水库除险加固。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138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43</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黑泥凹水库除险加固工程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小（二）型水库除险加固。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321</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321</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滇池西岸生态清洁小流域综合治理工程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kern w:val="0"/>
                <w:sz w:val="18"/>
                <w:szCs w:val="18"/>
              </w:rPr>
            </w:pPr>
            <w:r>
              <w:rPr>
                <w:rFonts w:eastAsia="仿宋_GB2312"/>
                <w:kern w:val="0"/>
                <w:sz w:val="18"/>
                <w:szCs w:val="18"/>
              </w:rPr>
              <w:t>16</w:t>
            </w:r>
            <w:r>
              <w:rPr>
                <w:rFonts w:hint="eastAsia" w:ascii="仿宋_GB2312" w:eastAsia="仿宋_GB2312"/>
                <w:kern w:val="0"/>
                <w:sz w:val="18"/>
                <w:szCs w:val="18"/>
              </w:rPr>
              <w:t>条沟渠流域范围内面山受损部分进行修复，修复面积约</w:t>
            </w:r>
            <w:r>
              <w:rPr>
                <w:rFonts w:eastAsia="仿宋_GB2312"/>
                <w:kern w:val="0"/>
                <w:sz w:val="18"/>
                <w:szCs w:val="18"/>
              </w:rPr>
              <w:t>71</w:t>
            </w:r>
            <w:r>
              <w:rPr>
                <w:rFonts w:hint="eastAsia" w:ascii="仿宋_GB2312" w:eastAsia="仿宋_GB2312"/>
                <w:kern w:val="0"/>
                <w:sz w:val="18"/>
                <w:szCs w:val="18"/>
              </w:rPr>
              <w:t>公顷；</w:t>
            </w:r>
            <w:r>
              <w:rPr>
                <w:rFonts w:eastAsia="仿宋_GB2312"/>
                <w:kern w:val="0"/>
                <w:sz w:val="18"/>
                <w:szCs w:val="18"/>
              </w:rPr>
              <w:t>2</w:t>
            </w:r>
            <w:r>
              <w:rPr>
                <w:rFonts w:hint="eastAsia" w:ascii="仿宋_GB2312" w:eastAsia="仿宋_GB2312"/>
                <w:kern w:val="0"/>
                <w:sz w:val="18"/>
                <w:szCs w:val="18"/>
              </w:rPr>
              <w:t>条沟渠进行流域范围内村庄截污治理工程；对</w:t>
            </w:r>
            <w:r>
              <w:rPr>
                <w:rFonts w:eastAsia="仿宋_GB2312"/>
                <w:kern w:val="0"/>
                <w:sz w:val="18"/>
                <w:szCs w:val="18"/>
              </w:rPr>
              <w:t>16</w:t>
            </w:r>
            <w:r>
              <w:rPr>
                <w:rFonts w:hint="eastAsia" w:ascii="仿宋_GB2312" w:eastAsia="仿宋_GB2312"/>
                <w:kern w:val="0"/>
                <w:sz w:val="18"/>
                <w:szCs w:val="18"/>
              </w:rPr>
              <w:t>条沟渠高海路至滇池段进行生态化改造，改造长度约</w:t>
            </w:r>
            <w:r>
              <w:rPr>
                <w:rFonts w:eastAsia="仿宋_GB2312"/>
                <w:kern w:val="0"/>
                <w:sz w:val="18"/>
                <w:szCs w:val="18"/>
              </w:rPr>
              <w:t>3517</w:t>
            </w:r>
            <w:r>
              <w:rPr>
                <w:rFonts w:hint="eastAsia" w:ascii="仿宋_GB2312" w:eastAsia="仿宋_GB2312"/>
                <w:kern w:val="0"/>
                <w:sz w:val="18"/>
                <w:szCs w:val="18"/>
              </w:rPr>
              <w:t>米，廊道建设面积</w:t>
            </w:r>
            <w:r>
              <w:rPr>
                <w:rFonts w:eastAsia="仿宋_GB2312"/>
                <w:kern w:val="0"/>
                <w:sz w:val="18"/>
                <w:szCs w:val="18"/>
              </w:rPr>
              <w:t>17</w:t>
            </w:r>
            <w:r>
              <w:rPr>
                <w:rFonts w:hint="eastAsia" w:ascii="仿宋_GB2312" w:eastAsia="仿宋_GB2312"/>
                <w:kern w:val="0"/>
                <w:sz w:val="18"/>
                <w:szCs w:val="18"/>
              </w:rPr>
              <w:t>万平方米。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15144</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15144</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滇池草海生态清洁小流域综合治理工程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通过生态小流域治理工程改善支沟。</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9712</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9712</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螳螂川（海口段）生态廊道建设</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总长</w:t>
            </w:r>
            <w:r>
              <w:rPr>
                <w:rFonts w:eastAsia="仿宋_GB2312"/>
                <w:kern w:val="0"/>
                <w:sz w:val="18"/>
                <w:szCs w:val="18"/>
              </w:rPr>
              <w:t>16.7</w:t>
            </w:r>
            <w:r>
              <w:rPr>
                <w:rFonts w:hint="eastAsia" w:ascii="仿宋_GB2312" w:hAnsi="宋体" w:eastAsia="仿宋_GB2312" w:cs="宋体"/>
                <w:kern w:val="0"/>
                <w:sz w:val="18"/>
                <w:szCs w:val="18"/>
              </w:rPr>
              <w:t>千米，包含河道及两岸</w:t>
            </w:r>
            <w:r>
              <w:rPr>
                <w:rFonts w:eastAsia="仿宋_GB2312"/>
                <w:kern w:val="0"/>
                <w:sz w:val="18"/>
                <w:szCs w:val="18"/>
              </w:rPr>
              <w:t>50</w:t>
            </w:r>
            <w:r>
              <w:rPr>
                <w:rFonts w:hint="eastAsia" w:ascii="仿宋_GB2312" w:hAnsi="宋体" w:eastAsia="仿宋_GB2312" w:cs="宋体"/>
                <w:kern w:val="0"/>
                <w:sz w:val="18"/>
                <w:szCs w:val="18"/>
              </w:rPr>
              <w:t>米管理范围线内区域。</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81881</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9700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石安公路成昆铁路桥节点整治工程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修建雨污系统承接上游来水，实现碧鸡路配套的污水管接通至第十三水质净化厂，雨水排至车家壁岔沟，再顺接进入王家堆渠，最终流入草海。</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5017</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5017</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新前卫西路、老前卫西路积水点治理及雨污分流工程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项目分为清污分流工程、排水管道缺陷治理工程、内涝防治工程、初雨污染控制设施建设工程。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1373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1193</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小型水库除险加固工程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开展</w:t>
            </w:r>
            <w:r>
              <w:rPr>
                <w:rFonts w:eastAsia="仿宋_GB2312"/>
                <w:kern w:val="0"/>
                <w:sz w:val="18"/>
                <w:szCs w:val="18"/>
              </w:rPr>
              <w:t>5</w:t>
            </w:r>
            <w:r>
              <w:rPr>
                <w:rFonts w:hint="eastAsia" w:ascii="仿宋_GB2312" w:hAnsi="宋体" w:eastAsia="仿宋_GB2312" w:cs="宋体"/>
                <w:kern w:val="0"/>
                <w:sz w:val="18"/>
                <w:szCs w:val="18"/>
              </w:rPr>
              <w:t>座小（二）型水库除险加固工程。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2021.09</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2022.09</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475</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1525</w:t>
            </w:r>
          </w:p>
        </w:tc>
      </w:tr>
      <w:tr>
        <w:tblPrEx>
          <w:tblLayout w:type="fixed"/>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000000"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三、生态环保建设项目（共</w:t>
            </w:r>
            <w:r>
              <w:rPr>
                <w:rFonts w:eastAsia="黑体"/>
                <w:b/>
                <w:bCs/>
                <w:kern w:val="0"/>
                <w:sz w:val="18"/>
                <w:szCs w:val="18"/>
              </w:rPr>
              <w:t>18</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204281</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342635</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26998</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204281</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滇池流域矿山关停及</w:t>
            </w:r>
            <w:r>
              <w:rPr>
                <w:rFonts w:eastAsia="仿宋_GB2312"/>
                <w:kern w:val="0"/>
                <w:sz w:val="18"/>
                <w:szCs w:val="18"/>
              </w:rPr>
              <w:t>“</w:t>
            </w:r>
            <w:r>
              <w:rPr>
                <w:rFonts w:hint="eastAsia" w:ascii="仿宋_GB2312" w:hAnsi="宋体" w:eastAsia="仿宋_GB2312" w:cs="宋体"/>
                <w:kern w:val="0"/>
                <w:sz w:val="18"/>
                <w:szCs w:val="18"/>
              </w:rPr>
              <w:t>五采区</w:t>
            </w:r>
            <w:r>
              <w:rPr>
                <w:rFonts w:eastAsia="仿宋_GB2312"/>
                <w:kern w:val="0"/>
                <w:sz w:val="18"/>
                <w:szCs w:val="18"/>
              </w:rPr>
              <w:t>”</w:t>
            </w:r>
            <w:r>
              <w:rPr>
                <w:rFonts w:hint="eastAsia" w:ascii="仿宋_GB2312" w:hAnsi="宋体" w:eastAsia="仿宋_GB2312" w:cs="宋体"/>
                <w:kern w:val="0"/>
                <w:sz w:val="18"/>
                <w:szCs w:val="18"/>
              </w:rPr>
              <w:t>治理修复项目（</w:t>
            </w:r>
            <w:r>
              <w:rPr>
                <w:rFonts w:eastAsia="仿宋_GB2312"/>
                <w:kern w:val="0"/>
                <w:sz w:val="18"/>
                <w:szCs w:val="18"/>
              </w:rPr>
              <w:t>2021</w:t>
            </w:r>
            <w:r>
              <w:rPr>
                <w:rFonts w:hint="eastAsia" w:ascii="仿宋_GB2312" w:hAnsi="宋体" w:eastAsia="仿宋_GB2312" w:cs="宋体"/>
                <w:kern w:val="0"/>
                <w:sz w:val="18"/>
                <w:szCs w:val="18"/>
              </w:rPr>
              <w:t>年至</w:t>
            </w:r>
            <w:r>
              <w:rPr>
                <w:rFonts w:eastAsia="仿宋_GB2312"/>
                <w:kern w:val="0"/>
                <w:sz w:val="18"/>
                <w:szCs w:val="18"/>
              </w:rPr>
              <w:t>2023</w:t>
            </w:r>
            <w:r>
              <w:rPr>
                <w:rFonts w:hint="eastAsia" w:ascii="仿宋_GB2312" w:hAnsi="宋体" w:eastAsia="仿宋_GB2312" w:cs="宋体"/>
                <w:kern w:val="0"/>
                <w:sz w:val="18"/>
                <w:szCs w:val="18"/>
              </w:rPr>
              <w:t>年）</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团结、海口街道办事处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西山区发展投资集团有限公司</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含四类</w:t>
            </w:r>
            <w:r>
              <w:rPr>
                <w:rFonts w:eastAsia="仿宋_GB2312"/>
                <w:kern w:val="0"/>
                <w:sz w:val="18"/>
                <w:szCs w:val="18"/>
              </w:rPr>
              <w:t>31</w:t>
            </w:r>
            <w:r>
              <w:rPr>
                <w:rFonts w:hint="eastAsia" w:ascii="仿宋_GB2312" w:hAnsi="宋体" w:eastAsia="仿宋_GB2312" w:cs="宋体"/>
                <w:kern w:val="0"/>
                <w:sz w:val="18"/>
                <w:szCs w:val="18"/>
              </w:rPr>
              <w:t>个矿山，面积共计</w:t>
            </w:r>
            <w:r>
              <w:rPr>
                <w:rFonts w:eastAsia="仿宋_GB2312"/>
                <w:kern w:val="0"/>
                <w:sz w:val="18"/>
                <w:szCs w:val="18"/>
              </w:rPr>
              <w:t>5929</w:t>
            </w:r>
            <w:r>
              <w:rPr>
                <w:rFonts w:hint="eastAsia" w:ascii="仿宋_GB2312" w:hAnsi="宋体" w:eastAsia="仿宋_GB2312" w:cs="宋体"/>
                <w:kern w:val="0"/>
                <w:sz w:val="18"/>
                <w:szCs w:val="18"/>
              </w:rPr>
              <w:t>亩。</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2021.08</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46479</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31</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23240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19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城市防洪排涝体系综合提升新三年行动计划</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海源河恢复利用工程；兴苑路至成昆铁路桥涵段工程；碧鸡路桥涵分洪工程；希望路与商汇路交叉口淹水点等14个淹水点治理工程；新建小（二）型水库1座。</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47368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17000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30368</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滇池西岸城镇污水综合治理及配套设施建设工程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4"/>
                <w:kern w:val="0"/>
                <w:sz w:val="18"/>
                <w:szCs w:val="18"/>
              </w:rPr>
            </w:pPr>
            <w:r>
              <w:rPr>
                <w:rFonts w:hint="eastAsia" w:ascii="仿宋_GB2312" w:hAnsi="宋体" w:eastAsia="仿宋_GB2312" w:cs="宋体"/>
                <w:spacing w:val="-4"/>
                <w:kern w:val="0"/>
                <w:sz w:val="18"/>
                <w:szCs w:val="18"/>
              </w:rPr>
              <w:t>新建</w:t>
            </w:r>
            <w:r>
              <w:rPr>
                <w:rFonts w:eastAsia="仿宋_GB2312"/>
                <w:spacing w:val="-4"/>
                <w:kern w:val="0"/>
                <w:sz w:val="18"/>
                <w:szCs w:val="18"/>
              </w:rPr>
              <w:t>DN110U—PVC</w:t>
            </w:r>
            <w:r>
              <w:rPr>
                <w:rFonts w:hint="eastAsia" w:ascii="仿宋_GB2312" w:hAnsi="宋体" w:eastAsia="仿宋_GB2312" w:cs="宋体"/>
                <w:spacing w:val="-4"/>
                <w:kern w:val="0"/>
                <w:sz w:val="18"/>
                <w:szCs w:val="18"/>
              </w:rPr>
              <w:t>入户管</w:t>
            </w:r>
            <w:r>
              <w:rPr>
                <w:rFonts w:eastAsia="仿宋_GB2312"/>
                <w:spacing w:val="-4"/>
                <w:kern w:val="0"/>
                <w:sz w:val="18"/>
                <w:szCs w:val="18"/>
              </w:rPr>
              <w:t>41</w:t>
            </w:r>
            <w:r>
              <w:rPr>
                <w:rFonts w:hint="eastAsia" w:ascii="仿宋_GB2312" w:hAnsi="宋体" w:eastAsia="仿宋_GB2312" w:cs="宋体"/>
                <w:spacing w:val="-4"/>
                <w:kern w:val="0"/>
                <w:sz w:val="18"/>
                <w:szCs w:val="18"/>
              </w:rPr>
              <w:t>千米；新建</w:t>
            </w:r>
            <w:r>
              <w:rPr>
                <w:rFonts w:eastAsia="仿宋_GB2312"/>
                <w:spacing w:val="-4"/>
                <w:kern w:val="0"/>
                <w:sz w:val="18"/>
                <w:szCs w:val="18"/>
              </w:rPr>
              <w:t>DN160U—PVC</w:t>
            </w:r>
            <w:r>
              <w:rPr>
                <w:rFonts w:hint="eastAsia" w:ascii="仿宋_GB2312" w:hAnsi="宋体" w:eastAsia="仿宋_GB2312" w:cs="宋体"/>
                <w:spacing w:val="-4"/>
                <w:kern w:val="0"/>
                <w:sz w:val="18"/>
                <w:szCs w:val="18"/>
              </w:rPr>
              <w:t>入户管</w:t>
            </w:r>
            <w:r>
              <w:rPr>
                <w:rFonts w:eastAsia="仿宋_GB2312"/>
                <w:spacing w:val="-4"/>
                <w:kern w:val="0"/>
                <w:sz w:val="18"/>
                <w:szCs w:val="18"/>
              </w:rPr>
              <w:t>34</w:t>
            </w:r>
            <w:r>
              <w:rPr>
                <w:rFonts w:hint="eastAsia" w:ascii="仿宋_GB2312" w:hAnsi="宋体" w:eastAsia="仿宋_GB2312" w:cs="宋体"/>
                <w:spacing w:val="-4"/>
                <w:kern w:val="0"/>
                <w:sz w:val="18"/>
                <w:szCs w:val="18"/>
              </w:rPr>
              <w:t>千米；新建</w:t>
            </w:r>
            <w:r>
              <w:rPr>
                <w:rFonts w:eastAsia="仿宋_GB2312"/>
                <w:spacing w:val="-4"/>
                <w:kern w:val="0"/>
                <w:sz w:val="18"/>
                <w:szCs w:val="18"/>
              </w:rPr>
              <w:t>DN300HDPE</w:t>
            </w:r>
            <w:r>
              <w:rPr>
                <w:rFonts w:hint="eastAsia" w:ascii="仿宋_GB2312" w:hAnsi="宋体" w:eastAsia="仿宋_GB2312" w:cs="宋体"/>
                <w:spacing w:val="-4"/>
                <w:kern w:val="0"/>
                <w:sz w:val="18"/>
                <w:szCs w:val="18"/>
              </w:rPr>
              <w:t>钢带缠绕管</w:t>
            </w:r>
            <w:r>
              <w:rPr>
                <w:rFonts w:eastAsia="仿宋_GB2312"/>
                <w:spacing w:val="-4"/>
                <w:kern w:val="0"/>
                <w:sz w:val="18"/>
                <w:szCs w:val="18"/>
              </w:rPr>
              <w:t>126</w:t>
            </w:r>
            <w:r>
              <w:rPr>
                <w:rFonts w:hint="eastAsia" w:ascii="仿宋_GB2312" w:hAnsi="宋体" w:eastAsia="仿宋_GB2312" w:cs="宋体"/>
                <w:spacing w:val="-4"/>
                <w:kern w:val="0"/>
                <w:sz w:val="18"/>
                <w:szCs w:val="18"/>
              </w:rPr>
              <w:t>千米；新建</w:t>
            </w:r>
            <w:r>
              <w:rPr>
                <w:rFonts w:eastAsia="仿宋_GB2312"/>
                <w:spacing w:val="-4"/>
                <w:kern w:val="0"/>
                <w:sz w:val="18"/>
                <w:szCs w:val="18"/>
              </w:rPr>
              <w:t>p1000</w:t>
            </w:r>
            <w:r>
              <w:rPr>
                <w:rFonts w:hint="eastAsia" w:ascii="仿宋_GB2312" w:hAnsi="宋体" w:eastAsia="仿宋_GB2312" w:cs="宋体"/>
                <w:spacing w:val="-4"/>
                <w:kern w:val="0"/>
                <w:sz w:val="18"/>
                <w:szCs w:val="18"/>
              </w:rPr>
              <w:t>钢筋混凝土检查井</w:t>
            </w:r>
            <w:r>
              <w:rPr>
                <w:rFonts w:eastAsia="仿宋_GB2312"/>
                <w:spacing w:val="-4"/>
                <w:kern w:val="0"/>
                <w:sz w:val="18"/>
                <w:szCs w:val="18"/>
              </w:rPr>
              <w:t>4203</w:t>
            </w:r>
            <w:r>
              <w:rPr>
                <w:rFonts w:hint="eastAsia" w:ascii="仿宋_GB2312" w:hAnsi="宋体" w:eastAsia="仿宋_GB2312" w:cs="宋体"/>
                <w:spacing w:val="-4"/>
                <w:kern w:val="0"/>
                <w:sz w:val="18"/>
                <w:szCs w:val="18"/>
              </w:rPr>
              <w:t>个；新建氧化塘</w:t>
            </w:r>
            <w:r>
              <w:rPr>
                <w:rFonts w:eastAsia="仿宋_GB2312"/>
                <w:spacing w:val="-4"/>
                <w:kern w:val="0"/>
                <w:sz w:val="18"/>
                <w:szCs w:val="18"/>
              </w:rPr>
              <w:t>30</w:t>
            </w:r>
            <w:r>
              <w:rPr>
                <w:rFonts w:hint="eastAsia" w:ascii="仿宋_GB2312" w:hAnsi="宋体" w:eastAsia="仿宋_GB2312" w:cs="宋体"/>
                <w:spacing w:val="-4"/>
                <w:kern w:val="0"/>
                <w:sz w:val="18"/>
                <w:szCs w:val="18"/>
              </w:rPr>
              <w:t>座；一体化设备</w:t>
            </w:r>
            <w:r>
              <w:rPr>
                <w:rFonts w:eastAsia="仿宋_GB2312"/>
                <w:spacing w:val="-4"/>
                <w:kern w:val="0"/>
                <w:sz w:val="18"/>
                <w:szCs w:val="18"/>
              </w:rPr>
              <w:t>18</w:t>
            </w:r>
            <w:r>
              <w:rPr>
                <w:rFonts w:hint="eastAsia" w:ascii="仿宋_GB2312" w:hAnsi="宋体" w:eastAsia="仿宋_GB2312" w:cs="宋体"/>
                <w:spacing w:val="-4"/>
                <w:kern w:val="0"/>
                <w:sz w:val="18"/>
                <w:szCs w:val="18"/>
              </w:rPr>
              <w:t>座；农灌蓄水池</w:t>
            </w:r>
            <w:r>
              <w:rPr>
                <w:rFonts w:eastAsia="仿宋_GB2312"/>
                <w:spacing w:val="-4"/>
                <w:kern w:val="0"/>
                <w:sz w:val="18"/>
                <w:szCs w:val="18"/>
              </w:rPr>
              <w:t>40</w:t>
            </w:r>
            <w:r>
              <w:rPr>
                <w:rFonts w:hint="eastAsia" w:ascii="仿宋_GB2312" w:hAnsi="宋体" w:eastAsia="仿宋_GB2312" w:cs="宋体"/>
                <w:spacing w:val="-4"/>
                <w:kern w:val="0"/>
                <w:sz w:val="18"/>
                <w:szCs w:val="18"/>
              </w:rPr>
              <w:t>座；新建西山区老沙河</w:t>
            </w:r>
            <w:r>
              <w:rPr>
                <w:rFonts w:eastAsia="仿宋_GB2312"/>
                <w:spacing w:val="-4"/>
                <w:kern w:val="0"/>
                <w:sz w:val="18"/>
                <w:szCs w:val="18"/>
              </w:rPr>
              <w:t>—</w:t>
            </w:r>
            <w:r>
              <w:rPr>
                <w:rFonts w:hint="eastAsia" w:ascii="仿宋_GB2312" w:hAnsi="宋体" w:eastAsia="仿宋_GB2312" w:cs="宋体"/>
                <w:spacing w:val="-4"/>
                <w:kern w:val="0"/>
                <w:sz w:val="18"/>
                <w:szCs w:val="18"/>
              </w:rPr>
              <w:t>牛鼻村断面水质提升处理站</w:t>
            </w:r>
            <w:r>
              <w:rPr>
                <w:rFonts w:eastAsia="仿宋_GB2312"/>
                <w:spacing w:val="-4"/>
                <w:kern w:val="0"/>
                <w:sz w:val="18"/>
                <w:szCs w:val="18"/>
              </w:rPr>
              <w:t>1500</w:t>
            </w:r>
            <w:r>
              <w:rPr>
                <w:rFonts w:hint="eastAsia" w:eastAsia="仿宋_GB2312"/>
                <w:spacing w:val="-4"/>
                <w:kern w:val="0"/>
                <w:sz w:val="18"/>
                <w:szCs w:val="18"/>
              </w:rPr>
              <w:t>立方米每天</w:t>
            </w:r>
            <w:r>
              <w:rPr>
                <w:rFonts w:hint="eastAsia" w:ascii="仿宋_GB2312" w:hAnsi="宋体" w:eastAsia="仿宋_GB2312" w:cs="宋体"/>
                <w:spacing w:val="-4"/>
                <w:kern w:val="0"/>
                <w:sz w:val="18"/>
                <w:szCs w:val="18"/>
              </w:rPr>
              <w:t>及配套设施</w:t>
            </w:r>
            <w:r>
              <w:rPr>
                <w:rFonts w:eastAsia="仿宋_GB2312"/>
                <w:spacing w:val="-4"/>
                <w:kern w:val="0"/>
                <w:sz w:val="18"/>
                <w:szCs w:val="18"/>
              </w:rPr>
              <w:t>1</w:t>
            </w:r>
            <w:r>
              <w:rPr>
                <w:rFonts w:hint="eastAsia" w:ascii="仿宋_GB2312" w:hAnsi="宋体" w:eastAsia="仿宋_GB2312" w:cs="宋体"/>
                <w:spacing w:val="-4"/>
                <w:kern w:val="0"/>
                <w:sz w:val="18"/>
                <w:szCs w:val="18"/>
              </w:rPr>
              <w:t>座；共计处理污水规模</w:t>
            </w:r>
            <w:r>
              <w:rPr>
                <w:rFonts w:eastAsia="仿宋_GB2312"/>
                <w:spacing w:val="-4"/>
                <w:kern w:val="0"/>
                <w:sz w:val="18"/>
                <w:szCs w:val="18"/>
              </w:rPr>
              <w:t>3225</w:t>
            </w:r>
            <w:r>
              <w:rPr>
                <w:rFonts w:hint="eastAsia" w:eastAsia="仿宋_GB2312"/>
                <w:spacing w:val="-4"/>
                <w:kern w:val="0"/>
                <w:sz w:val="18"/>
                <w:szCs w:val="18"/>
              </w:rPr>
              <w:t>立方米每天</w:t>
            </w:r>
            <w:r>
              <w:rPr>
                <w:rFonts w:hint="eastAsia" w:ascii="仿宋_GB2312" w:hAnsi="宋体" w:eastAsia="仿宋_GB2312" w:cs="宋体"/>
                <w:spacing w:val="-4"/>
                <w:kern w:val="0"/>
                <w:sz w:val="18"/>
                <w:szCs w:val="18"/>
              </w:rPr>
              <w:t>。</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16219</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5648</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5286</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入滇河湖库渠生态水量保障工程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对辖区内的河湖库渠生态流量进行核算，通河湖水系连通、应急保障措施及相关工程调水措施，实现河湖及支流沟渠生态水量保障，促进生态系统恢复，实现水环境逐步提升改善。</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2021.04</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10000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4025</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5975</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城中村改造</w:t>
            </w:r>
            <w:r>
              <w:rPr>
                <w:rFonts w:eastAsia="仿宋_GB2312"/>
                <w:kern w:val="0"/>
                <w:sz w:val="18"/>
                <w:szCs w:val="18"/>
              </w:rPr>
              <w:t>52</w:t>
            </w:r>
            <w:r>
              <w:rPr>
                <w:rFonts w:hint="eastAsia" w:ascii="仿宋_GB2312" w:hAnsi="宋体" w:eastAsia="仿宋_GB2312" w:cs="宋体"/>
                <w:kern w:val="0"/>
                <w:sz w:val="18"/>
                <w:szCs w:val="18"/>
              </w:rPr>
              <w:t>号片区</w:t>
            </w:r>
            <w:r>
              <w:rPr>
                <w:rFonts w:eastAsia="仿宋_GB2312"/>
                <w:kern w:val="0"/>
                <w:sz w:val="18"/>
                <w:szCs w:val="18"/>
              </w:rPr>
              <w:t>A</w:t>
            </w:r>
            <w:r>
              <w:rPr>
                <w:rFonts w:hint="eastAsia" w:ascii="仿宋_GB2312" w:hAnsi="宋体" w:eastAsia="仿宋_GB2312" w:cs="宋体"/>
                <w:kern w:val="0"/>
                <w:sz w:val="18"/>
                <w:szCs w:val="18"/>
              </w:rPr>
              <w:t>地块公园绿地建设项目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4"/>
                <w:kern w:val="0"/>
                <w:sz w:val="18"/>
                <w:szCs w:val="18"/>
              </w:rPr>
            </w:pPr>
            <w:r>
              <w:rPr>
                <w:rFonts w:hint="eastAsia" w:ascii="仿宋_GB2312" w:hAnsi="宋体" w:eastAsia="仿宋_GB2312" w:cs="宋体"/>
                <w:spacing w:val="-4"/>
                <w:kern w:val="0"/>
                <w:sz w:val="18"/>
                <w:szCs w:val="18"/>
              </w:rPr>
              <w:t>总占地面积约</w:t>
            </w:r>
            <w:r>
              <w:rPr>
                <w:rFonts w:eastAsia="仿宋_GB2312"/>
                <w:spacing w:val="-4"/>
                <w:kern w:val="0"/>
                <w:sz w:val="18"/>
                <w:szCs w:val="18"/>
              </w:rPr>
              <w:t>6737</w:t>
            </w:r>
            <w:r>
              <w:rPr>
                <w:rFonts w:hint="eastAsia" w:ascii="仿宋_GB2312" w:hAnsi="宋体" w:eastAsia="仿宋_GB2312" w:cs="宋体"/>
                <w:spacing w:val="-4"/>
                <w:kern w:val="0"/>
                <w:sz w:val="18"/>
                <w:szCs w:val="18"/>
              </w:rPr>
              <w:t>平方米，包括但不限于绿地建设，绿地建设用地范围内涉及的硬地铺装、园林绿化以及公园配套设施等。</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2023.01</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805</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294</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256</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滇池草海缓冲区生态修复项目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东至滇池一级保护线，西至碧鸡路，南至高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立交，北至明波立交范围内区域。</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35859</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35859</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滇池外海富善段湖滨缓冲带生态保护修复与再生水循环利用工程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构建湖滨生态缓冲区，持续改善滇池水环境质量。</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30654</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30654</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滇池外海西岸（白鱼口片区）湖滨生态修复项目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自高海路以东，从浪泥湾至海口特大桥间的一级保护区内约</w:t>
            </w:r>
            <w:r>
              <w:rPr>
                <w:rFonts w:eastAsia="仿宋_GB2312"/>
                <w:kern w:val="0"/>
                <w:sz w:val="18"/>
                <w:szCs w:val="18"/>
              </w:rPr>
              <w:t>1714</w:t>
            </w:r>
            <w:r>
              <w:rPr>
                <w:rFonts w:hint="eastAsia" w:ascii="仿宋_GB2312" w:hAnsi="宋体" w:eastAsia="仿宋_GB2312" w:cs="宋体"/>
                <w:kern w:val="0"/>
                <w:sz w:val="18"/>
                <w:szCs w:val="18"/>
              </w:rPr>
              <w:t>亩。</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35893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35893</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昆安路（明波立交桥</w:t>
            </w:r>
            <w:r>
              <w:rPr>
                <w:rFonts w:eastAsia="仿宋_GB2312"/>
                <w:kern w:val="0"/>
                <w:sz w:val="18"/>
                <w:szCs w:val="18"/>
              </w:rPr>
              <w:t>—</w:t>
            </w:r>
            <w:r>
              <w:rPr>
                <w:rFonts w:hint="eastAsia" w:ascii="仿宋_GB2312" w:hAnsi="宋体" w:eastAsia="仿宋_GB2312" w:cs="宋体"/>
                <w:kern w:val="0"/>
                <w:sz w:val="18"/>
                <w:szCs w:val="18"/>
              </w:rPr>
              <w:t>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立交桥）沿线绿化景观提升项目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昆安路（明波立交桥</w:t>
            </w:r>
            <w:r>
              <w:rPr>
                <w:rFonts w:eastAsia="仿宋_GB2312"/>
                <w:kern w:val="0"/>
                <w:sz w:val="18"/>
                <w:szCs w:val="18"/>
              </w:rPr>
              <w:t>—</w:t>
            </w:r>
            <w:r>
              <w:rPr>
                <w:rFonts w:hint="eastAsia" w:ascii="仿宋_GB2312" w:hAnsi="宋体" w:eastAsia="仿宋_GB2312" w:cs="宋体"/>
                <w:kern w:val="0"/>
                <w:sz w:val="18"/>
                <w:szCs w:val="18"/>
              </w:rPr>
              <w:t>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立交桥）沿线约</w:t>
            </w:r>
            <w:r>
              <w:rPr>
                <w:rFonts w:eastAsia="仿宋_GB2312"/>
                <w:kern w:val="0"/>
                <w:sz w:val="18"/>
                <w:szCs w:val="18"/>
              </w:rPr>
              <w:t>99</w:t>
            </w:r>
            <w:r>
              <w:rPr>
                <w:rFonts w:hint="eastAsia" w:ascii="仿宋_GB2312" w:hAnsi="宋体" w:eastAsia="仿宋_GB2312" w:cs="宋体"/>
                <w:kern w:val="0"/>
                <w:sz w:val="18"/>
                <w:szCs w:val="18"/>
              </w:rPr>
              <w:t>公顷带状绿地建设。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2025.12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30000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10000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重点区域周边（广福路、滇池路、日新路）绿化精细化提升改造项目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对省委周边道路绿化、节点环境进行精细化提升。</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2022.04</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1400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1400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智慧环保水务建设</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在整合西山区现有涉水信息系统的基础上，结合西山区河湖库渠、湿地及其他涉水事项的管理决策需求，构建集西山区涉水基础信息库、水环境、水生态、水资源、水安全及综合决策管理于一体的西山区智慧环保水务系统。</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2022.04</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2790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2790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西山区二环内排水系统提升完善项目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金碧、永昌、棕树营、西苑街道办事处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新建排水管网</w:t>
            </w:r>
            <w:r>
              <w:rPr>
                <w:rFonts w:eastAsia="仿宋_GB2312"/>
                <w:kern w:val="0"/>
                <w:sz w:val="18"/>
                <w:szCs w:val="18"/>
              </w:rPr>
              <w:t>1.5</w:t>
            </w:r>
            <w:r>
              <w:rPr>
                <w:rFonts w:hint="eastAsia" w:ascii="仿宋_GB2312" w:hAnsi="宋体" w:eastAsia="仿宋_GB2312" w:cs="宋体"/>
                <w:kern w:val="0"/>
                <w:sz w:val="18"/>
                <w:szCs w:val="18"/>
              </w:rPr>
              <w:t>千米；节点改造</w:t>
            </w:r>
            <w:r>
              <w:rPr>
                <w:rFonts w:eastAsia="仿宋_GB2312"/>
                <w:kern w:val="0"/>
                <w:sz w:val="18"/>
                <w:szCs w:val="18"/>
              </w:rPr>
              <w:t>764</w:t>
            </w:r>
            <w:r>
              <w:rPr>
                <w:rFonts w:hint="eastAsia" w:ascii="仿宋_GB2312" w:hAnsi="宋体" w:eastAsia="仿宋_GB2312" w:cs="宋体"/>
                <w:kern w:val="0"/>
                <w:sz w:val="18"/>
                <w:szCs w:val="18"/>
              </w:rPr>
              <w:t>个；新建采莲河污水泵站，日处理能力</w:t>
            </w:r>
            <w:r>
              <w:rPr>
                <w:rFonts w:eastAsia="仿宋_GB2312"/>
                <w:kern w:val="0"/>
                <w:sz w:val="18"/>
                <w:szCs w:val="18"/>
              </w:rPr>
              <w:t>1.2</w:t>
            </w:r>
            <w:r>
              <w:rPr>
                <w:rFonts w:hint="eastAsia" w:ascii="仿宋_GB2312" w:hAnsi="宋体" w:eastAsia="仿宋_GB2312" w:cs="宋体"/>
                <w:kern w:val="0"/>
                <w:sz w:val="18"/>
                <w:szCs w:val="18"/>
              </w:rPr>
              <w:t>万立方米；小区庭院改造面积</w:t>
            </w:r>
            <w:r>
              <w:rPr>
                <w:rFonts w:eastAsia="仿宋_GB2312"/>
                <w:kern w:val="0"/>
                <w:sz w:val="18"/>
                <w:szCs w:val="18"/>
              </w:rPr>
              <w:t>5.7</w:t>
            </w:r>
            <w:r>
              <w:rPr>
                <w:rFonts w:hint="eastAsia" w:ascii="仿宋_GB2312" w:hAnsi="宋体" w:eastAsia="仿宋_GB2312" w:cs="宋体"/>
                <w:kern w:val="0"/>
                <w:sz w:val="18"/>
                <w:szCs w:val="18"/>
              </w:rPr>
              <w:t>平方千米；排水管清掏</w:t>
            </w:r>
            <w:r>
              <w:rPr>
                <w:rFonts w:eastAsia="仿宋_GB2312"/>
                <w:kern w:val="0"/>
                <w:sz w:val="18"/>
                <w:szCs w:val="18"/>
              </w:rPr>
              <w:t>7.6</w:t>
            </w:r>
            <w:r>
              <w:rPr>
                <w:rFonts w:hint="eastAsia" w:ascii="仿宋_GB2312" w:hAnsi="宋体" w:eastAsia="仿宋_GB2312" w:cs="宋体"/>
                <w:kern w:val="0"/>
                <w:sz w:val="18"/>
                <w:szCs w:val="18"/>
              </w:rPr>
              <w:t>万立方米。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67608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5000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滇池一级保护区原汽修一厂土地上房屋拆除及生态修复工程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西山区滇池一级保护马街桀骜原汽修一厂土地上房屋拆除及生态修复工程。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2023.01</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滇池二级保护区山邑村生态修复工程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西山区滇池二级保护区碧鸡街道山邑村片区生态修复工程。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17560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17560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滇池二级保护区杨家村集体土地上房屋拆除及生态修复工程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西山区滇池二级保护区碧鸡街道杨家村集体土地上房屋拆除及生态修复工程。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2023.01</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16"/>
                <w:kern w:val="0"/>
                <w:sz w:val="18"/>
                <w:szCs w:val="18"/>
              </w:rPr>
            </w:pPr>
            <w:r>
              <w:rPr>
                <w:rFonts w:hint="eastAsia" w:ascii="仿宋_GB2312" w:hAnsi="宋体" w:eastAsia="仿宋_GB2312" w:cs="宋体"/>
                <w:spacing w:val="-16"/>
                <w:kern w:val="0"/>
                <w:sz w:val="18"/>
                <w:szCs w:val="18"/>
              </w:rPr>
              <w:t>滇池二级保护区晖湾村集体土地上房屋拆除及生态修复工程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西山区滇池二级保护区碧鸡街道晖湾村集体土地上房屋拆除及生态修复工程。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2023.01</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滇池二级保护区观音山小组集体土地上房屋拆除及生态修复工程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西山区滇池二级保护区碧鸡街道观音山小组集体土地上房屋拆除及生态修复工程。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2023.01</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滇池二级保护区蒋凹村集体土地上房屋拆除及生态修复工程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西山区水务局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西山区滇池二级保护区海口街道蒋凹村集体土地上房屋拆除及生态修复工程。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2023.01</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r>
      <w:tr>
        <w:tblPrEx>
          <w:tblLayout w:type="fixed"/>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四、教育基础设施建设项目（共</w:t>
            </w:r>
            <w:r>
              <w:rPr>
                <w:rFonts w:eastAsia="黑体"/>
                <w:b/>
                <w:bCs/>
                <w:kern w:val="0"/>
                <w:sz w:val="18"/>
                <w:szCs w:val="18"/>
              </w:rPr>
              <w:t>13</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45898</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322812</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45898</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书林一小双塔校区建设项目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总建筑面积</w:t>
            </w:r>
            <w:r>
              <w:rPr>
                <w:rFonts w:eastAsia="仿宋_GB2312"/>
                <w:kern w:val="0"/>
                <w:sz w:val="18"/>
                <w:szCs w:val="18"/>
              </w:rPr>
              <w:t>2.4</w:t>
            </w:r>
            <w:r>
              <w:rPr>
                <w:rFonts w:hint="eastAsia" w:ascii="仿宋_GB2312" w:hAnsi="宋体" w:eastAsia="仿宋_GB2312" w:cs="宋体"/>
                <w:kern w:val="0"/>
                <w:sz w:val="18"/>
                <w:szCs w:val="18"/>
              </w:rPr>
              <w:t>万平方米。同步完善室外围墙、大门、运动场、室外绿化及景观、电气、给排水等室外附属配套设施。</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137981</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8236</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西山区职业高级中学建设项目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建筑面积</w:t>
            </w:r>
            <w:r>
              <w:rPr>
                <w:rFonts w:eastAsia="仿宋_GB2312"/>
                <w:kern w:val="0"/>
                <w:sz w:val="18"/>
                <w:szCs w:val="18"/>
              </w:rPr>
              <w:t>11.6</w:t>
            </w:r>
            <w:r>
              <w:rPr>
                <w:rFonts w:hint="eastAsia" w:ascii="仿宋_GB2312" w:hAnsi="宋体" w:eastAsia="仿宋_GB2312" w:cs="宋体"/>
                <w:kern w:val="0"/>
                <w:sz w:val="18"/>
                <w:szCs w:val="18"/>
              </w:rPr>
              <w:t>万平方米。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2024.12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104281</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20000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团结谷律中心学校律则分校排危新建项目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新建教师宿舍楼、教学楼、传达值宿室。占地面积</w:t>
            </w:r>
            <w:r>
              <w:rPr>
                <w:rFonts w:eastAsia="仿宋_GB2312"/>
                <w:kern w:val="0"/>
                <w:sz w:val="18"/>
                <w:szCs w:val="18"/>
              </w:rPr>
              <w:t>665.7</w:t>
            </w:r>
            <w:r>
              <w:rPr>
                <w:rFonts w:hint="eastAsia" w:ascii="仿宋_GB2312" w:hAnsi="宋体" w:eastAsia="仿宋_GB2312" w:cs="宋体"/>
                <w:kern w:val="0"/>
                <w:sz w:val="18"/>
                <w:szCs w:val="18"/>
              </w:rPr>
              <w:t>平方米，建筑面积合计</w:t>
            </w:r>
            <w:r>
              <w:rPr>
                <w:rFonts w:eastAsia="仿宋_GB2312"/>
                <w:kern w:val="0"/>
                <w:sz w:val="18"/>
                <w:szCs w:val="18"/>
              </w:rPr>
              <w:t>3390</w:t>
            </w:r>
            <w:r>
              <w:rPr>
                <w:rFonts w:hint="eastAsia" w:ascii="仿宋_GB2312" w:hAnsi="宋体" w:eastAsia="仿宋_GB2312" w:cs="宋体"/>
                <w:kern w:val="0"/>
                <w:sz w:val="18"/>
                <w:szCs w:val="18"/>
              </w:rPr>
              <w:t>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2766</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830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39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海口街道办事处新建</w:t>
            </w:r>
            <w:r>
              <w:rPr>
                <w:rFonts w:eastAsia="仿宋_GB2312"/>
                <w:kern w:val="0"/>
                <w:sz w:val="18"/>
                <w:szCs w:val="18"/>
              </w:rPr>
              <w:t>6</w:t>
            </w:r>
            <w:r>
              <w:rPr>
                <w:rFonts w:hint="eastAsia" w:ascii="仿宋_GB2312" w:hAnsi="宋体" w:eastAsia="仿宋_GB2312" w:cs="宋体"/>
                <w:kern w:val="0"/>
                <w:sz w:val="18"/>
                <w:szCs w:val="18"/>
              </w:rPr>
              <w:t>班幼儿园项目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规划用地面积</w:t>
            </w:r>
            <w:r>
              <w:rPr>
                <w:rFonts w:eastAsia="仿宋_GB2312"/>
                <w:kern w:val="0"/>
                <w:sz w:val="18"/>
                <w:szCs w:val="18"/>
              </w:rPr>
              <w:t>2458</w:t>
            </w:r>
            <w:r>
              <w:rPr>
                <w:rFonts w:hint="eastAsia" w:ascii="仿宋_GB2312" w:hAnsi="宋体" w:eastAsia="仿宋_GB2312" w:cs="宋体"/>
                <w:kern w:val="0"/>
                <w:sz w:val="18"/>
                <w:szCs w:val="18"/>
              </w:rPr>
              <w:t>平方米，建筑占地面积</w:t>
            </w:r>
            <w:r>
              <w:rPr>
                <w:rFonts w:eastAsia="仿宋_GB2312"/>
                <w:kern w:val="0"/>
                <w:sz w:val="18"/>
                <w:szCs w:val="18"/>
              </w:rPr>
              <w:t>737</w:t>
            </w:r>
            <w:r>
              <w:rPr>
                <w:rFonts w:hint="eastAsia" w:ascii="仿宋_GB2312" w:hAnsi="宋体" w:eastAsia="仿宋_GB2312" w:cs="宋体"/>
                <w:kern w:val="0"/>
                <w:sz w:val="18"/>
                <w:szCs w:val="18"/>
              </w:rPr>
              <w:t>平方米，总建筑面积</w:t>
            </w:r>
            <w:r>
              <w:rPr>
                <w:rFonts w:eastAsia="仿宋_GB2312"/>
                <w:kern w:val="0"/>
                <w:sz w:val="18"/>
                <w:szCs w:val="18"/>
              </w:rPr>
              <w:t>2595</w:t>
            </w:r>
            <w:r>
              <w:rPr>
                <w:rFonts w:hint="eastAsia" w:ascii="仿宋_GB2312" w:hAnsi="宋体" w:eastAsia="仿宋_GB2312" w:cs="宋体"/>
                <w:kern w:val="0"/>
                <w:sz w:val="18"/>
                <w:szCs w:val="18"/>
              </w:rPr>
              <w:t>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1543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1080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建磷中心学校教师周转宿舍建设项目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规划用地面积</w:t>
            </w:r>
            <w:r>
              <w:rPr>
                <w:rFonts w:eastAsia="仿宋_GB2312"/>
                <w:kern w:val="0"/>
                <w:sz w:val="18"/>
                <w:szCs w:val="18"/>
              </w:rPr>
              <w:t>1273</w:t>
            </w:r>
            <w:r>
              <w:rPr>
                <w:rFonts w:hint="eastAsia" w:ascii="仿宋_GB2312" w:hAnsi="宋体" w:eastAsia="仿宋_GB2312" w:cs="宋体"/>
                <w:kern w:val="0"/>
                <w:sz w:val="18"/>
                <w:szCs w:val="18"/>
              </w:rPr>
              <w:t>平方米，建筑占地面积</w:t>
            </w:r>
            <w:r>
              <w:rPr>
                <w:rFonts w:eastAsia="仿宋_GB2312"/>
                <w:kern w:val="0"/>
                <w:sz w:val="18"/>
                <w:szCs w:val="18"/>
              </w:rPr>
              <w:t>376</w:t>
            </w:r>
            <w:r>
              <w:rPr>
                <w:rFonts w:hint="eastAsia" w:ascii="仿宋_GB2312" w:hAnsi="宋体" w:eastAsia="仿宋_GB2312" w:cs="宋体"/>
                <w:kern w:val="0"/>
                <w:sz w:val="18"/>
                <w:szCs w:val="18"/>
              </w:rPr>
              <w:t>平方米，总建筑面积</w:t>
            </w:r>
            <w:r>
              <w:rPr>
                <w:rFonts w:eastAsia="仿宋_GB2312"/>
                <w:kern w:val="0"/>
                <w:sz w:val="18"/>
                <w:szCs w:val="18"/>
              </w:rPr>
              <w:t>2966</w:t>
            </w:r>
            <w:r>
              <w:rPr>
                <w:rFonts w:hint="eastAsia" w:ascii="仿宋_GB2312" w:hAnsi="宋体" w:eastAsia="仿宋_GB2312" w:cs="宋体"/>
                <w:kern w:val="0"/>
                <w:sz w:val="18"/>
                <w:szCs w:val="18"/>
              </w:rPr>
              <w:t>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1450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1450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螺蛳湾片区配套</w:t>
            </w:r>
            <w:r>
              <w:rPr>
                <w:rFonts w:eastAsia="仿宋_GB2312"/>
                <w:kern w:val="0"/>
                <w:sz w:val="18"/>
                <w:szCs w:val="18"/>
              </w:rPr>
              <w:t>15</w:t>
            </w:r>
            <w:r>
              <w:rPr>
                <w:rFonts w:hint="eastAsia" w:ascii="仿宋_GB2312" w:hAnsi="宋体" w:eastAsia="仿宋_GB2312" w:cs="宋体"/>
                <w:kern w:val="0"/>
                <w:sz w:val="18"/>
                <w:szCs w:val="18"/>
              </w:rPr>
              <w:t>班幼儿园</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项目总用地为</w:t>
            </w:r>
            <w:r>
              <w:rPr>
                <w:rFonts w:eastAsia="仿宋_GB2312"/>
                <w:kern w:val="0"/>
                <w:sz w:val="18"/>
                <w:szCs w:val="18"/>
              </w:rPr>
              <w:t>5850</w:t>
            </w:r>
            <w:r>
              <w:rPr>
                <w:rFonts w:hint="eastAsia" w:ascii="仿宋_GB2312" w:hAnsi="宋体" w:eastAsia="仿宋_GB2312" w:cs="宋体"/>
                <w:kern w:val="0"/>
                <w:sz w:val="18"/>
                <w:szCs w:val="18"/>
              </w:rPr>
              <w:t>平方米，建设面积为</w:t>
            </w:r>
            <w:r>
              <w:rPr>
                <w:rFonts w:eastAsia="仿宋_GB2312"/>
                <w:kern w:val="0"/>
                <w:sz w:val="18"/>
                <w:szCs w:val="18"/>
              </w:rPr>
              <w:t>5122</w:t>
            </w:r>
            <w:r>
              <w:rPr>
                <w:rFonts w:hint="eastAsia" w:ascii="仿宋_GB2312" w:hAnsi="宋体" w:eastAsia="仿宋_GB2312" w:cs="宋体"/>
                <w:kern w:val="0"/>
                <w:sz w:val="18"/>
                <w:szCs w:val="18"/>
              </w:rPr>
              <w:t>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2022.05</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2023.03</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3383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1554</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海口依兰中心双哨分校综合楼建设项目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新建教学综合楼</w:t>
            </w:r>
            <w:r>
              <w:rPr>
                <w:rFonts w:eastAsia="仿宋_GB2312"/>
                <w:kern w:val="0"/>
                <w:sz w:val="18"/>
                <w:szCs w:val="18"/>
              </w:rPr>
              <w:t>1</w:t>
            </w:r>
            <w:r>
              <w:rPr>
                <w:rFonts w:hint="eastAsia" w:ascii="仿宋_GB2312" w:hAnsi="宋体" w:eastAsia="仿宋_GB2312" w:cs="宋体"/>
                <w:kern w:val="0"/>
                <w:sz w:val="18"/>
                <w:szCs w:val="18"/>
              </w:rPr>
              <w:t>幢，建筑面积</w:t>
            </w:r>
            <w:r>
              <w:rPr>
                <w:rFonts w:eastAsia="仿宋_GB2312"/>
                <w:kern w:val="0"/>
                <w:sz w:val="18"/>
                <w:szCs w:val="18"/>
              </w:rPr>
              <w:t>2672</w:t>
            </w:r>
            <w:r>
              <w:rPr>
                <w:rFonts w:hint="eastAsia" w:ascii="仿宋_GB2312" w:hAnsi="宋体" w:eastAsia="仿宋_GB2312" w:cs="宋体"/>
                <w:kern w:val="0"/>
                <w:sz w:val="18"/>
                <w:szCs w:val="18"/>
              </w:rPr>
              <w:t>平方米，同步完善室外附属设施。</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1637</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1637</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西山区第十八幼儿园拆除重建项目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永昌街道办事处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幼儿园规模为</w:t>
            </w:r>
            <w:r>
              <w:rPr>
                <w:rFonts w:eastAsia="仿宋_GB2312"/>
                <w:kern w:val="0"/>
                <w:sz w:val="18"/>
                <w:szCs w:val="18"/>
              </w:rPr>
              <w:t>9</w:t>
            </w:r>
            <w:r>
              <w:rPr>
                <w:rFonts w:hint="eastAsia" w:ascii="仿宋_GB2312" w:hAnsi="宋体" w:eastAsia="仿宋_GB2312" w:cs="宋体"/>
                <w:kern w:val="0"/>
                <w:sz w:val="18"/>
                <w:szCs w:val="18"/>
              </w:rPr>
              <w:t>班，共</w:t>
            </w:r>
            <w:r>
              <w:rPr>
                <w:rFonts w:eastAsia="仿宋_GB2312"/>
                <w:kern w:val="0"/>
                <w:sz w:val="18"/>
                <w:szCs w:val="18"/>
              </w:rPr>
              <w:t>2</w:t>
            </w:r>
            <w:r>
              <w:rPr>
                <w:rFonts w:hint="eastAsia" w:ascii="仿宋_GB2312" w:hAnsi="宋体" w:eastAsia="仿宋_GB2312" w:cs="宋体"/>
                <w:kern w:val="0"/>
                <w:sz w:val="18"/>
                <w:szCs w:val="18"/>
              </w:rPr>
              <w:t>栋建筑单体，</w:t>
            </w:r>
            <w:r>
              <w:rPr>
                <w:rFonts w:eastAsia="仿宋_GB2312"/>
                <w:kern w:val="0"/>
                <w:sz w:val="18"/>
                <w:szCs w:val="18"/>
              </w:rPr>
              <w:t>1</w:t>
            </w:r>
            <w:r>
              <w:rPr>
                <w:rFonts w:hint="eastAsia" w:ascii="仿宋_GB2312" w:hAnsi="宋体" w:eastAsia="仿宋_GB2312" w:cs="宋体"/>
                <w:kern w:val="0"/>
                <w:sz w:val="18"/>
                <w:szCs w:val="18"/>
              </w:rPr>
              <w:t>栋为幼儿园综合楼，</w:t>
            </w:r>
            <w:r>
              <w:rPr>
                <w:rFonts w:eastAsia="仿宋_GB2312"/>
                <w:kern w:val="0"/>
                <w:sz w:val="18"/>
                <w:szCs w:val="18"/>
              </w:rPr>
              <w:t>1</w:t>
            </w:r>
            <w:r>
              <w:rPr>
                <w:rFonts w:hint="eastAsia" w:ascii="仿宋_GB2312" w:hAnsi="宋体" w:eastAsia="仿宋_GB2312" w:cs="宋体"/>
                <w:kern w:val="0"/>
                <w:sz w:val="18"/>
                <w:szCs w:val="18"/>
              </w:rPr>
              <w:t>栋为设备用房，总建筑面积</w:t>
            </w:r>
            <w:r>
              <w:rPr>
                <w:rFonts w:eastAsia="仿宋_GB2312"/>
                <w:kern w:val="0"/>
                <w:sz w:val="18"/>
                <w:szCs w:val="18"/>
              </w:rPr>
              <w:t>3433</w:t>
            </w:r>
            <w:r>
              <w:rPr>
                <w:rFonts w:hint="eastAsia" w:ascii="仿宋_GB2312" w:hAnsi="宋体" w:eastAsia="仿宋_GB2312" w:cs="宋体"/>
                <w:kern w:val="0"/>
                <w:sz w:val="18"/>
                <w:szCs w:val="18"/>
              </w:rPr>
              <w:t>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2022.04</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3097</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3097</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谷律民族中学教师周转宿舍排危新建项目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占地面积</w:t>
            </w:r>
            <w:r>
              <w:rPr>
                <w:rFonts w:eastAsia="仿宋_GB2312"/>
                <w:kern w:val="0"/>
                <w:sz w:val="18"/>
                <w:szCs w:val="18"/>
              </w:rPr>
              <w:t>1989</w:t>
            </w:r>
            <w:r>
              <w:rPr>
                <w:rFonts w:hint="eastAsia" w:ascii="仿宋_GB2312" w:hAnsi="宋体" w:eastAsia="仿宋_GB2312" w:cs="宋体"/>
                <w:kern w:val="0"/>
                <w:sz w:val="18"/>
                <w:szCs w:val="18"/>
              </w:rPr>
              <w:t>平方米，建筑面积为</w:t>
            </w:r>
            <w:r>
              <w:rPr>
                <w:rFonts w:eastAsia="仿宋_GB2312"/>
                <w:kern w:val="0"/>
                <w:sz w:val="18"/>
                <w:szCs w:val="18"/>
              </w:rPr>
              <w:t>1119</w:t>
            </w:r>
            <w:r>
              <w:rPr>
                <w:rFonts w:hint="eastAsia" w:ascii="仿宋_GB2312" w:hAnsi="宋体" w:eastAsia="仿宋_GB2312" w:cs="宋体"/>
                <w:kern w:val="0"/>
                <w:sz w:val="18"/>
                <w:szCs w:val="18"/>
              </w:rPr>
              <w:t>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987</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691</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华东师范大学昆明实验学校小学部建设项目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总用地面积为</w:t>
            </w:r>
            <w:r>
              <w:rPr>
                <w:rFonts w:eastAsia="仿宋_GB2312"/>
                <w:kern w:val="0"/>
                <w:sz w:val="18"/>
                <w:szCs w:val="18"/>
              </w:rPr>
              <w:t>2.5</w:t>
            </w:r>
            <w:r>
              <w:rPr>
                <w:rFonts w:hint="eastAsia" w:ascii="仿宋_GB2312" w:hAnsi="宋体" w:eastAsia="仿宋_GB2312" w:cs="宋体"/>
                <w:kern w:val="0"/>
                <w:sz w:val="18"/>
                <w:szCs w:val="18"/>
              </w:rPr>
              <w:t>万平方米，总建筑面积为</w:t>
            </w:r>
            <w:r>
              <w:rPr>
                <w:rFonts w:eastAsia="仿宋_GB2312"/>
                <w:kern w:val="0"/>
                <w:sz w:val="18"/>
                <w:szCs w:val="18"/>
              </w:rPr>
              <w:t>2.7</w:t>
            </w:r>
            <w:r>
              <w:rPr>
                <w:rFonts w:hint="eastAsia" w:ascii="仿宋_GB2312" w:hAnsi="宋体" w:eastAsia="仿宋_GB2312" w:cs="宋体"/>
                <w:kern w:val="0"/>
                <w:sz w:val="18"/>
                <w:szCs w:val="18"/>
              </w:rPr>
              <w:t>万平方米。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64563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6456</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西山区第一中学学生宿舍排危加固修缮工程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高新区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学生宿舍排危加固。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604</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604</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标准化考场建设和中心保密室改造项目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建设</w:t>
            </w:r>
            <w:r>
              <w:rPr>
                <w:rFonts w:eastAsia="仿宋_GB2312"/>
                <w:kern w:val="0"/>
                <w:sz w:val="18"/>
                <w:szCs w:val="18"/>
              </w:rPr>
              <w:t>142</w:t>
            </w:r>
            <w:r>
              <w:rPr>
                <w:rFonts w:hint="eastAsia" w:ascii="仿宋_GB2312" w:hAnsi="宋体" w:eastAsia="仿宋_GB2312" w:cs="宋体"/>
                <w:kern w:val="0"/>
                <w:sz w:val="18"/>
                <w:szCs w:val="18"/>
              </w:rPr>
              <w:t>间标准化考场；改造学校中心保密室。</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84</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84</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48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春苑小学省级现代教育示范学校整改项目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西山区教育体育局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省级现代教育示范学校。</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436</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179</w:t>
            </w:r>
          </w:p>
        </w:tc>
      </w:tr>
      <w:tr>
        <w:tblPrEx>
          <w:tblLayout w:type="fixed"/>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五、社会民生建设项目（共</w:t>
            </w:r>
            <w:r>
              <w:rPr>
                <w:rFonts w:eastAsia="黑体"/>
                <w:b/>
                <w:bCs/>
                <w:kern w:val="0"/>
                <w:sz w:val="18"/>
                <w:szCs w:val="18"/>
              </w:rPr>
              <w:t>10</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27894</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30395</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27894</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eastAsia="仿宋_GB2312"/>
                <w:kern w:val="0"/>
                <w:sz w:val="18"/>
                <w:szCs w:val="18"/>
              </w:rPr>
              <w:t>2022</w:t>
            </w:r>
            <w:r>
              <w:rPr>
                <w:rFonts w:hint="eastAsia" w:ascii="仿宋_GB2312" w:eastAsia="仿宋_GB2312"/>
                <w:kern w:val="0"/>
                <w:sz w:val="18"/>
                <w:szCs w:val="18"/>
              </w:rPr>
              <w:t>年西山区</w:t>
            </w:r>
            <w:r>
              <w:rPr>
                <w:rFonts w:eastAsia="仿宋_GB2312"/>
                <w:kern w:val="0"/>
                <w:sz w:val="18"/>
                <w:szCs w:val="18"/>
              </w:rPr>
              <w:t>“</w:t>
            </w:r>
            <w:r>
              <w:rPr>
                <w:rFonts w:hint="eastAsia" w:ascii="仿宋_GB2312" w:eastAsia="仿宋_GB2312"/>
                <w:kern w:val="0"/>
                <w:sz w:val="18"/>
                <w:szCs w:val="18"/>
              </w:rPr>
              <w:t>亮橱美街</w:t>
            </w:r>
            <w:r>
              <w:rPr>
                <w:rFonts w:eastAsia="仿宋_GB2312"/>
                <w:kern w:val="0"/>
                <w:sz w:val="18"/>
                <w:szCs w:val="18"/>
              </w:rPr>
              <w:t>”</w:t>
            </w:r>
            <w:r>
              <w:rPr>
                <w:rFonts w:hint="eastAsia" w:ascii="仿宋_GB2312" w:eastAsia="仿宋_GB2312"/>
                <w:kern w:val="0"/>
                <w:sz w:val="18"/>
                <w:szCs w:val="18"/>
              </w:rPr>
              <w:t>行动</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重要街区开展</w:t>
            </w:r>
            <w:r>
              <w:rPr>
                <w:rFonts w:eastAsia="仿宋_GB2312"/>
                <w:kern w:val="0"/>
                <w:sz w:val="18"/>
                <w:szCs w:val="18"/>
              </w:rPr>
              <w:t>“</w:t>
            </w:r>
            <w:r>
              <w:rPr>
                <w:rFonts w:hint="eastAsia" w:ascii="仿宋_GB2312" w:hAnsi="宋体" w:eastAsia="仿宋_GB2312" w:cs="宋体"/>
                <w:kern w:val="0"/>
                <w:sz w:val="18"/>
                <w:szCs w:val="18"/>
              </w:rPr>
              <w:t>亮橱美街</w:t>
            </w:r>
            <w:r>
              <w:rPr>
                <w:rFonts w:eastAsia="仿宋_GB2312"/>
                <w:kern w:val="0"/>
                <w:sz w:val="18"/>
                <w:szCs w:val="18"/>
              </w:rPr>
              <w:t>”</w:t>
            </w:r>
            <w:r>
              <w:rPr>
                <w:rFonts w:hint="eastAsia" w:ascii="仿宋_GB2312" w:hAnsi="宋体" w:eastAsia="仿宋_GB2312" w:cs="宋体"/>
                <w:kern w:val="0"/>
                <w:sz w:val="18"/>
                <w:szCs w:val="18"/>
              </w:rPr>
              <w:t>活动，鼓励沿街商户拆除卷帘门，点亮橱窗。</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西山区户外广告设施设置控制性规划编制</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完成辖区内户外广告设施设置控制性规划编制工作。</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400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二环路、南绕城高速与昆安高速交叉口桥梁及防撞墙涂刷</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西山区二环段范围起点为西苑立交（含），止点为官南立交（不含），单层长</w:t>
            </w:r>
            <w:r>
              <w:rPr>
                <w:rFonts w:eastAsia="仿宋_GB2312"/>
                <w:kern w:val="0"/>
                <w:sz w:val="18"/>
                <w:szCs w:val="18"/>
              </w:rPr>
              <w:t>7</w:t>
            </w:r>
            <w:r>
              <w:rPr>
                <w:rFonts w:hint="eastAsia" w:ascii="仿宋_GB2312" w:hAnsi="宋体" w:eastAsia="仿宋_GB2312" w:cs="宋体"/>
                <w:kern w:val="0"/>
                <w:sz w:val="18"/>
                <w:szCs w:val="18"/>
              </w:rPr>
              <w:t>千米。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2022.04</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2798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2798</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二环路西山区段声屏障更换</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西山区段范围起点为西苑立交（含），止点为官南立交（不含），单层长</w:t>
            </w:r>
            <w:r>
              <w:rPr>
                <w:rFonts w:eastAsia="仿宋_GB2312"/>
                <w:kern w:val="0"/>
                <w:sz w:val="18"/>
                <w:szCs w:val="18"/>
              </w:rPr>
              <w:t>7</w:t>
            </w:r>
            <w:r>
              <w:rPr>
                <w:rFonts w:hint="eastAsia" w:ascii="仿宋_GB2312" w:hAnsi="宋体" w:eastAsia="仿宋_GB2312" w:cs="宋体"/>
                <w:kern w:val="0"/>
                <w:sz w:val="18"/>
                <w:szCs w:val="18"/>
              </w:rPr>
              <w:t>千米。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2022.04</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1580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1579</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金碧广场周边道路市容环境提升整治</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东寺街、书林街、石桥铺、司马巷、敬德巷、崇善街、后新街、鱼课司街、西寺街、东寺街、沿河路、土桥路、高地巷、贴片巷、盘龙路等道路进行市容环境整治提升。</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12768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12768</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区政府综合办公大楼四部电梯改造项目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西苑街道办事处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西山区机关事务管理局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区政府综合办公大楼四部电梯更换改造。</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区政府机关食堂局部改造项目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西苑街道办事处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西山区机关事务管理局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拆除原有装修的部分墙体、设备，改造装修餐厅后厨，购置新的厨房设施设备、排油烟系统、空调、桌椅、餐具等。</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2022.04</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2022.10</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314</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314</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eastAsia="仿宋_GB2312"/>
                <w:kern w:val="0"/>
                <w:sz w:val="18"/>
                <w:szCs w:val="18"/>
              </w:rPr>
            </w:pPr>
            <w:r>
              <w:rPr>
                <w:rFonts w:eastAsia="仿宋_GB2312"/>
                <w:kern w:val="0"/>
                <w:sz w:val="18"/>
                <w:szCs w:val="18"/>
              </w:rPr>
              <w:t>COP15</w:t>
            </w:r>
            <w:r>
              <w:rPr>
                <w:rFonts w:hint="eastAsia" w:ascii="仿宋_GB2312" w:eastAsia="仿宋_GB2312"/>
                <w:kern w:val="0"/>
                <w:sz w:val="18"/>
                <w:szCs w:val="18"/>
              </w:rPr>
              <w:t>大会二阶段酒店周边市容环境提升整治</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河景路、安康路、气象路、永乐路、安吉路、八哥巷、立夏路、安瑞路、福和巷、福龙路、南苑小路等道路进行市容环境整治提升。</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9335</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9335</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草海文旅项目二期市政及公共配套基础设施（园林绿化工程）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2500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螺蛳湾城市棚户区改造二期地块项目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西山区城市更新改造局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Layout w:type="fixed"/>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六、文化旅游建设项目（共</w:t>
            </w:r>
            <w:r>
              <w:rPr>
                <w:rFonts w:eastAsia="黑体"/>
                <w:b/>
                <w:bCs/>
                <w:kern w:val="0"/>
                <w:sz w:val="18"/>
                <w:szCs w:val="18"/>
              </w:rPr>
              <w:t>7</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11300</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76375</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3348</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11300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59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草海文化旅游项目市政及公共配套基础设施</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绿地建设。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12999</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3348</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6000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小游园建设项目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西山区城市管理局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对日新路、前卫西路沿线绿带进行小游园建设，增加体育、休闲等功能设施，提升绿化景观。</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2022.04</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6000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5000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西山景区游客中心改建项目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昆明滇池国家级风景名胜区西山景区管理局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spacing w:val="4"/>
                <w:kern w:val="0"/>
                <w:sz w:val="18"/>
                <w:szCs w:val="18"/>
              </w:rPr>
              <w:t>利用地铁</w:t>
            </w:r>
            <w:r>
              <w:rPr>
                <w:rFonts w:eastAsia="仿宋_GB2312"/>
                <w:spacing w:val="4"/>
                <w:kern w:val="0"/>
                <w:sz w:val="18"/>
                <w:szCs w:val="18"/>
              </w:rPr>
              <w:t>3</w:t>
            </w:r>
            <w:r>
              <w:rPr>
                <w:rFonts w:hint="eastAsia" w:ascii="仿宋_GB2312" w:hAnsi="宋体" w:eastAsia="仿宋_GB2312" w:cs="宋体"/>
                <w:spacing w:val="4"/>
                <w:kern w:val="0"/>
                <w:sz w:val="18"/>
                <w:szCs w:val="18"/>
              </w:rPr>
              <w:t>号线西山公园站上盖物业约</w:t>
            </w:r>
            <w:r>
              <w:rPr>
                <w:rFonts w:eastAsia="仿宋_GB2312"/>
                <w:kern w:val="0"/>
                <w:sz w:val="18"/>
                <w:szCs w:val="18"/>
              </w:rPr>
              <w:t>1200</w:t>
            </w:r>
            <w:r>
              <w:rPr>
                <w:rFonts w:hint="eastAsia" w:ascii="仿宋_GB2312" w:hAnsi="宋体" w:eastAsia="仿宋_GB2312" w:cs="宋体"/>
                <w:kern w:val="0"/>
                <w:sz w:val="18"/>
                <w:szCs w:val="18"/>
              </w:rPr>
              <w:t>平方米，设计和改建满足创国家级</w:t>
            </w:r>
            <w:r>
              <w:rPr>
                <w:rFonts w:eastAsia="仿宋_GB2312"/>
                <w:kern w:val="0"/>
                <w:sz w:val="18"/>
                <w:szCs w:val="18"/>
              </w:rPr>
              <w:t>5A</w:t>
            </w:r>
            <w:r>
              <w:rPr>
                <w:rFonts w:hint="eastAsia" w:ascii="仿宋_GB2312" w:hAnsi="宋体" w:eastAsia="仿宋_GB2312" w:cs="宋体"/>
                <w:kern w:val="0"/>
                <w:sz w:val="18"/>
                <w:szCs w:val="18"/>
              </w:rPr>
              <w:t>景区必需的游客中心，同步整合完善周边</w:t>
            </w:r>
            <w:r>
              <w:rPr>
                <w:rFonts w:eastAsia="仿宋_GB2312"/>
                <w:kern w:val="0"/>
                <w:sz w:val="18"/>
                <w:szCs w:val="18"/>
              </w:rPr>
              <w:t>3000</w:t>
            </w:r>
            <w:r>
              <w:rPr>
                <w:rFonts w:hint="eastAsia" w:ascii="仿宋_GB2312" w:hAnsi="宋体" w:eastAsia="仿宋_GB2312" w:cs="宋体"/>
                <w:kern w:val="0"/>
                <w:sz w:val="18"/>
                <w:szCs w:val="18"/>
              </w:rPr>
              <w:t>平方米旅游基础配套设施。</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东寺街花椒巷保护项目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金碧街道办事处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西山区文化旅游局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西山国家级风景名胜区景前区基础设施建设项目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昆明西山旅游投资开发有限责任公司</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项目用地</w:t>
            </w:r>
            <w:r>
              <w:rPr>
                <w:rFonts w:eastAsia="仿宋_GB2312"/>
                <w:kern w:val="0"/>
                <w:sz w:val="18"/>
                <w:szCs w:val="18"/>
              </w:rPr>
              <w:t>300</w:t>
            </w:r>
            <w:r>
              <w:rPr>
                <w:rFonts w:hint="eastAsia" w:ascii="仿宋_GB2312" w:hAnsi="宋体" w:eastAsia="仿宋_GB2312" w:cs="宋体"/>
                <w:kern w:val="0"/>
                <w:sz w:val="18"/>
                <w:szCs w:val="18"/>
              </w:rPr>
              <w:t>亩，包括景区规划区域内的配套自来水管网；规划建设雨污分流管网；规划建设天然气、强电、弱电等综合管沟；周边道路设施老化，需要进行拓宽提升改造，规划提升主干道、内网道路；完善绿化用地及道路绿化种植面积。</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2024.06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42000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西山国家级风景名胜区景前区生态立体停车场项目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昆明西山旅游投资开发有限责任公司</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建设立体停车场。</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14159</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西山区国家综合档案馆数字档案馆建设项目（一期）</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西山区国家综合档案馆</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创建符合国家示范类的数字档案馆，实现资源数字化，管理现代化，利用网络化。</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2022.07</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317</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Layout w:type="fixed"/>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七、卫生健康建设项目（共</w:t>
            </w:r>
            <w:r>
              <w:rPr>
                <w:rFonts w:eastAsia="黑体"/>
                <w:b/>
                <w:bCs/>
                <w:kern w:val="0"/>
                <w:sz w:val="18"/>
                <w:szCs w:val="18"/>
              </w:rPr>
              <w:t>3</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0</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8690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省级示范预防接种门诊建设</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西山区卫生健康局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按省级示范预防接种门诊装修并配备设施设备。</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250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区级妇幼保健机构能力达标项目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西山区</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西山区卫生健康局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通过加强人才培养、拓展妇幼健康项目、完善科室设置等措施，持续提升妇幼保健服务能力。</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440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白沙地片区配套社区医院建设项目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西山区卫生健康局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用地面积约</w:t>
            </w:r>
            <w:r>
              <w:rPr>
                <w:rFonts w:eastAsia="仿宋_GB2312"/>
                <w:kern w:val="0"/>
                <w:sz w:val="18"/>
                <w:szCs w:val="18"/>
              </w:rPr>
              <w:t>11</w:t>
            </w:r>
            <w:r>
              <w:rPr>
                <w:rFonts w:hint="eastAsia" w:ascii="仿宋_GB2312" w:hAnsi="宋体" w:eastAsia="仿宋_GB2312" w:cs="宋体"/>
                <w:kern w:val="0"/>
                <w:sz w:val="18"/>
                <w:szCs w:val="18"/>
              </w:rPr>
              <w:t>亩，建筑面积约</w:t>
            </w:r>
            <w:r>
              <w:rPr>
                <w:rFonts w:eastAsia="仿宋_GB2312"/>
                <w:kern w:val="0"/>
                <w:sz w:val="18"/>
                <w:szCs w:val="18"/>
              </w:rPr>
              <w:t>7826</w:t>
            </w:r>
            <w:r>
              <w:rPr>
                <w:rFonts w:hint="eastAsia" w:ascii="仿宋_GB2312" w:hAnsi="宋体" w:eastAsia="仿宋_GB2312" w:cs="宋体"/>
                <w:kern w:val="0"/>
                <w:sz w:val="18"/>
                <w:szCs w:val="18"/>
              </w:rPr>
              <w:t>平方米，共设置约</w:t>
            </w:r>
            <w:r>
              <w:rPr>
                <w:rFonts w:eastAsia="仿宋_GB2312"/>
                <w:kern w:val="0"/>
                <w:sz w:val="18"/>
                <w:szCs w:val="18"/>
              </w:rPr>
              <w:t>80</w:t>
            </w:r>
            <w:r>
              <w:rPr>
                <w:rFonts w:hint="eastAsia" w:ascii="仿宋_GB2312" w:hAnsi="宋体" w:eastAsia="仿宋_GB2312" w:cs="宋体"/>
                <w:kern w:val="0"/>
                <w:sz w:val="18"/>
                <w:szCs w:val="18"/>
              </w:rPr>
              <w:t>张床位。</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8000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Layout w:type="fixed"/>
          <w:tblCellMar>
            <w:top w:w="0" w:type="dxa"/>
            <w:left w:w="108" w:type="dxa"/>
            <w:bottom w:w="0" w:type="dxa"/>
            <w:right w:w="108" w:type="dxa"/>
          </w:tblCellMar>
        </w:tblPrEx>
        <w:trPr>
          <w:trHeight w:val="2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黑体" w:hAnsi="黑体" w:eastAsia="黑体" w:cs="宋体"/>
                <w:b/>
                <w:bCs/>
                <w:kern w:val="0"/>
                <w:sz w:val="18"/>
                <w:szCs w:val="18"/>
              </w:rPr>
            </w:pPr>
            <w:r>
              <w:rPr>
                <w:rFonts w:hint="eastAsia" w:ascii="黑体" w:hAnsi="黑体" w:eastAsia="黑体" w:cs="宋体"/>
                <w:b/>
                <w:bCs/>
                <w:kern w:val="0"/>
                <w:sz w:val="18"/>
                <w:szCs w:val="18"/>
              </w:rPr>
              <w:t>八、道路基础设施建设项目（共</w:t>
            </w:r>
            <w:r>
              <w:rPr>
                <w:rFonts w:eastAsia="黑体"/>
                <w:b/>
                <w:bCs/>
                <w:kern w:val="0"/>
                <w:sz w:val="18"/>
                <w:szCs w:val="18"/>
              </w:rPr>
              <w:t>28</w:t>
            </w:r>
            <w:r>
              <w:rPr>
                <w:rFonts w:hint="eastAsia" w:ascii="黑体" w:hAnsi="黑体" w:eastAsia="黑体" w:cs="宋体"/>
                <w:b/>
                <w:bCs/>
                <w:kern w:val="0"/>
                <w:sz w:val="18"/>
                <w:szCs w:val="18"/>
              </w:rPr>
              <w:t>项，</w:t>
            </w:r>
            <w:r>
              <w:rPr>
                <w:rFonts w:eastAsia="黑体"/>
                <w:b/>
                <w:bCs/>
                <w:kern w:val="0"/>
                <w:sz w:val="18"/>
                <w:szCs w:val="18"/>
              </w:rPr>
              <w:t>2022</w:t>
            </w:r>
            <w:r>
              <w:rPr>
                <w:rFonts w:hint="eastAsia" w:ascii="黑体" w:hAnsi="黑体" w:eastAsia="黑体" w:cs="宋体"/>
                <w:b/>
                <w:bCs/>
                <w:kern w:val="0"/>
                <w:sz w:val="18"/>
                <w:szCs w:val="18"/>
              </w:rPr>
              <w:t>年计划投资</w:t>
            </w:r>
            <w:r>
              <w:rPr>
                <w:rFonts w:eastAsia="黑体"/>
                <w:b/>
                <w:bCs/>
                <w:kern w:val="0"/>
                <w:sz w:val="18"/>
                <w:szCs w:val="18"/>
              </w:rPr>
              <w:t>115567</w:t>
            </w:r>
            <w:r>
              <w:rPr>
                <w:rFonts w:hint="eastAsia" w:ascii="黑体" w:hAnsi="黑体" w:eastAsia="黑体" w:cs="宋体"/>
                <w:b/>
                <w:bCs/>
                <w:kern w:val="0"/>
                <w:sz w:val="18"/>
                <w:szCs w:val="18"/>
              </w:rPr>
              <w:t>万元）</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248052</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97702</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b/>
                <w:bCs/>
                <w:kern w:val="0"/>
                <w:sz w:val="18"/>
                <w:szCs w:val="18"/>
              </w:rPr>
            </w:pPr>
            <w:r>
              <w:rPr>
                <w:rFonts w:eastAsia="仿宋_GB2312"/>
                <w:b/>
                <w:bCs/>
                <w:kern w:val="0"/>
                <w:sz w:val="18"/>
                <w:szCs w:val="18"/>
              </w:rPr>
              <w:t>115567</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69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1</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进行市政道路及配套的综合管线、照明、交通和绿化工程的建设。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8353</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7513</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840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212</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进行市政道路及配套的综合管线、照明、交通和绿化工程的建设。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10766</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9723</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1043</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217</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进行市政道路及配套的综合管线、照明、交通和绿化工程的建设。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2316</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1740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576</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213</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进行市政道路及配套的综合管线、照明、交通和绿化工程的建设。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28459</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22561</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5898</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237</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12336</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7861</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4475</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214</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7432</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3342</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4090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232</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3022</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1712</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1310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235</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2020.03</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10440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6407</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4033</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375</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5488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3422</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2066</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377</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8466</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7206</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1260</w:t>
            </w:r>
          </w:p>
        </w:tc>
      </w:tr>
      <w:tr>
        <w:tblPrEx>
          <w:tblLayout w:type="fixed"/>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79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234</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1910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760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1150</w:t>
            </w:r>
          </w:p>
        </w:tc>
      </w:tr>
      <w:tr>
        <w:tblPrEx>
          <w:tblLayout w:type="fixed"/>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241</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3308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1492</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1816</w:t>
            </w:r>
          </w:p>
        </w:tc>
      </w:tr>
      <w:tr>
        <w:tblPrEx>
          <w:tblLayout w:type="fixed"/>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236</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8275</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3909</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4366</w:t>
            </w:r>
          </w:p>
        </w:tc>
      </w:tr>
      <w:tr>
        <w:tblPrEx>
          <w:tblLayout w:type="fixed"/>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昆安高速下层（</w:t>
            </w:r>
            <w:r>
              <w:rPr>
                <w:rFonts w:eastAsia="仿宋_GB2312"/>
                <w:kern w:val="0"/>
                <w:sz w:val="18"/>
                <w:szCs w:val="18"/>
              </w:rPr>
              <w:t>A</w:t>
            </w:r>
            <w:r>
              <w:rPr>
                <w:rFonts w:hint="eastAsia" w:ascii="仿宋_GB2312" w:hAnsi="宋体" w:eastAsia="仿宋_GB2312" w:cs="宋体"/>
                <w:kern w:val="0"/>
                <w:sz w:val="18"/>
                <w:szCs w:val="18"/>
              </w:rPr>
              <w:t>段）改扩建工程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西山区发展投资集团有限公司</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起于明波立交，止于昆明西管理处，长约</w:t>
            </w:r>
            <w:r>
              <w:rPr>
                <w:rFonts w:eastAsia="仿宋_GB2312"/>
                <w:kern w:val="0"/>
                <w:sz w:val="18"/>
                <w:szCs w:val="18"/>
              </w:rPr>
              <w:t>5900</w:t>
            </w:r>
            <w:r>
              <w:rPr>
                <w:rFonts w:hint="eastAsia" w:ascii="仿宋_GB2312" w:hAnsi="宋体" w:eastAsia="仿宋_GB2312" w:cs="宋体"/>
                <w:kern w:val="0"/>
                <w:sz w:val="18"/>
                <w:szCs w:val="18"/>
              </w:rPr>
              <w:t>米，规划红线宽</w:t>
            </w:r>
            <w:r>
              <w:rPr>
                <w:rFonts w:eastAsia="仿宋_GB2312"/>
                <w:kern w:val="0"/>
                <w:sz w:val="18"/>
                <w:szCs w:val="18"/>
              </w:rPr>
              <w:t>50</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78770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19054</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43975</w:t>
            </w:r>
          </w:p>
        </w:tc>
      </w:tr>
      <w:tr>
        <w:tblPrEx>
          <w:tblLayout w:type="fixed"/>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滇池绿道环湖路王家堆段</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立交南段下层转盘，止于环湖路第一段（高</w:t>
            </w:r>
            <w:r>
              <w:rPr>
                <w:rFonts w:hint="eastAsia" w:ascii="微软雅黑" w:hAnsi="微软雅黑" w:eastAsia="微软雅黑" w:cs="微软雅黑"/>
                <w:kern w:val="0"/>
                <w:sz w:val="18"/>
                <w:szCs w:val="18"/>
              </w:rPr>
              <w:t>峣</w:t>
            </w:r>
            <w:r>
              <w:rPr>
                <w:rFonts w:hint="eastAsia" w:ascii="仿宋_GB2312" w:hAnsi="宋体" w:eastAsia="仿宋_GB2312" w:cs="宋体"/>
                <w:kern w:val="0"/>
                <w:sz w:val="18"/>
                <w:szCs w:val="18"/>
              </w:rPr>
              <w:t>立交北），全长</w:t>
            </w:r>
            <w:r>
              <w:rPr>
                <w:rFonts w:eastAsia="仿宋_GB2312"/>
                <w:kern w:val="0"/>
                <w:sz w:val="18"/>
                <w:szCs w:val="18"/>
              </w:rPr>
              <w:t>2020</w:t>
            </w:r>
            <w:r>
              <w:rPr>
                <w:rFonts w:hint="eastAsia" w:ascii="仿宋_GB2312" w:hAnsi="宋体" w:eastAsia="仿宋_GB2312" w:cs="宋体"/>
                <w:kern w:val="0"/>
                <w:sz w:val="18"/>
                <w:szCs w:val="18"/>
              </w:rPr>
              <w:t>米，规划红线宽</w:t>
            </w:r>
            <w:r>
              <w:rPr>
                <w:rFonts w:eastAsia="仿宋_GB2312"/>
                <w:kern w:val="0"/>
                <w:sz w:val="18"/>
                <w:szCs w:val="18"/>
              </w:rPr>
              <w:t>25</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17198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400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17198</w:t>
            </w:r>
          </w:p>
        </w:tc>
      </w:tr>
      <w:tr>
        <w:tblPrEx>
          <w:tblLayout w:type="fixed"/>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319</w:t>
            </w:r>
            <w:r>
              <w:rPr>
                <w:rFonts w:hint="eastAsia" w:ascii="仿宋_GB2312" w:hAnsi="宋体" w:eastAsia="仿宋_GB2312" w:cs="宋体"/>
                <w:kern w:val="0"/>
                <w:sz w:val="18"/>
                <w:szCs w:val="18"/>
              </w:rPr>
              <w:t>号路西段建设项目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福海街道</w:t>
            </w:r>
            <w:r>
              <w:rPr>
                <w:rFonts w:eastAsia="仿宋_GB2312"/>
                <w:kern w:val="0"/>
                <w:sz w:val="18"/>
                <w:szCs w:val="18"/>
              </w:rPr>
              <w:br w:type="textWrapping"/>
            </w:r>
            <w:r>
              <w:rPr>
                <w:rFonts w:hint="eastAsia" w:ascii="仿宋_GB2312" w:hAnsi="宋体" w:eastAsia="仿宋_GB2312" w:cs="宋体"/>
                <w:kern w:val="0"/>
                <w:sz w:val="18"/>
                <w:szCs w:val="18"/>
              </w:rPr>
              <w:t>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续建</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起于金广路，止于规划</w:t>
            </w:r>
            <w:r>
              <w:rPr>
                <w:rFonts w:eastAsia="仿宋_GB2312"/>
                <w:kern w:val="0"/>
                <w:sz w:val="18"/>
                <w:szCs w:val="18"/>
              </w:rPr>
              <w:t>355</w:t>
            </w:r>
            <w:r>
              <w:rPr>
                <w:rFonts w:hint="eastAsia" w:ascii="仿宋_GB2312" w:hAnsi="宋体" w:eastAsia="仿宋_GB2312" w:cs="宋体"/>
                <w:kern w:val="0"/>
                <w:sz w:val="18"/>
                <w:szCs w:val="18"/>
              </w:rPr>
              <w:t>号路，长</w:t>
            </w:r>
            <w:r>
              <w:rPr>
                <w:rFonts w:eastAsia="仿宋_GB2312"/>
                <w:kern w:val="0"/>
                <w:sz w:val="18"/>
                <w:szCs w:val="18"/>
              </w:rPr>
              <w:t>840</w:t>
            </w:r>
            <w:r>
              <w:rPr>
                <w:rFonts w:hint="eastAsia" w:ascii="仿宋_GB2312" w:hAnsi="宋体" w:eastAsia="仿宋_GB2312" w:cs="宋体"/>
                <w:kern w:val="0"/>
                <w:sz w:val="18"/>
                <w:szCs w:val="18"/>
              </w:rPr>
              <w:t>米，规划红线宽</w:t>
            </w:r>
            <w:r>
              <w:rPr>
                <w:rFonts w:eastAsia="仿宋_GB2312"/>
                <w:kern w:val="0"/>
                <w:sz w:val="18"/>
                <w:szCs w:val="18"/>
              </w:rPr>
              <w:t>15—25</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2020.12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3768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600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3168</w:t>
            </w:r>
          </w:p>
        </w:tc>
      </w:tr>
      <w:tr>
        <w:tblPrEx>
          <w:tblLayout w:type="fixed"/>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50</w:t>
            </w:r>
            <w:r>
              <w:rPr>
                <w:rFonts w:hint="eastAsia" w:ascii="仿宋_GB2312" w:hAnsi="宋体" w:eastAsia="仿宋_GB2312" w:cs="宋体"/>
                <w:kern w:val="0"/>
                <w:sz w:val="18"/>
                <w:szCs w:val="18"/>
              </w:rPr>
              <w:t>号路东段建设项目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起于西园路，止于近华浦路，长</w:t>
            </w:r>
            <w:r>
              <w:rPr>
                <w:rFonts w:eastAsia="仿宋_GB2312"/>
                <w:kern w:val="0"/>
                <w:sz w:val="18"/>
                <w:szCs w:val="18"/>
              </w:rPr>
              <w:t>890</w:t>
            </w:r>
            <w:r>
              <w:rPr>
                <w:rFonts w:hint="eastAsia" w:ascii="仿宋_GB2312" w:hAnsi="宋体" w:eastAsia="仿宋_GB2312" w:cs="宋体"/>
                <w:kern w:val="0"/>
                <w:sz w:val="18"/>
                <w:szCs w:val="18"/>
              </w:rPr>
              <w:t>米，规划红线宽</w:t>
            </w:r>
            <w:r>
              <w:rPr>
                <w:rFonts w:eastAsia="仿宋_GB2312"/>
                <w:kern w:val="0"/>
                <w:sz w:val="18"/>
                <w:szCs w:val="18"/>
              </w:rPr>
              <w:t>15</w:t>
            </w:r>
            <w:r>
              <w:rPr>
                <w:rFonts w:hint="eastAsia" w:ascii="仿宋_GB2312" w:hAnsi="宋体" w:eastAsia="仿宋_GB2312" w:cs="宋体"/>
                <w:kern w:val="0"/>
                <w:sz w:val="18"/>
                <w:szCs w:val="18"/>
              </w:rPr>
              <w:t>至</w:t>
            </w:r>
            <w:r>
              <w:rPr>
                <w:rFonts w:eastAsia="仿宋_GB2312"/>
                <w:kern w:val="0"/>
                <w:sz w:val="18"/>
                <w:szCs w:val="18"/>
              </w:rPr>
              <w:t>25</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3468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3468</w:t>
            </w:r>
          </w:p>
        </w:tc>
      </w:tr>
      <w:tr>
        <w:tblPrEx>
          <w:tblLayout w:type="fixed"/>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249</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起于国安巷，止于丹霞路，长</w:t>
            </w:r>
            <w:r>
              <w:rPr>
                <w:rFonts w:eastAsia="仿宋_GB2312"/>
                <w:kern w:val="0"/>
                <w:sz w:val="18"/>
                <w:szCs w:val="18"/>
              </w:rPr>
              <w:t>750</w:t>
            </w:r>
            <w:r>
              <w:rPr>
                <w:rFonts w:hint="eastAsia" w:ascii="仿宋_GB2312" w:hAnsi="宋体" w:eastAsia="仿宋_GB2312" w:cs="宋体"/>
                <w:kern w:val="0"/>
                <w:sz w:val="18"/>
                <w:szCs w:val="18"/>
              </w:rPr>
              <w:t>米，规划红线宽</w:t>
            </w:r>
            <w:r>
              <w:rPr>
                <w:rFonts w:eastAsia="仿宋_GB2312"/>
                <w:kern w:val="0"/>
                <w:sz w:val="18"/>
                <w:szCs w:val="18"/>
              </w:rPr>
              <w:t>15</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6107</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4072</w:t>
            </w:r>
          </w:p>
        </w:tc>
      </w:tr>
      <w:tr>
        <w:tblPrEx>
          <w:tblLayout w:type="fixed"/>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87</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13</w:t>
            </w:r>
            <w:r>
              <w:rPr>
                <w:rFonts w:hint="eastAsia" w:ascii="仿宋_GB2312" w:hAnsi="宋体" w:eastAsia="仿宋_GB2312" w:cs="宋体"/>
                <w:kern w:val="0"/>
                <w:sz w:val="18"/>
                <w:szCs w:val="18"/>
              </w:rPr>
              <w:t>号路（东段）建设项目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3410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3410</w:t>
            </w:r>
          </w:p>
        </w:tc>
      </w:tr>
      <w:tr>
        <w:tblPrEx>
          <w:tblLayout w:type="fixed"/>
          <w:tblCellMar>
            <w:top w:w="0" w:type="dxa"/>
            <w:left w:w="108" w:type="dxa"/>
            <w:bottom w:w="0" w:type="dxa"/>
            <w:right w:w="108" w:type="dxa"/>
          </w:tblCellMar>
        </w:tblPrEx>
        <w:trPr>
          <w:trHeight w:val="68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88</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1</w:t>
            </w:r>
            <w:r>
              <w:rPr>
                <w:rFonts w:hint="eastAsia" w:ascii="仿宋_GB2312" w:hAnsi="宋体" w:eastAsia="仿宋_GB2312" w:cs="宋体"/>
                <w:kern w:val="0"/>
                <w:sz w:val="18"/>
                <w:szCs w:val="18"/>
              </w:rPr>
              <w:t>号路下穿成昆铁路北段建设项目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起于春雨路，止于成昆铁路，长约</w:t>
            </w:r>
            <w:r>
              <w:rPr>
                <w:rFonts w:eastAsia="仿宋_GB2312"/>
                <w:kern w:val="0"/>
                <w:sz w:val="18"/>
                <w:szCs w:val="18"/>
              </w:rPr>
              <w:t>177</w:t>
            </w:r>
            <w:r>
              <w:rPr>
                <w:rFonts w:hint="eastAsia" w:ascii="仿宋_GB2312" w:hAnsi="宋体" w:eastAsia="仿宋_GB2312" w:cs="宋体"/>
                <w:kern w:val="0"/>
                <w:sz w:val="18"/>
                <w:szCs w:val="18"/>
              </w:rPr>
              <w:t>米，宽</w:t>
            </w:r>
            <w:r>
              <w:rPr>
                <w:rFonts w:eastAsia="仿宋_GB2312"/>
                <w:kern w:val="0"/>
                <w:sz w:val="18"/>
                <w:szCs w:val="18"/>
              </w:rPr>
              <w:t>30</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12410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5000</w:t>
            </w:r>
          </w:p>
        </w:tc>
      </w:tr>
      <w:tr>
        <w:tblPrEx>
          <w:tblLayout w:type="fixed"/>
          <w:tblCellMar>
            <w:top w:w="0" w:type="dxa"/>
            <w:left w:w="108" w:type="dxa"/>
            <w:bottom w:w="0" w:type="dxa"/>
            <w:right w:w="108" w:type="dxa"/>
          </w:tblCellMar>
        </w:tblPrEx>
        <w:trPr>
          <w:trHeight w:val="748"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89</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178</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金碧街道办事处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进行市政道路及配套综合管线、照明、交通和绿化工程建设。</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2023.06</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1175</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1175</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90</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车明路整治工程</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提升改造项目沿线道路通行环境，提升道路路基、路面、排水等设施，完善安全生命防护工程。</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2022.01</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680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680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91</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长坡社区主干道建设项目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碧鸡街道办事处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新开工</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对该段道路进行提升改造，优化排水设施，完善交通安全相关设施。</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2022.06</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500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92</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云山路建设项目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棕树营街道办事处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起于南二环，止于西园路，长</w:t>
            </w:r>
            <w:r>
              <w:rPr>
                <w:rFonts w:eastAsia="仿宋_GB2312"/>
                <w:kern w:val="0"/>
                <w:sz w:val="18"/>
                <w:szCs w:val="18"/>
              </w:rPr>
              <w:t>438</w:t>
            </w:r>
            <w:r>
              <w:rPr>
                <w:rFonts w:hint="eastAsia" w:ascii="仿宋_GB2312" w:hAnsi="宋体" w:eastAsia="仿宋_GB2312" w:cs="宋体"/>
                <w:kern w:val="0"/>
                <w:sz w:val="18"/>
                <w:szCs w:val="18"/>
              </w:rPr>
              <w:t>米，规划红线宽</w:t>
            </w:r>
            <w:r>
              <w:rPr>
                <w:rFonts w:eastAsia="仿宋_GB2312"/>
                <w:kern w:val="0"/>
                <w:sz w:val="18"/>
                <w:szCs w:val="18"/>
              </w:rPr>
              <w:t>20</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2808</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93</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359</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前卫街道办事处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起于绿荫大道，止于规划</w:t>
            </w:r>
            <w:r>
              <w:rPr>
                <w:rFonts w:eastAsia="仿宋_GB2312"/>
                <w:kern w:val="0"/>
                <w:sz w:val="18"/>
                <w:szCs w:val="18"/>
              </w:rPr>
              <w:t>10</w:t>
            </w:r>
            <w:r>
              <w:rPr>
                <w:rFonts w:hint="eastAsia" w:ascii="仿宋_GB2312" w:hAnsi="宋体" w:eastAsia="仿宋_GB2312" w:cs="宋体"/>
                <w:kern w:val="0"/>
                <w:sz w:val="18"/>
                <w:szCs w:val="18"/>
              </w:rPr>
              <w:t>号路，长</w:t>
            </w:r>
            <w:r>
              <w:rPr>
                <w:rFonts w:eastAsia="仿宋_GB2312"/>
                <w:kern w:val="0"/>
                <w:sz w:val="18"/>
                <w:szCs w:val="18"/>
              </w:rPr>
              <w:t>229</w:t>
            </w:r>
            <w:r>
              <w:rPr>
                <w:rFonts w:hint="eastAsia" w:ascii="仿宋_GB2312" w:hAnsi="宋体" w:eastAsia="仿宋_GB2312" w:cs="宋体"/>
                <w:kern w:val="0"/>
                <w:sz w:val="18"/>
                <w:szCs w:val="18"/>
              </w:rPr>
              <w:t>米，规划红线宽</w:t>
            </w:r>
            <w:r>
              <w:rPr>
                <w:rFonts w:eastAsia="仿宋_GB2312"/>
                <w:kern w:val="0"/>
                <w:sz w:val="18"/>
                <w:szCs w:val="18"/>
              </w:rPr>
              <w:t>20</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2104</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94</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规划</w:t>
            </w:r>
            <w:r>
              <w:rPr>
                <w:rFonts w:eastAsia="仿宋_GB2312"/>
                <w:kern w:val="0"/>
                <w:sz w:val="18"/>
                <w:szCs w:val="18"/>
              </w:rPr>
              <w:t>381</w:t>
            </w:r>
            <w:r>
              <w:rPr>
                <w:rFonts w:hint="eastAsia" w:ascii="仿宋_GB2312" w:hAnsi="宋体" w:eastAsia="仿宋_GB2312" w:cs="宋体"/>
                <w:kern w:val="0"/>
                <w:sz w:val="18"/>
                <w:szCs w:val="18"/>
              </w:rPr>
              <w:t>号路建设项目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马街街道办事处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西山区住房和城乡建设局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起于昆州路，止于兴苑路，道路全长</w:t>
            </w:r>
            <w:r>
              <w:rPr>
                <w:rFonts w:eastAsia="仿宋_GB2312"/>
                <w:kern w:val="0"/>
                <w:sz w:val="18"/>
                <w:szCs w:val="18"/>
              </w:rPr>
              <w:t>436</w:t>
            </w:r>
            <w:r>
              <w:rPr>
                <w:rFonts w:hint="eastAsia" w:ascii="仿宋_GB2312" w:hAnsi="宋体" w:eastAsia="仿宋_GB2312" w:cs="宋体"/>
                <w:kern w:val="0"/>
                <w:sz w:val="18"/>
                <w:szCs w:val="18"/>
              </w:rPr>
              <w:t>米，规划红线宽</w:t>
            </w:r>
            <w:r>
              <w:rPr>
                <w:rFonts w:eastAsia="仿宋_GB2312"/>
                <w:kern w:val="0"/>
                <w:sz w:val="18"/>
                <w:szCs w:val="18"/>
              </w:rPr>
              <w:t>15</w:t>
            </w:r>
            <w:r>
              <w:rPr>
                <w:rFonts w:hint="eastAsia" w:ascii="仿宋_GB2312" w:hAnsi="宋体" w:eastAsia="仿宋_GB2312" w:cs="宋体"/>
                <w:kern w:val="0"/>
                <w:sz w:val="18"/>
                <w:szCs w:val="18"/>
              </w:rPr>
              <w:t>米。</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2021.12</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2022.12</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2235</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95</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和平多依至永靖道路建设项目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团结街道办事处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起于团结街道办事处永靖社区杨庄房，止于和平社区小厂村附近，沿现有路基进行硬化，优化片区交通网络。</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1850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r>
      <w:tr>
        <w:tblPrEx>
          <w:tblLayout w:type="fixed"/>
          <w:tblCellMar>
            <w:top w:w="0" w:type="dxa"/>
            <w:left w:w="108" w:type="dxa"/>
            <w:bottom w:w="0" w:type="dxa"/>
            <w:right w:w="108" w:type="dxa"/>
          </w:tblCellMar>
        </w:tblPrEx>
        <w:trPr>
          <w:trHeight w:val="20" w:hRule="atLeast"/>
          <w:jc w:val="center"/>
        </w:trPr>
        <w:tc>
          <w:tcPr>
            <w:tcW w:w="484"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96</w:t>
            </w:r>
          </w:p>
        </w:tc>
        <w:tc>
          <w:tcPr>
            <w:tcW w:w="148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海口片区林海公路建设项目</w:t>
            </w:r>
          </w:p>
        </w:tc>
        <w:tc>
          <w:tcPr>
            <w:tcW w:w="947"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海口街道</w:t>
            </w:r>
            <w:r>
              <w:rPr>
                <w:rFonts w:eastAsia="仿宋_GB2312"/>
                <w:kern w:val="0"/>
                <w:sz w:val="18"/>
                <w:szCs w:val="18"/>
              </w:rPr>
              <w:br w:type="textWrapping"/>
            </w:r>
            <w:r>
              <w:rPr>
                <w:rFonts w:hint="eastAsia" w:ascii="仿宋_GB2312" w:hAnsi="宋体" w:eastAsia="仿宋_GB2312" w:cs="宋体"/>
                <w:kern w:val="0"/>
                <w:sz w:val="18"/>
                <w:szCs w:val="18"/>
              </w:rPr>
              <w:t>办事处</w:t>
            </w:r>
          </w:p>
        </w:tc>
        <w:tc>
          <w:tcPr>
            <w:tcW w:w="1033"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西山区交通运输局</w:t>
            </w:r>
          </w:p>
        </w:tc>
        <w:tc>
          <w:tcPr>
            <w:tcW w:w="135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前期</w:t>
            </w:r>
          </w:p>
        </w:tc>
        <w:tc>
          <w:tcPr>
            <w:tcW w:w="32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rPr>
                <w:rFonts w:ascii="仿宋_GB2312" w:hAnsi="宋体" w:eastAsia="仿宋_GB2312" w:cs="宋体"/>
                <w:kern w:val="0"/>
                <w:sz w:val="18"/>
                <w:szCs w:val="18"/>
              </w:rPr>
            </w:pPr>
            <w:r>
              <w:rPr>
                <w:rFonts w:hint="eastAsia" w:ascii="仿宋_GB2312" w:hAnsi="宋体" w:eastAsia="仿宋_GB2312" w:cs="宋体"/>
                <w:kern w:val="0"/>
                <w:sz w:val="18"/>
                <w:szCs w:val="18"/>
              </w:rPr>
              <w:t>对现有道路进行提升改造，完善交通安全设施，提升道路通行能力。</w:t>
            </w:r>
          </w:p>
        </w:tc>
        <w:tc>
          <w:tcPr>
            <w:tcW w:w="800"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834"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待定</w:t>
            </w:r>
          </w:p>
        </w:tc>
        <w:tc>
          <w:tcPr>
            <w:tcW w:w="766"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1000</w:t>
            </w:r>
          </w:p>
        </w:tc>
        <w:tc>
          <w:tcPr>
            <w:tcW w:w="1888"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kern w:val="0"/>
                <w:sz w:val="18"/>
                <w:szCs w:val="18"/>
              </w:rPr>
            </w:pPr>
            <w:r>
              <w:rPr>
                <w:rFonts w:eastAsia="仿宋_GB2312"/>
                <w:kern w:val="0"/>
                <w:sz w:val="18"/>
                <w:szCs w:val="18"/>
              </w:rPr>
              <w:t>0</w:t>
            </w:r>
          </w:p>
        </w:tc>
        <w:tc>
          <w:tcPr>
            <w:tcW w:w="972" w:type="dxa"/>
            <w:tcBorders>
              <w:top w:val="nil"/>
              <w:left w:val="nil"/>
              <w:bottom w:val="single" w:color="auto" w:sz="4" w:space="0"/>
              <w:right w:val="single" w:color="auto" w:sz="4" w:space="0"/>
            </w:tcBorders>
            <w:shd w:val="clear" w:color="auto" w:fill="auto"/>
            <w:tcMar>
              <w:left w:w="28" w:type="dxa"/>
              <w:right w:w="28" w:type="dxa"/>
            </w:tcMar>
            <w:vAlign w:val="center"/>
          </w:tcPr>
          <w:p>
            <w:pPr>
              <w:widowControl/>
              <w:adjustRightInd w:val="0"/>
              <w:snapToGrid w:val="0"/>
              <w:spacing w:line="240" w:lineRule="atLeast"/>
              <w:jc w:val="center"/>
              <w:rPr>
                <w:rFonts w:eastAsia="仿宋_GB2312"/>
                <w:kern w:val="0"/>
                <w:sz w:val="18"/>
                <w:szCs w:val="18"/>
              </w:rPr>
            </w:pPr>
            <w:r>
              <w:rPr>
                <w:rFonts w:eastAsia="仿宋_GB2312"/>
                <w:kern w:val="0"/>
                <w:sz w:val="18"/>
                <w:szCs w:val="18"/>
              </w:rPr>
              <w:t>0</w:t>
            </w:r>
          </w:p>
        </w:tc>
      </w:tr>
    </w:tbl>
    <w:p>
      <w:pPr>
        <w:widowControl/>
        <w:adjustRightInd w:val="0"/>
        <w:snapToGrid w:val="0"/>
        <w:spacing w:line="440" w:lineRule="exact"/>
        <w:ind w:left="630" w:hanging="630" w:hangingChars="300"/>
        <w:jc w:val="left"/>
        <w:rPr>
          <w:rFonts w:eastAsia="黑体"/>
          <w:sz w:val="24"/>
        </w:rPr>
      </w:pPr>
      <w:r>
        <w:rPr>
          <w:rFonts w:hint="eastAsia" w:eastAsia="黑体" w:cs="宋体"/>
          <w:kern w:val="0"/>
          <w:szCs w:val="18"/>
        </w:rPr>
        <w:t>备注：表内项目中已纳入2021年区计划盘子的项目，名称、建设阶段、计划开竣工时间、计划总投资及2021年计划完成投资等信息已根据实际更新。</w:t>
      </w:r>
    </w:p>
    <w:p>
      <w:pPr>
        <w:topLinePunct/>
        <w:adjustRightInd w:val="0"/>
        <w:snapToGrid w:val="0"/>
        <w:spacing w:line="592" w:lineRule="exact"/>
      </w:pPr>
    </w:p>
    <w:sectPr>
      <w:footerReference r:id="rId12" w:type="default"/>
      <w:footerReference r:id="rId13" w:type="even"/>
      <w:pgSz w:w="16838" w:h="11906" w:orient="landscape"/>
      <w:pgMar w:top="1531" w:right="1928" w:bottom="1531" w:left="1871" w:header="1077"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914277464"/>
    </w:sdtPr>
    <w:sdtEndPr>
      <w:rPr>
        <w:rFonts w:ascii="宋体" w:hAnsi="宋体"/>
        <w:sz w:val="28"/>
        <w:szCs w:val="28"/>
      </w:rPr>
    </w:sdtEndPr>
    <w:sdtContent>
      <w:p>
        <w:pPr>
          <w:pStyle w:val="16"/>
          <w:jc w:val="right"/>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35</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070084457"/>
    </w:sdtPr>
    <w:sdtEndPr>
      <w:rPr>
        <w:rFonts w:ascii="宋体" w:hAnsi="宋体"/>
        <w:sz w:val="28"/>
        <w:szCs w:val="28"/>
      </w:rPr>
    </w:sdtEndPr>
    <w:sdtContent>
      <w:p>
        <w:pPr>
          <w:pStyle w:val="16"/>
          <w:jc w:val="both"/>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34</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881546838"/>
    </w:sdtPr>
    <w:sdtEndPr>
      <w:rPr>
        <w:rFonts w:ascii="宋体" w:hAnsi="宋体"/>
        <w:sz w:val="28"/>
        <w:szCs w:val="28"/>
      </w:rPr>
    </w:sdtEndPr>
    <w:sdtContent>
      <w:p>
        <w:pPr>
          <w:pStyle w:val="16"/>
          <w:jc w:val="center"/>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59</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2131584305"/>
    </w:sdtPr>
    <w:sdtEndPr>
      <w:rPr>
        <w:rFonts w:ascii="宋体" w:hAnsi="宋体"/>
        <w:sz w:val="28"/>
        <w:szCs w:val="28"/>
      </w:rPr>
    </w:sdtEndPr>
    <w:sdtContent>
      <w:p>
        <w:pPr>
          <w:pStyle w:val="16"/>
          <w:jc w:val="center"/>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58</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148014656"/>
      <w:docPartObj>
        <w:docPartGallery w:val="AutoText"/>
      </w:docPartObj>
    </w:sdtPr>
    <w:sdtEndPr>
      <w:rPr>
        <w:rFonts w:ascii="宋体" w:hAnsi="宋体"/>
        <w:sz w:val="28"/>
        <w:szCs w:val="28"/>
      </w:rPr>
    </w:sdtEndPr>
    <w:sdtContent>
      <w:p>
        <w:pPr>
          <w:pStyle w:val="16"/>
          <w:jc w:val="right"/>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67</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2096621537"/>
      <w:docPartObj>
        <w:docPartGallery w:val="AutoText"/>
      </w:docPartObj>
    </w:sdtPr>
    <w:sdtEndPr>
      <w:rPr>
        <w:rFonts w:ascii="宋体" w:hAnsi="宋体"/>
        <w:sz w:val="28"/>
        <w:szCs w:val="28"/>
      </w:rPr>
    </w:sdtEndPr>
    <w:sdtContent>
      <w:p>
        <w:pPr>
          <w:pStyle w:val="16"/>
          <w:jc w:val="both"/>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66</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500164834"/>
      <w:docPartObj>
        <w:docPartGallery w:val="AutoText"/>
      </w:docPartObj>
    </w:sdtPr>
    <w:sdtEndPr>
      <w:rPr>
        <w:rFonts w:ascii="宋体" w:hAnsi="宋体"/>
        <w:sz w:val="28"/>
        <w:szCs w:val="28"/>
      </w:rPr>
    </w:sdtEndPr>
    <w:sdtContent>
      <w:p>
        <w:pPr>
          <w:pStyle w:val="16"/>
          <w:jc w:val="center"/>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97</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279245696"/>
      <w:docPartObj>
        <w:docPartGallery w:val="AutoText"/>
      </w:docPartObj>
    </w:sdtPr>
    <w:sdtEndPr>
      <w:rPr>
        <w:rFonts w:ascii="宋体" w:hAnsi="宋体"/>
        <w:sz w:val="28"/>
        <w:szCs w:val="28"/>
      </w:rPr>
    </w:sdtEndPr>
    <w:sdtContent>
      <w:p>
        <w:pPr>
          <w:pStyle w:val="16"/>
          <w:jc w:val="center"/>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98</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883"/>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AF"/>
    <w:rsid w:val="00001030"/>
    <w:rsid w:val="00005F5B"/>
    <w:rsid w:val="00010FA5"/>
    <w:rsid w:val="00012A41"/>
    <w:rsid w:val="00020092"/>
    <w:rsid w:val="000216F0"/>
    <w:rsid w:val="00021AC5"/>
    <w:rsid w:val="0002471D"/>
    <w:rsid w:val="000255A1"/>
    <w:rsid w:val="00025706"/>
    <w:rsid w:val="000260CE"/>
    <w:rsid w:val="00026B40"/>
    <w:rsid w:val="000305C7"/>
    <w:rsid w:val="00037DB5"/>
    <w:rsid w:val="00050F7B"/>
    <w:rsid w:val="000525FC"/>
    <w:rsid w:val="000543B1"/>
    <w:rsid w:val="00057F2B"/>
    <w:rsid w:val="00063500"/>
    <w:rsid w:val="00070E9E"/>
    <w:rsid w:val="00071B84"/>
    <w:rsid w:val="00072D69"/>
    <w:rsid w:val="00075D6B"/>
    <w:rsid w:val="0009092A"/>
    <w:rsid w:val="000942EB"/>
    <w:rsid w:val="000A0FBE"/>
    <w:rsid w:val="000A2D71"/>
    <w:rsid w:val="000A6B3E"/>
    <w:rsid w:val="000B33E6"/>
    <w:rsid w:val="000C2CB1"/>
    <w:rsid w:val="000C45D8"/>
    <w:rsid w:val="000D254E"/>
    <w:rsid w:val="000D28C5"/>
    <w:rsid w:val="000D6DF0"/>
    <w:rsid w:val="000E108A"/>
    <w:rsid w:val="000F4449"/>
    <w:rsid w:val="000F65A7"/>
    <w:rsid w:val="000F7E3E"/>
    <w:rsid w:val="00100F75"/>
    <w:rsid w:val="00105F5E"/>
    <w:rsid w:val="001062EB"/>
    <w:rsid w:val="00122CDB"/>
    <w:rsid w:val="001241B2"/>
    <w:rsid w:val="0012689E"/>
    <w:rsid w:val="00134384"/>
    <w:rsid w:val="00134FFA"/>
    <w:rsid w:val="00140CF1"/>
    <w:rsid w:val="00141D88"/>
    <w:rsid w:val="00147737"/>
    <w:rsid w:val="00151350"/>
    <w:rsid w:val="0015635B"/>
    <w:rsid w:val="00162136"/>
    <w:rsid w:val="00164F11"/>
    <w:rsid w:val="00165AA0"/>
    <w:rsid w:val="00170ECF"/>
    <w:rsid w:val="00173034"/>
    <w:rsid w:val="00184BA1"/>
    <w:rsid w:val="001A0786"/>
    <w:rsid w:val="001A0BD7"/>
    <w:rsid w:val="001A339A"/>
    <w:rsid w:val="001A3A06"/>
    <w:rsid w:val="001B016B"/>
    <w:rsid w:val="001B16EE"/>
    <w:rsid w:val="001C1BB6"/>
    <w:rsid w:val="001C249D"/>
    <w:rsid w:val="001C5C49"/>
    <w:rsid w:val="001D28B2"/>
    <w:rsid w:val="001D2E8F"/>
    <w:rsid w:val="001D5D51"/>
    <w:rsid w:val="001E34E7"/>
    <w:rsid w:val="001F0C1A"/>
    <w:rsid w:val="001F0C38"/>
    <w:rsid w:val="001F1727"/>
    <w:rsid w:val="002020F5"/>
    <w:rsid w:val="00205383"/>
    <w:rsid w:val="00206136"/>
    <w:rsid w:val="00210B3F"/>
    <w:rsid w:val="00210C6A"/>
    <w:rsid w:val="00212CE5"/>
    <w:rsid w:val="00215C03"/>
    <w:rsid w:val="002164F0"/>
    <w:rsid w:val="00216FF1"/>
    <w:rsid w:val="002172B0"/>
    <w:rsid w:val="0022331E"/>
    <w:rsid w:val="00227D55"/>
    <w:rsid w:val="00231A16"/>
    <w:rsid w:val="00231CAB"/>
    <w:rsid w:val="00235AA9"/>
    <w:rsid w:val="00237C75"/>
    <w:rsid w:val="00241866"/>
    <w:rsid w:val="00243775"/>
    <w:rsid w:val="002445FA"/>
    <w:rsid w:val="00250ED4"/>
    <w:rsid w:val="002519E8"/>
    <w:rsid w:val="00262B8B"/>
    <w:rsid w:val="00263F4A"/>
    <w:rsid w:val="00273AE1"/>
    <w:rsid w:val="0028704D"/>
    <w:rsid w:val="00292A0E"/>
    <w:rsid w:val="0029365C"/>
    <w:rsid w:val="00293ED8"/>
    <w:rsid w:val="002958B9"/>
    <w:rsid w:val="002A0BF8"/>
    <w:rsid w:val="002B2EE7"/>
    <w:rsid w:val="002B3E61"/>
    <w:rsid w:val="002B4591"/>
    <w:rsid w:val="002C131A"/>
    <w:rsid w:val="002C1708"/>
    <w:rsid w:val="002C4D8D"/>
    <w:rsid w:val="002C7FA5"/>
    <w:rsid w:val="002D1B67"/>
    <w:rsid w:val="002D59A9"/>
    <w:rsid w:val="002E0F5E"/>
    <w:rsid w:val="002E39E0"/>
    <w:rsid w:val="002E449A"/>
    <w:rsid w:val="002E6FBA"/>
    <w:rsid w:val="002F05C5"/>
    <w:rsid w:val="002F3ACC"/>
    <w:rsid w:val="002F3F6C"/>
    <w:rsid w:val="002F50D4"/>
    <w:rsid w:val="00303377"/>
    <w:rsid w:val="0030358A"/>
    <w:rsid w:val="003047D5"/>
    <w:rsid w:val="00305378"/>
    <w:rsid w:val="00307BFD"/>
    <w:rsid w:val="003164F5"/>
    <w:rsid w:val="00324F4D"/>
    <w:rsid w:val="00334A34"/>
    <w:rsid w:val="0034443E"/>
    <w:rsid w:val="003472AA"/>
    <w:rsid w:val="00350461"/>
    <w:rsid w:val="0035368B"/>
    <w:rsid w:val="00353BF4"/>
    <w:rsid w:val="00356870"/>
    <w:rsid w:val="0036123A"/>
    <w:rsid w:val="00362FD4"/>
    <w:rsid w:val="00365D73"/>
    <w:rsid w:val="00366F46"/>
    <w:rsid w:val="0037089F"/>
    <w:rsid w:val="00373F58"/>
    <w:rsid w:val="00376EA7"/>
    <w:rsid w:val="00380690"/>
    <w:rsid w:val="00381CF3"/>
    <w:rsid w:val="00393583"/>
    <w:rsid w:val="00396E64"/>
    <w:rsid w:val="003A25B4"/>
    <w:rsid w:val="003A59A0"/>
    <w:rsid w:val="003A7612"/>
    <w:rsid w:val="003B4B40"/>
    <w:rsid w:val="003B5861"/>
    <w:rsid w:val="003B7D5A"/>
    <w:rsid w:val="003C1FC8"/>
    <w:rsid w:val="003D320E"/>
    <w:rsid w:val="003D5F06"/>
    <w:rsid w:val="003D620B"/>
    <w:rsid w:val="003E1211"/>
    <w:rsid w:val="003E393E"/>
    <w:rsid w:val="003E5080"/>
    <w:rsid w:val="003F0B32"/>
    <w:rsid w:val="003F1591"/>
    <w:rsid w:val="003F2BD0"/>
    <w:rsid w:val="003F4E5E"/>
    <w:rsid w:val="003F6BB1"/>
    <w:rsid w:val="00400B53"/>
    <w:rsid w:val="00401AFD"/>
    <w:rsid w:val="004031E7"/>
    <w:rsid w:val="00404D11"/>
    <w:rsid w:val="004133FA"/>
    <w:rsid w:val="00414B02"/>
    <w:rsid w:val="00422B91"/>
    <w:rsid w:val="00424911"/>
    <w:rsid w:val="004249B2"/>
    <w:rsid w:val="0042582E"/>
    <w:rsid w:val="00433C3C"/>
    <w:rsid w:val="00437475"/>
    <w:rsid w:val="00437BA3"/>
    <w:rsid w:val="00444931"/>
    <w:rsid w:val="00450657"/>
    <w:rsid w:val="00460652"/>
    <w:rsid w:val="00461998"/>
    <w:rsid w:val="00462DF3"/>
    <w:rsid w:val="00471469"/>
    <w:rsid w:val="00482BA0"/>
    <w:rsid w:val="00483F16"/>
    <w:rsid w:val="00484510"/>
    <w:rsid w:val="00486725"/>
    <w:rsid w:val="00497B53"/>
    <w:rsid w:val="004A0C8D"/>
    <w:rsid w:val="004A60D3"/>
    <w:rsid w:val="004B05AB"/>
    <w:rsid w:val="004B417A"/>
    <w:rsid w:val="004B4736"/>
    <w:rsid w:val="004C00C3"/>
    <w:rsid w:val="004C2859"/>
    <w:rsid w:val="004C6808"/>
    <w:rsid w:val="004C694B"/>
    <w:rsid w:val="004D3073"/>
    <w:rsid w:val="004D727D"/>
    <w:rsid w:val="004D73DD"/>
    <w:rsid w:val="004E2503"/>
    <w:rsid w:val="004E3244"/>
    <w:rsid w:val="004E468E"/>
    <w:rsid w:val="004E7962"/>
    <w:rsid w:val="004F0068"/>
    <w:rsid w:val="004F2DD4"/>
    <w:rsid w:val="004F4AD8"/>
    <w:rsid w:val="004F5DE8"/>
    <w:rsid w:val="00500143"/>
    <w:rsid w:val="00505D1E"/>
    <w:rsid w:val="00507EDD"/>
    <w:rsid w:val="00514B86"/>
    <w:rsid w:val="0051500C"/>
    <w:rsid w:val="00520DF4"/>
    <w:rsid w:val="005214EA"/>
    <w:rsid w:val="00521E89"/>
    <w:rsid w:val="005230EB"/>
    <w:rsid w:val="0053388D"/>
    <w:rsid w:val="00533A2C"/>
    <w:rsid w:val="005424C2"/>
    <w:rsid w:val="00543B35"/>
    <w:rsid w:val="0054572B"/>
    <w:rsid w:val="005501F3"/>
    <w:rsid w:val="00560DF0"/>
    <w:rsid w:val="00565097"/>
    <w:rsid w:val="00566203"/>
    <w:rsid w:val="00572930"/>
    <w:rsid w:val="00575525"/>
    <w:rsid w:val="005775A7"/>
    <w:rsid w:val="005849C9"/>
    <w:rsid w:val="00587FE9"/>
    <w:rsid w:val="00593BC0"/>
    <w:rsid w:val="00594CB7"/>
    <w:rsid w:val="00595547"/>
    <w:rsid w:val="00595FE3"/>
    <w:rsid w:val="005A0F41"/>
    <w:rsid w:val="005A1C67"/>
    <w:rsid w:val="005A5CA8"/>
    <w:rsid w:val="005A6B0D"/>
    <w:rsid w:val="005B7952"/>
    <w:rsid w:val="005C5309"/>
    <w:rsid w:val="005D43B4"/>
    <w:rsid w:val="005E5D20"/>
    <w:rsid w:val="005F3F8A"/>
    <w:rsid w:val="005F44CC"/>
    <w:rsid w:val="005F551C"/>
    <w:rsid w:val="00600949"/>
    <w:rsid w:val="00605627"/>
    <w:rsid w:val="0060613E"/>
    <w:rsid w:val="0061167B"/>
    <w:rsid w:val="00620000"/>
    <w:rsid w:val="0062534B"/>
    <w:rsid w:val="006328F3"/>
    <w:rsid w:val="006335AF"/>
    <w:rsid w:val="006360C6"/>
    <w:rsid w:val="00642606"/>
    <w:rsid w:val="006452A3"/>
    <w:rsid w:val="006563D7"/>
    <w:rsid w:val="00656D7F"/>
    <w:rsid w:val="006572FD"/>
    <w:rsid w:val="00662057"/>
    <w:rsid w:val="00665570"/>
    <w:rsid w:val="006668D9"/>
    <w:rsid w:val="00671FB5"/>
    <w:rsid w:val="00675A75"/>
    <w:rsid w:val="006771C5"/>
    <w:rsid w:val="00680172"/>
    <w:rsid w:val="00687AAB"/>
    <w:rsid w:val="006938D4"/>
    <w:rsid w:val="006949CB"/>
    <w:rsid w:val="006C0A07"/>
    <w:rsid w:val="006C25AD"/>
    <w:rsid w:val="006C4808"/>
    <w:rsid w:val="006D1AE4"/>
    <w:rsid w:val="006D2E99"/>
    <w:rsid w:val="006D4CB1"/>
    <w:rsid w:val="006E08E7"/>
    <w:rsid w:val="006E2ED8"/>
    <w:rsid w:val="006E6102"/>
    <w:rsid w:val="00711E5C"/>
    <w:rsid w:val="00713D5D"/>
    <w:rsid w:val="00714968"/>
    <w:rsid w:val="00717161"/>
    <w:rsid w:val="007177D9"/>
    <w:rsid w:val="00721F9A"/>
    <w:rsid w:val="007263E4"/>
    <w:rsid w:val="00730F1D"/>
    <w:rsid w:val="0073437B"/>
    <w:rsid w:val="007347CC"/>
    <w:rsid w:val="00734DC8"/>
    <w:rsid w:val="00744408"/>
    <w:rsid w:val="00747D30"/>
    <w:rsid w:val="00756F99"/>
    <w:rsid w:val="00757FE6"/>
    <w:rsid w:val="00763AC5"/>
    <w:rsid w:val="007653DF"/>
    <w:rsid w:val="00782B93"/>
    <w:rsid w:val="007909DE"/>
    <w:rsid w:val="00796787"/>
    <w:rsid w:val="00796967"/>
    <w:rsid w:val="00796DB4"/>
    <w:rsid w:val="00797BEE"/>
    <w:rsid w:val="007A080E"/>
    <w:rsid w:val="007B4E97"/>
    <w:rsid w:val="007B576D"/>
    <w:rsid w:val="007C2DAC"/>
    <w:rsid w:val="007D0938"/>
    <w:rsid w:val="007D4FE4"/>
    <w:rsid w:val="007E25FE"/>
    <w:rsid w:val="007E6AE7"/>
    <w:rsid w:val="007E7450"/>
    <w:rsid w:val="007F023A"/>
    <w:rsid w:val="007F34D8"/>
    <w:rsid w:val="007F49DA"/>
    <w:rsid w:val="00800FE5"/>
    <w:rsid w:val="0080488C"/>
    <w:rsid w:val="00806103"/>
    <w:rsid w:val="008065D0"/>
    <w:rsid w:val="00816312"/>
    <w:rsid w:val="00822D15"/>
    <w:rsid w:val="008243DD"/>
    <w:rsid w:val="00827268"/>
    <w:rsid w:val="00832364"/>
    <w:rsid w:val="00832E2B"/>
    <w:rsid w:val="00834F55"/>
    <w:rsid w:val="00837381"/>
    <w:rsid w:val="00842B21"/>
    <w:rsid w:val="00846950"/>
    <w:rsid w:val="00846B01"/>
    <w:rsid w:val="0085059A"/>
    <w:rsid w:val="00857C3C"/>
    <w:rsid w:val="008606A0"/>
    <w:rsid w:val="00862CE0"/>
    <w:rsid w:val="008631C2"/>
    <w:rsid w:val="00864F92"/>
    <w:rsid w:val="00866687"/>
    <w:rsid w:val="00867679"/>
    <w:rsid w:val="00871C89"/>
    <w:rsid w:val="00872DFF"/>
    <w:rsid w:val="008738A4"/>
    <w:rsid w:val="008766DE"/>
    <w:rsid w:val="00876AC4"/>
    <w:rsid w:val="008814AE"/>
    <w:rsid w:val="00882916"/>
    <w:rsid w:val="008833A1"/>
    <w:rsid w:val="008839D2"/>
    <w:rsid w:val="00883D95"/>
    <w:rsid w:val="008847C9"/>
    <w:rsid w:val="008878EF"/>
    <w:rsid w:val="0089178D"/>
    <w:rsid w:val="008917BF"/>
    <w:rsid w:val="008923B6"/>
    <w:rsid w:val="008934B4"/>
    <w:rsid w:val="008A1D37"/>
    <w:rsid w:val="008A66AF"/>
    <w:rsid w:val="008A7077"/>
    <w:rsid w:val="008A79CA"/>
    <w:rsid w:val="008B5832"/>
    <w:rsid w:val="008C4107"/>
    <w:rsid w:val="008C4792"/>
    <w:rsid w:val="008E0785"/>
    <w:rsid w:val="008E2121"/>
    <w:rsid w:val="008E2B37"/>
    <w:rsid w:val="008E3382"/>
    <w:rsid w:val="008E4A1F"/>
    <w:rsid w:val="008E5745"/>
    <w:rsid w:val="008F1CFF"/>
    <w:rsid w:val="008F36CA"/>
    <w:rsid w:val="008F5E2F"/>
    <w:rsid w:val="00900153"/>
    <w:rsid w:val="00905C45"/>
    <w:rsid w:val="0090647B"/>
    <w:rsid w:val="0091766A"/>
    <w:rsid w:val="00931027"/>
    <w:rsid w:val="009314D3"/>
    <w:rsid w:val="00931FF1"/>
    <w:rsid w:val="009323AF"/>
    <w:rsid w:val="00933BAC"/>
    <w:rsid w:val="0093569E"/>
    <w:rsid w:val="00942E60"/>
    <w:rsid w:val="009466DA"/>
    <w:rsid w:val="00954A96"/>
    <w:rsid w:val="009555C1"/>
    <w:rsid w:val="00962BCA"/>
    <w:rsid w:val="0096381F"/>
    <w:rsid w:val="00966B46"/>
    <w:rsid w:val="00972249"/>
    <w:rsid w:val="00972BC6"/>
    <w:rsid w:val="00981D21"/>
    <w:rsid w:val="00986CDA"/>
    <w:rsid w:val="00987171"/>
    <w:rsid w:val="0099061A"/>
    <w:rsid w:val="00993E9C"/>
    <w:rsid w:val="009940FE"/>
    <w:rsid w:val="00996337"/>
    <w:rsid w:val="009B6254"/>
    <w:rsid w:val="009B67E3"/>
    <w:rsid w:val="009B74B4"/>
    <w:rsid w:val="009C6F69"/>
    <w:rsid w:val="009D0861"/>
    <w:rsid w:val="009D36F7"/>
    <w:rsid w:val="009D483A"/>
    <w:rsid w:val="009D6367"/>
    <w:rsid w:val="009D77A1"/>
    <w:rsid w:val="009E1987"/>
    <w:rsid w:val="009E1D06"/>
    <w:rsid w:val="009E2CB6"/>
    <w:rsid w:val="009F1FEE"/>
    <w:rsid w:val="009F62A0"/>
    <w:rsid w:val="009F7FFA"/>
    <w:rsid w:val="00A04A39"/>
    <w:rsid w:val="00A050BF"/>
    <w:rsid w:val="00A132F8"/>
    <w:rsid w:val="00A13560"/>
    <w:rsid w:val="00A1392E"/>
    <w:rsid w:val="00A14DE4"/>
    <w:rsid w:val="00A20EE8"/>
    <w:rsid w:val="00A21BB6"/>
    <w:rsid w:val="00A21EAE"/>
    <w:rsid w:val="00A2636F"/>
    <w:rsid w:val="00A34480"/>
    <w:rsid w:val="00A349B0"/>
    <w:rsid w:val="00A35A83"/>
    <w:rsid w:val="00A35E57"/>
    <w:rsid w:val="00A3642B"/>
    <w:rsid w:val="00A3778D"/>
    <w:rsid w:val="00A43F83"/>
    <w:rsid w:val="00A5068A"/>
    <w:rsid w:val="00A532E5"/>
    <w:rsid w:val="00A61735"/>
    <w:rsid w:val="00A6223B"/>
    <w:rsid w:val="00A6332C"/>
    <w:rsid w:val="00A66983"/>
    <w:rsid w:val="00A6750D"/>
    <w:rsid w:val="00A70275"/>
    <w:rsid w:val="00A72094"/>
    <w:rsid w:val="00A73825"/>
    <w:rsid w:val="00A827C1"/>
    <w:rsid w:val="00A83DDC"/>
    <w:rsid w:val="00A857EC"/>
    <w:rsid w:val="00A859FE"/>
    <w:rsid w:val="00A92D01"/>
    <w:rsid w:val="00AA6B5B"/>
    <w:rsid w:val="00AB0E32"/>
    <w:rsid w:val="00AB1193"/>
    <w:rsid w:val="00AB35C0"/>
    <w:rsid w:val="00AC3DB6"/>
    <w:rsid w:val="00AD7CC1"/>
    <w:rsid w:val="00AE3A18"/>
    <w:rsid w:val="00AE58A8"/>
    <w:rsid w:val="00AF4685"/>
    <w:rsid w:val="00AF7B2E"/>
    <w:rsid w:val="00B07360"/>
    <w:rsid w:val="00B120B8"/>
    <w:rsid w:val="00B161D6"/>
    <w:rsid w:val="00B212CF"/>
    <w:rsid w:val="00B22242"/>
    <w:rsid w:val="00B370CA"/>
    <w:rsid w:val="00B477CA"/>
    <w:rsid w:val="00B511BF"/>
    <w:rsid w:val="00B52EA5"/>
    <w:rsid w:val="00B57B36"/>
    <w:rsid w:val="00B624F1"/>
    <w:rsid w:val="00B63534"/>
    <w:rsid w:val="00B72125"/>
    <w:rsid w:val="00B7379B"/>
    <w:rsid w:val="00B73805"/>
    <w:rsid w:val="00B75116"/>
    <w:rsid w:val="00B759B1"/>
    <w:rsid w:val="00B77652"/>
    <w:rsid w:val="00B8126B"/>
    <w:rsid w:val="00BA303E"/>
    <w:rsid w:val="00BA3472"/>
    <w:rsid w:val="00BA63A2"/>
    <w:rsid w:val="00BB18E9"/>
    <w:rsid w:val="00BB7B55"/>
    <w:rsid w:val="00BB7BB1"/>
    <w:rsid w:val="00BC0E42"/>
    <w:rsid w:val="00BC7781"/>
    <w:rsid w:val="00BD452C"/>
    <w:rsid w:val="00BD4D3F"/>
    <w:rsid w:val="00BD4F42"/>
    <w:rsid w:val="00BD638C"/>
    <w:rsid w:val="00BE15C2"/>
    <w:rsid w:val="00BE1DDF"/>
    <w:rsid w:val="00BE1FDD"/>
    <w:rsid w:val="00BE29C4"/>
    <w:rsid w:val="00BE4284"/>
    <w:rsid w:val="00BE631E"/>
    <w:rsid w:val="00BF0BDD"/>
    <w:rsid w:val="00C0205A"/>
    <w:rsid w:val="00C021FF"/>
    <w:rsid w:val="00C022F2"/>
    <w:rsid w:val="00C023CA"/>
    <w:rsid w:val="00C03F1C"/>
    <w:rsid w:val="00C06951"/>
    <w:rsid w:val="00C144EC"/>
    <w:rsid w:val="00C329B4"/>
    <w:rsid w:val="00C33BE5"/>
    <w:rsid w:val="00C369F6"/>
    <w:rsid w:val="00C50A6A"/>
    <w:rsid w:val="00C512AF"/>
    <w:rsid w:val="00C51FE4"/>
    <w:rsid w:val="00C56FA2"/>
    <w:rsid w:val="00C6115D"/>
    <w:rsid w:val="00C73FC4"/>
    <w:rsid w:val="00C75852"/>
    <w:rsid w:val="00C76AFF"/>
    <w:rsid w:val="00C76BD0"/>
    <w:rsid w:val="00C805CD"/>
    <w:rsid w:val="00C81FE6"/>
    <w:rsid w:val="00C8364F"/>
    <w:rsid w:val="00C83BBC"/>
    <w:rsid w:val="00C83F92"/>
    <w:rsid w:val="00C85600"/>
    <w:rsid w:val="00C87156"/>
    <w:rsid w:val="00C9350B"/>
    <w:rsid w:val="00C93751"/>
    <w:rsid w:val="00C93C28"/>
    <w:rsid w:val="00C94FE7"/>
    <w:rsid w:val="00C95400"/>
    <w:rsid w:val="00C96B5B"/>
    <w:rsid w:val="00CA0106"/>
    <w:rsid w:val="00CA1125"/>
    <w:rsid w:val="00CB3860"/>
    <w:rsid w:val="00CB5A51"/>
    <w:rsid w:val="00CB5A9C"/>
    <w:rsid w:val="00CB6416"/>
    <w:rsid w:val="00CC1C3D"/>
    <w:rsid w:val="00CC3E7E"/>
    <w:rsid w:val="00CC5517"/>
    <w:rsid w:val="00CC781A"/>
    <w:rsid w:val="00CD043B"/>
    <w:rsid w:val="00CD2F01"/>
    <w:rsid w:val="00CD35E4"/>
    <w:rsid w:val="00CE4AAA"/>
    <w:rsid w:val="00CF0045"/>
    <w:rsid w:val="00CF3B9F"/>
    <w:rsid w:val="00CF6F85"/>
    <w:rsid w:val="00CF7412"/>
    <w:rsid w:val="00D04111"/>
    <w:rsid w:val="00D12D04"/>
    <w:rsid w:val="00D169FC"/>
    <w:rsid w:val="00D17E75"/>
    <w:rsid w:val="00D245FE"/>
    <w:rsid w:val="00D27D22"/>
    <w:rsid w:val="00D346EC"/>
    <w:rsid w:val="00D41526"/>
    <w:rsid w:val="00D41E60"/>
    <w:rsid w:val="00D47C6B"/>
    <w:rsid w:val="00D47E79"/>
    <w:rsid w:val="00D5314B"/>
    <w:rsid w:val="00D538BE"/>
    <w:rsid w:val="00D54FC7"/>
    <w:rsid w:val="00D60F2D"/>
    <w:rsid w:val="00D67926"/>
    <w:rsid w:val="00D717DF"/>
    <w:rsid w:val="00D72041"/>
    <w:rsid w:val="00D817F1"/>
    <w:rsid w:val="00D819DF"/>
    <w:rsid w:val="00D81F46"/>
    <w:rsid w:val="00D82806"/>
    <w:rsid w:val="00D946C1"/>
    <w:rsid w:val="00D96AFC"/>
    <w:rsid w:val="00D97D2D"/>
    <w:rsid w:val="00DA7E9B"/>
    <w:rsid w:val="00DB3542"/>
    <w:rsid w:val="00DB3898"/>
    <w:rsid w:val="00DC584C"/>
    <w:rsid w:val="00DC748E"/>
    <w:rsid w:val="00DD3C3F"/>
    <w:rsid w:val="00DD7CAA"/>
    <w:rsid w:val="00DE37AD"/>
    <w:rsid w:val="00DF4CE0"/>
    <w:rsid w:val="00DF5666"/>
    <w:rsid w:val="00DF74BE"/>
    <w:rsid w:val="00E03D07"/>
    <w:rsid w:val="00E07279"/>
    <w:rsid w:val="00E1095A"/>
    <w:rsid w:val="00E111B2"/>
    <w:rsid w:val="00E239EF"/>
    <w:rsid w:val="00E2477D"/>
    <w:rsid w:val="00E24A0E"/>
    <w:rsid w:val="00E33AA4"/>
    <w:rsid w:val="00E33DD3"/>
    <w:rsid w:val="00E35EBF"/>
    <w:rsid w:val="00E370C8"/>
    <w:rsid w:val="00E37EE4"/>
    <w:rsid w:val="00E406C3"/>
    <w:rsid w:val="00E44676"/>
    <w:rsid w:val="00E4593B"/>
    <w:rsid w:val="00E540E7"/>
    <w:rsid w:val="00E61097"/>
    <w:rsid w:val="00E64509"/>
    <w:rsid w:val="00E700A2"/>
    <w:rsid w:val="00E75951"/>
    <w:rsid w:val="00E808A4"/>
    <w:rsid w:val="00E84D0D"/>
    <w:rsid w:val="00E869A4"/>
    <w:rsid w:val="00E95CB0"/>
    <w:rsid w:val="00EA726F"/>
    <w:rsid w:val="00EB0C11"/>
    <w:rsid w:val="00EB421E"/>
    <w:rsid w:val="00EB508E"/>
    <w:rsid w:val="00EC37C9"/>
    <w:rsid w:val="00EC530D"/>
    <w:rsid w:val="00ED1D52"/>
    <w:rsid w:val="00ED4239"/>
    <w:rsid w:val="00EE12EE"/>
    <w:rsid w:val="00EE1B96"/>
    <w:rsid w:val="00EE3D45"/>
    <w:rsid w:val="00EF223F"/>
    <w:rsid w:val="00EF4774"/>
    <w:rsid w:val="00EF4D07"/>
    <w:rsid w:val="00F017F2"/>
    <w:rsid w:val="00F01A05"/>
    <w:rsid w:val="00F02421"/>
    <w:rsid w:val="00F04B97"/>
    <w:rsid w:val="00F0530D"/>
    <w:rsid w:val="00F21215"/>
    <w:rsid w:val="00F31738"/>
    <w:rsid w:val="00F3286C"/>
    <w:rsid w:val="00F3332D"/>
    <w:rsid w:val="00F433B5"/>
    <w:rsid w:val="00F541B2"/>
    <w:rsid w:val="00F5729B"/>
    <w:rsid w:val="00F6078A"/>
    <w:rsid w:val="00F6133B"/>
    <w:rsid w:val="00F64B16"/>
    <w:rsid w:val="00F6617B"/>
    <w:rsid w:val="00F66A5A"/>
    <w:rsid w:val="00F728FE"/>
    <w:rsid w:val="00F80416"/>
    <w:rsid w:val="00F86EFB"/>
    <w:rsid w:val="00F87D07"/>
    <w:rsid w:val="00F90914"/>
    <w:rsid w:val="00F90E88"/>
    <w:rsid w:val="00F91B08"/>
    <w:rsid w:val="00F938F8"/>
    <w:rsid w:val="00F944C3"/>
    <w:rsid w:val="00FA5376"/>
    <w:rsid w:val="00FA75FA"/>
    <w:rsid w:val="00FB0CE4"/>
    <w:rsid w:val="00FB1349"/>
    <w:rsid w:val="00FB758C"/>
    <w:rsid w:val="00FD24FC"/>
    <w:rsid w:val="00FD74B9"/>
    <w:rsid w:val="00FE48F1"/>
    <w:rsid w:val="00FF0C45"/>
    <w:rsid w:val="00FF4543"/>
    <w:rsid w:val="00FF7C31"/>
    <w:rsid w:val="01026EC1"/>
    <w:rsid w:val="010774BC"/>
    <w:rsid w:val="01092223"/>
    <w:rsid w:val="010A023A"/>
    <w:rsid w:val="01145609"/>
    <w:rsid w:val="0117756E"/>
    <w:rsid w:val="011E1557"/>
    <w:rsid w:val="01200F7F"/>
    <w:rsid w:val="0120514F"/>
    <w:rsid w:val="012514B4"/>
    <w:rsid w:val="012934BC"/>
    <w:rsid w:val="01321F01"/>
    <w:rsid w:val="014452C2"/>
    <w:rsid w:val="014F03EF"/>
    <w:rsid w:val="01541FBE"/>
    <w:rsid w:val="015E3F6E"/>
    <w:rsid w:val="015F1C90"/>
    <w:rsid w:val="01634FD6"/>
    <w:rsid w:val="016D5065"/>
    <w:rsid w:val="01785041"/>
    <w:rsid w:val="017A1C0E"/>
    <w:rsid w:val="017B49C5"/>
    <w:rsid w:val="017E67AA"/>
    <w:rsid w:val="01822DE8"/>
    <w:rsid w:val="01A81D45"/>
    <w:rsid w:val="01B0203E"/>
    <w:rsid w:val="01B1710C"/>
    <w:rsid w:val="01B6585B"/>
    <w:rsid w:val="01B80B75"/>
    <w:rsid w:val="01BA0F97"/>
    <w:rsid w:val="01BA7B9A"/>
    <w:rsid w:val="01C14B70"/>
    <w:rsid w:val="01C40374"/>
    <w:rsid w:val="01D13E3F"/>
    <w:rsid w:val="01D97225"/>
    <w:rsid w:val="01DA3C8F"/>
    <w:rsid w:val="01DF0012"/>
    <w:rsid w:val="01E86D6B"/>
    <w:rsid w:val="01F40F97"/>
    <w:rsid w:val="01F4318E"/>
    <w:rsid w:val="01FB32CD"/>
    <w:rsid w:val="01FF510F"/>
    <w:rsid w:val="0200793B"/>
    <w:rsid w:val="020753BB"/>
    <w:rsid w:val="02095EB5"/>
    <w:rsid w:val="020C29E1"/>
    <w:rsid w:val="020D4BE9"/>
    <w:rsid w:val="02126856"/>
    <w:rsid w:val="02164BC3"/>
    <w:rsid w:val="02281782"/>
    <w:rsid w:val="022B1049"/>
    <w:rsid w:val="022C309B"/>
    <w:rsid w:val="023172DE"/>
    <w:rsid w:val="02377ECB"/>
    <w:rsid w:val="023C463F"/>
    <w:rsid w:val="02427742"/>
    <w:rsid w:val="025B006C"/>
    <w:rsid w:val="025C7268"/>
    <w:rsid w:val="02643FFA"/>
    <w:rsid w:val="02655D23"/>
    <w:rsid w:val="02671896"/>
    <w:rsid w:val="027F4C62"/>
    <w:rsid w:val="02860FA6"/>
    <w:rsid w:val="028D5FF5"/>
    <w:rsid w:val="028D6BB0"/>
    <w:rsid w:val="028F549D"/>
    <w:rsid w:val="02B074AC"/>
    <w:rsid w:val="02B23206"/>
    <w:rsid w:val="02B50726"/>
    <w:rsid w:val="02C12DD0"/>
    <w:rsid w:val="02C84D35"/>
    <w:rsid w:val="02CB619B"/>
    <w:rsid w:val="02D23086"/>
    <w:rsid w:val="02D40D08"/>
    <w:rsid w:val="02D70181"/>
    <w:rsid w:val="02E00EC5"/>
    <w:rsid w:val="02E0245C"/>
    <w:rsid w:val="02EC4FAD"/>
    <w:rsid w:val="02EE77A7"/>
    <w:rsid w:val="02F32963"/>
    <w:rsid w:val="02FE08D3"/>
    <w:rsid w:val="03004366"/>
    <w:rsid w:val="03060313"/>
    <w:rsid w:val="030E564C"/>
    <w:rsid w:val="03114809"/>
    <w:rsid w:val="0315369A"/>
    <w:rsid w:val="032529E0"/>
    <w:rsid w:val="032B09E8"/>
    <w:rsid w:val="034F3FBF"/>
    <w:rsid w:val="035F3B05"/>
    <w:rsid w:val="03602F97"/>
    <w:rsid w:val="036035DD"/>
    <w:rsid w:val="036702E8"/>
    <w:rsid w:val="03740B14"/>
    <w:rsid w:val="037F2106"/>
    <w:rsid w:val="037F6A2D"/>
    <w:rsid w:val="03857B78"/>
    <w:rsid w:val="03894968"/>
    <w:rsid w:val="038C195D"/>
    <w:rsid w:val="039571B7"/>
    <w:rsid w:val="03984532"/>
    <w:rsid w:val="03A07894"/>
    <w:rsid w:val="03A50481"/>
    <w:rsid w:val="03B05DD2"/>
    <w:rsid w:val="03C3303C"/>
    <w:rsid w:val="03C874C4"/>
    <w:rsid w:val="03CC1A1D"/>
    <w:rsid w:val="03D012E4"/>
    <w:rsid w:val="03D441D5"/>
    <w:rsid w:val="03DA023E"/>
    <w:rsid w:val="03DB3612"/>
    <w:rsid w:val="03DC6B24"/>
    <w:rsid w:val="03DD4B87"/>
    <w:rsid w:val="03EA1205"/>
    <w:rsid w:val="03F00C8B"/>
    <w:rsid w:val="03F6755F"/>
    <w:rsid w:val="03FC679C"/>
    <w:rsid w:val="03FE7F02"/>
    <w:rsid w:val="04012B21"/>
    <w:rsid w:val="04092B13"/>
    <w:rsid w:val="040B3ACC"/>
    <w:rsid w:val="040F287A"/>
    <w:rsid w:val="04157B9F"/>
    <w:rsid w:val="04180548"/>
    <w:rsid w:val="04185B16"/>
    <w:rsid w:val="041B66FC"/>
    <w:rsid w:val="041B7BC0"/>
    <w:rsid w:val="041C50DD"/>
    <w:rsid w:val="041F5699"/>
    <w:rsid w:val="042E658F"/>
    <w:rsid w:val="042F10F4"/>
    <w:rsid w:val="043652EB"/>
    <w:rsid w:val="04410970"/>
    <w:rsid w:val="044D3E4A"/>
    <w:rsid w:val="045B098B"/>
    <w:rsid w:val="046B652A"/>
    <w:rsid w:val="04783F01"/>
    <w:rsid w:val="04797431"/>
    <w:rsid w:val="048C5A1D"/>
    <w:rsid w:val="04910F9C"/>
    <w:rsid w:val="04922399"/>
    <w:rsid w:val="0499577F"/>
    <w:rsid w:val="049F3CA4"/>
    <w:rsid w:val="049F4811"/>
    <w:rsid w:val="04A72ACB"/>
    <w:rsid w:val="04A953A6"/>
    <w:rsid w:val="04B37604"/>
    <w:rsid w:val="04BF6DF4"/>
    <w:rsid w:val="04C23D64"/>
    <w:rsid w:val="04C62156"/>
    <w:rsid w:val="04C9714B"/>
    <w:rsid w:val="04CD413F"/>
    <w:rsid w:val="04D1392E"/>
    <w:rsid w:val="04D60F61"/>
    <w:rsid w:val="04E56663"/>
    <w:rsid w:val="04EA1055"/>
    <w:rsid w:val="04F51EB3"/>
    <w:rsid w:val="04F60A45"/>
    <w:rsid w:val="04FF30C4"/>
    <w:rsid w:val="05040EF1"/>
    <w:rsid w:val="05087503"/>
    <w:rsid w:val="050C42D8"/>
    <w:rsid w:val="051A57EC"/>
    <w:rsid w:val="051F7A75"/>
    <w:rsid w:val="052A55C1"/>
    <w:rsid w:val="05333B84"/>
    <w:rsid w:val="05360233"/>
    <w:rsid w:val="05447CB5"/>
    <w:rsid w:val="054808CC"/>
    <w:rsid w:val="0549413D"/>
    <w:rsid w:val="054B552D"/>
    <w:rsid w:val="054B75F6"/>
    <w:rsid w:val="054F0E3B"/>
    <w:rsid w:val="05507FD6"/>
    <w:rsid w:val="05571F68"/>
    <w:rsid w:val="05597B30"/>
    <w:rsid w:val="056A4F7D"/>
    <w:rsid w:val="056E3497"/>
    <w:rsid w:val="056F510E"/>
    <w:rsid w:val="05710363"/>
    <w:rsid w:val="0578082C"/>
    <w:rsid w:val="0588328F"/>
    <w:rsid w:val="058D22A7"/>
    <w:rsid w:val="058F19EE"/>
    <w:rsid w:val="059369F3"/>
    <w:rsid w:val="05A44BA4"/>
    <w:rsid w:val="05A57FE6"/>
    <w:rsid w:val="05A65F12"/>
    <w:rsid w:val="05AA6523"/>
    <w:rsid w:val="05AE487F"/>
    <w:rsid w:val="05B22C71"/>
    <w:rsid w:val="05B602EB"/>
    <w:rsid w:val="05BE5F32"/>
    <w:rsid w:val="05BE73D4"/>
    <w:rsid w:val="05BF04FB"/>
    <w:rsid w:val="05CB1795"/>
    <w:rsid w:val="05D22145"/>
    <w:rsid w:val="05D61923"/>
    <w:rsid w:val="05D9297D"/>
    <w:rsid w:val="05DD25C3"/>
    <w:rsid w:val="05DF7BCB"/>
    <w:rsid w:val="05E75D4A"/>
    <w:rsid w:val="05E866AA"/>
    <w:rsid w:val="05ED424F"/>
    <w:rsid w:val="05F01A0C"/>
    <w:rsid w:val="05F463B0"/>
    <w:rsid w:val="05F81055"/>
    <w:rsid w:val="05FA0966"/>
    <w:rsid w:val="06071298"/>
    <w:rsid w:val="060D53F2"/>
    <w:rsid w:val="06165E5B"/>
    <w:rsid w:val="0620345C"/>
    <w:rsid w:val="06307287"/>
    <w:rsid w:val="06427E81"/>
    <w:rsid w:val="0644639B"/>
    <w:rsid w:val="064952DD"/>
    <w:rsid w:val="06514813"/>
    <w:rsid w:val="06514A09"/>
    <w:rsid w:val="06565A98"/>
    <w:rsid w:val="065C7C4E"/>
    <w:rsid w:val="06640499"/>
    <w:rsid w:val="066C6A35"/>
    <w:rsid w:val="0671012E"/>
    <w:rsid w:val="0673692E"/>
    <w:rsid w:val="06756520"/>
    <w:rsid w:val="067E7081"/>
    <w:rsid w:val="0691187A"/>
    <w:rsid w:val="069F5F87"/>
    <w:rsid w:val="06A31DF0"/>
    <w:rsid w:val="06AF3475"/>
    <w:rsid w:val="06AF3684"/>
    <w:rsid w:val="06B37672"/>
    <w:rsid w:val="06B83629"/>
    <w:rsid w:val="06C959ED"/>
    <w:rsid w:val="06CC295D"/>
    <w:rsid w:val="06CC3AED"/>
    <w:rsid w:val="06D934E4"/>
    <w:rsid w:val="06E122C4"/>
    <w:rsid w:val="06E24511"/>
    <w:rsid w:val="06F16AA4"/>
    <w:rsid w:val="06F20FC3"/>
    <w:rsid w:val="06F213D7"/>
    <w:rsid w:val="06FB1BB3"/>
    <w:rsid w:val="0700279F"/>
    <w:rsid w:val="070D6703"/>
    <w:rsid w:val="070D6D82"/>
    <w:rsid w:val="070E02F2"/>
    <w:rsid w:val="070F26FC"/>
    <w:rsid w:val="07114ADF"/>
    <w:rsid w:val="07161980"/>
    <w:rsid w:val="0719154A"/>
    <w:rsid w:val="07195727"/>
    <w:rsid w:val="071B3D2C"/>
    <w:rsid w:val="07254947"/>
    <w:rsid w:val="072B2803"/>
    <w:rsid w:val="073415B3"/>
    <w:rsid w:val="07347160"/>
    <w:rsid w:val="07391DCF"/>
    <w:rsid w:val="074E34A0"/>
    <w:rsid w:val="0750783A"/>
    <w:rsid w:val="07534135"/>
    <w:rsid w:val="075524D7"/>
    <w:rsid w:val="076317B1"/>
    <w:rsid w:val="077A5B5F"/>
    <w:rsid w:val="077F52C9"/>
    <w:rsid w:val="078D0F73"/>
    <w:rsid w:val="078D1C71"/>
    <w:rsid w:val="0790768E"/>
    <w:rsid w:val="07915EFE"/>
    <w:rsid w:val="0795423F"/>
    <w:rsid w:val="079A5331"/>
    <w:rsid w:val="07A2707C"/>
    <w:rsid w:val="07AE6FC0"/>
    <w:rsid w:val="07B00092"/>
    <w:rsid w:val="07B00116"/>
    <w:rsid w:val="07BA4E3B"/>
    <w:rsid w:val="07BB046D"/>
    <w:rsid w:val="07BD1643"/>
    <w:rsid w:val="07CD3A29"/>
    <w:rsid w:val="07CE3B6C"/>
    <w:rsid w:val="07D030D2"/>
    <w:rsid w:val="07D53466"/>
    <w:rsid w:val="07DC3774"/>
    <w:rsid w:val="07DC6B7B"/>
    <w:rsid w:val="07E01A97"/>
    <w:rsid w:val="07E626CE"/>
    <w:rsid w:val="07E95B15"/>
    <w:rsid w:val="07ED583B"/>
    <w:rsid w:val="07F2278F"/>
    <w:rsid w:val="07F3309B"/>
    <w:rsid w:val="07F93751"/>
    <w:rsid w:val="07FB307F"/>
    <w:rsid w:val="08031F3F"/>
    <w:rsid w:val="08057A5A"/>
    <w:rsid w:val="080D7603"/>
    <w:rsid w:val="08114650"/>
    <w:rsid w:val="08135A2E"/>
    <w:rsid w:val="082D6FB0"/>
    <w:rsid w:val="082F067D"/>
    <w:rsid w:val="083067AA"/>
    <w:rsid w:val="083251AE"/>
    <w:rsid w:val="08352586"/>
    <w:rsid w:val="0839318B"/>
    <w:rsid w:val="08467FB1"/>
    <w:rsid w:val="084A2ADD"/>
    <w:rsid w:val="084E0ECF"/>
    <w:rsid w:val="08513E5C"/>
    <w:rsid w:val="085A3AA5"/>
    <w:rsid w:val="085F320F"/>
    <w:rsid w:val="08642A83"/>
    <w:rsid w:val="087234E3"/>
    <w:rsid w:val="08727D49"/>
    <w:rsid w:val="08744F7A"/>
    <w:rsid w:val="0876395E"/>
    <w:rsid w:val="08813E7A"/>
    <w:rsid w:val="08914E9E"/>
    <w:rsid w:val="089D4299"/>
    <w:rsid w:val="08A06F9F"/>
    <w:rsid w:val="08A737BE"/>
    <w:rsid w:val="08AD2F71"/>
    <w:rsid w:val="08B07F66"/>
    <w:rsid w:val="08B60BC5"/>
    <w:rsid w:val="08CA6A8A"/>
    <w:rsid w:val="08DC0F2E"/>
    <w:rsid w:val="08DE5DBE"/>
    <w:rsid w:val="08E25E9D"/>
    <w:rsid w:val="08E41D65"/>
    <w:rsid w:val="08E57D23"/>
    <w:rsid w:val="08F70393"/>
    <w:rsid w:val="08FA1019"/>
    <w:rsid w:val="08FB1852"/>
    <w:rsid w:val="08FD544A"/>
    <w:rsid w:val="090920BE"/>
    <w:rsid w:val="09161314"/>
    <w:rsid w:val="09186768"/>
    <w:rsid w:val="091A7C8A"/>
    <w:rsid w:val="0923562A"/>
    <w:rsid w:val="09267B11"/>
    <w:rsid w:val="092F0220"/>
    <w:rsid w:val="09344593"/>
    <w:rsid w:val="093D2DB8"/>
    <w:rsid w:val="09437A0B"/>
    <w:rsid w:val="094A20CE"/>
    <w:rsid w:val="09572526"/>
    <w:rsid w:val="095C606A"/>
    <w:rsid w:val="09616470"/>
    <w:rsid w:val="09617498"/>
    <w:rsid w:val="0970405B"/>
    <w:rsid w:val="09705423"/>
    <w:rsid w:val="09722310"/>
    <w:rsid w:val="09743815"/>
    <w:rsid w:val="098269A5"/>
    <w:rsid w:val="09872B17"/>
    <w:rsid w:val="099237B8"/>
    <w:rsid w:val="099B7A64"/>
    <w:rsid w:val="099E78EA"/>
    <w:rsid w:val="09AC19C4"/>
    <w:rsid w:val="09AE3E7F"/>
    <w:rsid w:val="09C01540"/>
    <w:rsid w:val="09C618E5"/>
    <w:rsid w:val="09C625B7"/>
    <w:rsid w:val="09CD0A4B"/>
    <w:rsid w:val="09CF7441"/>
    <w:rsid w:val="09D2374E"/>
    <w:rsid w:val="09D23DFC"/>
    <w:rsid w:val="09D32894"/>
    <w:rsid w:val="09DB6406"/>
    <w:rsid w:val="09DE59E7"/>
    <w:rsid w:val="09EC2F59"/>
    <w:rsid w:val="09EF2849"/>
    <w:rsid w:val="09F223BB"/>
    <w:rsid w:val="09F71624"/>
    <w:rsid w:val="0A0531FC"/>
    <w:rsid w:val="0A092561"/>
    <w:rsid w:val="0A09632E"/>
    <w:rsid w:val="0A163DBD"/>
    <w:rsid w:val="0A28651C"/>
    <w:rsid w:val="0A2F141A"/>
    <w:rsid w:val="0A39043D"/>
    <w:rsid w:val="0A3E25DB"/>
    <w:rsid w:val="0A4171E7"/>
    <w:rsid w:val="0A4773B4"/>
    <w:rsid w:val="0A4F2CAF"/>
    <w:rsid w:val="0A4F7F6F"/>
    <w:rsid w:val="0A516F86"/>
    <w:rsid w:val="0A5D06B4"/>
    <w:rsid w:val="0A5F69EF"/>
    <w:rsid w:val="0A64281B"/>
    <w:rsid w:val="0A6B7E6F"/>
    <w:rsid w:val="0A707BED"/>
    <w:rsid w:val="0A73744C"/>
    <w:rsid w:val="0A7504A9"/>
    <w:rsid w:val="0A750537"/>
    <w:rsid w:val="0A7819D2"/>
    <w:rsid w:val="0A7B7B27"/>
    <w:rsid w:val="0A841F27"/>
    <w:rsid w:val="0A8D42E8"/>
    <w:rsid w:val="0A9176DA"/>
    <w:rsid w:val="0A995273"/>
    <w:rsid w:val="0A9A5D47"/>
    <w:rsid w:val="0A9F4444"/>
    <w:rsid w:val="0AA16DFC"/>
    <w:rsid w:val="0AA9774E"/>
    <w:rsid w:val="0AAC0417"/>
    <w:rsid w:val="0AB125A1"/>
    <w:rsid w:val="0AB52B84"/>
    <w:rsid w:val="0ABD461B"/>
    <w:rsid w:val="0AC00914"/>
    <w:rsid w:val="0AC23343"/>
    <w:rsid w:val="0AD17909"/>
    <w:rsid w:val="0AD34201"/>
    <w:rsid w:val="0AD57E7D"/>
    <w:rsid w:val="0AD961EA"/>
    <w:rsid w:val="0ADA1A3F"/>
    <w:rsid w:val="0ADF7F41"/>
    <w:rsid w:val="0AE5151C"/>
    <w:rsid w:val="0AF12514"/>
    <w:rsid w:val="0AF17E80"/>
    <w:rsid w:val="0AF61D03"/>
    <w:rsid w:val="0AFD1714"/>
    <w:rsid w:val="0AFF34A3"/>
    <w:rsid w:val="0AFF6A50"/>
    <w:rsid w:val="0B0052A5"/>
    <w:rsid w:val="0B062C45"/>
    <w:rsid w:val="0B191045"/>
    <w:rsid w:val="0B1F176C"/>
    <w:rsid w:val="0B23675E"/>
    <w:rsid w:val="0B273E5C"/>
    <w:rsid w:val="0B297F03"/>
    <w:rsid w:val="0B2A1B44"/>
    <w:rsid w:val="0B2C433F"/>
    <w:rsid w:val="0B2D79F3"/>
    <w:rsid w:val="0B364677"/>
    <w:rsid w:val="0B364F7A"/>
    <w:rsid w:val="0B386398"/>
    <w:rsid w:val="0B3F0DF4"/>
    <w:rsid w:val="0B3F6A8F"/>
    <w:rsid w:val="0B417214"/>
    <w:rsid w:val="0B637948"/>
    <w:rsid w:val="0B6A42C7"/>
    <w:rsid w:val="0B6D6B7D"/>
    <w:rsid w:val="0B7403E2"/>
    <w:rsid w:val="0B8A4EDB"/>
    <w:rsid w:val="0B913B51"/>
    <w:rsid w:val="0B9316BE"/>
    <w:rsid w:val="0B9666B3"/>
    <w:rsid w:val="0B977AB0"/>
    <w:rsid w:val="0B984476"/>
    <w:rsid w:val="0B9B717C"/>
    <w:rsid w:val="0BA564A6"/>
    <w:rsid w:val="0BB76DD0"/>
    <w:rsid w:val="0BBD0031"/>
    <w:rsid w:val="0BC407E0"/>
    <w:rsid w:val="0BC54A99"/>
    <w:rsid w:val="0BD06F69"/>
    <w:rsid w:val="0BD34051"/>
    <w:rsid w:val="0BD77548"/>
    <w:rsid w:val="0BD95485"/>
    <w:rsid w:val="0BD9603A"/>
    <w:rsid w:val="0BE73386"/>
    <w:rsid w:val="0BE7340A"/>
    <w:rsid w:val="0BF751B0"/>
    <w:rsid w:val="0BFC26B0"/>
    <w:rsid w:val="0C032840"/>
    <w:rsid w:val="0C1021AD"/>
    <w:rsid w:val="0C10248D"/>
    <w:rsid w:val="0C1502F4"/>
    <w:rsid w:val="0C1A09CD"/>
    <w:rsid w:val="0C1F42D9"/>
    <w:rsid w:val="0C206374"/>
    <w:rsid w:val="0C233095"/>
    <w:rsid w:val="0C26351E"/>
    <w:rsid w:val="0C267782"/>
    <w:rsid w:val="0C2731E8"/>
    <w:rsid w:val="0C2902C3"/>
    <w:rsid w:val="0C313407"/>
    <w:rsid w:val="0C330367"/>
    <w:rsid w:val="0C3B5076"/>
    <w:rsid w:val="0C434BC1"/>
    <w:rsid w:val="0C4B3633"/>
    <w:rsid w:val="0C574653"/>
    <w:rsid w:val="0C583F4F"/>
    <w:rsid w:val="0C5A7452"/>
    <w:rsid w:val="0C603F4B"/>
    <w:rsid w:val="0C632F90"/>
    <w:rsid w:val="0C641DEB"/>
    <w:rsid w:val="0C71628B"/>
    <w:rsid w:val="0C780991"/>
    <w:rsid w:val="0C7C21FD"/>
    <w:rsid w:val="0C7F3CF2"/>
    <w:rsid w:val="0C845A33"/>
    <w:rsid w:val="0C970E9C"/>
    <w:rsid w:val="0C9D53F5"/>
    <w:rsid w:val="0CA438D3"/>
    <w:rsid w:val="0CA70843"/>
    <w:rsid w:val="0CB6040D"/>
    <w:rsid w:val="0CB766E5"/>
    <w:rsid w:val="0CB819EA"/>
    <w:rsid w:val="0CCC127B"/>
    <w:rsid w:val="0CCE46B2"/>
    <w:rsid w:val="0CD01031"/>
    <w:rsid w:val="0CD22AA3"/>
    <w:rsid w:val="0CD30DF3"/>
    <w:rsid w:val="0CD563F7"/>
    <w:rsid w:val="0CEC1543"/>
    <w:rsid w:val="0D091167"/>
    <w:rsid w:val="0D0922C1"/>
    <w:rsid w:val="0D0E115E"/>
    <w:rsid w:val="0D177311"/>
    <w:rsid w:val="0D212781"/>
    <w:rsid w:val="0D2C7A4A"/>
    <w:rsid w:val="0D30100A"/>
    <w:rsid w:val="0D351B3A"/>
    <w:rsid w:val="0D36393E"/>
    <w:rsid w:val="0D3D2DE0"/>
    <w:rsid w:val="0D3E7697"/>
    <w:rsid w:val="0D425A89"/>
    <w:rsid w:val="0D492103"/>
    <w:rsid w:val="0D4F6A66"/>
    <w:rsid w:val="0D502DD4"/>
    <w:rsid w:val="0D503227"/>
    <w:rsid w:val="0D523741"/>
    <w:rsid w:val="0D58269C"/>
    <w:rsid w:val="0D665C35"/>
    <w:rsid w:val="0D691CEC"/>
    <w:rsid w:val="0D6A3B67"/>
    <w:rsid w:val="0D6A445F"/>
    <w:rsid w:val="0D6C6868"/>
    <w:rsid w:val="0D6F5FFB"/>
    <w:rsid w:val="0D7364DE"/>
    <w:rsid w:val="0D75304B"/>
    <w:rsid w:val="0D783CF0"/>
    <w:rsid w:val="0D865410"/>
    <w:rsid w:val="0D8F0AE7"/>
    <w:rsid w:val="0D900945"/>
    <w:rsid w:val="0D981F4A"/>
    <w:rsid w:val="0D9A2C8D"/>
    <w:rsid w:val="0DA10614"/>
    <w:rsid w:val="0DA11FD2"/>
    <w:rsid w:val="0DA3127A"/>
    <w:rsid w:val="0DA338AB"/>
    <w:rsid w:val="0DA466A2"/>
    <w:rsid w:val="0DA75902"/>
    <w:rsid w:val="0DAC7E82"/>
    <w:rsid w:val="0DB65122"/>
    <w:rsid w:val="0DB94B60"/>
    <w:rsid w:val="0DCA225C"/>
    <w:rsid w:val="0DCC5CE7"/>
    <w:rsid w:val="0DD5157F"/>
    <w:rsid w:val="0DD94D0D"/>
    <w:rsid w:val="0DDD11DE"/>
    <w:rsid w:val="0DDE17CD"/>
    <w:rsid w:val="0DEE4F8A"/>
    <w:rsid w:val="0DF769A8"/>
    <w:rsid w:val="0E02418C"/>
    <w:rsid w:val="0E060DFC"/>
    <w:rsid w:val="0E061338"/>
    <w:rsid w:val="0E112871"/>
    <w:rsid w:val="0E1479FC"/>
    <w:rsid w:val="0E155BBA"/>
    <w:rsid w:val="0E170B34"/>
    <w:rsid w:val="0E247839"/>
    <w:rsid w:val="0E2A012D"/>
    <w:rsid w:val="0E2B29AC"/>
    <w:rsid w:val="0E3015A8"/>
    <w:rsid w:val="0E3043DA"/>
    <w:rsid w:val="0E3571E6"/>
    <w:rsid w:val="0E4718DB"/>
    <w:rsid w:val="0E51018D"/>
    <w:rsid w:val="0E5A2FFF"/>
    <w:rsid w:val="0E651252"/>
    <w:rsid w:val="0E675ACB"/>
    <w:rsid w:val="0E735D9F"/>
    <w:rsid w:val="0E7923AD"/>
    <w:rsid w:val="0E79524F"/>
    <w:rsid w:val="0E7E5CEA"/>
    <w:rsid w:val="0E830245"/>
    <w:rsid w:val="0E831668"/>
    <w:rsid w:val="0E896BF8"/>
    <w:rsid w:val="0E8A56BC"/>
    <w:rsid w:val="0E8D01B5"/>
    <w:rsid w:val="0E8D3EEF"/>
    <w:rsid w:val="0E933A07"/>
    <w:rsid w:val="0E9940BE"/>
    <w:rsid w:val="0E9B1CFB"/>
    <w:rsid w:val="0EA31D7A"/>
    <w:rsid w:val="0EA320F0"/>
    <w:rsid w:val="0EAB7F23"/>
    <w:rsid w:val="0EBD1F8D"/>
    <w:rsid w:val="0EDD738A"/>
    <w:rsid w:val="0EE1051B"/>
    <w:rsid w:val="0EE2002C"/>
    <w:rsid w:val="0EE62AE8"/>
    <w:rsid w:val="0EE71A78"/>
    <w:rsid w:val="0EE82E75"/>
    <w:rsid w:val="0EE955EB"/>
    <w:rsid w:val="0EED25DF"/>
    <w:rsid w:val="0EEF3211"/>
    <w:rsid w:val="0EF345C9"/>
    <w:rsid w:val="0EF56DC3"/>
    <w:rsid w:val="0F0246B1"/>
    <w:rsid w:val="0F084CFA"/>
    <w:rsid w:val="0F0E5862"/>
    <w:rsid w:val="0F12129A"/>
    <w:rsid w:val="0F1350D6"/>
    <w:rsid w:val="0F145604"/>
    <w:rsid w:val="0F18170A"/>
    <w:rsid w:val="0F186D56"/>
    <w:rsid w:val="0F1B1835"/>
    <w:rsid w:val="0F274386"/>
    <w:rsid w:val="0F2C31A2"/>
    <w:rsid w:val="0F335B5E"/>
    <w:rsid w:val="0F486290"/>
    <w:rsid w:val="0F490BEF"/>
    <w:rsid w:val="0F4B348B"/>
    <w:rsid w:val="0F4F1676"/>
    <w:rsid w:val="0F575DD5"/>
    <w:rsid w:val="0F58463B"/>
    <w:rsid w:val="0F5C07CA"/>
    <w:rsid w:val="0F670FFA"/>
    <w:rsid w:val="0F6E6A60"/>
    <w:rsid w:val="0F7A2455"/>
    <w:rsid w:val="0F7E5B82"/>
    <w:rsid w:val="0F816FDA"/>
    <w:rsid w:val="0F896725"/>
    <w:rsid w:val="0F8A7C71"/>
    <w:rsid w:val="0F8F5FC3"/>
    <w:rsid w:val="0F9303C1"/>
    <w:rsid w:val="0FA65B38"/>
    <w:rsid w:val="0FA810F8"/>
    <w:rsid w:val="0FB555F9"/>
    <w:rsid w:val="0FB775B8"/>
    <w:rsid w:val="0FB86893"/>
    <w:rsid w:val="0FBB626A"/>
    <w:rsid w:val="0FBC75E2"/>
    <w:rsid w:val="0FC604CD"/>
    <w:rsid w:val="0FCD5301"/>
    <w:rsid w:val="0FDB2B8F"/>
    <w:rsid w:val="0FE4606C"/>
    <w:rsid w:val="0FF71A98"/>
    <w:rsid w:val="0FFE476F"/>
    <w:rsid w:val="10057B56"/>
    <w:rsid w:val="100F6AAF"/>
    <w:rsid w:val="101322FF"/>
    <w:rsid w:val="10165F74"/>
    <w:rsid w:val="10167D23"/>
    <w:rsid w:val="10184D5C"/>
    <w:rsid w:val="10227905"/>
    <w:rsid w:val="102505DE"/>
    <w:rsid w:val="10263360"/>
    <w:rsid w:val="10270FFF"/>
    <w:rsid w:val="1027425A"/>
    <w:rsid w:val="103501B8"/>
    <w:rsid w:val="10351521"/>
    <w:rsid w:val="10352938"/>
    <w:rsid w:val="103D5D04"/>
    <w:rsid w:val="1050283F"/>
    <w:rsid w:val="10566B80"/>
    <w:rsid w:val="105E737B"/>
    <w:rsid w:val="1072244F"/>
    <w:rsid w:val="107302BC"/>
    <w:rsid w:val="10742CD0"/>
    <w:rsid w:val="10776732"/>
    <w:rsid w:val="10831306"/>
    <w:rsid w:val="10877675"/>
    <w:rsid w:val="108C59E2"/>
    <w:rsid w:val="10903E59"/>
    <w:rsid w:val="10937F1A"/>
    <w:rsid w:val="10962B73"/>
    <w:rsid w:val="109B4961"/>
    <w:rsid w:val="109B4D80"/>
    <w:rsid w:val="10A85175"/>
    <w:rsid w:val="10AF3F7D"/>
    <w:rsid w:val="10B85FB1"/>
    <w:rsid w:val="10BA680A"/>
    <w:rsid w:val="10BF20B5"/>
    <w:rsid w:val="10C26DD0"/>
    <w:rsid w:val="10C67D8D"/>
    <w:rsid w:val="10CA487C"/>
    <w:rsid w:val="10CC1639"/>
    <w:rsid w:val="10D411D3"/>
    <w:rsid w:val="10D44A58"/>
    <w:rsid w:val="10D821AF"/>
    <w:rsid w:val="10DC7EBA"/>
    <w:rsid w:val="10E062AC"/>
    <w:rsid w:val="10E06331"/>
    <w:rsid w:val="10EC085B"/>
    <w:rsid w:val="10EF09BF"/>
    <w:rsid w:val="10FE45BF"/>
    <w:rsid w:val="11005B56"/>
    <w:rsid w:val="11052878"/>
    <w:rsid w:val="111730E2"/>
    <w:rsid w:val="111A6C55"/>
    <w:rsid w:val="111D12BD"/>
    <w:rsid w:val="11200CC3"/>
    <w:rsid w:val="112076B2"/>
    <w:rsid w:val="11244CFA"/>
    <w:rsid w:val="11265DB1"/>
    <w:rsid w:val="112A22DF"/>
    <w:rsid w:val="112B2239"/>
    <w:rsid w:val="112C2393"/>
    <w:rsid w:val="1145439A"/>
    <w:rsid w:val="114730A0"/>
    <w:rsid w:val="11524E89"/>
    <w:rsid w:val="11574678"/>
    <w:rsid w:val="115859F1"/>
    <w:rsid w:val="115C70B0"/>
    <w:rsid w:val="115E79DA"/>
    <w:rsid w:val="115E7A5E"/>
    <w:rsid w:val="115F6FA9"/>
    <w:rsid w:val="1160621F"/>
    <w:rsid w:val="11642163"/>
    <w:rsid w:val="116E09A1"/>
    <w:rsid w:val="11703711"/>
    <w:rsid w:val="11703823"/>
    <w:rsid w:val="117229AE"/>
    <w:rsid w:val="117534CF"/>
    <w:rsid w:val="117A069A"/>
    <w:rsid w:val="118424D0"/>
    <w:rsid w:val="11887BD6"/>
    <w:rsid w:val="118A0B2D"/>
    <w:rsid w:val="118E3F04"/>
    <w:rsid w:val="118F66DA"/>
    <w:rsid w:val="11927BC8"/>
    <w:rsid w:val="11954810"/>
    <w:rsid w:val="11984C85"/>
    <w:rsid w:val="119912E7"/>
    <w:rsid w:val="119C096C"/>
    <w:rsid w:val="11A15922"/>
    <w:rsid w:val="11A937C5"/>
    <w:rsid w:val="11AB633F"/>
    <w:rsid w:val="11AE1E9F"/>
    <w:rsid w:val="11CF51B9"/>
    <w:rsid w:val="11D32129"/>
    <w:rsid w:val="11DA550F"/>
    <w:rsid w:val="11DE2B19"/>
    <w:rsid w:val="11E174F9"/>
    <w:rsid w:val="11F4604E"/>
    <w:rsid w:val="11FB741A"/>
    <w:rsid w:val="120A51F8"/>
    <w:rsid w:val="120D062E"/>
    <w:rsid w:val="120D65BE"/>
    <w:rsid w:val="121842AB"/>
    <w:rsid w:val="121D1E44"/>
    <w:rsid w:val="1227518D"/>
    <w:rsid w:val="12293610"/>
    <w:rsid w:val="123469C6"/>
    <w:rsid w:val="12383795"/>
    <w:rsid w:val="123A092B"/>
    <w:rsid w:val="123F019E"/>
    <w:rsid w:val="12461E45"/>
    <w:rsid w:val="12485CFB"/>
    <w:rsid w:val="1250245A"/>
    <w:rsid w:val="125360D6"/>
    <w:rsid w:val="126A09C7"/>
    <w:rsid w:val="126B28BF"/>
    <w:rsid w:val="126E4EBA"/>
    <w:rsid w:val="12790B48"/>
    <w:rsid w:val="12893030"/>
    <w:rsid w:val="1296718D"/>
    <w:rsid w:val="129A5F2E"/>
    <w:rsid w:val="129C4BD6"/>
    <w:rsid w:val="129D79C2"/>
    <w:rsid w:val="12A763B4"/>
    <w:rsid w:val="12AB618F"/>
    <w:rsid w:val="12C07194"/>
    <w:rsid w:val="12CD62EF"/>
    <w:rsid w:val="12D17803"/>
    <w:rsid w:val="12D873B2"/>
    <w:rsid w:val="12E56390"/>
    <w:rsid w:val="12E94B80"/>
    <w:rsid w:val="12EC3FFD"/>
    <w:rsid w:val="12F2143D"/>
    <w:rsid w:val="12F26454"/>
    <w:rsid w:val="12F26640"/>
    <w:rsid w:val="12FA5E6D"/>
    <w:rsid w:val="12FC05E2"/>
    <w:rsid w:val="12FD1556"/>
    <w:rsid w:val="13080348"/>
    <w:rsid w:val="131267F3"/>
    <w:rsid w:val="13172CFE"/>
    <w:rsid w:val="131F74E1"/>
    <w:rsid w:val="132C75E7"/>
    <w:rsid w:val="132F7027"/>
    <w:rsid w:val="1339176D"/>
    <w:rsid w:val="134E2C1A"/>
    <w:rsid w:val="13535F26"/>
    <w:rsid w:val="13577C65"/>
    <w:rsid w:val="136220DA"/>
    <w:rsid w:val="13695FCC"/>
    <w:rsid w:val="136C68EB"/>
    <w:rsid w:val="136D1943"/>
    <w:rsid w:val="137C5A85"/>
    <w:rsid w:val="138A2C53"/>
    <w:rsid w:val="138B40D4"/>
    <w:rsid w:val="138C1469"/>
    <w:rsid w:val="13932229"/>
    <w:rsid w:val="139B3C1A"/>
    <w:rsid w:val="139F1F87"/>
    <w:rsid w:val="13A767F0"/>
    <w:rsid w:val="13A825CD"/>
    <w:rsid w:val="13C147C1"/>
    <w:rsid w:val="13C17FF7"/>
    <w:rsid w:val="13C22B39"/>
    <w:rsid w:val="13C30E86"/>
    <w:rsid w:val="13C37EB8"/>
    <w:rsid w:val="13C45B92"/>
    <w:rsid w:val="13D11F89"/>
    <w:rsid w:val="13E13FDF"/>
    <w:rsid w:val="13E37485"/>
    <w:rsid w:val="13EC61B5"/>
    <w:rsid w:val="13ED1441"/>
    <w:rsid w:val="13EE2FBC"/>
    <w:rsid w:val="13F81BF2"/>
    <w:rsid w:val="13FA5CBC"/>
    <w:rsid w:val="13FB7035"/>
    <w:rsid w:val="14145B59"/>
    <w:rsid w:val="14173FE3"/>
    <w:rsid w:val="141A6F22"/>
    <w:rsid w:val="141D6D81"/>
    <w:rsid w:val="14386639"/>
    <w:rsid w:val="143A5E5A"/>
    <w:rsid w:val="143D41C2"/>
    <w:rsid w:val="144221B8"/>
    <w:rsid w:val="144C4685"/>
    <w:rsid w:val="145002AE"/>
    <w:rsid w:val="14554EDC"/>
    <w:rsid w:val="14562CE6"/>
    <w:rsid w:val="14581739"/>
    <w:rsid w:val="145854E0"/>
    <w:rsid w:val="146C7892"/>
    <w:rsid w:val="14851EB6"/>
    <w:rsid w:val="14853338"/>
    <w:rsid w:val="148E2CD8"/>
    <w:rsid w:val="1490368F"/>
    <w:rsid w:val="14906EFD"/>
    <w:rsid w:val="1492315C"/>
    <w:rsid w:val="14937088"/>
    <w:rsid w:val="14975EDD"/>
    <w:rsid w:val="149F2FE4"/>
    <w:rsid w:val="14A613D9"/>
    <w:rsid w:val="14A64372"/>
    <w:rsid w:val="14AF0291"/>
    <w:rsid w:val="14B15514"/>
    <w:rsid w:val="14C67601"/>
    <w:rsid w:val="14CE00EB"/>
    <w:rsid w:val="14CF019A"/>
    <w:rsid w:val="14D04D85"/>
    <w:rsid w:val="14D30E8C"/>
    <w:rsid w:val="14DD0B72"/>
    <w:rsid w:val="14E135CF"/>
    <w:rsid w:val="14F326A1"/>
    <w:rsid w:val="14F44F20"/>
    <w:rsid w:val="14F70A93"/>
    <w:rsid w:val="14FC4308"/>
    <w:rsid w:val="150335E4"/>
    <w:rsid w:val="15033668"/>
    <w:rsid w:val="15094255"/>
    <w:rsid w:val="150A4793"/>
    <w:rsid w:val="151508C6"/>
    <w:rsid w:val="151629B9"/>
    <w:rsid w:val="15173AA9"/>
    <w:rsid w:val="15185CA7"/>
    <w:rsid w:val="151E4986"/>
    <w:rsid w:val="152D44CC"/>
    <w:rsid w:val="152D6842"/>
    <w:rsid w:val="1533327F"/>
    <w:rsid w:val="15393B4E"/>
    <w:rsid w:val="153B2D0D"/>
    <w:rsid w:val="153F03C2"/>
    <w:rsid w:val="153F071F"/>
    <w:rsid w:val="15412403"/>
    <w:rsid w:val="15496BE7"/>
    <w:rsid w:val="154C275A"/>
    <w:rsid w:val="155251A4"/>
    <w:rsid w:val="15526C90"/>
    <w:rsid w:val="15590C3E"/>
    <w:rsid w:val="15624289"/>
    <w:rsid w:val="1572769A"/>
    <w:rsid w:val="15743FEF"/>
    <w:rsid w:val="157635BE"/>
    <w:rsid w:val="15772F5C"/>
    <w:rsid w:val="158A3C94"/>
    <w:rsid w:val="1594125D"/>
    <w:rsid w:val="159722C2"/>
    <w:rsid w:val="159A3938"/>
    <w:rsid w:val="159F1CAB"/>
    <w:rsid w:val="15AE6F38"/>
    <w:rsid w:val="15B27B5E"/>
    <w:rsid w:val="15C301AF"/>
    <w:rsid w:val="15C63DD3"/>
    <w:rsid w:val="15CE304B"/>
    <w:rsid w:val="15D860E5"/>
    <w:rsid w:val="15DB3169"/>
    <w:rsid w:val="15DE31BC"/>
    <w:rsid w:val="15E015C5"/>
    <w:rsid w:val="15F95292"/>
    <w:rsid w:val="15FA5CB7"/>
    <w:rsid w:val="15FE2848"/>
    <w:rsid w:val="16092E0B"/>
    <w:rsid w:val="160A616E"/>
    <w:rsid w:val="16171C7F"/>
    <w:rsid w:val="161B0F64"/>
    <w:rsid w:val="161C3F4C"/>
    <w:rsid w:val="161C404A"/>
    <w:rsid w:val="161D33D9"/>
    <w:rsid w:val="162278E8"/>
    <w:rsid w:val="162E4297"/>
    <w:rsid w:val="162E5719"/>
    <w:rsid w:val="1635767E"/>
    <w:rsid w:val="16451B05"/>
    <w:rsid w:val="1648423D"/>
    <w:rsid w:val="1654149E"/>
    <w:rsid w:val="165850FB"/>
    <w:rsid w:val="165D6FED"/>
    <w:rsid w:val="166E0EC0"/>
    <w:rsid w:val="166E6AD6"/>
    <w:rsid w:val="166F5EEF"/>
    <w:rsid w:val="16711376"/>
    <w:rsid w:val="16713C1F"/>
    <w:rsid w:val="167261F1"/>
    <w:rsid w:val="16785C08"/>
    <w:rsid w:val="167A58EE"/>
    <w:rsid w:val="167B6573"/>
    <w:rsid w:val="16893C8B"/>
    <w:rsid w:val="168E6B0D"/>
    <w:rsid w:val="168F57F1"/>
    <w:rsid w:val="169E4E64"/>
    <w:rsid w:val="16A909D0"/>
    <w:rsid w:val="16AD6C19"/>
    <w:rsid w:val="16B74C9E"/>
    <w:rsid w:val="16B75753"/>
    <w:rsid w:val="16B75AB8"/>
    <w:rsid w:val="16BA7D5A"/>
    <w:rsid w:val="16BD0505"/>
    <w:rsid w:val="16BF0CE3"/>
    <w:rsid w:val="16D4025C"/>
    <w:rsid w:val="16D42C31"/>
    <w:rsid w:val="16D4763F"/>
    <w:rsid w:val="16EC71C4"/>
    <w:rsid w:val="16F15E07"/>
    <w:rsid w:val="16F828EB"/>
    <w:rsid w:val="16FA56A3"/>
    <w:rsid w:val="16FE584E"/>
    <w:rsid w:val="17053A6B"/>
    <w:rsid w:val="17107A0D"/>
    <w:rsid w:val="171D4364"/>
    <w:rsid w:val="172137CC"/>
    <w:rsid w:val="174B0FFD"/>
    <w:rsid w:val="17504430"/>
    <w:rsid w:val="175243E3"/>
    <w:rsid w:val="17577E5E"/>
    <w:rsid w:val="177C3DC5"/>
    <w:rsid w:val="17897D98"/>
    <w:rsid w:val="178D3AC0"/>
    <w:rsid w:val="178D6105"/>
    <w:rsid w:val="179604E3"/>
    <w:rsid w:val="17AA3212"/>
    <w:rsid w:val="17B26401"/>
    <w:rsid w:val="17B360E9"/>
    <w:rsid w:val="17B55426"/>
    <w:rsid w:val="17B803EA"/>
    <w:rsid w:val="17BF2702"/>
    <w:rsid w:val="17CA3AA3"/>
    <w:rsid w:val="17CB4ED0"/>
    <w:rsid w:val="17CF19E0"/>
    <w:rsid w:val="17D15B11"/>
    <w:rsid w:val="17DF23C2"/>
    <w:rsid w:val="17F03C07"/>
    <w:rsid w:val="18055854"/>
    <w:rsid w:val="180A5038"/>
    <w:rsid w:val="18107021"/>
    <w:rsid w:val="181A5FFF"/>
    <w:rsid w:val="181E3D65"/>
    <w:rsid w:val="1824372C"/>
    <w:rsid w:val="18324C3F"/>
    <w:rsid w:val="18333726"/>
    <w:rsid w:val="183F2B14"/>
    <w:rsid w:val="18456E63"/>
    <w:rsid w:val="18590953"/>
    <w:rsid w:val="185B0992"/>
    <w:rsid w:val="185B1368"/>
    <w:rsid w:val="186000FC"/>
    <w:rsid w:val="18720B15"/>
    <w:rsid w:val="187630AD"/>
    <w:rsid w:val="187744AA"/>
    <w:rsid w:val="187A2074"/>
    <w:rsid w:val="188F0AAD"/>
    <w:rsid w:val="1894133B"/>
    <w:rsid w:val="18963B35"/>
    <w:rsid w:val="18A30174"/>
    <w:rsid w:val="18A868F2"/>
    <w:rsid w:val="18AF11D7"/>
    <w:rsid w:val="18B13496"/>
    <w:rsid w:val="18B30A4B"/>
    <w:rsid w:val="18B801B5"/>
    <w:rsid w:val="18C15B8E"/>
    <w:rsid w:val="18C27C65"/>
    <w:rsid w:val="18C3452E"/>
    <w:rsid w:val="18C748B7"/>
    <w:rsid w:val="18CD43FF"/>
    <w:rsid w:val="18CE4B24"/>
    <w:rsid w:val="18D24363"/>
    <w:rsid w:val="18D37199"/>
    <w:rsid w:val="18D650CB"/>
    <w:rsid w:val="18DA3438"/>
    <w:rsid w:val="18EB2C9C"/>
    <w:rsid w:val="18FA5342"/>
    <w:rsid w:val="18FA6C07"/>
    <w:rsid w:val="18FE29CF"/>
    <w:rsid w:val="19014BBF"/>
    <w:rsid w:val="190F3329"/>
    <w:rsid w:val="190F5A01"/>
    <w:rsid w:val="19106403"/>
    <w:rsid w:val="19107413"/>
    <w:rsid w:val="1911026E"/>
    <w:rsid w:val="1912166C"/>
    <w:rsid w:val="19182258"/>
    <w:rsid w:val="193755F2"/>
    <w:rsid w:val="1940130A"/>
    <w:rsid w:val="19432572"/>
    <w:rsid w:val="19557706"/>
    <w:rsid w:val="19594170"/>
    <w:rsid w:val="195C14A3"/>
    <w:rsid w:val="195E692B"/>
    <w:rsid w:val="19616B34"/>
    <w:rsid w:val="196842EC"/>
    <w:rsid w:val="19685F89"/>
    <w:rsid w:val="197820D8"/>
    <w:rsid w:val="198369DC"/>
    <w:rsid w:val="19965020"/>
    <w:rsid w:val="199D596F"/>
    <w:rsid w:val="19A35013"/>
    <w:rsid w:val="19A67837"/>
    <w:rsid w:val="19A91329"/>
    <w:rsid w:val="19AA1838"/>
    <w:rsid w:val="19AF50C6"/>
    <w:rsid w:val="19B02C97"/>
    <w:rsid w:val="19B14C1F"/>
    <w:rsid w:val="19B26AC6"/>
    <w:rsid w:val="19B40CF7"/>
    <w:rsid w:val="19C81BEE"/>
    <w:rsid w:val="19C91ECA"/>
    <w:rsid w:val="19CB1F6E"/>
    <w:rsid w:val="19CF3767"/>
    <w:rsid w:val="19E15B5E"/>
    <w:rsid w:val="19EC1024"/>
    <w:rsid w:val="19EC46B0"/>
    <w:rsid w:val="19F06100"/>
    <w:rsid w:val="19FD0D05"/>
    <w:rsid w:val="1A12131B"/>
    <w:rsid w:val="1A143C31"/>
    <w:rsid w:val="1A182023"/>
    <w:rsid w:val="1A224B05"/>
    <w:rsid w:val="1A246465"/>
    <w:rsid w:val="1A281877"/>
    <w:rsid w:val="1A2963E8"/>
    <w:rsid w:val="1A2E3B52"/>
    <w:rsid w:val="1A3333C5"/>
    <w:rsid w:val="1A3C6714"/>
    <w:rsid w:val="1A4A7744"/>
    <w:rsid w:val="1A503B5F"/>
    <w:rsid w:val="1A5229CC"/>
    <w:rsid w:val="1A545102"/>
    <w:rsid w:val="1A5C7904"/>
    <w:rsid w:val="1A712160"/>
    <w:rsid w:val="1A757778"/>
    <w:rsid w:val="1A7618CB"/>
    <w:rsid w:val="1A8C090F"/>
    <w:rsid w:val="1A985F4B"/>
    <w:rsid w:val="1AA05CFB"/>
    <w:rsid w:val="1AA67F47"/>
    <w:rsid w:val="1AA84643"/>
    <w:rsid w:val="1AB4145B"/>
    <w:rsid w:val="1ABB0F0E"/>
    <w:rsid w:val="1AC11F06"/>
    <w:rsid w:val="1AC830B4"/>
    <w:rsid w:val="1ACB2E2A"/>
    <w:rsid w:val="1AD76168"/>
    <w:rsid w:val="1AD77445"/>
    <w:rsid w:val="1ADE6206"/>
    <w:rsid w:val="1AE94FBE"/>
    <w:rsid w:val="1AEB4A23"/>
    <w:rsid w:val="1AEE3ABE"/>
    <w:rsid w:val="1AF35FC0"/>
    <w:rsid w:val="1AF86B82"/>
    <w:rsid w:val="1AFA3B60"/>
    <w:rsid w:val="1AFD0B55"/>
    <w:rsid w:val="1AFD0BD9"/>
    <w:rsid w:val="1B034CDC"/>
    <w:rsid w:val="1B0E2C78"/>
    <w:rsid w:val="1B100AD4"/>
    <w:rsid w:val="1B103D73"/>
    <w:rsid w:val="1B130533"/>
    <w:rsid w:val="1B1932F4"/>
    <w:rsid w:val="1B212358"/>
    <w:rsid w:val="1B3014F3"/>
    <w:rsid w:val="1B305120"/>
    <w:rsid w:val="1B38350F"/>
    <w:rsid w:val="1B3A64F3"/>
    <w:rsid w:val="1B41195E"/>
    <w:rsid w:val="1B492FD4"/>
    <w:rsid w:val="1B5278D9"/>
    <w:rsid w:val="1B544881"/>
    <w:rsid w:val="1B5F2014"/>
    <w:rsid w:val="1B6020E6"/>
    <w:rsid w:val="1B615CA0"/>
    <w:rsid w:val="1B682203"/>
    <w:rsid w:val="1B6B6394"/>
    <w:rsid w:val="1B6F5F71"/>
    <w:rsid w:val="1B715AA9"/>
    <w:rsid w:val="1B76791E"/>
    <w:rsid w:val="1B7724A3"/>
    <w:rsid w:val="1B777C99"/>
    <w:rsid w:val="1B7B0E85"/>
    <w:rsid w:val="1B7C3680"/>
    <w:rsid w:val="1B7F06F9"/>
    <w:rsid w:val="1B81532C"/>
    <w:rsid w:val="1B8B6070"/>
    <w:rsid w:val="1B956EC6"/>
    <w:rsid w:val="1B9E3904"/>
    <w:rsid w:val="1BA323E9"/>
    <w:rsid w:val="1BA7556B"/>
    <w:rsid w:val="1BAA2F40"/>
    <w:rsid w:val="1BB64029"/>
    <w:rsid w:val="1BBD3BB8"/>
    <w:rsid w:val="1BBE4848"/>
    <w:rsid w:val="1BBF1A62"/>
    <w:rsid w:val="1BC25801"/>
    <w:rsid w:val="1BC3568B"/>
    <w:rsid w:val="1BC37FFB"/>
    <w:rsid w:val="1BCD39C3"/>
    <w:rsid w:val="1BCF518A"/>
    <w:rsid w:val="1BE23EB2"/>
    <w:rsid w:val="1C020194"/>
    <w:rsid w:val="1C021BEA"/>
    <w:rsid w:val="1C051C6F"/>
    <w:rsid w:val="1C076935"/>
    <w:rsid w:val="1C0B7651"/>
    <w:rsid w:val="1C0D38E3"/>
    <w:rsid w:val="1C1536D0"/>
    <w:rsid w:val="1C161DDD"/>
    <w:rsid w:val="1C246F9E"/>
    <w:rsid w:val="1C265B05"/>
    <w:rsid w:val="1C322F51"/>
    <w:rsid w:val="1C3827CF"/>
    <w:rsid w:val="1C4C7E65"/>
    <w:rsid w:val="1C4E5356"/>
    <w:rsid w:val="1C5C15C5"/>
    <w:rsid w:val="1C5E3DC0"/>
    <w:rsid w:val="1C612236"/>
    <w:rsid w:val="1C6411A2"/>
    <w:rsid w:val="1C672126"/>
    <w:rsid w:val="1C6C7C4F"/>
    <w:rsid w:val="1C6D4561"/>
    <w:rsid w:val="1C7237A6"/>
    <w:rsid w:val="1C800436"/>
    <w:rsid w:val="1C8948DF"/>
    <w:rsid w:val="1C8D4412"/>
    <w:rsid w:val="1C8D4497"/>
    <w:rsid w:val="1C912804"/>
    <w:rsid w:val="1C9D5355"/>
    <w:rsid w:val="1CA62CAF"/>
    <w:rsid w:val="1CAF054F"/>
    <w:rsid w:val="1CB17CDC"/>
    <w:rsid w:val="1CB33865"/>
    <w:rsid w:val="1CB97A70"/>
    <w:rsid w:val="1CBF20AF"/>
    <w:rsid w:val="1CBF7E3F"/>
    <w:rsid w:val="1CC84112"/>
    <w:rsid w:val="1CCC4909"/>
    <w:rsid w:val="1CDA2D77"/>
    <w:rsid w:val="1CDA46AC"/>
    <w:rsid w:val="1CDB5968"/>
    <w:rsid w:val="1CEE63A5"/>
    <w:rsid w:val="1CF90F8C"/>
    <w:rsid w:val="1CF91695"/>
    <w:rsid w:val="1CFF1ED8"/>
    <w:rsid w:val="1D0A47C7"/>
    <w:rsid w:val="1D0C6FC1"/>
    <w:rsid w:val="1D0D20C4"/>
    <w:rsid w:val="1D0E31D3"/>
    <w:rsid w:val="1D1127FD"/>
    <w:rsid w:val="1D1425DA"/>
    <w:rsid w:val="1D181B12"/>
    <w:rsid w:val="1D1C2B4F"/>
    <w:rsid w:val="1D247CB3"/>
    <w:rsid w:val="1D2A0873"/>
    <w:rsid w:val="1D390DF2"/>
    <w:rsid w:val="1D4B7F34"/>
    <w:rsid w:val="1D4E5FF7"/>
    <w:rsid w:val="1D4F7CF2"/>
    <w:rsid w:val="1D503796"/>
    <w:rsid w:val="1D544CB6"/>
    <w:rsid w:val="1D6233FE"/>
    <w:rsid w:val="1D6B0F5B"/>
    <w:rsid w:val="1D6F44D3"/>
    <w:rsid w:val="1D73025B"/>
    <w:rsid w:val="1D790102"/>
    <w:rsid w:val="1D873676"/>
    <w:rsid w:val="1D8D42E6"/>
    <w:rsid w:val="1D935914"/>
    <w:rsid w:val="1D9E215C"/>
    <w:rsid w:val="1DAA6C81"/>
    <w:rsid w:val="1DB47B00"/>
    <w:rsid w:val="1DB80B20"/>
    <w:rsid w:val="1DB81374"/>
    <w:rsid w:val="1DC135C6"/>
    <w:rsid w:val="1DC52495"/>
    <w:rsid w:val="1DC65D93"/>
    <w:rsid w:val="1DC70364"/>
    <w:rsid w:val="1DC87405"/>
    <w:rsid w:val="1DCF445D"/>
    <w:rsid w:val="1DD51FDB"/>
    <w:rsid w:val="1DD90202"/>
    <w:rsid w:val="1DDB5112"/>
    <w:rsid w:val="1DDC53C1"/>
    <w:rsid w:val="1DDF2332"/>
    <w:rsid w:val="1DF42AE8"/>
    <w:rsid w:val="1DF779ED"/>
    <w:rsid w:val="1DFA723B"/>
    <w:rsid w:val="1E1B62F5"/>
    <w:rsid w:val="1E1D5F75"/>
    <w:rsid w:val="1E1E65FA"/>
    <w:rsid w:val="1E3A2F49"/>
    <w:rsid w:val="1E415B1D"/>
    <w:rsid w:val="1E4677BA"/>
    <w:rsid w:val="1E4A5D6E"/>
    <w:rsid w:val="1E4F41C5"/>
    <w:rsid w:val="1E575746"/>
    <w:rsid w:val="1E6527E1"/>
    <w:rsid w:val="1E6729B9"/>
    <w:rsid w:val="1E6E0354"/>
    <w:rsid w:val="1E6E49A2"/>
    <w:rsid w:val="1E781C81"/>
    <w:rsid w:val="1E7E58E5"/>
    <w:rsid w:val="1E9004B2"/>
    <w:rsid w:val="1E984408"/>
    <w:rsid w:val="1E9B0CC0"/>
    <w:rsid w:val="1E9E5495"/>
    <w:rsid w:val="1EA44F54"/>
    <w:rsid w:val="1EA9481E"/>
    <w:rsid w:val="1EAA2312"/>
    <w:rsid w:val="1EAE18B6"/>
    <w:rsid w:val="1EB14D91"/>
    <w:rsid w:val="1EBB486F"/>
    <w:rsid w:val="1EC65545"/>
    <w:rsid w:val="1EE640E6"/>
    <w:rsid w:val="1EE754E3"/>
    <w:rsid w:val="1EE76CC2"/>
    <w:rsid w:val="1EEF3149"/>
    <w:rsid w:val="1EF2003C"/>
    <w:rsid w:val="1EF428B3"/>
    <w:rsid w:val="1EF53F2C"/>
    <w:rsid w:val="1F065FF0"/>
    <w:rsid w:val="1F0F0702"/>
    <w:rsid w:val="1F1138B5"/>
    <w:rsid w:val="1F165BBA"/>
    <w:rsid w:val="1F245DF9"/>
    <w:rsid w:val="1F25240B"/>
    <w:rsid w:val="1F295423"/>
    <w:rsid w:val="1F305A57"/>
    <w:rsid w:val="1F370E3D"/>
    <w:rsid w:val="1F3B0574"/>
    <w:rsid w:val="1F3B41CE"/>
    <w:rsid w:val="1F44198C"/>
    <w:rsid w:val="1F462094"/>
    <w:rsid w:val="1F492760"/>
    <w:rsid w:val="1F544955"/>
    <w:rsid w:val="1F5C0C50"/>
    <w:rsid w:val="1F5C4B8C"/>
    <w:rsid w:val="1F6074A6"/>
    <w:rsid w:val="1F67140B"/>
    <w:rsid w:val="1F6A6555"/>
    <w:rsid w:val="1F6B6AA4"/>
    <w:rsid w:val="1F784F2C"/>
    <w:rsid w:val="1F7D51A0"/>
    <w:rsid w:val="1F7F52D7"/>
    <w:rsid w:val="1F81458A"/>
    <w:rsid w:val="1F8E61D6"/>
    <w:rsid w:val="1FA24633"/>
    <w:rsid w:val="1FA26003"/>
    <w:rsid w:val="1FAA6851"/>
    <w:rsid w:val="1FAF0581"/>
    <w:rsid w:val="1FB515CE"/>
    <w:rsid w:val="1FBF379E"/>
    <w:rsid w:val="1FC279EA"/>
    <w:rsid w:val="1FC84EA2"/>
    <w:rsid w:val="1FCF6BD7"/>
    <w:rsid w:val="1FD11AEB"/>
    <w:rsid w:val="1FD13804"/>
    <w:rsid w:val="1FD50B49"/>
    <w:rsid w:val="1FD643F0"/>
    <w:rsid w:val="1FD964C8"/>
    <w:rsid w:val="1FDE0A21"/>
    <w:rsid w:val="1FE65BB1"/>
    <w:rsid w:val="1FEA689D"/>
    <w:rsid w:val="1FEF4DA6"/>
    <w:rsid w:val="1FF21456"/>
    <w:rsid w:val="1FF45B7B"/>
    <w:rsid w:val="1FF5F49A"/>
    <w:rsid w:val="1FFA23D8"/>
    <w:rsid w:val="1FFD1D31"/>
    <w:rsid w:val="1FFE165C"/>
    <w:rsid w:val="20003E57"/>
    <w:rsid w:val="200F7270"/>
    <w:rsid w:val="201516C0"/>
    <w:rsid w:val="201B3116"/>
    <w:rsid w:val="201B383C"/>
    <w:rsid w:val="201F10D7"/>
    <w:rsid w:val="20336FFB"/>
    <w:rsid w:val="20393403"/>
    <w:rsid w:val="203E197B"/>
    <w:rsid w:val="203F3FEF"/>
    <w:rsid w:val="2047074E"/>
    <w:rsid w:val="204A474C"/>
    <w:rsid w:val="204D59F4"/>
    <w:rsid w:val="205E36FF"/>
    <w:rsid w:val="20611C73"/>
    <w:rsid w:val="206C1E47"/>
    <w:rsid w:val="20750060"/>
    <w:rsid w:val="20751E87"/>
    <w:rsid w:val="207B0590"/>
    <w:rsid w:val="2086432C"/>
    <w:rsid w:val="20895C0A"/>
    <w:rsid w:val="209059F9"/>
    <w:rsid w:val="20920401"/>
    <w:rsid w:val="209968A2"/>
    <w:rsid w:val="209E7558"/>
    <w:rsid w:val="20A0353D"/>
    <w:rsid w:val="20A76878"/>
    <w:rsid w:val="20AA6F98"/>
    <w:rsid w:val="20BA0728"/>
    <w:rsid w:val="20BB1BA9"/>
    <w:rsid w:val="20BB1DB6"/>
    <w:rsid w:val="20BB2F53"/>
    <w:rsid w:val="20BB3D1B"/>
    <w:rsid w:val="20BC6035"/>
    <w:rsid w:val="20C50A7F"/>
    <w:rsid w:val="20D8332B"/>
    <w:rsid w:val="20D85296"/>
    <w:rsid w:val="20DB39AB"/>
    <w:rsid w:val="20DC0077"/>
    <w:rsid w:val="20DC4DA8"/>
    <w:rsid w:val="20DD5AF8"/>
    <w:rsid w:val="20E57802"/>
    <w:rsid w:val="20E71C8B"/>
    <w:rsid w:val="20FE5FDF"/>
    <w:rsid w:val="21061857"/>
    <w:rsid w:val="210843BE"/>
    <w:rsid w:val="210C37AF"/>
    <w:rsid w:val="210D55EE"/>
    <w:rsid w:val="210E0FF2"/>
    <w:rsid w:val="211043C7"/>
    <w:rsid w:val="21131504"/>
    <w:rsid w:val="211D68E2"/>
    <w:rsid w:val="21242AC4"/>
    <w:rsid w:val="213E2A42"/>
    <w:rsid w:val="2141581D"/>
    <w:rsid w:val="21421FBD"/>
    <w:rsid w:val="2144362E"/>
    <w:rsid w:val="21481A1F"/>
    <w:rsid w:val="214A3F2E"/>
    <w:rsid w:val="214F4D82"/>
    <w:rsid w:val="214F546F"/>
    <w:rsid w:val="214F6AD7"/>
    <w:rsid w:val="21544750"/>
    <w:rsid w:val="2155596E"/>
    <w:rsid w:val="21563BE7"/>
    <w:rsid w:val="21593CDB"/>
    <w:rsid w:val="21627873"/>
    <w:rsid w:val="21652762"/>
    <w:rsid w:val="2170030B"/>
    <w:rsid w:val="217509A5"/>
    <w:rsid w:val="21812D83"/>
    <w:rsid w:val="218219F5"/>
    <w:rsid w:val="21821C90"/>
    <w:rsid w:val="21834E73"/>
    <w:rsid w:val="2184245C"/>
    <w:rsid w:val="218B44B2"/>
    <w:rsid w:val="219324EB"/>
    <w:rsid w:val="21987D2C"/>
    <w:rsid w:val="21A83F47"/>
    <w:rsid w:val="21AB5CB4"/>
    <w:rsid w:val="21AD3E92"/>
    <w:rsid w:val="21B179BC"/>
    <w:rsid w:val="21B84980"/>
    <w:rsid w:val="21C508CE"/>
    <w:rsid w:val="21C66814"/>
    <w:rsid w:val="21D73DBD"/>
    <w:rsid w:val="21D8688A"/>
    <w:rsid w:val="21DF0E52"/>
    <w:rsid w:val="21E143E7"/>
    <w:rsid w:val="21EA3865"/>
    <w:rsid w:val="21EB33C4"/>
    <w:rsid w:val="21EC3CE1"/>
    <w:rsid w:val="21F65C3F"/>
    <w:rsid w:val="21F92DCD"/>
    <w:rsid w:val="220629DE"/>
    <w:rsid w:val="22187D9B"/>
    <w:rsid w:val="221C5C74"/>
    <w:rsid w:val="221D4A20"/>
    <w:rsid w:val="22233C11"/>
    <w:rsid w:val="222E41A0"/>
    <w:rsid w:val="222F4516"/>
    <w:rsid w:val="223A765D"/>
    <w:rsid w:val="223B524E"/>
    <w:rsid w:val="223E5736"/>
    <w:rsid w:val="224D0FDA"/>
    <w:rsid w:val="225173CC"/>
    <w:rsid w:val="22534A7A"/>
    <w:rsid w:val="22555739"/>
    <w:rsid w:val="22573718"/>
    <w:rsid w:val="22577F33"/>
    <w:rsid w:val="226755FF"/>
    <w:rsid w:val="226E6DAF"/>
    <w:rsid w:val="22723DCE"/>
    <w:rsid w:val="22760A40"/>
    <w:rsid w:val="227647D5"/>
    <w:rsid w:val="227773CA"/>
    <w:rsid w:val="227B5768"/>
    <w:rsid w:val="228003FA"/>
    <w:rsid w:val="228A1037"/>
    <w:rsid w:val="22902F40"/>
    <w:rsid w:val="229A68AB"/>
    <w:rsid w:val="229B21FA"/>
    <w:rsid w:val="229D5AD9"/>
    <w:rsid w:val="22A01F0E"/>
    <w:rsid w:val="22A84C06"/>
    <w:rsid w:val="22C82D29"/>
    <w:rsid w:val="22D36793"/>
    <w:rsid w:val="22D752DD"/>
    <w:rsid w:val="22E53CCF"/>
    <w:rsid w:val="22EE6D87"/>
    <w:rsid w:val="22F243FB"/>
    <w:rsid w:val="22FF24C4"/>
    <w:rsid w:val="23014D43"/>
    <w:rsid w:val="23041D38"/>
    <w:rsid w:val="23042EFF"/>
    <w:rsid w:val="23053135"/>
    <w:rsid w:val="23057188"/>
    <w:rsid w:val="230F450A"/>
    <w:rsid w:val="231653F1"/>
    <w:rsid w:val="23170260"/>
    <w:rsid w:val="2319246A"/>
    <w:rsid w:val="231A5EE7"/>
    <w:rsid w:val="231E14A9"/>
    <w:rsid w:val="231E469C"/>
    <w:rsid w:val="232337B4"/>
    <w:rsid w:val="232A313F"/>
    <w:rsid w:val="232C6FA4"/>
    <w:rsid w:val="232D023D"/>
    <w:rsid w:val="23333275"/>
    <w:rsid w:val="233647BF"/>
    <w:rsid w:val="23392E6E"/>
    <w:rsid w:val="233A0AA7"/>
    <w:rsid w:val="233E265D"/>
    <w:rsid w:val="233F523B"/>
    <w:rsid w:val="23454FED"/>
    <w:rsid w:val="234939F4"/>
    <w:rsid w:val="2355560D"/>
    <w:rsid w:val="235F41EA"/>
    <w:rsid w:val="236103A4"/>
    <w:rsid w:val="23645987"/>
    <w:rsid w:val="237C7D5E"/>
    <w:rsid w:val="237F5074"/>
    <w:rsid w:val="238D4E4F"/>
    <w:rsid w:val="238F3FC7"/>
    <w:rsid w:val="2395606C"/>
    <w:rsid w:val="239C47AD"/>
    <w:rsid w:val="23A30E66"/>
    <w:rsid w:val="23A5431A"/>
    <w:rsid w:val="23B855B4"/>
    <w:rsid w:val="23BE4DFD"/>
    <w:rsid w:val="23BF2AEE"/>
    <w:rsid w:val="23C3584E"/>
    <w:rsid w:val="23C5553B"/>
    <w:rsid w:val="23CB0696"/>
    <w:rsid w:val="23CC3CE9"/>
    <w:rsid w:val="23CF08C4"/>
    <w:rsid w:val="23D35B56"/>
    <w:rsid w:val="23D628AE"/>
    <w:rsid w:val="23E02C89"/>
    <w:rsid w:val="23E9569E"/>
    <w:rsid w:val="23E9602A"/>
    <w:rsid w:val="23EB2FE0"/>
    <w:rsid w:val="23ED1676"/>
    <w:rsid w:val="23F13BCC"/>
    <w:rsid w:val="23F52A31"/>
    <w:rsid w:val="23FD671D"/>
    <w:rsid w:val="24044C0A"/>
    <w:rsid w:val="24084D2B"/>
    <w:rsid w:val="241119AF"/>
    <w:rsid w:val="24115AD6"/>
    <w:rsid w:val="24120EBE"/>
    <w:rsid w:val="241C583B"/>
    <w:rsid w:val="241C5E2C"/>
    <w:rsid w:val="2426102C"/>
    <w:rsid w:val="2431655E"/>
    <w:rsid w:val="24376D95"/>
    <w:rsid w:val="243918C0"/>
    <w:rsid w:val="243C6939"/>
    <w:rsid w:val="243D4ED1"/>
    <w:rsid w:val="243E2531"/>
    <w:rsid w:val="24481406"/>
    <w:rsid w:val="245E6A40"/>
    <w:rsid w:val="24630955"/>
    <w:rsid w:val="24697B84"/>
    <w:rsid w:val="24732269"/>
    <w:rsid w:val="247942D7"/>
    <w:rsid w:val="247D74F1"/>
    <w:rsid w:val="2480623C"/>
    <w:rsid w:val="248975AD"/>
    <w:rsid w:val="248D360C"/>
    <w:rsid w:val="249D0560"/>
    <w:rsid w:val="24A216A6"/>
    <w:rsid w:val="24A37128"/>
    <w:rsid w:val="24A41A2B"/>
    <w:rsid w:val="24A561DA"/>
    <w:rsid w:val="24AA70A0"/>
    <w:rsid w:val="24BC27DD"/>
    <w:rsid w:val="24C52394"/>
    <w:rsid w:val="24CE5F74"/>
    <w:rsid w:val="24D35E9C"/>
    <w:rsid w:val="24E05421"/>
    <w:rsid w:val="24E33795"/>
    <w:rsid w:val="24E4511F"/>
    <w:rsid w:val="24E45993"/>
    <w:rsid w:val="24E842A6"/>
    <w:rsid w:val="24EA7087"/>
    <w:rsid w:val="24EE7D9B"/>
    <w:rsid w:val="24F86D7D"/>
    <w:rsid w:val="24FA1832"/>
    <w:rsid w:val="24FF7842"/>
    <w:rsid w:val="25001A98"/>
    <w:rsid w:val="25104EB5"/>
    <w:rsid w:val="25165567"/>
    <w:rsid w:val="251B2213"/>
    <w:rsid w:val="251B4A24"/>
    <w:rsid w:val="251D7912"/>
    <w:rsid w:val="252014C2"/>
    <w:rsid w:val="2525385D"/>
    <w:rsid w:val="25304FB1"/>
    <w:rsid w:val="2537379B"/>
    <w:rsid w:val="25377B80"/>
    <w:rsid w:val="2546151C"/>
    <w:rsid w:val="2547278F"/>
    <w:rsid w:val="25551FFC"/>
    <w:rsid w:val="255F20A7"/>
    <w:rsid w:val="25605603"/>
    <w:rsid w:val="25651DCD"/>
    <w:rsid w:val="256E7F53"/>
    <w:rsid w:val="25755CB1"/>
    <w:rsid w:val="25782CA5"/>
    <w:rsid w:val="25783930"/>
    <w:rsid w:val="25850D80"/>
    <w:rsid w:val="259417DB"/>
    <w:rsid w:val="25975178"/>
    <w:rsid w:val="259F0793"/>
    <w:rsid w:val="25A12397"/>
    <w:rsid w:val="25AF1EC4"/>
    <w:rsid w:val="25B427E8"/>
    <w:rsid w:val="25B57199"/>
    <w:rsid w:val="25BD72EB"/>
    <w:rsid w:val="25C00B8C"/>
    <w:rsid w:val="25C03DEE"/>
    <w:rsid w:val="25C10267"/>
    <w:rsid w:val="25CD1194"/>
    <w:rsid w:val="25D52D1D"/>
    <w:rsid w:val="25D95E65"/>
    <w:rsid w:val="25E030FB"/>
    <w:rsid w:val="25E27205"/>
    <w:rsid w:val="25F57B2B"/>
    <w:rsid w:val="25F743D3"/>
    <w:rsid w:val="25FF0BB7"/>
    <w:rsid w:val="26036FA8"/>
    <w:rsid w:val="260C3952"/>
    <w:rsid w:val="261B20EA"/>
    <w:rsid w:val="261F3F85"/>
    <w:rsid w:val="2622669F"/>
    <w:rsid w:val="26285A2D"/>
    <w:rsid w:val="262A2D93"/>
    <w:rsid w:val="262B252F"/>
    <w:rsid w:val="262B7C6D"/>
    <w:rsid w:val="26303A03"/>
    <w:rsid w:val="263F9F07"/>
    <w:rsid w:val="26405E19"/>
    <w:rsid w:val="26415CBF"/>
    <w:rsid w:val="2642053E"/>
    <w:rsid w:val="2651396B"/>
    <w:rsid w:val="265C45F6"/>
    <w:rsid w:val="265E2C59"/>
    <w:rsid w:val="266B4515"/>
    <w:rsid w:val="266B6B23"/>
    <w:rsid w:val="26720B90"/>
    <w:rsid w:val="26734C47"/>
    <w:rsid w:val="26794CC8"/>
    <w:rsid w:val="267D226F"/>
    <w:rsid w:val="267D44F5"/>
    <w:rsid w:val="268E3227"/>
    <w:rsid w:val="268E3BA5"/>
    <w:rsid w:val="268F0486"/>
    <w:rsid w:val="269A603B"/>
    <w:rsid w:val="269E2084"/>
    <w:rsid w:val="26A050C5"/>
    <w:rsid w:val="26A46153"/>
    <w:rsid w:val="26A5448A"/>
    <w:rsid w:val="26A83F7A"/>
    <w:rsid w:val="26AA2BE0"/>
    <w:rsid w:val="26B0112B"/>
    <w:rsid w:val="26CA6CA4"/>
    <w:rsid w:val="26D0032F"/>
    <w:rsid w:val="26D71349"/>
    <w:rsid w:val="26E126F4"/>
    <w:rsid w:val="26EB2E1A"/>
    <w:rsid w:val="26F85B67"/>
    <w:rsid w:val="26FAD896"/>
    <w:rsid w:val="2705124A"/>
    <w:rsid w:val="2706539B"/>
    <w:rsid w:val="27122D16"/>
    <w:rsid w:val="27137CB7"/>
    <w:rsid w:val="27174CAB"/>
    <w:rsid w:val="271B71E1"/>
    <w:rsid w:val="27223969"/>
    <w:rsid w:val="2724207B"/>
    <w:rsid w:val="27263374"/>
    <w:rsid w:val="27276799"/>
    <w:rsid w:val="272C53DD"/>
    <w:rsid w:val="274A1D27"/>
    <w:rsid w:val="275163C0"/>
    <w:rsid w:val="275213D3"/>
    <w:rsid w:val="275312D0"/>
    <w:rsid w:val="2755362B"/>
    <w:rsid w:val="27565784"/>
    <w:rsid w:val="275C7511"/>
    <w:rsid w:val="275D74DA"/>
    <w:rsid w:val="275F5CEF"/>
    <w:rsid w:val="27605206"/>
    <w:rsid w:val="27692D7B"/>
    <w:rsid w:val="276E74B8"/>
    <w:rsid w:val="276F0D0C"/>
    <w:rsid w:val="276F3967"/>
    <w:rsid w:val="2777374E"/>
    <w:rsid w:val="277E3531"/>
    <w:rsid w:val="278103EA"/>
    <w:rsid w:val="278504E5"/>
    <w:rsid w:val="27913BF9"/>
    <w:rsid w:val="279D0DF3"/>
    <w:rsid w:val="27A07FD1"/>
    <w:rsid w:val="27A22014"/>
    <w:rsid w:val="27A40996"/>
    <w:rsid w:val="27A43197"/>
    <w:rsid w:val="27AA28BA"/>
    <w:rsid w:val="27AB7F08"/>
    <w:rsid w:val="27B47014"/>
    <w:rsid w:val="27B63CAD"/>
    <w:rsid w:val="27BD21AA"/>
    <w:rsid w:val="27BD3EC2"/>
    <w:rsid w:val="27C11A37"/>
    <w:rsid w:val="27C34898"/>
    <w:rsid w:val="27CD4588"/>
    <w:rsid w:val="27D30403"/>
    <w:rsid w:val="27DC2D55"/>
    <w:rsid w:val="27E91B5A"/>
    <w:rsid w:val="27EA020A"/>
    <w:rsid w:val="27F503F7"/>
    <w:rsid w:val="27F57A60"/>
    <w:rsid w:val="280331AE"/>
    <w:rsid w:val="28047FC1"/>
    <w:rsid w:val="280E65D3"/>
    <w:rsid w:val="28163846"/>
    <w:rsid w:val="281A67DA"/>
    <w:rsid w:val="282B0DC5"/>
    <w:rsid w:val="282E142C"/>
    <w:rsid w:val="28314A1C"/>
    <w:rsid w:val="28331903"/>
    <w:rsid w:val="28357004"/>
    <w:rsid w:val="28422D65"/>
    <w:rsid w:val="284A6797"/>
    <w:rsid w:val="284D5739"/>
    <w:rsid w:val="285919D0"/>
    <w:rsid w:val="28661A69"/>
    <w:rsid w:val="286C1ED1"/>
    <w:rsid w:val="28836A81"/>
    <w:rsid w:val="28870EDD"/>
    <w:rsid w:val="28876FA3"/>
    <w:rsid w:val="288B4BC3"/>
    <w:rsid w:val="288E42C4"/>
    <w:rsid w:val="28963BA5"/>
    <w:rsid w:val="289B20D2"/>
    <w:rsid w:val="289D158A"/>
    <w:rsid w:val="28A06604"/>
    <w:rsid w:val="28AD0DB9"/>
    <w:rsid w:val="28AF0138"/>
    <w:rsid w:val="28BD3495"/>
    <w:rsid w:val="28C26796"/>
    <w:rsid w:val="28C433F0"/>
    <w:rsid w:val="28CC0901"/>
    <w:rsid w:val="28CF7CBF"/>
    <w:rsid w:val="28D25775"/>
    <w:rsid w:val="28D3084C"/>
    <w:rsid w:val="28E2004C"/>
    <w:rsid w:val="28E47388"/>
    <w:rsid w:val="28EC2A74"/>
    <w:rsid w:val="28F5764F"/>
    <w:rsid w:val="28F97A35"/>
    <w:rsid w:val="28FF145D"/>
    <w:rsid w:val="29012E1C"/>
    <w:rsid w:val="290B3172"/>
    <w:rsid w:val="29130D04"/>
    <w:rsid w:val="291B7DED"/>
    <w:rsid w:val="291C40B5"/>
    <w:rsid w:val="29251666"/>
    <w:rsid w:val="292A20F8"/>
    <w:rsid w:val="292E2B5A"/>
    <w:rsid w:val="29365CAD"/>
    <w:rsid w:val="29395857"/>
    <w:rsid w:val="293F0683"/>
    <w:rsid w:val="293F5145"/>
    <w:rsid w:val="29420B46"/>
    <w:rsid w:val="294403B4"/>
    <w:rsid w:val="294471A2"/>
    <w:rsid w:val="294819CE"/>
    <w:rsid w:val="294B79FF"/>
    <w:rsid w:val="294C5B89"/>
    <w:rsid w:val="294E01AC"/>
    <w:rsid w:val="295E1242"/>
    <w:rsid w:val="296432B0"/>
    <w:rsid w:val="296C2904"/>
    <w:rsid w:val="296C75DA"/>
    <w:rsid w:val="296F3E44"/>
    <w:rsid w:val="2970069C"/>
    <w:rsid w:val="29785D9B"/>
    <w:rsid w:val="29790CD9"/>
    <w:rsid w:val="297B50DF"/>
    <w:rsid w:val="2988212A"/>
    <w:rsid w:val="298934A3"/>
    <w:rsid w:val="29915199"/>
    <w:rsid w:val="29972F16"/>
    <w:rsid w:val="299D5C06"/>
    <w:rsid w:val="29A73D2F"/>
    <w:rsid w:val="29A862AC"/>
    <w:rsid w:val="29A952B1"/>
    <w:rsid w:val="29AF4B17"/>
    <w:rsid w:val="29B42CF8"/>
    <w:rsid w:val="29BE46E1"/>
    <w:rsid w:val="29C10255"/>
    <w:rsid w:val="29C11652"/>
    <w:rsid w:val="29C116D6"/>
    <w:rsid w:val="29C11D4D"/>
    <w:rsid w:val="29C56816"/>
    <w:rsid w:val="29DE3B3C"/>
    <w:rsid w:val="29E04A02"/>
    <w:rsid w:val="29EF5F90"/>
    <w:rsid w:val="29F46A27"/>
    <w:rsid w:val="29F82C49"/>
    <w:rsid w:val="29FD43F1"/>
    <w:rsid w:val="29FF0471"/>
    <w:rsid w:val="29FF3B40"/>
    <w:rsid w:val="2A021BF3"/>
    <w:rsid w:val="2A182443"/>
    <w:rsid w:val="2A182A1D"/>
    <w:rsid w:val="2A1E7AFC"/>
    <w:rsid w:val="2A244998"/>
    <w:rsid w:val="2A273408"/>
    <w:rsid w:val="2A2E76C7"/>
    <w:rsid w:val="2A30249C"/>
    <w:rsid w:val="2A36397E"/>
    <w:rsid w:val="2A41417C"/>
    <w:rsid w:val="2A4432C1"/>
    <w:rsid w:val="2A464DED"/>
    <w:rsid w:val="2A476166"/>
    <w:rsid w:val="2A5A2F39"/>
    <w:rsid w:val="2A607F00"/>
    <w:rsid w:val="2A6C6582"/>
    <w:rsid w:val="2A6D4DAB"/>
    <w:rsid w:val="2A8154CD"/>
    <w:rsid w:val="2A832706"/>
    <w:rsid w:val="2A896654"/>
    <w:rsid w:val="2A8F7272"/>
    <w:rsid w:val="2A903C3B"/>
    <w:rsid w:val="2A9113E2"/>
    <w:rsid w:val="2A98613C"/>
    <w:rsid w:val="2A9B7773"/>
    <w:rsid w:val="2A9C12AE"/>
    <w:rsid w:val="2A9F1E30"/>
    <w:rsid w:val="2AA44610"/>
    <w:rsid w:val="2AA669D3"/>
    <w:rsid w:val="2AA66E0B"/>
    <w:rsid w:val="2AA911A0"/>
    <w:rsid w:val="2AB7391A"/>
    <w:rsid w:val="2ABB774C"/>
    <w:rsid w:val="2ABF04F1"/>
    <w:rsid w:val="2AC01F31"/>
    <w:rsid w:val="2AC90AA2"/>
    <w:rsid w:val="2AD40BD1"/>
    <w:rsid w:val="2ADC38F0"/>
    <w:rsid w:val="2ADF3279"/>
    <w:rsid w:val="2AF356EB"/>
    <w:rsid w:val="2AF73ADD"/>
    <w:rsid w:val="2B095058"/>
    <w:rsid w:val="2B1246BE"/>
    <w:rsid w:val="2B13386F"/>
    <w:rsid w:val="2B186DE5"/>
    <w:rsid w:val="2B1F599B"/>
    <w:rsid w:val="2B292350"/>
    <w:rsid w:val="2B2B6F28"/>
    <w:rsid w:val="2B2F0F6B"/>
    <w:rsid w:val="2B375073"/>
    <w:rsid w:val="2B3A3DF9"/>
    <w:rsid w:val="2B3B33E0"/>
    <w:rsid w:val="2B404051"/>
    <w:rsid w:val="2B437BC4"/>
    <w:rsid w:val="2B4523BE"/>
    <w:rsid w:val="2B4976F8"/>
    <w:rsid w:val="2B526391"/>
    <w:rsid w:val="2B53389F"/>
    <w:rsid w:val="2B554AD0"/>
    <w:rsid w:val="2B5B432E"/>
    <w:rsid w:val="2B5D0D75"/>
    <w:rsid w:val="2B6527A8"/>
    <w:rsid w:val="2B6542C8"/>
    <w:rsid w:val="2B6819BE"/>
    <w:rsid w:val="2B6F3222"/>
    <w:rsid w:val="2B710CB1"/>
    <w:rsid w:val="2B724B56"/>
    <w:rsid w:val="2B79217B"/>
    <w:rsid w:val="2B8A4E7D"/>
    <w:rsid w:val="2B943499"/>
    <w:rsid w:val="2B9C641C"/>
    <w:rsid w:val="2B9E289E"/>
    <w:rsid w:val="2B9E68B5"/>
    <w:rsid w:val="2BAA644A"/>
    <w:rsid w:val="2BB1142D"/>
    <w:rsid w:val="2BB66335"/>
    <w:rsid w:val="2BB707F9"/>
    <w:rsid w:val="2BBC0E8C"/>
    <w:rsid w:val="2BBC6BC9"/>
    <w:rsid w:val="2BBC6DEC"/>
    <w:rsid w:val="2BC058C2"/>
    <w:rsid w:val="2BC453FA"/>
    <w:rsid w:val="2BC832DB"/>
    <w:rsid w:val="2BCA6ED2"/>
    <w:rsid w:val="2BD27AE1"/>
    <w:rsid w:val="2BD30FEC"/>
    <w:rsid w:val="2BDC2840"/>
    <w:rsid w:val="2BEA65EE"/>
    <w:rsid w:val="2BEB65D2"/>
    <w:rsid w:val="2BEF38E3"/>
    <w:rsid w:val="2BF14C04"/>
    <w:rsid w:val="2C050C78"/>
    <w:rsid w:val="2C0E7E3B"/>
    <w:rsid w:val="2C200BF3"/>
    <w:rsid w:val="2C2F558F"/>
    <w:rsid w:val="2C351247"/>
    <w:rsid w:val="2C395EA5"/>
    <w:rsid w:val="2C3B118D"/>
    <w:rsid w:val="2C3C339C"/>
    <w:rsid w:val="2C482C48"/>
    <w:rsid w:val="2C493FF0"/>
    <w:rsid w:val="2C5A5867"/>
    <w:rsid w:val="2C5E1E91"/>
    <w:rsid w:val="2C696D1D"/>
    <w:rsid w:val="2C71258C"/>
    <w:rsid w:val="2C7313DF"/>
    <w:rsid w:val="2C7833AA"/>
    <w:rsid w:val="2C8053B1"/>
    <w:rsid w:val="2C854BA0"/>
    <w:rsid w:val="2C87189D"/>
    <w:rsid w:val="2C906379"/>
    <w:rsid w:val="2C97274A"/>
    <w:rsid w:val="2C994A91"/>
    <w:rsid w:val="2CA712A5"/>
    <w:rsid w:val="2CA8261D"/>
    <w:rsid w:val="2CA87572"/>
    <w:rsid w:val="2CAE5946"/>
    <w:rsid w:val="2CB524FA"/>
    <w:rsid w:val="2CCC3583"/>
    <w:rsid w:val="2CCF4E99"/>
    <w:rsid w:val="2CD1792C"/>
    <w:rsid w:val="2CD80C63"/>
    <w:rsid w:val="2CDF1D27"/>
    <w:rsid w:val="2CEB591C"/>
    <w:rsid w:val="2D00422D"/>
    <w:rsid w:val="2D082EFB"/>
    <w:rsid w:val="2D113C66"/>
    <w:rsid w:val="2D22455C"/>
    <w:rsid w:val="2D224A7E"/>
    <w:rsid w:val="2D267910"/>
    <w:rsid w:val="2D2A6263"/>
    <w:rsid w:val="2D363891"/>
    <w:rsid w:val="2D3816C0"/>
    <w:rsid w:val="2D3C00C6"/>
    <w:rsid w:val="2D3F1821"/>
    <w:rsid w:val="2D3F3D76"/>
    <w:rsid w:val="2D414068"/>
    <w:rsid w:val="2D4655D1"/>
    <w:rsid w:val="2D4C49B4"/>
    <w:rsid w:val="2D4D3291"/>
    <w:rsid w:val="2D507AFC"/>
    <w:rsid w:val="2D5D1245"/>
    <w:rsid w:val="2D6035C0"/>
    <w:rsid w:val="2D6A3BA5"/>
    <w:rsid w:val="2D6B4ACF"/>
    <w:rsid w:val="2D721026"/>
    <w:rsid w:val="2D764E26"/>
    <w:rsid w:val="2D7776A5"/>
    <w:rsid w:val="2D7E652C"/>
    <w:rsid w:val="2D834DF9"/>
    <w:rsid w:val="2D8556CB"/>
    <w:rsid w:val="2D880563"/>
    <w:rsid w:val="2D8F20CF"/>
    <w:rsid w:val="2D985794"/>
    <w:rsid w:val="2D9A3CA0"/>
    <w:rsid w:val="2D9C7898"/>
    <w:rsid w:val="2D9E7E85"/>
    <w:rsid w:val="2DA15EC9"/>
    <w:rsid w:val="2DA749EF"/>
    <w:rsid w:val="2DB70BB6"/>
    <w:rsid w:val="2DBF12E7"/>
    <w:rsid w:val="2DC07DFB"/>
    <w:rsid w:val="2DC21E07"/>
    <w:rsid w:val="2DC25DA1"/>
    <w:rsid w:val="2DCD3FE6"/>
    <w:rsid w:val="2DCE5D4E"/>
    <w:rsid w:val="2DD5522D"/>
    <w:rsid w:val="2DD672FE"/>
    <w:rsid w:val="2DDA66B7"/>
    <w:rsid w:val="2DE34214"/>
    <w:rsid w:val="2DEC0BF0"/>
    <w:rsid w:val="2DEF7260"/>
    <w:rsid w:val="2DF2317A"/>
    <w:rsid w:val="2E025309"/>
    <w:rsid w:val="2E044710"/>
    <w:rsid w:val="2E11206C"/>
    <w:rsid w:val="2E195392"/>
    <w:rsid w:val="2E1D3FD2"/>
    <w:rsid w:val="2E2748FD"/>
    <w:rsid w:val="2E284F98"/>
    <w:rsid w:val="2E2C7012"/>
    <w:rsid w:val="2E34285D"/>
    <w:rsid w:val="2E3D144C"/>
    <w:rsid w:val="2E466746"/>
    <w:rsid w:val="2E50470B"/>
    <w:rsid w:val="2E5C5D76"/>
    <w:rsid w:val="2E684FF5"/>
    <w:rsid w:val="2E861045"/>
    <w:rsid w:val="2E892C32"/>
    <w:rsid w:val="2E915C1D"/>
    <w:rsid w:val="2E9812F6"/>
    <w:rsid w:val="2E984118"/>
    <w:rsid w:val="2E9B4EED"/>
    <w:rsid w:val="2EAC06AF"/>
    <w:rsid w:val="2EAE19E9"/>
    <w:rsid w:val="2EC15766"/>
    <w:rsid w:val="2EC36C49"/>
    <w:rsid w:val="2EC41526"/>
    <w:rsid w:val="2ECD20F5"/>
    <w:rsid w:val="2ECD5546"/>
    <w:rsid w:val="2ED20B55"/>
    <w:rsid w:val="2ED22A87"/>
    <w:rsid w:val="2EDF75F2"/>
    <w:rsid w:val="2EE20276"/>
    <w:rsid w:val="2EEF6BB4"/>
    <w:rsid w:val="2EFB0308"/>
    <w:rsid w:val="2F007B7C"/>
    <w:rsid w:val="2F125EA7"/>
    <w:rsid w:val="2F134631"/>
    <w:rsid w:val="2F18521E"/>
    <w:rsid w:val="2F1D4A0D"/>
    <w:rsid w:val="2F2E321D"/>
    <w:rsid w:val="2F2E7411"/>
    <w:rsid w:val="2F31293F"/>
    <w:rsid w:val="2F313DC6"/>
    <w:rsid w:val="2F34211E"/>
    <w:rsid w:val="2F3C411C"/>
    <w:rsid w:val="2F44087B"/>
    <w:rsid w:val="2F4607D4"/>
    <w:rsid w:val="2F4B2865"/>
    <w:rsid w:val="2F4E7AE9"/>
    <w:rsid w:val="2F5561B7"/>
    <w:rsid w:val="2F5978A9"/>
    <w:rsid w:val="2F5A3BF8"/>
    <w:rsid w:val="2F626B8E"/>
    <w:rsid w:val="2F772E6A"/>
    <w:rsid w:val="2F793675"/>
    <w:rsid w:val="2F7C04FB"/>
    <w:rsid w:val="2F7E26ED"/>
    <w:rsid w:val="2F814E1C"/>
    <w:rsid w:val="2F82722E"/>
    <w:rsid w:val="2F8A246F"/>
    <w:rsid w:val="2F8A5D79"/>
    <w:rsid w:val="2F971030"/>
    <w:rsid w:val="2F9D3E3E"/>
    <w:rsid w:val="2F9E514C"/>
    <w:rsid w:val="2FA774C5"/>
    <w:rsid w:val="2FAA2E5B"/>
    <w:rsid w:val="2FB4669A"/>
    <w:rsid w:val="2FBF4562"/>
    <w:rsid w:val="2FC8743B"/>
    <w:rsid w:val="2FCA2150"/>
    <w:rsid w:val="2FD657BA"/>
    <w:rsid w:val="2FD94ED5"/>
    <w:rsid w:val="2FDA52D9"/>
    <w:rsid w:val="2FDD7395"/>
    <w:rsid w:val="2FE8361E"/>
    <w:rsid w:val="2FE863A2"/>
    <w:rsid w:val="2FE94A1B"/>
    <w:rsid w:val="2FEC412C"/>
    <w:rsid w:val="2FEE428E"/>
    <w:rsid w:val="2FF959E2"/>
    <w:rsid w:val="2FFB01DC"/>
    <w:rsid w:val="2FFD2952"/>
    <w:rsid w:val="2FFD9B1B"/>
    <w:rsid w:val="2FFE51D1"/>
    <w:rsid w:val="2FFF2430"/>
    <w:rsid w:val="30052AD8"/>
    <w:rsid w:val="30057136"/>
    <w:rsid w:val="30065AF5"/>
    <w:rsid w:val="300E4C92"/>
    <w:rsid w:val="301A6389"/>
    <w:rsid w:val="301B2062"/>
    <w:rsid w:val="301C4960"/>
    <w:rsid w:val="302017CD"/>
    <w:rsid w:val="302858F4"/>
    <w:rsid w:val="302E6B9C"/>
    <w:rsid w:val="30332467"/>
    <w:rsid w:val="303B2B6F"/>
    <w:rsid w:val="30486ABD"/>
    <w:rsid w:val="304F63CF"/>
    <w:rsid w:val="30510CFE"/>
    <w:rsid w:val="305B322E"/>
    <w:rsid w:val="306814F8"/>
    <w:rsid w:val="30690943"/>
    <w:rsid w:val="306D6D34"/>
    <w:rsid w:val="30753518"/>
    <w:rsid w:val="307E6707"/>
    <w:rsid w:val="308F1FB7"/>
    <w:rsid w:val="30983843"/>
    <w:rsid w:val="309B5493"/>
    <w:rsid w:val="309B5F8A"/>
    <w:rsid w:val="30A2163F"/>
    <w:rsid w:val="30A67D12"/>
    <w:rsid w:val="30A957E4"/>
    <w:rsid w:val="30B052BE"/>
    <w:rsid w:val="30BD120D"/>
    <w:rsid w:val="30D10541"/>
    <w:rsid w:val="30DE3092"/>
    <w:rsid w:val="31020BF4"/>
    <w:rsid w:val="310A3D12"/>
    <w:rsid w:val="311B685A"/>
    <w:rsid w:val="311F24A4"/>
    <w:rsid w:val="312608BD"/>
    <w:rsid w:val="31281B2A"/>
    <w:rsid w:val="312C2DF5"/>
    <w:rsid w:val="31321830"/>
    <w:rsid w:val="3134654D"/>
    <w:rsid w:val="31351759"/>
    <w:rsid w:val="313553D7"/>
    <w:rsid w:val="313A0140"/>
    <w:rsid w:val="31495D8A"/>
    <w:rsid w:val="314A25B5"/>
    <w:rsid w:val="31510B92"/>
    <w:rsid w:val="31525D7C"/>
    <w:rsid w:val="31533524"/>
    <w:rsid w:val="315E703F"/>
    <w:rsid w:val="315F6F32"/>
    <w:rsid w:val="316514C9"/>
    <w:rsid w:val="316752AC"/>
    <w:rsid w:val="317641C9"/>
    <w:rsid w:val="31764765"/>
    <w:rsid w:val="317E6AC1"/>
    <w:rsid w:val="31833AED"/>
    <w:rsid w:val="31847F50"/>
    <w:rsid w:val="31943A79"/>
    <w:rsid w:val="31970E73"/>
    <w:rsid w:val="319D5A1B"/>
    <w:rsid w:val="319E19D1"/>
    <w:rsid w:val="31A80AE0"/>
    <w:rsid w:val="31AC52F8"/>
    <w:rsid w:val="31AE1D4F"/>
    <w:rsid w:val="31B00595"/>
    <w:rsid w:val="31B01F35"/>
    <w:rsid w:val="31B152B7"/>
    <w:rsid w:val="31B531B2"/>
    <w:rsid w:val="31BB1A7C"/>
    <w:rsid w:val="31C31C49"/>
    <w:rsid w:val="31C61758"/>
    <w:rsid w:val="31D231C3"/>
    <w:rsid w:val="31DB070F"/>
    <w:rsid w:val="31DD6468"/>
    <w:rsid w:val="31E21A80"/>
    <w:rsid w:val="3206640E"/>
    <w:rsid w:val="320B7BFA"/>
    <w:rsid w:val="320E0E9C"/>
    <w:rsid w:val="320F5D2F"/>
    <w:rsid w:val="32127335"/>
    <w:rsid w:val="32140024"/>
    <w:rsid w:val="321A7507"/>
    <w:rsid w:val="321D59C5"/>
    <w:rsid w:val="322806F2"/>
    <w:rsid w:val="32284852"/>
    <w:rsid w:val="322F67B7"/>
    <w:rsid w:val="32400B7C"/>
    <w:rsid w:val="3245054C"/>
    <w:rsid w:val="3248535F"/>
    <w:rsid w:val="324D18FF"/>
    <w:rsid w:val="3257018C"/>
    <w:rsid w:val="325A0A18"/>
    <w:rsid w:val="325B483E"/>
    <w:rsid w:val="3261026A"/>
    <w:rsid w:val="326251FC"/>
    <w:rsid w:val="326A26D5"/>
    <w:rsid w:val="3271273E"/>
    <w:rsid w:val="32713A95"/>
    <w:rsid w:val="32713DBA"/>
    <w:rsid w:val="32807969"/>
    <w:rsid w:val="328304E8"/>
    <w:rsid w:val="328E2F32"/>
    <w:rsid w:val="32917166"/>
    <w:rsid w:val="32956339"/>
    <w:rsid w:val="329877B3"/>
    <w:rsid w:val="329B2BE5"/>
    <w:rsid w:val="329D14FF"/>
    <w:rsid w:val="329D5E91"/>
    <w:rsid w:val="32A0401B"/>
    <w:rsid w:val="32A62F58"/>
    <w:rsid w:val="32AB107A"/>
    <w:rsid w:val="32AB56EB"/>
    <w:rsid w:val="32B261CF"/>
    <w:rsid w:val="32C03B8D"/>
    <w:rsid w:val="32C26989"/>
    <w:rsid w:val="32C27680"/>
    <w:rsid w:val="32C42E11"/>
    <w:rsid w:val="32C5420E"/>
    <w:rsid w:val="32C837B5"/>
    <w:rsid w:val="32D228C1"/>
    <w:rsid w:val="32D91179"/>
    <w:rsid w:val="32E81869"/>
    <w:rsid w:val="32EA40D1"/>
    <w:rsid w:val="32EC2643"/>
    <w:rsid w:val="32EF34A0"/>
    <w:rsid w:val="32F8145F"/>
    <w:rsid w:val="32F9544D"/>
    <w:rsid w:val="330A3844"/>
    <w:rsid w:val="331A182B"/>
    <w:rsid w:val="331E41C7"/>
    <w:rsid w:val="33252E95"/>
    <w:rsid w:val="332576AE"/>
    <w:rsid w:val="33276E7D"/>
    <w:rsid w:val="33340711"/>
    <w:rsid w:val="333E11AA"/>
    <w:rsid w:val="333F0F9A"/>
    <w:rsid w:val="334254A8"/>
    <w:rsid w:val="33431D00"/>
    <w:rsid w:val="336274A4"/>
    <w:rsid w:val="33636826"/>
    <w:rsid w:val="33637846"/>
    <w:rsid w:val="336439F5"/>
    <w:rsid w:val="33661FF6"/>
    <w:rsid w:val="337053FF"/>
    <w:rsid w:val="337149FD"/>
    <w:rsid w:val="3382243C"/>
    <w:rsid w:val="33847C57"/>
    <w:rsid w:val="339417EF"/>
    <w:rsid w:val="33A771CD"/>
    <w:rsid w:val="33C33440"/>
    <w:rsid w:val="33C84B71"/>
    <w:rsid w:val="33D16C33"/>
    <w:rsid w:val="33D77C4D"/>
    <w:rsid w:val="33D923E9"/>
    <w:rsid w:val="33DB661D"/>
    <w:rsid w:val="33DB773D"/>
    <w:rsid w:val="33E219D9"/>
    <w:rsid w:val="33EA246F"/>
    <w:rsid w:val="33F16F60"/>
    <w:rsid w:val="33F60224"/>
    <w:rsid w:val="33FD220D"/>
    <w:rsid w:val="340032DD"/>
    <w:rsid w:val="34156536"/>
    <w:rsid w:val="341B4C51"/>
    <w:rsid w:val="341C38B1"/>
    <w:rsid w:val="34271E26"/>
    <w:rsid w:val="342B19B5"/>
    <w:rsid w:val="342C5F84"/>
    <w:rsid w:val="342D557D"/>
    <w:rsid w:val="342F1837"/>
    <w:rsid w:val="34306057"/>
    <w:rsid w:val="34331624"/>
    <w:rsid w:val="34340B23"/>
    <w:rsid w:val="34355D35"/>
    <w:rsid w:val="3441714C"/>
    <w:rsid w:val="34475066"/>
    <w:rsid w:val="34526B3A"/>
    <w:rsid w:val="34651E0B"/>
    <w:rsid w:val="34655C44"/>
    <w:rsid w:val="3467418C"/>
    <w:rsid w:val="34690282"/>
    <w:rsid w:val="34692D0C"/>
    <w:rsid w:val="347569F5"/>
    <w:rsid w:val="347668BE"/>
    <w:rsid w:val="34770678"/>
    <w:rsid w:val="348B1DD7"/>
    <w:rsid w:val="348B382D"/>
    <w:rsid w:val="348E2CA6"/>
    <w:rsid w:val="34941061"/>
    <w:rsid w:val="34957761"/>
    <w:rsid w:val="349700CA"/>
    <w:rsid w:val="34997C70"/>
    <w:rsid w:val="349A36D5"/>
    <w:rsid w:val="349E0695"/>
    <w:rsid w:val="349E777D"/>
    <w:rsid w:val="34A47E09"/>
    <w:rsid w:val="34B03B54"/>
    <w:rsid w:val="34B43FBC"/>
    <w:rsid w:val="34B566C5"/>
    <w:rsid w:val="34BF32C2"/>
    <w:rsid w:val="34BF7E98"/>
    <w:rsid w:val="34C24A3D"/>
    <w:rsid w:val="34C80E1E"/>
    <w:rsid w:val="34D136C0"/>
    <w:rsid w:val="34DB59DD"/>
    <w:rsid w:val="34DC2BFD"/>
    <w:rsid w:val="34DD524A"/>
    <w:rsid w:val="34F93C6B"/>
    <w:rsid w:val="34FC6A7F"/>
    <w:rsid w:val="35045109"/>
    <w:rsid w:val="35047BD8"/>
    <w:rsid w:val="350B5077"/>
    <w:rsid w:val="3510699D"/>
    <w:rsid w:val="351A2489"/>
    <w:rsid w:val="351E1490"/>
    <w:rsid w:val="35201B77"/>
    <w:rsid w:val="352944D8"/>
    <w:rsid w:val="353A7A7F"/>
    <w:rsid w:val="35407089"/>
    <w:rsid w:val="35416D23"/>
    <w:rsid w:val="354635F4"/>
    <w:rsid w:val="35470F49"/>
    <w:rsid w:val="354A19E0"/>
    <w:rsid w:val="354D25F5"/>
    <w:rsid w:val="354E7702"/>
    <w:rsid w:val="35512927"/>
    <w:rsid w:val="355A0483"/>
    <w:rsid w:val="35607A21"/>
    <w:rsid w:val="356977E1"/>
    <w:rsid w:val="357028AE"/>
    <w:rsid w:val="35731BF7"/>
    <w:rsid w:val="357F077F"/>
    <w:rsid w:val="35903D2B"/>
    <w:rsid w:val="35A70196"/>
    <w:rsid w:val="35AC5C90"/>
    <w:rsid w:val="35B70430"/>
    <w:rsid w:val="35BE4538"/>
    <w:rsid w:val="35BF3111"/>
    <w:rsid w:val="35CF4427"/>
    <w:rsid w:val="35D70FB2"/>
    <w:rsid w:val="35E04C68"/>
    <w:rsid w:val="35E43389"/>
    <w:rsid w:val="35E93F75"/>
    <w:rsid w:val="35F22D8B"/>
    <w:rsid w:val="35FA4EB8"/>
    <w:rsid w:val="35FB2E55"/>
    <w:rsid w:val="35FB62B5"/>
    <w:rsid w:val="360F2569"/>
    <w:rsid w:val="360F36CE"/>
    <w:rsid w:val="36151622"/>
    <w:rsid w:val="36405F7D"/>
    <w:rsid w:val="3643337A"/>
    <w:rsid w:val="36484B96"/>
    <w:rsid w:val="364C7CCE"/>
    <w:rsid w:val="36523817"/>
    <w:rsid w:val="36541332"/>
    <w:rsid w:val="365E3B5E"/>
    <w:rsid w:val="366136B9"/>
    <w:rsid w:val="36674C84"/>
    <w:rsid w:val="366A298B"/>
    <w:rsid w:val="366B2697"/>
    <w:rsid w:val="366D7F9E"/>
    <w:rsid w:val="3670239F"/>
    <w:rsid w:val="367E107E"/>
    <w:rsid w:val="36861FB0"/>
    <w:rsid w:val="368E4F3A"/>
    <w:rsid w:val="36926BFA"/>
    <w:rsid w:val="369C6DC4"/>
    <w:rsid w:val="369D685D"/>
    <w:rsid w:val="36A03851"/>
    <w:rsid w:val="36A54032"/>
    <w:rsid w:val="36AB4FC6"/>
    <w:rsid w:val="36AF1F9A"/>
    <w:rsid w:val="36B17669"/>
    <w:rsid w:val="36C26AD4"/>
    <w:rsid w:val="36C312CE"/>
    <w:rsid w:val="36CD549D"/>
    <w:rsid w:val="36D03546"/>
    <w:rsid w:val="36D25B50"/>
    <w:rsid w:val="36D30E99"/>
    <w:rsid w:val="36D45384"/>
    <w:rsid w:val="36D61DD9"/>
    <w:rsid w:val="36E3189B"/>
    <w:rsid w:val="36E93DC5"/>
    <w:rsid w:val="36EB25E9"/>
    <w:rsid w:val="36ED452D"/>
    <w:rsid w:val="36F05D2A"/>
    <w:rsid w:val="36F95FEB"/>
    <w:rsid w:val="36FF79BC"/>
    <w:rsid w:val="37032864"/>
    <w:rsid w:val="37036D27"/>
    <w:rsid w:val="370419F2"/>
    <w:rsid w:val="37067B0C"/>
    <w:rsid w:val="3709636F"/>
    <w:rsid w:val="370A73D2"/>
    <w:rsid w:val="370C7118"/>
    <w:rsid w:val="37130057"/>
    <w:rsid w:val="3716544F"/>
    <w:rsid w:val="37245B6B"/>
    <w:rsid w:val="373262CD"/>
    <w:rsid w:val="37367419"/>
    <w:rsid w:val="373A02A0"/>
    <w:rsid w:val="373A5084"/>
    <w:rsid w:val="373D5A75"/>
    <w:rsid w:val="37404B77"/>
    <w:rsid w:val="37420183"/>
    <w:rsid w:val="374721C9"/>
    <w:rsid w:val="374B0846"/>
    <w:rsid w:val="37501145"/>
    <w:rsid w:val="37532B2C"/>
    <w:rsid w:val="37624BE8"/>
    <w:rsid w:val="376E4B9B"/>
    <w:rsid w:val="37701CD6"/>
    <w:rsid w:val="37744AD2"/>
    <w:rsid w:val="37752915"/>
    <w:rsid w:val="377D0FC3"/>
    <w:rsid w:val="3782538F"/>
    <w:rsid w:val="378C4B33"/>
    <w:rsid w:val="379B2AB5"/>
    <w:rsid w:val="379C5490"/>
    <w:rsid w:val="37A244E8"/>
    <w:rsid w:val="37A325F4"/>
    <w:rsid w:val="37A6606E"/>
    <w:rsid w:val="37AE0A71"/>
    <w:rsid w:val="37B72231"/>
    <w:rsid w:val="37B96998"/>
    <w:rsid w:val="37BE192F"/>
    <w:rsid w:val="37C878FE"/>
    <w:rsid w:val="37D420E6"/>
    <w:rsid w:val="37D94027"/>
    <w:rsid w:val="37DC32D0"/>
    <w:rsid w:val="37DD373C"/>
    <w:rsid w:val="37E8141A"/>
    <w:rsid w:val="37E9744B"/>
    <w:rsid w:val="37F25055"/>
    <w:rsid w:val="37F338E8"/>
    <w:rsid w:val="37F73305"/>
    <w:rsid w:val="38014AF2"/>
    <w:rsid w:val="38052DC2"/>
    <w:rsid w:val="380C730E"/>
    <w:rsid w:val="380E1E51"/>
    <w:rsid w:val="380E3E8C"/>
    <w:rsid w:val="38101142"/>
    <w:rsid w:val="381B7DDA"/>
    <w:rsid w:val="38221D3F"/>
    <w:rsid w:val="382367D8"/>
    <w:rsid w:val="3828292B"/>
    <w:rsid w:val="3828316D"/>
    <w:rsid w:val="3829520D"/>
    <w:rsid w:val="382A0D47"/>
    <w:rsid w:val="382D359C"/>
    <w:rsid w:val="38301DBE"/>
    <w:rsid w:val="3830710F"/>
    <w:rsid w:val="3842284C"/>
    <w:rsid w:val="385E6364"/>
    <w:rsid w:val="3860207B"/>
    <w:rsid w:val="38653C72"/>
    <w:rsid w:val="386A5533"/>
    <w:rsid w:val="386B2337"/>
    <w:rsid w:val="38763ED8"/>
    <w:rsid w:val="387912D2"/>
    <w:rsid w:val="387925F7"/>
    <w:rsid w:val="387C443B"/>
    <w:rsid w:val="387E4551"/>
    <w:rsid w:val="387E6AA8"/>
    <w:rsid w:val="388A5D8E"/>
    <w:rsid w:val="388D5535"/>
    <w:rsid w:val="388E7DB4"/>
    <w:rsid w:val="38926838"/>
    <w:rsid w:val="38936121"/>
    <w:rsid w:val="3893751E"/>
    <w:rsid w:val="389E78F9"/>
    <w:rsid w:val="38AC6BC3"/>
    <w:rsid w:val="38AD572C"/>
    <w:rsid w:val="38BB478A"/>
    <w:rsid w:val="38BC43FE"/>
    <w:rsid w:val="38C5150D"/>
    <w:rsid w:val="38D155F4"/>
    <w:rsid w:val="38E205DE"/>
    <w:rsid w:val="38E205F9"/>
    <w:rsid w:val="38E621FA"/>
    <w:rsid w:val="38EB61DA"/>
    <w:rsid w:val="38EC7F72"/>
    <w:rsid w:val="39017D09"/>
    <w:rsid w:val="39042ACB"/>
    <w:rsid w:val="390A4292"/>
    <w:rsid w:val="3918374D"/>
    <w:rsid w:val="391D23A0"/>
    <w:rsid w:val="391E302F"/>
    <w:rsid w:val="39223583"/>
    <w:rsid w:val="39336C02"/>
    <w:rsid w:val="39432B7F"/>
    <w:rsid w:val="39440BD0"/>
    <w:rsid w:val="39484685"/>
    <w:rsid w:val="395A72F8"/>
    <w:rsid w:val="39672913"/>
    <w:rsid w:val="39735464"/>
    <w:rsid w:val="397720D5"/>
    <w:rsid w:val="39773856"/>
    <w:rsid w:val="397738DA"/>
    <w:rsid w:val="39783C80"/>
    <w:rsid w:val="39784CD7"/>
    <w:rsid w:val="39796E04"/>
    <w:rsid w:val="39813C31"/>
    <w:rsid w:val="398B2B8A"/>
    <w:rsid w:val="398F3CF9"/>
    <w:rsid w:val="39902C7F"/>
    <w:rsid w:val="39936F3B"/>
    <w:rsid w:val="39A133AE"/>
    <w:rsid w:val="39A75445"/>
    <w:rsid w:val="39B0130B"/>
    <w:rsid w:val="39BC1DBE"/>
    <w:rsid w:val="39BD14EE"/>
    <w:rsid w:val="39C30DBE"/>
    <w:rsid w:val="39CA2DA7"/>
    <w:rsid w:val="39DB4EBB"/>
    <w:rsid w:val="39E756F5"/>
    <w:rsid w:val="39ED2F0C"/>
    <w:rsid w:val="39F71341"/>
    <w:rsid w:val="39F717FE"/>
    <w:rsid w:val="39F7777E"/>
    <w:rsid w:val="39FE7998"/>
    <w:rsid w:val="39FF7EFD"/>
    <w:rsid w:val="3A1514CF"/>
    <w:rsid w:val="3A16322A"/>
    <w:rsid w:val="3A2569D3"/>
    <w:rsid w:val="3A422467"/>
    <w:rsid w:val="3A49242D"/>
    <w:rsid w:val="3A5A0149"/>
    <w:rsid w:val="3A5E4B82"/>
    <w:rsid w:val="3A6D4BEB"/>
    <w:rsid w:val="3A733C17"/>
    <w:rsid w:val="3A746735"/>
    <w:rsid w:val="3A79729D"/>
    <w:rsid w:val="3A7F3E13"/>
    <w:rsid w:val="3A7F62AB"/>
    <w:rsid w:val="3A96507F"/>
    <w:rsid w:val="3A9D6117"/>
    <w:rsid w:val="3A9D7939"/>
    <w:rsid w:val="3AA21BAC"/>
    <w:rsid w:val="3AAE0457"/>
    <w:rsid w:val="3AAF30F5"/>
    <w:rsid w:val="3AB21E5D"/>
    <w:rsid w:val="3AB74C3B"/>
    <w:rsid w:val="3ABD0F92"/>
    <w:rsid w:val="3AC56A51"/>
    <w:rsid w:val="3AC73062"/>
    <w:rsid w:val="3AC74A79"/>
    <w:rsid w:val="3AC91775"/>
    <w:rsid w:val="3ADE753F"/>
    <w:rsid w:val="3AE80CB2"/>
    <w:rsid w:val="3AF240C5"/>
    <w:rsid w:val="3B0B5F26"/>
    <w:rsid w:val="3B0C13EC"/>
    <w:rsid w:val="3B0E03F8"/>
    <w:rsid w:val="3B1060F1"/>
    <w:rsid w:val="3B143061"/>
    <w:rsid w:val="3B1A2AE4"/>
    <w:rsid w:val="3B1C3B88"/>
    <w:rsid w:val="3B217F12"/>
    <w:rsid w:val="3B22182E"/>
    <w:rsid w:val="3B234332"/>
    <w:rsid w:val="3B2B738B"/>
    <w:rsid w:val="3B2D1B85"/>
    <w:rsid w:val="3B306BFE"/>
    <w:rsid w:val="3B39382E"/>
    <w:rsid w:val="3B3C3FBF"/>
    <w:rsid w:val="3B441311"/>
    <w:rsid w:val="3B471B2A"/>
    <w:rsid w:val="3B472350"/>
    <w:rsid w:val="3B47688D"/>
    <w:rsid w:val="3B4A57FE"/>
    <w:rsid w:val="3B530E78"/>
    <w:rsid w:val="3B5A7A62"/>
    <w:rsid w:val="3B616C22"/>
    <w:rsid w:val="3B622DC4"/>
    <w:rsid w:val="3B6469BB"/>
    <w:rsid w:val="3B684DAD"/>
    <w:rsid w:val="3B6A1E2D"/>
    <w:rsid w:val="3B717C2C"/>
    <w:rsid w:val="3B722371"/>
    <w:rsid w:val="3B7B1805"/>
    <w:rsid w:val="3B7C2C60"/>
    <w:rsid w:val="3B852D17"/>
    <w:rsid w:val="3B8706E3"/>
    <w:rsid w:val="3B8A0030"/>
    <w:rsid w:val="3B922D1B"/>
    <w:rsid w:val="3B93114B"/>
    <w:rsid w:val="3B946F89"/>
    <w:rsid w:val="3BA4131F"/>
    <w:rsid w:val="3BA63B48"/>
    <w:rsid w:val="3BAA348C"/>
    <w:rsid w:val="3BB56B6E"/>
    <w:rsid w:val="3BB70D7D"/>
    <w:rsid w:val="3BB81168"/>
    <w:rsid w:val="3BB9793D"/>
    <w:rsid w:val="3BBB2E7D"/>
    <w:rsid w:val="3BBC6ED2"/>
    <w:rsid w:val="3BC619DC"/>
    <w:rsid w:val="3BC93520"/>
    <w:rsid w:val="3BDD7D9B"/>
    <w:rsid w:val="3BE30064"/>
    <w:rsid w:val="3BFA097C"/>
    <w:rsid w:val="3BFA2F90"/>
    <w:rsid w:val="3BFD1407"/>
    <w:rsid w:val="3C042703"/>
    <w:rsid w:val="3C0B587E"/>
    <w:rsid w:val="3C0E1D80"/>
    <w:rsid w:val="3C12129F"/>
    <w:rsid w:val="3C132F35"/>
    <w:rsid w:val="3C165EFD"/>
    <w:rsid w:val="3C176636"/>
    <w:rsid w:val="3C1F6558"/>
    <w:rsid w:val="3C202033"/>
    <w:rsid w:val="3C20796E"/>
    <w:rsid w:val="3C31016F"/>
    <w:rsid w:val="3C3366BE"/>
    <w:rsid w:val="3C3675B5"/>
    <w:rsid w:val="3C4C3CDF"/>
    <w:rsid w:val="3C4F2B82"/>
    <w:rsid w:val="3C554C79"/>
    <w:rsid w:val="3C56003E"/>
    <w:rsid w:val="3C5A58BF"/>
    <w:rsid w:val="3C5C6F5B"/>
    <w:rsid w:val="3C616DE3"/>
    <w:rsid w:val="3C63679D"/>
    <w:rsid w:val="3C6A736A"/>
    <w:rsid w:val="3C6B100F"/>
    <w:rsid w:val="3C734F53"/>
    <w:rsid w:val="3C743A7B"/>
    <w:rsid w:val="3C750B4B"/>
    <w:rsid w:val="3C762382"/>
    <w:rsid w:val="3C7715BB"/>
    <w:rsid w:val="3C8D359E"/>
    <w:rsid w:val="3C9359DC"/>
    <w:rsid w:val="3C9FF906"/>
    <w:rsid w:val="3CA67E64"/>
    <w:rsid w:val="3CAF07AC"/>
    <w:rsid w:val="3CC024BB"/>
    <w:rsid w:val="3CD45671"/>
    <w:rsid w:val="3CD67830"/>
    <w:rsid w:val="3CDE22E4"/>
    <w:rsid w:val="3CE156BA"/>
    <w:rsid w:val="3CE16CE8"/>
    <w:rsid w:val="3CE80E5E"/>
    <w:rsid w:val="3CE84C78"/>
    <w:rsid w:val="3CFC68F7"/>
    <w:rsid w:val="3D033860"/>
    <w:rsid w:val="3D085A29"/>
    <w:rsid w:val="3D151647"/>
    <w:rsid w:val="3D1B60E7"/>
    <w:rsid w:val="3D1D1CDF"/>
    <w:rsid w:val="3D1E1C5A"/>
    <w:rsid w:val="3D1E695E"/>
    <w:rsid w:val="3D22626E"/>
    <w:rsid w:val="3D33380E"/>
    <w:rsid w:val="3D3821EB"/>
    <w:rsid w:val="3D382FFD"/>
    <w:rsid w:val="3D40210B"/>
    <w:rsid w:val="3D4C5B61"/>
    <w:rsid w:val="3D4E023F"/>
    <w:rsid w:val="3D4E2298"/>
    <w:rsid w:val="3D4F5F29"/>
    <w:rsid w:val="3D572688"/>
    <w:rsid w:val="3D580050"/>
    <w:rsid w:val="3D664982"/>
    <w:rsid w:val="3D6E55B4"/>
    <w:rsid w:val="3D793569"/>
    <w:rsid w:val="3D7B0983"/>
    <w:rsid w:val="3D7B3D3F"/>
    <w:rsid w:val="3D7E738B"/>
    <w:rsid w:val="3D7F551E"/>
    <w:rsid w:val="3D853384"/>
    <w:rsid w:val="3D8B10CC"/>
    <w:rsid w:val="3D8E0755"/>
    <w:rsid w:val="3D922F22"/>
    <w:rsid w:val="3D960022"/>
    <w:rsid w:val="3D98053A"/>
    <w:rsid w:val="3D9A41C5"/>
    <w:rsid w:val="3D9D02A6"/>
    <w:rsid w:val="3DA934BD"/>
    <w:rsid w:val="3DB02131"/>
    <w:rsid w:val="3DB24EB7"/>
    <w:rsid w:val="3DB33088"/>
    <w:rsid w:val="3DB83C74"/>
    <w:rsid w:val="3DB94A7F"/>
    <w:rsid w:val="3DBA6551"/>
    <w:rsid w:val="3DBB2A98"/>
    <w:rsid w:val="3DBF03F5"/>
    <w:rsid w:val="3DC1395E"/>
    <w:rsid w:val="3DC7566D"/>
    <w:rsid w:val="3DCD5342"/>
    <w:rsid w:val="3DDB4EE5"/>
    <w:rsid w:val="3DDC71EA"/>
    <w:rsid w:val="3DDD4651"/>
    <w:rsid w:val="3DDF660D"/>
    <w:rsid w:val="3DE37D04"/>
    <w:rsid w:val="3DE46F51"/>
    <w:rsid w:val="3DF1504F"/>
    <w:rsid w:val="3DF379B0"/>
    <w:rsid w:val="3DF42044"/>
    <w:rsid w:val="3DF548C2"/>
    <w:rsid w:val="3DF9774F"/>
    <w:rsid w:val="3DFF31B5"/>
    <w:rsid w:val="3E027F19"/>
    <w:rsid w:val="3E043E09"/>
    <w:rsid w:val="3E0813FD"/>
    <w:rsid w:val="3E1F00CA"/>
    <w:rsid w:val="3E2056A2"/>
    <w:rsid w:val="3E2241BA"/>
    <w:rsid w:val="3E263682"/>
    <w:rsid w:val="3E2E0DB1"/>
    <w:rsid w:val="3E322D18"/>
    <w:rsid w:val="3E3819CB"/>
    <w:rsid w:val="3E382973"/>
    <w:rsid w:val="3E493D0B"/>
    <w:rsid w:val="3E49518C"/>
    <w:rsid w:val="3E563418"/>
    <w:rsid w:val="3E5E443D"/>
    <w:rsid w:val="3E6225B6"/>
    <w:rsid w:val="3E6B33F9"/>
    <w:rsid w:val="3E7D767C"/>
    <w:rsid w:val="3E816727"/>
    <w:rsid w:val="3E8301F4"/>
    <w:rsid w:val="3E8A1DCE"/>
    <w:rsid w:val="3E8C2319"/>
    <w:rsid w:val="3E8D5AD7"/>
    <w:rsid w:val="3E93007F"/>
    <w:rsid w:val="3EA351C1"/>
    <w:rsid w:val="3EB60D73"/>
    <w:rsid w:val="3EC63CE9"/>
    <w:rsid w:val="3EC91F92"/>
    <w:rsid w:val="3ED41387"/>
    <w:rsid w:val="3EDA2D01"/>
    <w:rsid w:val="3EDF7F17"/>
    <w:rsid w:val="3EE426A4"/>
    <w:rsid w:val="3EE63AC0"/>
    <w:rsid w:val="3EEC5734"/>
    <w:rsid w:val="3EF63126"/>
    <w:rsid w:val="3EF76E88"/>
    <w:rsid w:val="3EF96EA1"/>
    <w:rsid w:val="3F054258"/>
    <w:rsid w:val="3F055485"/>
    <w:rsid w:val="3F071A76"/>
    <w:rsid w:val="3F0B2EA0"/>
    <w:rsid w:val="3F0D66DE"/>
    <w:rsid w:val="3F0F377B"/>
    <w:rsid w:val="3F100188"/>
    <w:rsid w:val="3F122481"/>
    <w:rsid w:val="3F1A0A97"/>
    <w:rsid w:val="3F1E50FA"/>
    <w:rsid w:val="3F1F00FB"/>
    <w:rsid w:val="3F251E8B"/>
    <w:rsid w:val="3F2845B3"/>
    <w:rsid w:val="3F29241E"/>
    <w:rsid w:val="3F3315CF"/>
    <w:rsid w:val="3F33202C"/>
    <w:rsid w:val="3F357F46"/>
    <w:rsid w:val="3F374A1E"/>
    <w:rsid w:val="3F4211EE"/>
    <w:rsid w:val="3F4D5267"/>
    <w:rsid w:val="3F5060DE"/>
    <w:rsid w:val="3F522184"/>
    <w:rsid w:val="3F572328"/>
    <w:rsid w:val="3F5C43D8"/>
    <w:rsid w:val="3F791A83"/>
    <w:rsid w:val="3F7B3FB4"/>
    <w:rsid w:val="3F8B4A05"/>
    <w:rsid w:val="3F9039E3"/>
    <w:rsid w:val="3F9219DB"/>
    <w:rsid w:val="3F9974B4"/>
    <w:rsid w:val="3FA024AE"/>
    <w:rsid w:val="3FAC0E5C"/>
    <w:rsid w:val="3FAD2204"/>
    <w:rsid w:val="3FAD753E"/>
    <w:rsid w:val="3FB47351"/>
    <w:rsid w:val="3FBC3B34"/>
    <w:rsid w:val="3FBE59FD"/>
    <w:rsid w:val="3FBF0AA5"/>
    <w:rsid w:val="3FC51264"/>
    <w:rsid w:val="3FCC4A77"/>
    <w:rsid w:val="3FD12093"/>
    <w:rsid w:val="3FD74DCE"/>
    <w:rsid w:val="3FE029AF"/>
    <w:rsid w:val="3FEF1D74"/>
    <w:rsid w:val="3FF03976"/>
    <w:rsid w:val="3FF13E44"/>
    <w:rsid w:val="3FF27409"/>
    <w:rsid w:val="3FF41CE3"/>
    <w:rsid w:val="3FF433D6"/>
    <w:rsid w:val="3FF4499C"/>
    <w:rsid w:val="3FFA7AB3"/>
    <w:rsid w:val="400304B0"/>
    <w:rsid w:val="40082D78"/>
    <w:rsid w:val="400D6006"/>
    <w:rsid w:val="40126B74"/>
    <w:rsid w:val="40237C8D"/>
    <w:rsid w:val="40270728"/>
    <w:rsid w:val="402B5698"/>
    <w:rsid w:val="4031070C"/>
    <w:rsid w:val="40360E64"/>
    <w:rsid w:val="403C4ED9"/>
    <w:rsid w:val="40460299"/>
    <w:rsid w:val="404A7471"/>
    <w:rsid w:val="404C0088"/>
    <w:rsid w:val="404D27F0"/>
    <w:rsid w:val="405F758E"/>
    <w:rsid w:val="40644CC8"/>
    <w:rsid w:val="4066743E"/>
    <w:rsid w:val="40683F38"/>
    <w:rsid w:val="406A6CB2"/>
    <w:rsid w:val="407333BA"/>
    <w:rsid w:val="407503BD"/>
    <w:rsid w:val="40783F78"/>
    <w:rsid w:val="407B7B70"/>
    <w:rsid w:val="407D3767"/>
    <w:rsid w:val="40846B4E"/>
    <w:rsid w:val="4089633D"/>
    <w:rsid w:val="408E1D9B"/>
    <w:rsid w:val="408E747E"/>
    <w:rsid w:val="40BC5B44"/>
    <w:rsid w:val="40BD617E"/>
    <w:rsid w:val="40BF0979"/>
    <w:rsid w:val="40C142CB"/>
    <w:rsid w:val="40CD00DD"/>
    <w:rsid w:val="40E13B77"/>
    <w:rsid w:val="40E5301A"/>
    <w:rsid w:val="40E63366"/>
    <w:rsid w:val="40EB768D"/>
    <w:rsid w:val="40EF3070"/>
    <w:rsid w:val="40F55A1F"/>
    <w:rsid w:val="41087697"/>
    <w:rsid w:val="41090DE3"/>
    <w:rsid w:val="410A35DD"/>
    <w:rsid w:val="410F43CA"/>
    <w:rsid w:val="41142CD5"/>
    <w:rsid w:val="41213898"/>
    <w:rsid w:val="413046A5"/>
    <w:rsid w:val="41355A28"/>
    <w:rsid w:val="414313A1"/>
    <w:rsid w:val="414411BA"/>
    <w:rsid w:val="414F57E3"/>
    <w:rsid w:val="414F5B56"/>
    <w:rsid w:val="41521356"/>
    <w:rsid w:val="41627E96"/>
    <w:rsid w:val="41636FC4"/>
    <w:rsid w:val="41644B18"/>
    <w:rsid w:val="416C683B"/>
    <w:rsid w:val="417D2480"/>
    <w:rsid w:val="41986DB0"/>
    <w:rsid w:val="41A730A2"/>
    <w:rsid w:val="41AC774B"/>
    <w:rsid w:val="41AD252D"/>
    <w:rsid w:val="41B6005B"/>
    <w:rsid w:val="41B80ED7"/>
    <w:rsid w:val="41BA1FB3"/>
    <w:rsid w:val="41BB44E3"/>
    <w:rsid w:val="41BC1B00"/>
    <w:rsid w:val="41BD0482"/>
    <w:rsid w:val="41BD4B4D"/>
    <w:rsid w:val="41C602F1"/>
    <w:rsid w:val="41CD5B14"/>
    <w:rsid w:val="41D02A84"/>
    <w:rsid w:val="41D2527E"/>
    <w:rsid w:val="41DA048B"/>
    <w:rsid w:val="41DA53DD"/>
    <w:rsid w:val="41DE483F"/>
    <w:rsid w:val="41EE7A3A"/>
    <w:rsid w:val="41F05A5A"/>
    <w:rsid w:val="41F2008C"/>
    <w:rsid w:val="420121C1"/>
    <w:rsid w:val="42104019"/>
    <w:rsid w:val="421F3C2A"/>
    <w:rsid w:val="42251994"/>
    <w:rsid w:val="42292B3D"/>
    <w:rsid w:val="422C12B0"/>
    <w:rsid w:val="422C68D5"/>
    <w:rsid w:val="422F3729"/>
    <w:rsid w:val="42352655"/>
    <w:rsid w:val="4235752B"/>
    <w:rsid w:val="42443DD6"/>
    <w:rsid w:val="4249440B"/>
    <w:rsid w:val="424966D0"/>
    <w:rsid w:val="424F4236"/>
    <w:rsid w:val="425B4038"/>
    <w:rsid w:val="425E5DDC"/>
    <w:rsid w:val="426334E6"/>
    <w:rsid w:val="4263356B"/>
    <w:rsid w:val="42644C02"/>
    <w:rsid w:val="4266488E"/>
    <w:rsid w:val="42672AE3"/>
    <w:rsid w:val="42827567"/>
    <w:rsid w:val="42856BDD"/>
    <w:rsid w:val="42993D00"/>
    <w:rsid w:val="42A50673"/>
    <w:rsid w:val="42A70CDF"/>
    <w:rsid w:val="42AA5470"/>
    <w:rsid w:val="42AF01FA"/>
    <w:rsid w:val="42B95137"/>
    <w:rsid w:val="42BB4E23"/>
    <w:rsid w:val="42C615B8"/>
    <w:rsid w:val="42D42A31"/>
    <w:rsid w:val="42D57F42"/>
    <w:rsid w:val="42DD54A9"/>
    <w:rsid w:val="42DE16E9"/>
    <w:rsid w:val="42DE2DA6"/>
    <w:rsid w:val="42E41CE9"/>
    <w:rsid w:val="42EB3BF2"/>
    <w:rsid w:val="42F11D2D"/>
    <w:rsid w:val="42F148EC"/>
    <w:rsid w:val="43043CFC"/>
    <w:rsid w:val="430640AA"/>
    <w:rsid w:val="431944BC"/>
    <w:rsid w:val="432B5187"/>
    <w:rsid w:val="432E43C4"/>
    <w:rsid w:val="432E7960"/>
    <w:rsid w:val="4331097A"/>
    <w:rsid w:val="433856A1"/>
    <w:rsid w:val="433A5C59"/>
    <w:rsid w:val="433B1F50"/>
    <w:rsid w:val="433D08C4"/>
    <w:rsid w:val="433D49DF"/>
    <w:rsid w:val="434E2C04"/>
    <w:rsid w:val="43550663"/>
    <w:rsid w:val="435C6548"/>
    <w:rsid w:val="435D13D1"/>
    <w:rsid w:val="436D228F"/>
    <w:rsid w:val="436E24EA"/>
    <w:rsid w:val="437C6DB1"/>
    <w:rsid w:val="437D48AE"/>
    <w:rsid w:val="43827DEA"/>
    <w:rsid w:val="43955129"/>
    <w:rsid w:val="439B0C97"/>
    <w:rsid w:val="43A11CCC"/>
    <w:rsid w:val="43A24632"/>
    <w:rsid w:val="43A7080B"/>
    <w:rsid w:val="43C44200"/>
    <w:rsid w:val="43C44FC4"/>
    <w:rsid w:val="43C76B41"/>
    <w:rsid w:val="43CC7746"/>
    <w:rsid w:val="43CE35EF"/>
    <w:rsid w:val="43DF1B55"/>
    <w:rsid w:val="43E73EDC"/>
    <w:rsid w:val="43E741CE"/>
    <w:rsid w:val="43EB5020"/>
    <w:rsid w:val="43F565F9"/>
    <w:rsid w:val="44007737"/>
    <w:rsid w:val="44011594"/>
    <w:rsid w:val="44055F4E"/>
    <w:rsid w:val="441B1EFB"/>
    <w:rsid w:val="441D3BDD"/>
    <w:rsid w:val="441D5AFB"/>
    <w:rsid w:val="442A3B55"/>
    <w:rsid w:val="442A5B77"/>
    <w:rsid w:val="44384737"/>
    <w:rsid w:val="44397298"/>
    <w:rsid w:val="443E544F"/>
    <w:rsid w:val="443F430B"/>
    <w:rsid w:val="443F72F2"/>
    <w:rsid w:val="444552B2"/>
    <w:rsid w:val="44472913"/>
    <w:rsid w:val="445246AF"/>
    <w:rsid w:val="445374FC"/>
    <w:rsid w:val="446B00FC"/>
    <w:rsid w:val="446C41D2"/>
    <w:rsid w:val="446C5AEE"/>
    <w:rsid w:val="44734A5C"/>
    <w:rsid w:val="44993616"/>
    <w:rsid w:val="4499573D"/>
    <w:rsid w:val="449C4029"/>
    <w:rsid w:val="44AA6680"/>
    <w:rsid w:val="44B4487D"/>
    <w:rsid w:val="44BD70C6"/>
    <w:rsid w:val="44C019C8"/>
    <w:rsid w:val="44C125DD"/>
    <w:rsid w:val="44C46682"/>
    <w:rsid w:val="44CE086E"/>
    <w:rsid w:val="44D474E4"/>
    <w:rsid w:val="44E50CAB"/>
    <w:rsid w:val="44E8262E"/>
    <w:rsid w:val="44F075E7"/>
    <w:rsid w:val="44FA1FDA"/>
    <w:rsid w:val="450032B9"/>
    <w:rsid w:val="4506372E"/>
    <w:rsid w:val="450A6E1B"/>
    <w:rsid w:val="45192C6B"/>
    <w:rsid w:val="4522611F"/>
    <w:rsid w:val="45227246"/>
    <w:rsid w:val="452C2026"/>
    <w:rsid w:val="453A66DC"/>
    <w:rsid w:val="45415272"/>
    <w:rsid w:val="45453C3C"/>
    <w:rsid w:val="454C730C"/>
    <w:rsid w:val="45512FCD"/>
    <w:rsid w:val="45562AD0"/>
    <w:rsid w:val="455C0AB7"/>
    <w:rsid w:val="456004AC"/>
    <w:rsid w:val="456067F0"/>
    <w:rsid w:val="4567096A"/>
    <w:rsid w:val="45701843"/>
    <w:rsid w:val="45706EC5"/>
    <w:rsid w:val="457D1AF9"/>
    <w:rsid w:val="457E2B90"/>
    <w:rsid w:val="457F172F"/>
    <w:rsid w:val="458B1B71"/>
    <w:rsid w:val="45906DAB"/>
    <w:rsid w:val="459A22C0"/>
    <w:rsid w:val="45A007E6"/>
    <w:rsid w:val="45A06F09"/>
    <w:rsid w:val="45B3402C"/>
    <w:rsid w:val="45B76C5B"/>
    <w:rsid w:val="45C73361"/>
    <w:rsid w:val="45C95510"/>
    <w:rsid w:val="45CA3263"/>
    <w:rsid w:val="45CA6F58"/>
    <w:rsid w:val="45CC697A"/>
    <w:rsid w:val="45E002ED"/>
    <w:rsid w:val="45E14862"/>
    <w:rsid w:val="45E35B0A"/>
    <w:rsid w:val="45ED7DEE"/>
    <w:rsid w:val="45EE1A75"/>
    <w:rsid w:val="45F00162"/>
    <w:rsid w:val="45F174C2"/>
    <w:rsid w:val="45F7F637"/>
    <w:rsid w:val="46012220"/>
    <w:rsid w:val="4609638B"/>
    <w:rsid w:val="460C0702"/>
    <w:rsid w:val="462045D1"/>
    <w:rsid w:val="462071DA"/>
    <w:rsid w:val="462E6A59"/>
    <w:rsid w:val="46417839"/>
    <w:rsid w:val="464B2ABD"/>
    <w:rsid w:val="4654325B"/>
    <w:rsid w:val="465B6642"/>
    <w:rsid w:val="465D0E3C"/>
    <w:rsid w:val="465F2685"/>
    <w:rsid w:val="46730B2A"/>
    <w:rsid w:val="467678DB"/>
    <w:rsid w:val="46770CD8"/>
    <w:rsid w:val="467807AC"/>
    <w:rsid w:val="467820D5"/>
    <w:rsid w:val="467C28B2"/>
    <w:rsid w:val="468C1C89"/>
    <w:rsid w:val="46904499"/>
    <w:rsid w:val="46952243"/>
    <w:rsid w:val="469B4B0A"/>
    <w:rsid w:val="46A16E4B"/>
    <w:rsid w:val="46A20DF5"/>
    <w:rsid w:val="46A67F2E"/>
    <w:rsid w:val="46AA7D48"/>
    <w:rsid w:val="46B62F25"/>
    <w:rsid w:val="46B84A68"/>
    <w:rsid w:val="46BA7686"/>
    <w:rsid w:val="46C0509E"/>
    <w:rsid w:val="46C845AE"/>
    <w:rsid w:val="46CA6DA8"/>
    <w:rsid w:val="46CF79B0"/>
    <w:rsid w:val="46D148F5"/>
    <w:rsid w:val="46D21874"/>
    <w:rsid w:val="46D27338"/>
    <w:rsid w:val="46D45B2A"/>
    <w:rsid w:val="46D50580"/>
    <w:rsid w:val="46D524F5"/>
    <w:rsid w:val="46D64180"/>
    <w:rsid w:val="46D74178"/>
    <w:rsid w:val="46D77066"/>
    <w:rsid w:val="46DF755E"/>
    <w:rsid w:val="46E864B8"/>
    <w:rsid w:val="46FD59F0"/>
    <w:rsid w:val="46FE38DD"/>
    <w:rsid w:val="47094CB3"/>
    <w:rsid w:val="470B2BE7"/>
    <w:rsid w:val="471362A9"/>
    <w:rsid w:val="47151B16"/>
    <w:rsid w:val="47197E83"/>
    <w:rsid w:val="471F4D79"/>
    <w:rsid w:val="4724165B"/>
    <w:rsid w:val="472502D3"/>
    <w:rsid w:val="47263E56"/>
    <w:rsid w:val="472A21C3"/>
    <w:rsid w:val="47351CE1"/>
    <w:rsid w:val="47370330"/>
    <w:rsid w:val="474278E9"/>
    <w:rsid w:val="474F0A0A"/>
    <w:rsid w:val="475327C8"/>
    <w:rsid w:val="475B5010"/>
    <w:rsid w:val="475E0E8E"/>
    <w:rsid w:val="475E2EA5"/>
    <w:rsid w:val="47777325"/>
    <w:rsid w:val="47791D37"/>
    <w:rsid w:val="477B33AA"/>
    <w:rsid w:val="47806684"/>
    <w:rsid w:val="47820F03"/>
    <w:rsid w:val="47867271"/>
    <w:rsid w:val="47904979"/>
    <w:rsid w:val="4795557D"/>
    <w:rsid w:val="47A01627"/>
    <w:rsid w:val="47A158BE"/>
    <w:rsid w:val="47A5361A"/>
    <w:rsid w:val="47A91C41"/>
    <w:rsid w:val="47A978DA"/>
    <w:rsid w:val="47AC5341"/>
    <w:rsid w:val="47B40579"/>
    <w:rsid w:val="47B450C9"/>
    <w:rsid w:val="47B6734C"/>
    <w:rsid w:val="47B863E3"/>
    <w:rsid w:val="47B94558"/>
    <w:rsid w:val="47CD163B"/>
    <w:rsid w:val="47CE4FEA"/>
    <w:rsid w:val="47D352FD"/>
    <w:rsid w:val="47D9673D"/>
    <w:rsid w:val="47DB0F38"/>
    <w:rsid w:val="47E05D92"/>
    <w:rsid w:val="47F12A02"/>
    <w:rsid w:val="47F22E4F"/>
    <w:rsid w:val="47F76D9C"/>
    <w:rsid w:val="47FE5A06"/>
    <w:rsid w:val="48002631"/>
    <w:rsid w:val="48010857"/>
    <w:rsid w:val="480654C3"/>
    <w:rsid w:val="48090701"/>
    <w:rsid w:val="480F2E5A"/>
    <w:rsid w:val="48152D63"/>
    <w:rsid w:val="4817555D"/>
    <w:rsid w:val="48304080"/>
    <w:rsid w:val="484D0086"/>
    <w:rsid w:val="48531AFE"/>
    <w:rsid w:val="48591D53"/>
    <w:rsid w:val="485B27A2"/>
    <w:rsid w:val="485B4E60"/>
    <w:rsid w:val="485F04C9"/>
    <w:rsid w:val="488241D3"/>
    <w:rsid w:val="488D2422"/>
    <w:rsid w:val="488D5B16"/>
    <w:rsid w:val="48935FF5"/>
    <w:rsid w:val="48960088"/>
    <w:rsid w:val="48A24875"/>
    <w:rsid w:val="48A4573B"/>
    <w:rsid w:val="48B2271E"/>
    <w:rsid w:val="48C236E5"/>
    <w:rsid w:val="48C35FF0"/>
    <w:rsid w:val="48C37C66"/>
    <w:rsid w:val="48C64879"/>
    <w:rsid w:val="48C72E50"/>
    <w:rsid w:val="48CD3A3C"/>
    <w:rsid w:val="48D11E2E"/>
    <w:rsid w:val="48D345A4"/>
    <w:rsid w:val="48E33745"/>
    <w:rsid w:val="48E43BE0"/>
    <w:rsid w:val="48E74F2A"/>
    <w:rsid w:val="48F00131"/>
    <w:rsid w:val="48F620A5"/>
    <w:rsid w:val="48F851C5"/>
    <w:rsid w:val="49060AAB"/>
    <w:rsid w:val="490A7626"/>
    <w:rsid w:val="49135F7B"/>
    <w:rsid w:val="491517B5"/>
    <w:rsid w:val="4927256F"/>
    <w:rsid w:val="49293C94"/>
    <w:rsid w:val="493905AB"/>
    <w:rsid w:val="494A71CD"/>
    <w:rsid w:val="49510574"/>
    <w:rsid w:val="49615817"/>
    <w:rsid w:val="496318B2"/>
    <w:rsid w:val="49697B8E"/>
    <w:rsid w:val="497275F3"/>
    <w:rsid w:val="497457C0"/>
    <w:rsid w:val="4977401E"/>
    <w:rsid w:val="49775B28"/>
    <w:rsid w:val="49782546"/>
    <w:rsid w:val="49790663"/>
    <w:rsid w:val="49890061"/>
    <w:rsid w:val="49927F04"/>
    <w:rsid w:val="499F589C"/>
    <w:rsid w:val="49A5659B"/>
    <w:rsid w:val="49A74704"/>
    <w:rsid w:val="49A94C7E"/>
    <w:rsid w:val="49AB26EA"/>
    <w:rsid w:val="49B0442F"/>
    <w:rsid w:val="49B93C25"/>
    <w:rsid w:val="49BD0406"/>
    <w:rsid w:val="49C72C1B"/>
    <w:rsid w:val="49C74598"/>
    <w:rsid w:val="49C95416"/>
    <w:rsid w:val="49D02D40"/>
    <w:rsid w:val="49D071C0"/>
    <w:rsid w:val="49D83BE3"/>
    <w:rsid w:val="49DC5F35"/>
    <w:rsid w:val="49F476FB"/>
    <w:rsid w:val="49FE76B6"/>
    <w:rsid w:val="4A0519B6"/>
    <w:rsid w:val="4A1B2F8D"/>
    <w:rsid w:val="4A1D4FA7"/>
    <w:rsid w:val="4A1F2687"/>
    <w:rsid w:val="4A2140D1"/>
    <w:rsid w:val="4A255D35"/>
    <w:rsid w:val="4A257FB5"/>
    <w:rsid w:val="4A2A1270"/>
    <w:rsid w:val="4A2B0D66"/>
    <w:rsid w:val="4A313C17"/>
    <w:rsid w:val="4A452F4C"/>
    <w:rsid w:val="4A550984"/>
    <w:rsid w:val="4A5A7A60"/>
    <w:rsid w:val="4A5C37BC"/>
    <w:rsid w:val="4A5F07BE"/>
    <w:rsid w:val="4A5F2E6C"/>
    <w:rsid w:val="4A60225E"/>
    <w:rsid w:val="4A626A64"/>
    <w:rsid w:val="4A694C78"/>
    <w:rsid w:val="4A6B1F8D"/>
    <w:rsid w:val="4A6D27A8"/>
    <w:rsid w:val="4A713C00"/>
    <w:rsid w:val="4A756B8A"/>
    <w:rsid w:val="4A780593"/>
    <w:rsid w:val="4A7C785D"/>
    <w:rsid w:val="4A8173A0"/>
    <w:rsid w:val="4A872255"/>
    <w:rsid w:val="4A8D642D"/>
    <w:rsid w:val="4A9204B4"/>
    <w:rsid w:val="4A9B3CD2"/>
    <w:rsid w:val="4A9E23A6"/>
    <w:rsid w:val="4AAB2129"/>
    <w:rsid w:val="4AB42F1C"/>
    <w:rsid w:val="4AB6338D"/>
    <w:rsid w:val="4AB6732E"/>
    <w:rsid w:val="4AB71B28"/>
    <w:rsid w:val="4ABB0E3F"/>
    <w:rsid w:val="4ABE3B12"/>
    <w:rsid w:val="4AC40FC0"/>
    <w:rsid w:val="4AC7166E"/>
    <w:rsid w:val="4ACE4B27"/>
    <w:rsid w:val="4ADA75A5"/>
    <w:rsid w:val="4ADF6D94"/>
    <w:rsid w:val="4AE6217B"/>
    <w:rsid w:val="4AE729B3"/>
    <w:rsid w:val="4AF4754B"/>
    <w:rsid w:val="4AF83DC5"/>
    <w:rsid w:val="4AF84FEC"/>
    <w:rsid w:val="4B0205BF"/>
    <w:rsid w:val="4B08544A"/>
    <w:rsid w:val="4B0F5A8F"/>
    <w:rsid w:val="4B105AC6"/>
    <w:rsid w:val="4B10727F"/>
    <w:rsid w:val="4B13219B"/>
    <w:rsid w:val="4B1A0B3B"/>
    <w:rsid w:val="4B231B81"/>
    <w:rsid w:val="4B2A75C4"/>
    <w:rsid w:val="4B2D3DA5"/>
    <w:rsid w:val="4B354AAC"/>
    <w:rsid w:val="4B3D1E2A"/>
    <w:rsid w:val="4B3E0248"/>
    <w:rsid w:val="4B3F21AF"/>
    <w:rsid w:val="4B3F6FB5"/>
    <w:rsid w:val="4B4832C5"/>
    <w:rsid w:val="4B4B7897"/>
    <w:rsid w:val="4B5A603D"/>
    <w:rsid w:val="4B5D0546"/>
    <w:rsid w:val="4B5F2CBC"/>
    <w:rsid w:val="4B6D116B"/>
    <w:rsid w:val="4B74318A"/>
    <w:rsid w:val="4B7A732A"/>
    <w:rsid w:val="4B7F2BCA"/>
    <w:rsid w:val="4B834E02"/>
    <w:rsid w:val="4B8C0A01"/>
    <w:rsid w:val="4B8F3B84"/>
    <w:rsid w:val="4B905E28"/>
    <w:rsid w:val="4B92038C"/>
    <w:rsid w:val="4B932A79"/>
    <w:rsid w:val="4B970E6B"/>
    <w:rsid w:val="4BC92A64"/>
    <w:rsid w:val="4BD35CF9"/>
    <w:rsid w:val="4BD950B6"/>
    <w:rsid w:val="4BE42E4B"/>
    <w:rsid w:val="4BE80006"/>
    <w:rsid w:val="4BEB1735"/>
    <w:rsid w:val="4BEC5B2C"/>
    <w:rsid w:val="4BFF464E"/>
    <w:rsid w:val="4C076162"/>
    <w:rsid w:val="4C0960C9"/>
    <w:rsid w:val="4C097C3B"/>
    <w:rsid w:val="4C1019AD"/>
    <w:rsid w:val="4C1B06C6"/>
    <w:rsid w:val="4C2618D8"/>
    <w:rsid w:val="4C2A18CD"/>
    <w:rsid w:val="4C2E0E6D"/>
    <w:rsid w:val="4C3374AE"/>
    <w:rsid w:val="4C425BF7"/>
    <w:rsid w:val="4C4454C3"/>
    <w:rsid w:val="4C490FDD"/>
    <w:rsid w:val="4C4D2043"/>
    <w:rsid w:val="4C540ED0"/>
    <w:rsid w:val="4C570E57"/>
    <w:rsid w:val="4C746D57"/>
    <w:rsid w:val="4C831986"/>
    <w:rsid w:val="4C842E08"/>
    <w:rsid w:val="4C856040"/>
    <w:rsid w:val="4C892572"/>
    <w:rsid w:val="4C89761F"/>
    <w:rsid w:val="4C8B5DE1"/>
    <w:rsid w:val="4C8C661C"/>
    <w:rsid w:val="4C9B23C1"/>
    <w:rsid w:val="4CA37E87"/>
    <w:rsid w:val="4CAB031A"/>
    <w:rsid w:val="4CAE3C6B"/>
    <w:rsid w:val="4CCC1EFA"/>
    <w:rsid w:val="4CD4525C"/>
    <w:rsid w:val="4CD7109B"/>
    <w:rsid w:val="4CD92C61"/>
    <w:rsid w:val="4CE01219"/>
    <w:rsid w:val="4CE36D98"/>
    <w:rsid w:val="4CF47166"/>
    <w:rsid w:val="4D044EEE"/>
    <w:rsid w:val="4D06491C"/>
    <w:rsid w:val="4D0C1F1A"/>
    <w:rsid w:val="4D0F0ADB"/>
    <w:rsid w:val="4D2E6872"/>
    <w:rsid w:val="4D337FE2"/>
    <w:rsid w:val="4D4D1872"/>
    <w:rsid w:val="4D4D7593"/>
    <w:rsid w:val="4D5002BB"/>
    <w:rsid w:val="4D502AF2"/>
    <w:rsid w:val="4D50387C"/>
    <w:rsid w:val="4D57657B"/>
    <w:rsid w:val="4D5912F9"/>
    <w:rsid w:val="4D5C27F9"/>
    <w:rsid w:val="4D62461F"/>
    <w:rsid w:val="4D6A6CDE"/>
    <w:rsid w:val="4D6F24A1"/>
    <w:rsid w:val="4D716099"/>
    <w:rsid w:val="4D7814A6"/>
    <w:rsid w:val="4D7913B4"/>
    <w:rsid w:val="4D9C02FA"/>
    <w:rsid w:val="4D9F1309"/>
    <w:rsid w:val="4D9F646F"/>
    <w:rsid w:val="4DA1334D"/>
    <w:rsid w:val="4DA772A9"/>
    <w:rsid w:val="4DA92ECF"/>
    <w:rsid w:val="4DC3427F"/>
    <w:rsid w:val="4DC67CD6"/>
    <w:rsid w:val="4DCE3A17"/>
    <w:rsid w:val="4DDD2C8C"/>
    <w:rsid w:val="4DE661B1"/>
    <w:rsid w:val="4DF451B4"/>
    <w:rsid w:val="4DF9336C"/>
    <w:rsid w:val="4DFB0ED0"/>
    <w:rsid w:val="4DFF1193"/>
    <w:rsid w:val="4E057429"/>
    <w:rsid w:val="4E0962EA"/>
    <w:rsid w:val="4E0A1360"/>
    <w:rsid w:val="4E1D4DFA"/>
    <w:rsid w:val="4E1E349B"/>
    <w:rsid w:val="4E264AC2"/>
    <w:rsid w:val="4E2B0E69"/>
    <w:rsid w:val="4E3C76DE"/>
    <w:rsid w:val="4E3F0470"/>
    <w:rsid w:val="4E462FE9"/>
    <w:rsid w:val="4E463C88"/>
    <w:rsid w:val="4E48084B"/>
    <w:rsid w:val="4E5E7F2D"/>
    <w:rsid w:val="4E651056"/>
    <w:rsid w:val="4E661F86"/>
    <w:rsid w:val="4E8035F0"/>
    <w:rsid w:val="4E815A2E"/>
    <w:rsid w:val="4E970595"/>
    <w:rsid w:val="4E970EC5"/>
    <w:rsid w:val="4E984929"/>
    <w:rsid w:val="4E9E5ADF"/>
    <w:rsid w:val="4EAC01FC"/>
    <w:rsid w:val="4EB36188"/>
    <w:rsid w:val="4EB37322"/>
    <w:rsid w:val="4EB443EE"/>
    <w:rsid w:val="4EBC77D5"/>
    <w:rsid w:val="4ED0723C"/>
    <w:rsid w:val="4EED259D"/>
    <w:rsid w:val="4EED3185"/>
    <w:rsid w:val="4EF83441"/>
    <w:rsid w:val="4F0B1D31"/>
    <w:rsid w:val="4F311AFC"/>
    <w:rsid w:val="4F3535EB"/>
    <w:rsid w:val="4F382753"/>
    <w:rsid w:val="4F404315"/>
    <w:rsid w:val="4F4E6E3A"/>
    <w:rsid w:val="4F520DD5"/>
    <w:rsid w:val="4F57583A"/>
    <w:rsid w:val="4F636019"/>
    <w:rsid w:val="4F6727D7"/>
    <w:rsid w:val="4F696DEC"/>
    <w:rsid w:val="4F6D2D16"/>
    <w:rsid w:val="4F781EB3"/>
    <w:rsid w:val="4F8925D3"/>
    <w:rsid w:val="4F8B568E"/>
    <w:rsid w:val="4FC144CA"/>
    <w:rsid w:val="4FD9389C"/>
    <w:rsid w:val="4FDE13CA"/>
    <w:rsid w:val="4FF107DF"/>
    <w:rsid w:val="4FF17EF4"/>
    <w:rsid w:val="4FF44A0F"/>
    <w:rsid w:val="4FF862D7"/>
    <w:rsid w:val="4FFC4FD1"/>
    <w:rsid w:val="50053511"/>
    <w:rsid w:val="500C6695"/>
    <w:rsid w:val="500D0679"/>
    <w:rsid w:val="50111031"/>
    <w:rsid w:val="501F4C50"/>
    <w:rsid w:val="50296A12"/>
    <w:rsid w:val="50342624"/>
    <w:rsid w:val="50346D69"/>
    <w:rsid w:val="5035728A"/>
    <w:rsid w:val="50587065"/>
    <w:rsid w:val="50590462"/>
    <w:rsid w:val="505E2BEF"/>
    <w:rsid w:val="50633173"/>
    <w:rsid w:val="50675729"/>
    <w:rsid w:val="50687FA7"/>
    <w:rsid w:val="50765893"/>
    <w:rsid w:val="507A3A66"/>
    <w:rsid w:val="50874A7C"/>
    <w:rsid w:val="50950F16"/>
    <w:rsid w:val="509A1EB3"/>
    <w:rsid w:val="509A41F1"/>
    <w:rsid w:val="509D2DB8"/>
    <w:rsid w:val="50A55D1B"/>
    <w:rsid w:val="50A639DA"/>
    <w:rsid w:val="50AC78AA"/>
    <w:rsid w:val="50AC792F"/>
    <w:rsid w:val="50B81082"/>
    <w:rsid w:val="50B9450A"/>
    <w:rsid w:val="50BF7989"/>
    <w:rsid w:val="50C15A1C"/>
    <w:rsid w:val="50C81FC5"/>
    <w:rsid w:val="50C9565E"/>
    <w:rsid w:val="50D44B9B"/>
    <w:rsid w:val="50E36F44"/>
    <w:rsid w:val="50E4390A"/>
    <w:rsid w:val="50E45B13"/>
    <w:rsid w:val="50F71196"/>
    <w:rsid w:val="51027BDC"/>
    <w:rsid w:val="510B04CB"/>
    <w:rsid w:val="510C6D30"/>
    <w:rsid w:val="510D4856"/>
    <w:rsid w:val="511B51C5"/>
    <w:rsid w:val="511C2571"/>
    <w:rsid w:val="512F2D36"/>
    <w:rsid w:val="513D4715"/>
    <w:rsid w:val="51412B8B"/>
    <w:rsid w:val="51447AFB"/>
    <w:rsid w:val="51455CE4"/>
    <w:rsid w:val="514B3711"/>
    <w:rsid w:val="514C537E"/>
    <w:rsid w:val="5150264C"/>
    <w:rsid w:val="515240B4"/>
    <w:rsid w:val="51665B32"/>
    <w:rsid w:val="518B2FCE"/>
    <w:rsid w:val="518C5319"/>
    <w:rsid w:val="518E34BC"/>
    <w:rsid w:val="518F6497"/>
    <w:rsid w:val="5193635C"/>
    <w:rsid w:val="519527BB"/>
    <w:rsid w:val="51B6149B"/>
    <w:rsid w:val="51CD1580"/>
    <w:rsid w:val="51D44966"/>
    <w:rsid w:val="51D67160"/>
    <w:rsid w:val="51D7055D"/>
    <w:rsid w:val="51DD262A"/>
    <w:rsid w:val="51DD536D"/>
    <w:rsid w:val="51E753DE"/>
    <w:rsid w:val="51EF7317"/>
    <w:rsid w:val="51F273F2"/>
    <w:rsid w:val="51F573B5"/>
    <w:rsid w:val="520D0121"/>
    <w:rsid w:val="521D3A58"/>
    <w:rsid w:val="52217636"/>
    <w:rsid w:val="52245352"/>
    <w:rsid w:val="52273EB7"/>
    <w:rsid w:val="52285230"/>
    <w:rsid w:val="523948A8"/>
    <w:rsid w:val="523B0BFA"/>
    <w:rsid w:val="52401682"/>
    <w:rsid w:val="52463308"/>
    <w:rsid w:val="52463CC1"/>
    <w:rsid w:val="52513899"/>
    <w:rsid w:val="525C1DFC"/>
    <w:rsid w:val="52636FD6"/>
    <w:rsid w:val="5274797C"/>
    <w:rsid w:val="528357A5"/>
    <w:rsid w:val="52837AE3"/>
    <w:rsid w:val="52857958"/>
    <w:rsid w:val="52995FC0"/>
    <w:rsid w:val="529D7A04"/>
    <w:rsid w:val="52A42F98"/>
    <w:rsid w:val="52AE1D44"/>
    <w:rsid w:val="52B63E61"/>
    <w:rsid w:val="52C05CC7"/>
    <w:rsid w:val="52C462DC"/>
    <w:rsid w:val="52D37645"/>
    <w:rsid w:val="52D433B9"/>
    <w:rsid w:val="52D91433"/>
    <w:rsid w:val="52EA4EE8"/>
    <w:rsid w:val="52EA77AF"/>
    <w:rsid w:val="52EB00A7"/>
    <w:rsid w:val="53002F58"/>
    <w:rsid w:val="5305757E"/>
    <w:rsid w:val="53080E48"/>
    <w:rsid w:val="53083176"/>
    <w:rsid w:val="530A434B"/>
    <w:rsid w:val="53100DBC"/>
    <w:rsid w:val="532D7D83"/>
    <w:rsid w:val="53323FD9"/>
    <w:rsid w:val="533737C8"/>
    <w:rsid w:val="533C178E"/>
    <w:rsid w:val="53521BC7"/>
    <w:rsid w:val="53524AE6"/>
    <w:rsid w:val="53596A4B"/>
    <w:rsid w:val="535A2F46"/>
    <w:rsid w:val="535D623A"/>
    <w:rsid w:val="53715570"/>
    <w:rsid w:val="5372556F"/>
    <w:rsid w:val="53737DED"/>
    <w:rsid w:val="537E1A3B"/>
    <w:rsid w:val="538028BA"/>
    <w:rsid w:val="53832D10"/>
    <w:rsid w:val="53840791"/>
    <w:rsid w:val="53840D30"/>
    <w:rsid w:val="53852DC9"/>
    <w:rsid w:val="53864DEE"/>
    <w:rsid w:val="538E0D61"/>
    <w:rsid w:val="538F1D7F"/>
    <w:rsid w:val="5395207E"/>
    <w:rsid w:val="53A32F30"/>
    <w:rsid w:val="53A552BD"/>
    <w:rsid w:val="53A86C93"/>
    <w:rsid w:val="53AB0D69"/>
    <w:rsid w:val="53AB1AFD"/>
    <w:rsid w:val="53AC7200"/>
    <w:rsid w:val="53B01C55"/>
    <w:rsid w:val="53BD2B86"/>
    <w:rsid w:val="53CA422A"/>
    <w:rsid w:val="53CE261C"/>
    <w:rsid w:val="53D31E0B"/>
    <w:rsid w:val="53D33B35"/>
    <w:rsid w:val="53D815FA"/>
    <w:rsid w:val="53DB6C22"/>
    <w:rsid w:val="53E0597D"/>
    <w:rsid w:val="53FC29DA"/>
    <w:rsid w:val="54023C98"/>
    <w:rsid w:val="540F114D"/>
    <w:rsid w:val="541741E3"/>
    <w:rsid w:val="541A7780"/>
    <w:rsid w:val="541F6029"/>
    <w:rsid w:val="542534EA"/>
    <w:rsid w:val="543116B3"/>
    <w:rsid w:val="54331180"/>
    <w:rsid w:val="5439699D"/>
    <w:rsid w:val="543B7A3B"/>
    <w:rsid w:val="5447287D"/>
    <w:rsid w:val="544803C1"/>
    <w:rsid w:val="54513539"/>
    <w:rsid w:val="545740A0"/>
    <w:rsid w:val="545C3914"/>
    <w:rsid w:val="545F2D48"/>
    <w:rsid w:val="54636C76"/>
    <w:rsid w:val="546D233B"/>
    <w:rsid w:val="5471781A"/>
    <w:rsid w:val="547A2EF1"/>
    <w:rsid w:val="549E7874"/>
    <w:rsid w:val="54A12CB7"/>
    <w:rsid w:val="54A4596D"/>
    <w:rsid w:val="54AB3A77"/>
    <w:rsid w:val="54AF2DE1"/>
    <w:rsid w:val="54B54386"/>
    <w:rsid w:val="54BA080E"/>
    <w:rsid w:val="54C811C0"/>
    <w:rsid w:val="54CD0FEA"/>
    <w:rsid w:val="54CD1B58"/>
    <w:rsid w:val="54D207D9"/>
    <w:rsid w:val="54E14288"/>
    <w:rsid w:val="54E67898"/>
    <w:rsid w:val="54F276E8"/>
    <w:rsid w:val="54F44EDE"/>
    <w:rsid w:val="54FC0240"/>
    <w:rsid w:val="54FC02C4"/>
    <w:rsid w:val="550A1892"/>
    <w:rsid w:val="550A3AB5"/>
    <w:rsid w:val="551E3D93"/>
    <w:rsid w:val="55204E55"/>
    <w:rsid w:val="5531147E"/>
    <w:rsid w:val="5536206B"/>
    <w:rsid w:val="553954C4"/>
    <w:rsid w:val="554237BE"/>
    <w:rsid w:val="55472A2C"/>
    <w:rsid w:val="55583E69"/>
    <w:rsid w:val="555C36DF"/>
    <w:rsid w:val="555F064F"/>
    <w:rsid w:val="55673A36"/>
    <w:rsid w:val="556C395C"/>
    <w:rsid w:val="5573660B"/>
    <w:rsid w:val="5577318C"/>
    <w:rsid w:val="55863146"/>
    <w:rsid w:val="558C512F"/>
    <w:rsid w:val="55964088"/>
    <w:rsid w:val="55A63025"/>
    <w:rsid w:val="55A82D9F"/>
    <w:rsid w:val="55A83C6D"/>
    <w:rsid w:val="55AA33BD"/>
    <w:rsid w:val="55AC361A"/>
    <w:rsid w:val="55B72DA4"/>
    <w:rsid w:val="55BE263A"/>
    <w:rsid w:val="55BF269E"/>
    <w:rsid w:val="55BF3AEF"/>
    <w:rsid w:val="55C0291F"/>
    <w:rsid w:val="55C44ACF"/>
    <w:rsid w:val="55C802D2"/>
    <w:rsid w:val="55CD4E7B"/>
    <w:rsid w:val="55CD7625"/>
    <w:rsid w:val="55D42BDF"/>
    <w:rsid w:val="55D45ABE"/>
    <w:rsid w:val="55D77E18"/>
    <w:rsid w:val="55DB4169"/>
    <w:rsid w:val="55DC68AB"/>
    <w:rsid w:val="55E00664"/>
    <w:rsid w:val="55E329EE"/>
    <w:rsid w:val="55E77D6B"/>
    <w:rsid w:val="55FB1D27"/>
    <w:rsid w:val="5607271F"/>
    <w:rsid w:val="560D7883"/>
    <w:rsid w:val="561449AE"/>
    <w:rsid w:val="56155247"/>
    <w:rsid w:val="561C1F9A"/>
    <w:rsid w:val="56206F8E"/>
    <w:rsid w:val="5622254E"/>
    <w:rsid w:val="56294AEB"/>
    <w:rsid w:val="562C39D0"/>
    <w:rsid w:val="5632263D"/>
    <w:rsid w:val="56365D2A"/>
    <w:rsid w:val="563C762E"/>
    <w:rsid w:val="563E521C"/>
    <w:rsid w:val="564A7FE5"/>
    <w:rsid w:val="564C2568"/>
    <w:rsid w:val="565A6D84"/>
    <w:rsid w:val="56612C99"/>
    <w:rsid w:val="56630D4D"/>
    <w:rsid w:val="566B01D5"/>
    <w:rsid w:val="566B1C77"/>
    <w:rsid w:val="56705FB3"/>
    <w:rsid w:val="567C51A3"/>
    <w:rsid w:val="56861332"/>
    <w:rsid w:val="568A31C1"/>
    <w:rsid w:val="568D5F1A"/>
    <w:rsid w:val="56963547"/>
    <w:rsid w:val="569930FC"/>
    <w:rsid w:val="5699375F"/>
    <w:rsid w:val="569B3643"/>
    <w:rsid w:val="569C2904"/>
    <w:rsid w:val="56B1054C"/>
    <w:rsid w:val="56B3BB63"/>
    <w:rsid w:val="56BF1DEE"/>
    <w:rsid w:val="56BF55B3"/>
    <w:rsid w:val="56C050D8"/>
    <w:rsid w:val="56C269BD"/>
    <w:rsid w:val="56C41D30"/>
    <w:rsid w:val="56C767D2"/>
    <w:rsid w:val="56C76CA1"/>
    <w:rsid w:val="56C8009E"/>
    <w:rsid w:val="56CB5117"/>
    <w:rsid w:val="56CF3484"/>
    <w:rsid w:val="56D33E4C"/>
    <w:rsid w:val="56D81065"/>
    <w:rsid w:val="56D8454D"/>
    <w:rsid w:val="56F0538E"/>
    <w:rsid w:val="56F125AB"/>
    <w:rsid w:val="56F444EE"/>
    <w:rsid w:val="570A2B46"/>
    <w:rsid w:val="570B5055"/>
    <w:rsid w:val="570F665E"/>
    <w:rsid w:val="5712706A"/>
    <w:rsid w:val="571E5A7A"/>
    <w:rsid w:val="571F0C30"/>
    <w:rsid w:val="57221713"/>
    <w:rsid w:val="57222951"/>
    <w:rsid w:val="57233025"/>
    <w:rsid w:val="57326672"/>
    <w:rsid w:val="573C23A5"/>
    <w:rsid w:val="57447D1C"/>
    <w:rsid w:val="574746C0"/>
    <w:rsid w:val="574A7C42"/>
    <w:rsid w:val="574E5FAE"/>
    <w:rsid w:val="57584F08"/>
    <w:rsid w:val="575A1CCD"/>
    <w:rsid w:val="57624CE9"/>
    <w:rsid w:val="576556E7"/>
    <w:rsid w:val="576757A8"/>
    <w:rsid w:val="577F829B"/>
    <w:rsid w:val="57886958"/>
    <w:rsid w:val="578D380D"/>
    <w:rsid w:val="57993B19"/>
    <w:rsid w:val="57B14FC1"/>
    <w:rsid w:val="57C727EA"/>
    <w:rsid w:val="57C75F56"/>
    <w:rsid w:val="57D76636"/>
    <w:rsid w:val="57EB596B"/>
    <w:rsid w:val="57EC6DEC"/>
    <w:rsid w:val="57ED1075"/>
    <w:rsid w:val="57F60B72"/>
    <w:rsid w:val="58121298"/>
    <w:rsid w:val="581F57AC"/>
    <w:rsid w:val="583078FE"/>
    <w:rsid w:val="58307AEC"/>
    <w:rsid w:val="58324952"/>
    <w:rsid w:val="58414C7F"/>
    <w:rsid w:val="58423229"/>
    <w:rsid w:val="58431B8A"/>
    <w:rsid w:val="584E1A08"/>
    <w:rsid w:val="58551478"/>
    <w:rsid w:val="585611E5"/>
    <w:rsid w:val="585A053E"/>
    <w:rsid w:val="586A4AB1"/>
    <w:rsid w:val="586A79B6"/>
    <w:rsid w:val="586B6538"/>
    <w:rsid w:val="58701082"/>
    <w:rsid w:val="58721CC9"/>
    <w:rsid w:val="58744C70"/>
    <w:rsid w:val="58813446"/>
    <w:rsid w:val="5881523D"/>
    <w:rsid w:val="588347F7"/>
    <w:rsid w:val="588A79E3"/>
    <w:rsid w:val="588D2280"/>
    <w:rsid w:val="588E7847"/>
    <w:rsid w:val="589261B0"/>
    <w:rsid w:val="58990B6C"/>
    <w:rsid w:val="589922AF"/>
    <w:rsid w:val="589B32E2"/>
    <w:rsid w:val="589C5B55"/>
    <w:rsid w:val="589F2C75"/>
    <w:rsid w:val="58A57758"/>
    <w:rsid w:val="58A87230"/>
    <w:rsid w:val="58AA1A2B"/>
    <w:rsid w:val="58B21713"/>
    <w:rsid w:val="58BD675C"/>
    <w:rsid w:val="58C557DB"/>
    <w:rsid w:val="58E54BCE"/>
    <w:rsid w:val="58ED6367"/>
    <w:rsid w:val="58FF36F2"/>
    <w:rsid w:val="59035C9A"/>
    <w:rsid w:val="5910162D"/>
    <w:rsid w:val="59132AAB"/>
    <w:rsid w:val="59235434"/>
    <w:rsid w:val="5927463D"/>
    <w:rsid w:val="592A069B"/>
    <w:rsid w:val="59307756"/>
    <w:rsid w:val="593928F1"/>
    <w:rsid w:val="59407482"/>
    <w:rsid w:val="59407B51"/>
    <w:rsid w:val="59411D00"/>
    <w:rsid w:val="59433D89"/>
    <w:rsid w:val="59467CD1"/>
    <w:rsid w:val="59473E05"/>
    <w:rsid w:val="594B4AA0"/>
    <w:rsid w:val="59511846"/>
    <w:rsid w:val="595251F6"/>
    <w:rsid w:val="595467B6"/>
    <w:rsid w:val="59560FB1"/>
    <w:rsid w:val="59561AE4"/>
    <w:rsid w:val="595F0805"/>
    <w:rsid w:val="59650AF6"/>
    <w:rsid w:val="5969563F"/>
    <w:rsid w:val="596B4867"/>
    <w:rsid w:val="596E328E"/>
    <w:rsid w:val="59813211"/>
    <w:rsid w:val="598668AD"/>
    <w:rsid w:val="598C3568"/>
    <w:rsid w:val="598D0145"/>
    <w:rsid w:val="598D0C2A"/>
    <w:rsid w:val="59917710"/>
    <w:rsid w:val="599213A3"/>
    <w:rsid w:val="59937DCE"/>
    <w:rsid w:val="599B6280"/>
    <w:rsid w:val="59A03782"/>
    <w:rsid w:val="59A201F3"/>
    <w:rsid w:val="59A935CC"/>
    <w:rsid w:val="59A950DC"/>
    <w:rsid w:val="59AE231B"/>
    <w:rsid w:val="59BA07C9"/>
    <w:rsid w:val="59BB1F87"/>
    <w:rsid w:val="59BC39DF"/>
    <w:rsid w:val="59C033A9"/>
    <w:rsid w:val="59C6226E"/>
    <w:rsid w:val="59CB0ABF"/>
    <w:rsid w:val="59D801FF"/>
    <w:rsid w:val="59E03EB6"/>
    <w:rsid w:val="59F22BD0"/>
    <w:rsid w:val="59F7205F"/>
    <w:rsid w:val="59FB654D"/>
    <w:rsid w:val="5A020536"/>
    <w:rsid w:val="5A0A07BF"/>
    <w:rsid w:val="5A0F3D59"/>
    <w:rsid w:val="5A0F4484"/>
    <w:rsid w:val="5A182065"/>
    <w:rsid w:val="5A256038"/>
    <w:rsid w:val="5A2C6164"/>
    <w:rsid w:val="5A3446FC"/>
    <w:rsid w:val="5A3B68D8"/>
    <w:rsid w:val="5A4A272E"/>
    <w:rsid w:val="5A4B422F"/>
    <w:rsid w:val="5A55501F"/>
    <w:rsid w:val="5A590D75"/>
    <w:rsid w:val="5A7C2EF7"/>
    <w:rsid w:val="5A84160F"/>
    <w:rsid w:val="5A8529C8"/>
    <w:rsid w:val="5A8627CC"/>
    <w:rsid w:val="5A897845"/>
    <w:rsid w:val="5AA859EB"/>
    <w:rsid w:val="5AB144A4"/>
    <w:rsid w:val="5AB406A8"/>
    <w:rsid w:val="5AB86596"/>
    <w:rsid w:val="5ABB4171"/>
    <w:rsid w:val="5ABD3652"/>
    <w:rsid w:val="5ABF3065"/>
    <w:rsid w:val="5ABF6639"/>
    <w:rsid w:val="5AC37882"/>
    <w:rsid w:val="5AC63C97"/>
    <w:rsid w:val="5AC71F19"/>
    <w:rsid w:val="5AC807CA"/>
    <w:rsid w:val="5ACA6660"/>
    <w:rsid w:val="5ACE14FA"/>
    <w:rsid w:val="5AD15539"/>
    <w:rsid w:val="5AD37D34"/>
    <w:rsid w:val="5AD403E9"/>
    <w:rsid w:val="5AD4252E"/>
    <w:rsid w:val="5ADC28B6"/>
    <w:rsid w:val="5AE03B35"/>
    <w:rsid w:val="5AE22358"/>
    <w:rsid w:val="5AE82D41"/>
    <w:rsid w:val="5AEE1051"/>
    <w:rsid w:val="5AF27442"/>
    <w:rsid w:val="5AF70CCF"/>
    <w:rsid w:val="5AF927A5"/>
    <w:rsid w:val="5AFE6E7F"/>
    <w:rsid w:val="5B053EF9"/>
    <w:rsid w:val="5B05537B"/>
    <w:rsid w:val="5B062A42"/>
    <w:rsid w:val="5B072D37"/>
    <w:rsid w:val="5B0F614B"/>
    <w:rsid w:val="5B2A37A7"/>
    <w:rsid w:val="5B3571FB"/>
    <w:rsid w:val="5B4361C9"/>
    <w:rsid w:val="5B460FD5"/>
    <w:rsid w:val="5B483F82"/>
    <w:rsid w:val="5B4E7F45"/>
    <w:rsid w:val="5B676266"/>
    <w:rsid w:val="5B6B60E1"/>
    <w:rsid w:val="5B6F3731"/>
    <w:rsid w:val="5B77530F"/>
    <w:rsid w:val="5B7B710A"/>
    <w:rsid w:val="5B8006B6"/>
    <w:rsid w:val="5B825CAE"/>
    <w:rsid w:val="5B86261B"/>
    <w:rsid w:val="5B8667F1"/>
    <w:rsid w:val="5B896055"/>
    <w:rsid w:val="5B8D499C"/>
    <w:rsid w:val="5B9A46F8"/>
    <w:rsid w:val="5BB86875"/>
    <w:rsid w:val="5BBB1E5E"/>
    <w:rsid w:val="5BC03049"/>
    <w:rsid w:val="5BC34693"/>
    <w:rsid w:val="5BC413B6"/>
    <w:rsid w:val="5BC664F6"/>
    <w:rsid w:val="5BC85EC2"/>
    <w:rsid w:val="5BC90BA5"/>
    <w:rsid w:val="5BD0314C"/>
    <w:rsid w:val="5BD40304"/>
    <w:rsid w:val="5BD42472"/>
    <w:rsid w:val="5BD50F5D"/>
    <w:rsid w:val="5BDA2F6A"/>
    <w:rsid w:val="5BDE0A4D"/>
    <w:rsid w:val="5BDF731D"/>
    <w:rsid w:val="5BE76B1D"/>
    <w:rsid w:val="5BED535D"/>
    <w:rsid w:val="5BEF0861"/>
    <w:rsid w:val="5BF15E96"/>
    <w:rsid w:val="5BF47976"/>
    <w:rsid w:val="5BFA39F2"/>
    <w:rsid w:val="5BFB4DEF"/>
    <w:rsid w:val="5C00455A"/>
    <w:rsid w:val="5C0315D3"/>
    <w:rsid w:val="5C080D3E"/>
    <w:rsid w:val="5C155BE6"/>
    <w:rsid w:val="5C2515ED"/>
    <w:rsid w:val="5C311D40"/>
    <w:rsid w:val="5C317830"/>
    <w:rsid w:val="5C393B8A"/>
    <w:rsid w:val="5C3C4EC1"/>
    <w:rsid w:val="5C3E7B69"/>
    <w:rsid w:val="5C465932"/>
    <w:rsid w:val="5C5E3FB0"/>
    <w:rsid w:val="5C606182"/>
    <w:rsid w:val="5C625355"/>
    <w:rsid w:val="5C6571E8"/>
    <w:rsid w:val="5C672DE0"/>
    <w:rsid w:val="5C6F6142"/>
    <w:rsid w:val="5C7C2090"/>
    <w:rsid w:val="5C800506"/>
    <w:rsid w:val="5C884C65"/>
    <w:rsid w:val="5C9A33A8"/>
    <w:rsid w:val="5CA07D6F"/>
    <w:rsid w:val="5CA51B7B"/>
    <w:rsid w:val="5CAB68B3"/>
    <w:rsid w:val="5CAD33B6"/>
    <w:rsid w:val="5CB732C0"/>
    <w:rsid w:val="5CBB6EDB"/>
    <w:rsid w:val="5CBD7585"/>
    <w:rsid w:val="5CC64448"/>
    <w:rsid w:val="5CCA1198"/>
    <w:rsid w:val="5CCA3412"/>
    <w:rsid w:val="5CD9053B"/>
    <w:rsid w:val="5CE115DB"/>
    <w:rsid w:val="5CE3534B"/>
    <w:rsid w:val="5CE91502"/>
    <w:rsid w:val="5CEE2982"/>
    <w:rsid w:val="5CFD40EF"/>
    <w:rsid w:val="5CFD4263"/>
    <w:rsid w:val="5D03345B"/>
    <w:rsid w:val="5D0620C4"/>
    <w:rsid w:val="5D0654A5"/>
    <w:rsid w:val="5D0D7F23"/>
    <w:rsid w:val="5D0F5087"/>
    <w:rsid w:val="5D2045B3"/>
    <w:rsid w:val="5D212570"/>
    <w:rsid w:val="5D2418A5"/>
    <w:rsid w:val="5D2469F6"/>
    <w:rsid w:val="5D2E3683"/>
    <w:rsid w:val="5D3105F4"/>
    <w:rsid w:val="5D446A60"/>
    <w:rsid w:val="5D4E410C"/>
    <w:rsid w:val="5D571C68"/>
    <w:rsid w:val="5D5C7A80"/>
    <w:rsid w:val="5D614E97"/>
    <w:rsid w:val="5D6347B9"/>
    <w:rsid w:val="5D643269"/>
    <w:rsid w:val="5D696A93"/>
    <w:rsid w:val="5D6D15F8"/>
    <w:rsid w:val="5D6F32DB"/>
    <w:rsid w:val="5D753628"/>
    <w:rsid w:val="5D764275"/>
    <w:rsid w:val="5D770823"/>
    <w:rsid w:val="5D776F45"/>
    <w:rsid w:val="5D7C3154"/>
    <w:rsid w:val="5D7F1D13"/>
    <w:rsid w:val="5D80382C"/>
    <w:rsid w:val="5D871CD9"/>
    <w:rsid w:val="5D886403"/>
    <w:rsid w:val="5D8B7152"/>
    <w:rsid w:val="5D9D51E7"/>
    <w:rsid w:val="5DA62637"/>
    <w:rsid w:val="5DA659B4"/>
    <w:rsid w:val="5DAC7E25"/>
    <w:rsid w:val="5DAD612A"/>
    <w:rsid w:val="5DB54D15"/>
    <w:rsid w:val="5DB86505"/>
    <w:rsid w:val="5DBB20D6"/>
    <w:rsid w:val="5DBC4872"/>
    <w:rsid w:val="5DBD35A4"/>
    <w:rsid w:val="5DBE70F1"/>
    <w:rsid w:val="5DC52453"/>
    <w:rsid w:val="5DCB303F"/>
    <w:rsid w:val="5DCE0034"/>
    <w:rsid w:val="5DD2C77D"/>
    <w:rsid w:val="5DDC38F6"/>
    <w:rsid w:val="5DE90230"/>
    <w:rsid w:val="5DEB784E"/>
    <w:rsid w:val="5DEC53E8"/>
    <w:rsid w:val="5DED327A"/>
    <w:rsid w:val="5DF70C36"/>
    <w:rsid w:val="5DF7573F"/>
    <w:rsid w:val="5DFB1A52"/>
    <w:rsid w:val="5E026C84"/>
    <w:rsid w:val="5E0D01CC"/>
    <w:rsid w:val="5E112E56"/>
    <w:rsid w:val="5E1779CA"/>
    <w:rsid w:val="5E181497"/>
    <w:rsid w:val="5E1C4F9F"/>
    <w:rsid w:val="5E21747C"/>
    <w:rsid w:val="5E305C49"/>
    <w:rsid w:val="5E3F7CF7"/>
    <w:rsid w:val="5E400F90"/>
    <w:rsid w:val="5E432678"/>
    <w:rsid w:val="5E45637B"/>
    <w:rsid w:val="5E490A40"/>
    <w:rsid w:val="5E4D2B5F"/>
    <w:rsid w:val="5E5E4E9F"/>
    <w:rsid w:val="5E67269A"/>
    <w:rsid w:val="5E6934F3"/>
    <w:rsid w:val="5E897DA5"/>
    <w:rsid w:val="5E8B18FA"/>
    <w:rsid w:val="5E9E110C"/>
    <w:rsid w:val="5EA15EE1"/>
    <w:rsid w:val="5EA909D5"/>
    <w:rsid w:val="5EB01642"/>
    <w:rsid w:val="5EB635F2"/>
    <w:rsid w:val="5EBC0385"/>
    <w:rsid w:val="5EBF3F02"/>
    <w:rsid w:val="5EC450EE"/>
    <w:rsid w:val="5EC87F89"/>
    <w:rsid w:val="5ECD49EC"/>
    <w:rsid w:val="5ECF2DD5"/>
    <w:rsid w:val="5EE64128"/>
    <w:rsid w:val="5EE82486"/>
    <w:rsid w:val="5EEA251A"/>
    <w:rsid w:val="5EED04E1"/>
    <w:rsid w:val="5EEF0400"/>
    <w:rsid w:val="5EEF78C9"/>
    <w:rsid w:val="5EF26C79"/>
    <w:rsid w:val="5EF53C6E"/>
    <w:rsid w:val="5EFC5C57"/>
    <w:rsid w:val="5EFD5A18"/>
    <w:rsid w:val="5EFE0303"/>
    <w:rsid w:val="5F0977F9"/>
    <w:rsid w:val="5F0B5821"/>
    <w:rsid w:val="5F144930"/>
    <w:rsid w:val="5F1A3EE6"/>
    <w:rsid w:val="5F1C2834"/>
    <w:rsid w:val="5F1FBCF7"/>
    <w:rsid w:val="5F276DA9"/>
    <w:rsid w:val="5F2A4EAD"/>
    <w:rsid w:val="5F2B2F67"/>
    <w:rsid w:val="5F2E49B4"/>
    <w:rsid w:val="5F32219B"/>
    <w:rsid w:val="5F343E06"/>
    <w:rsid w:val="5F355203"/>
    <w:rsid w:val="5F381B6D"/>
    <w:rsid w:val="5F3B4B8F"/>
    <w:rsid w:val="5F3B7EB7"/>
    <w:rsid w:val="5F4144FC"/>
    <w:rsid w:val="5F457687"/>
    <w:rsid w:val="5F493A47"/>
    <w:rsid w:val="5F500A11"/>
    <w:rsid w:val="5F573633"/>
    <w:rsid w:val="5F5A6878"/>
    <w:rsid w:val="5F5D24F4"/>
    <w:rsid w:val="5F644FF2"/>
    <w:rsid w:val="5F6708A7"/>
    <w:rsid w:val="5F6751E7"/>
    <w:rsid w:val="5F6C3D73"/>
    <w:rsid w:val="5F7117A4"/>
    <w:rsid w:val="5F7135F6"/>
    <w:rsid w:val="5F772415"/>
    <w:rsid w:val="5F776020"/>
    <w:rsid w:val="5F7D09BC"/>
    <w:rsid w:val="5F7E3012"/>
    <w:rsid w:val="5F834AA4"/>
    <w:rsid w:val="5F8A6ECB"/>
    <w:rsid w:val="5F8E0C9D"/>
    <w:rsid w:val="5F92171B"/>
    <w:rsid w:val="5F9A05E8"/>
    <w:rsid w:val="5F9E0F56"/>
    <w:rsid w:val="5FA06A32"/>
    <w:rsid w:val="5FA84305"/>
    <w:rsid w:val="5FA9607E"/>
    <w:rsid w:val="5FAB1E0A"/>
    <w:rsid w:val="5FAD4266"/>
    <w:rsid w:val="5FB369B5"/>
    <w:rsid w:val="5FB74EDC"/>
    <w:rsid w:val="5FBB102A"/>
    <w:rsid w:val="5FC02904"/>
    <w:rsid w:val="5FCA6734"/>
    <w:rsid w:val="5FD26787"/>
    <w:rsid w:val="5FD6462A"/>
    <w:rsid w:val="5FDE46F0"/>
    <w:rsid w:val="5FEB35AA"/>
    <w:rsid w:val="5FEB3767"/>
    <w:rsid w:val="5FEE01A1"/>
    <w:rsid w:val="5FEE2EC4"/>
    <w:rsid w:val="5FF7F1F7"/>
    <w:rsid w:val="5FFFA167"/>
    <w:rsid w:val="60027EE1"/>
    <w:rsid w:val="602472A5"/>
    <w:rsid w:val="603058E9"/>
    <w:rsid w:val="60325913"/>
    <w:rsid w:val="6066407C"/>
    <w:rsid w:val="6069169C"/>
    <w:rsid w:val="607579E6"/>
    <w:rsid w:val="60820B9C"/>
    <w:rsid w:val="60834D31"/>
    <w:rsid w:val="608F7035"/>
    <w:rsid w:val="60A13044"/>
    <w:rsid w:val="60A26C20"/>
    <w:rsid w:val="60B62378"/>
    <w:rsid w:val="60CF7BBE"/>
    <w:rsid w:val="60D23B48"/>
    <w:rsid w:val="60D71056"/>
    <w:rsid w:val="60D71C5A"/>
    <w:rsid w:val="60DE75E4"/>
    <w:rsid w:val="60E42582"/>
    <w:rsid w:val="60E56A77"/>
    <w:rsid w:val="60E64E11"/>
    <w:rsid w:val="60F740B2"/>
    <w:rsid w:val="6102645F"/>
    <w:rsid w:val="610B0E02"/>
    <w:rsid w:val="611C637F"/>
    <w:rsid w:val="61231766"/>
    <w:rsid w:val="61243C22"/>
    <w:rsid w:val="61350021"/>
    <w:rsid w:val="613761A4"/>
    <w:rsid w:val="61453480"/>
    <w:rsid w:val="61455DE6"/>
    <w:rsid w:val="61474B4D"/>
    <w:rsid w:val="614819F2"/>
    <w:rsid w:val="614954B0"/>
    <w:rsid w:val="61563602"/>
    <w:rsid w:val="61736282"/>
    <w:rsid w:val="617769BF"/>
    <w:rsid w:val="61871B75"/>
    <w:rsid w:val="618A06AD"/>
    <w:rsid w:val="618D3ADA"/>
    <w:rsid w:val="618E4F5C"/>
    <w:rsid w:val="6192502F"/>
    <w:rsid w:val="619A3F7E"/>
    <w:rsid w:val="619E4219"/>
    <w:rsid w:val="61A2420C"/>
    <w:rsid w:val="61A466F0"/>
    <w:rsid w:val="61AF3B82"/>
    <w:rsid w:val="61BA769F"/>
    <w:rsid w:val="61C257F4"/>
    <w:rsid w:val="61CD5DC3"/>
    <w:rsid w:val="61CE1606"/>
    <w:rsid w:val="61EA200A"/>
    <w:rsid w:val="61F84888"/>
    <w:rsid w:val="62075A9D"/>
    <w:rsid w:val="6210692C"/>
    <w:rsid w:val="621168AD"/>
    <w:rsid w:val="62194391"/>
    <w:rsid w:val="621F2473"/>
    <w:rsid w:val="622921A2"/>
    <w:rsid w:val="62316901"/>
    <w:rsid w:val="62371DDC"/>
    <w:rsid w:val="623C00D9"/>
    <w:rsid w:val="623E64E1"/>
    <w:rsid w:val="62457D36"/>
    <w:rsid w:val="62490F50"/>
    <w:rsid w:val="624D2091"/>
    <w:rsid w:val="624E2419"/>
    <w:rsid w:val="625123A5"/>
    <w:rsid w:val="625F64DF"/>
    <w:rsid w:val="62771DFB"/>
    <w:rsid w:val="627A5A77"/>
    <w:rsid w:val="627F6E8F"/>
    <w:rsid w:val="62803968"/>
    <w:rsid w:val="628605C8"/>
    <w:rsid w:val="62890576"/>
    <w:rsid w:val="629C40D4"/>
    <w:rsid w:val="62A22CE3"/>
    <w:rsid w:val="62A468DB"/>
    <w:rsid w:val="62A52A5A"/>
    <w:rsid w:val="62A62E19"/>
    <w:rsid w:val="62A65A66"/>
    <w:rsid w:val="62C57339"/>
    <w:rsid w:val="62CB0224"/>
    <w:rsid w:val="62CE6341"/>
    <w:rsid w:val="62D07254"/>
    <w:rsid w:val="62D516A3"/>
    <w:rsid w:val="62EC3DA2"/>
    <w:rsid w:val="62EE4962"/>
    <w:rsid w:val="62F105A8"/>
    <w:rsid w:val="630962AC"/>
    <w:rsid w:val="630A2AA3"/>
    <w:rsid w:val="630D25CD"/>
    <w:rsid w:val="630F7A8B"/>
    <w:rsid w:val="63121528"/>
    <w:rsid w:val="63130A87"/>
    <w:rsid w:val="63130CA2"/>
    <w:rsid w:val="63176830"/>
    <w:rsid w:val="631B4C22"/>
    <w:rsid w:val="63220008"/>
    <w:rsid w:val="632A0B63"/>
    <w:rsid w:val="634150C8"/>
    <w:rsid w:val="63497970"/>
    <w:rsid w:val="634C7D1F"/>
    <w:rsid w:val="635205D6"/>
    <w:rsid w:val="63621519"/>
    <w:rsid w:val="63701CB4"/>
    <w:rsid w:val="63717CE6"/>
    <w:rsid w:val="63731937"/>
    <w:rsid w:val="637D2837"/>
    <w:rsid w:val="639114B0"/>
    <w:rsid w:val="63916794"/>
    <w:rsid w:val="639D3344"/>
    <w:rsid w:val="63A33EAC"/>
    <w:rsid w:val="63AB068F"/>
    <w:rsid w:val="63AF7E7E"/>
    <w:rsid w:val="63B461EC"/>
    <w:rsid w:val="63BA086D"/>
    <w:rsid w:val="63BE70A2"/>
    <w:rsid w:val="63C121BE"/>
    <w:rsid w:val="63CD4D0F"/>
    <w:rsid w:val="63D400F6"/>
    <w:rsid w:val="63E97377"/>
    <w:rsid w:val="63F13C0E"/>
    <w:rsid w:val="64014ACC"/>
    <w:rsid w:val="641414C0"/>
    <w:rsid w:val="64181707"/>
    <w:rsid w:val="641B2B8D"/>
    <w:rsid w:val="64206D01"/>
    <w:rsid w:val="642240B7"/>
    <w:rsid w:val="642557AF"/>
    <w:rsid w:val="642F25FF"/>
    <w:rsid w:val="643B6113"/>
    <w:rsid w:val="643F3867"/>
    <w:rsid w:val="644A3CC7"/>
    <w:rsid w:val="645423F3"/>
    <w:rsid w:val="64547C24"/>
    <w:rsid w:val="645A4B85"/>
    <w:rsid w:val="646606F4"/>
    <w:rsid w:val="64680F4A"/>
    <w:rsid w:val="647166E1"/>
    <w:rsid w:val="64733346"/>
    <w:rsid w:val="64821DF1"/>
    <w:rsid w:val="648D49E2"/>
    <w:rsid w:val="648D6455"/>
    <w:rsid w:val="64956F26"/>
    <w:rsid w:val="649B7518"/>
    <w:rsid w:val="649C61FD"/>
    <w:rsid w:val="649D3194"/>
    <w:rsid w:val="64AD40D7"/>
    <w:rsid w:val="64B07C4A"/>
    <w:rsid w:val="64B60A7C"/>
    <w:rsid w:val="64B63136"/>
    <w:rsid w:val="64BC279B"/>
    <w:rsid w:val="64BE6416"/>
    <w:rsid w:val="64BF1725"/>
    <w:rsid w:val="64C24923"/>
    <w:rsid w:val="64C268BA"/>
    <w:rsid w:val="64C35B81"/>
    <w:rsid w:val="64C95B3A"/>
    <w:rsid w:val="64CF66B4"/>
    <w:rsid w:val="64E14924"/>
    <w:rsid w:val="64E6550C"/>
    <w:rsid w:val="64F02661"/>
    <w:rsid w:val="64F13BAE"/>
    <w:rsid w:val="64FE5217"/>
    <w:rsid w:val="64FE5585"/>
    <w:rsid w:val="65003A97"/>
    <w:rsid w:val="650545A4"/>
    <w:rsid w:val="65067B4F"/>
    <w:rsid w:val="650D1A6C"/>
    <w:rsid w:val="6512585F"/>
    <w:rsid w:val="65164F66"/>
    <w:rsid w:val="65190CCA"/>
    <w:rsid w:val="651F798B"/>
    <w:rsid w:val="65213C2F"/>
    <w:rsid w:val="65220FAB"/>
    <w:rsid w:val="6524444C"/>
    <w:rsid w:val="65274C15"/>
    <w:rsid w:val="652C5780"/>
    <w:rsid w:val="65302F12"/>
    <w:rsid w:val="65442EA6"/>
    <w:rsid w:val="654A3A92"/>
    <w:rsid w:val="654A79CF"/>
    <w:rsid w:val="654C5F85"/>
    <w:rsid w:val="65580C0E"/>
    <w:rsid w:val="65591B57"/>
    <w:rsid w:val="655979B3"/>
    <w:rsid w:val="655C298B"/>
    <w:rsid w:val="655C71CF"/>
    <w:rsid w:val="656A451B"/>
    <w:rsid w:val="657E2FBA"/>
    <w:rsid w:val="65803F95"/>
    <w:rsid w:val="65872A26"/>
    <w:rsid w:val="65884DD1"/>
    <w:rsid w:val="658A6425"/>
    <w:rsid w:val="658E6C60"/>
    <w:rsid w:val="65944A84"/>
    <w:rsid w:val="6594537E"/>
    <w:rsid w:val="65AE7F5D"/>
    <w:rsid w:val="65B72E80"/>
    <w:rsid w:val="65B73A9C"/>
    <w:rsid w:val="65B92454"/>
    <w:rsid w:val="65BE2229"/>
    <w:rsid w:val="65BF0CD6"/>
    <w:rsid w:val="65C07D27"/>
    <w:rsid w:val="65C615C8"/>
    <w:rsid w:val="65CD306B"/>
    <w:rsid w:val="65D35516"/>
    <w:rsid w:val="65DF0067"/>
    <w:rsid w:val="65E2455B"/>
    <w:rsid w:val="65E63F80"/>
    <w:rsid w:val="65EF035B"/>
    <w:rsid w:val="65FA64D3"/>
    <w:rsid w:val="66061B49"/>
    <w:rsid w:val="660A500E"/>
    <w:rsid w:val="662151F4"/>
    <w:rsid w:val="663A3D9C"/>
    <w:rsid w:val="663A3EE7"/>
    <w:rsid w:val="663B6918"/>
    <w:rsid w:val="663C6512"/>
    <w:rsid w:val="664304FC"/>
    <w:rsid w:val="66460676"/>
    <w:rsid w:val="664C1BB1"/>
    <w:rsid w:val="664D46E2"/>
    <w:rsid w:val="664E1299"/>
    <w:rsid w:val="664F0981"/>
    <w:rsid w:val="666D135F"/>
    <w:rsid w:val="666E2C84"/>
    <w:rsid w:val="66733348"/>
    <w:rsid w:val="667D6997"/>
    <w:rsid w:val="66812CD3"/>
    <w:rsid w:val="66831647"/>
    <w:rsid w:val="668524F4"/>
    <w:rsid w:val="668D63BC"/>
    <w:rsid w:val="668E4666"/>
    <w:rsid w:val="668F6351"/>
    <w:rsid w:val="66906E61"/>
    <w:rsid w:val="66944894"/>
    <w:rsid w:val="66970DC5"/>
    <w:rsid w:val="669D6F45"/>
    <w:rsid w:val="669E0DD5"/>
    <w:rsid w:val="66A912B2"/>
    <w:rsid w:val="66AE21C9"/>
    <w:rsid w:val="66B6184E"/>
    <w:rsid w:val="66BF4640"/>
    <w:rsid w:val="66C61712"/>
    <w:rsid w:val="66D46763"/>
    <w:rsid w:val="66DD0FE4"/>
    <w:rsid w:val="66E64F8C"/>
    <w:rsid w:val="66EB168F"/>
    <w:rsid w:val="66EB31E7"/>
    <w:rsid w:val="66F071F9"/>
    <w:rsid w:val="66F07E54"/>
    <w:rsid w:val="66F4066D"/>
    <w:rsid w:val="66F6428F"/>
    <w:rsid w:val="66FA125A"/>
    <w:rsid w:val="670131BE"/>
    <w:rsid w:val="67060251"/>
    <w:rsid w:val="67064295"/>
    <w:rsid w:val="67104B6D"/>
    <w:rsid w:val="671874E8"/>
    <w:rsid w:val="671A32DA"/>
    <w:rsid w:val="671B305B"/>
    <w:rsid w:val="671B44DC"/>
    <w:rsid w:val="67210C35"/>
    <w:rsid w:val="672D15E3"/>
    <w:rsid w:val="6737396B"/>
    <w:rsid w:val="6739136D"/>
    <w:rsid w:val="67415190"/>
    <w:rsid w:val="67430B73"/>
    <w:rsid w:val="674F5770"/>
    <w:rsid w:val="67523E91"/>
    <w:rsid w:val="675F1FDF"/>
    <w:rsid w:val="676374B2"/>
    <w:rsid w:val="676A4DBB"/>
    <w:rsid w:val="67720A94"/>
    <w:rsid w:val="67725659"/>
    <w:rsid w:val="67734619"/>
    <w:rsid w:val="677562AE"/>
    <w:rsid w:val="6787104B"/>
    <w:rsid w:val="67897C74"/>
    <w:rsid w:val="67917B37"/>
    <w:rsid w:val="679B01F2"/>
    <w:rsid w:val="67A250EF"/>
    <w:rsid w:val="67A6075B"/>
    <w:rsid w:val="67AD26C0"/>
    <w:rsid w:val="67B1035E"/>
    <w:rsid w:val="67BA07B7"/>
    <w:rsid w:val="67C022F4"/>
    <w:rsid w:val="67C312B5"/>
    <w:rsid w:val="67C611E3"/>
    <w:rsid w:val="67D115BE"/>
    <w:rsid w:val="67D64882"/>
    <w:rsid w:val="67E12501"/>
    <w:rsid w:val="67F23153"/>
    <w:rsid w:val="67F518BA"/>
    <w:rsid w:val="68005E43"/>
    <w:rsid w:val="681727B3"/>
    <w:rsid w:val="68190735"/>
    <w:rsid w:val="68213A97"/>
    <w:rsid w:val="682C51EA"/>
    <w:rsid w:val="68304B61"/>
    <w:rsid w:val="68326DF6"/>
    <w:rsid w:val="683271D4"/>
    <w:rsid w:val="683A25BA"/>
    <w:rsid w:val="683C7EC8"/>
    <w:rsid w:val="683F1DA9"/>
    <w:rsid w:val="684503A0"/>
    <w:rsid w:val="6848798A"/>
    <w:rsid w:val="684A6627"/>
    <w:rsid w:val="684E756D"/>
    <w:rsid w:val="6852192B"/>
    <w:rsid w:val="6854765A"/>
    <w:rsid w:val="685F19E3"/>
    <w:rsid w:val="68672A7B"/>
    <w:rsid w:val="68685BD7"/>
    <w:rsid w:val="68685F18"/>
    <w:rsid w:val="68705FF3"/>
    <w:rsid w:val="68843EA6"/>
    <w:rsid w:val="68882298"/>
    <w:rsid w:val="688F567F"/>
    <w:rsid w:val="68923B67"/>
    <w:rsid w:val="68932A3F"/>
    <w:rsid w:val="68971E62"/>
    <w:rsid w:val="68A07AEF"/>
    <w:rsid w:val="68A608A8"/>
    <w:rsid w:val="68A75985"/>
    <w:rsid w:val="68A8252E"/>
    <w:rsid w:val="68A9411E"/>
    <w:rsid w:val="68A95EF8"/>
    <w:rsid w:val="68B66B4A"/>
    <w:rsid w:val="68BF5C4D"/>
    <w:rsid w:val="68DB1765"/>
    <w:rsid w:val="68E23E0B"/>
    <w:rsid w:val="68E36430"/>
    <w:rsid w:val="68E56283"/>
    <w:rsid w:val="68ED1588"/>
    <w:rsid w:val="68ED6325"/>
    <w:rsid w:val="68F00A9A"/>
    <w:rsid w:val="68F81FE9"/>
    <w:rsid w:val="68FA0E75"/>
    <w:rsid w:val="69001BCC"/>
    <w:rsid w:val="690625C8"/>
    <w:rsid w:val="69092A23"/>
    <w:rsid w:val="691A127E"/>
    <w:rsid w:val="691D5B26"/>
    <w:rsid w:val="691E3BF3"/>
    <w:rsid w:val="691F766F"/>
    <w:rsid w:val="69201BE5"/>
    <w:rsid w:val="69226599"/>
    <w:rsid w:val="69246168"/>
    <w:rsid w:val="692E0C32"/>
    <w:rsid w:val="69375415"/>
    <w:rsid w:val="693B4C04"/>
    <w:rsid w:val="69413F1E"/>
    <w:rsid w:val="694A334D"/>
    <w:rsid w:val="695266AF"/>
    <w:rsid w:val="69627E6D"/>
    <w:rsid w:val="696370F4"/>
    <w:rsid w:val="696C4B25"/>
    <w:rsid w:val="696F0A8F"/>
    <w:rsid w:val="69735A0D"/>
    <w:rsid w:val="697E318E"/>
    <w:rsid w:val="698066A4"/>
    <w:rsid w:val="698B03ED"/>
    <w:rsid w:val="698E1A22"/>
    <w:rsid w:val="69907EC9"/>
    <w:rsid w:val="699549D8"/>
    <w:rsid w:val="69981CB2"/>
    <w:rsid w:val="699C1C6C"/>
    <w:rsid w:val="69A926A3"/>
    <w:rsid w:val="69BE4724"/>
    <w:rsid w:val="69C7529C"/>
    <w:rsid w:val="69CA4588"/>
    <w:rsid w:val="69CB4255"/>
    <w:rsid w:val="69CC261A"/>
    <w:rsid w:val="69D364AE"/>
    <w:rsid w:val="69DB55D1"/>
    <w:rsid w:val="69DC26AA"/>
    <w:rsid w:val="69DF441E"/>
    <w:rsid w:val="69E25301"/>
    <w:rsid w:val="69E40B4D"/>
    <w:rsid w:val="69E46644"/>
    <w:rsid w:val="69E50B2B"/>
    <w:rsid w:val="69EA0441"/>
    <w:rsid w:val="69ED7058"/>
    <w:rsid w:val="69F50851"/>
    <w:rsid w:val="6A052A6E"/>
    <w:rsid w:val="6A0561AB"/>
    <w:rsid w:val="6A070584"/>
    <w:rsid w:val="6A0F13F6"/>
    <w:rsid w:val="6A151FE2"/>
    <w:rsid w:val="6A1E7827"/>
    <w:rsid w:val="6A226039"/>
    <w:rsid w:val="6A27569B"/>
    <w:rsid w:val="6A36700A"/>
    <w:rsid w:val="6A437DB6"/>
    <w:rsid w:val="6A4610AD"/>
    <w:rsid w:val="6A552654"/>
    <w:rsid w:val="6A617017"/>
    <w:rsid w:val="6A68150B"/>
    <w:rsid w:val="6A6D0C1A"/>
    <w:rsid w:val="6A754000"/>
    <w:rsid w:val="6A7B433D"/>
    <w:rsid w:val="6A7E2FDE"/>
    <w:rsid w:val="6A82392D"/>
    <w:rsid w:val="6A8A5490"/>
    <w:rsid w:val="6A8B5B2F"/>
    <w:rsid w:val="6A973C6D"/>
    <w:rsid w:val="6AAF49A9"/>
    <w:rsid w:val="6AAF7BA9"/>
    <w:rsid w:val="6ABB76CC"/>
    <w:rsid w:val="6ABD30F2"/>
    <w:rsid w:val="6ABF6769"/>
    <w:rsid w:val="6AC7204B"/>
    <w:rsid w:val="6ACE65A7"/>
    <w:rsid w:val="6ACF3DC7"/>
    <w:rsid w:val="6AD86411"/>
    <w:rsid w:val="6AE83F55"/>
    <w:rsid w:val="6AEB0E9F"/>
    <w:rsid w:val="6AF010CB"/>
    <w:rsid w:val="6AF46AA6"/>
    <w:rsid w:val="6B00680D"/>
    <w:rsid w:val="6B071973"/>
    <w:rsid w:val="6B0971D8"/>
    <w:rsid w:val="6B0E27DC"/>
    <w:rsid w:val="6B157DBF"/>
    <w:rsid w:val="6B190F96"/>
    <w:rsid w:val="6B2A0087"/>
    <w:rsid w:val="6B2E74D4"/>
    <w:rsid w:val="6B2F56AF"/>
    <w:rsid w:val="6B307034"/>
    <w:rsid w:val="6B3329D7"/>
    <w:rsid w:val="6B3724F2"/>
    <w:rsid w:val="6B491BEF"/>
    <w:rsid w:val="6B593626"/>
    <w:rsid w:val="6B5E2DAA"/>
    <w:rsid w:val="6B607F4C"/>
    <w:rsid w:val="6B69127A"/>
    <w:rsid w:val="6B75524D"/>
    <w:rsid w:val="6B7A35BA"/>
    <w:rsid w:val="6B7D2C66"/>
    <w:rsid w:val="6B877509"/>
    <w:rsid w:val="6B8B58FA"/>
    <w:rsid w:val="6B9A7787"/>
    <w:rsid w:val="6B9D2F4E"/>
    <w:rsid w:val="6B9D44CA"/>
    <w:rsid w:val="6B9E3832"/>
    <w:rsid w:val="6BA97617"/>
    <w:rsid w:val="6BB2007C"/>
    <w:rsid w:val="6BB753CA"/>
    <w:rsid w:val="6BBA2001"/>
    <w:rsid w:val="6BC65577"/>
    <w:rsid w:val="6BCE176C"/>
    <w:rsid w:val="6BD076CF"/>
    <w:rsid w:val="6BD11ED5"/>
    <w:rsid w:val="6BDF5289"/>
    <w:rsid w:val="6BEA7816"/>
    <w:rsid w:val="6C0375F9"/>
    <w:rsid w:val="6C0456ED"/>
    <w:rsid w:val="6C0D634C"/>
    <w:rsid w:val="6C152AE5"/>
    <w:rsid w:val="6C164AAF"/>
    <w:rsid w:val="6C1B1885"/>
    <w:rsid w:val="6C1B2765"/>
    <w:rsid w:val="6C270A6A"/>
    <w:rsid w:val="6C2E28BA"/>
    <w:rsid w:val="6C301A9A"/>
    <w:rsid w:val="6C310541"/>
    <w:rsid w:val="6C461486"/>
    <w:rsid w:val="6C541D96"/>
    <w:rsid w:val="6C580103"/>
    <w:rsid w:val="6C5B53FF"/>
    <w:rsid w:val="6C5B6DD1"/>
    <w:rsid w:val="6C693AD5"/>
    <w:rsid w:val="6C697D67"/>
    <w:rsid w:val="6C6E58B6"/>
    <w:rsid w:val="6C803F72"/>
    <w:rsid w:val="6C8650C3"/>
    <w:rsid w:val="6C88338D"/>
    <w:rsid w:val="6C8A563D"/>
    <w:rsid w:val="6C8E6023"/>
    <w:rsid w:val="6C9E3294"/>
    <w:rsid w:val="6CA43D4D"/>
    <w:rsid w:val="6CA75DFF"/>
    <w:rsid w:val="6CA766F1"/>
    <w:rsid w:val="6CAF2E45"/>
    <w:rsid w:val="6CB03829"/>
    <w:rsid w:val="6CB059C2"/>
    <w:rsid w:val="6CB445A3"/>
    <w:rsid w:val="6CB829EE"/>
    <w:rsid w:val="6CBD31AF"/>
    <w:rsid w:val="6CBE6B9A"/>
    <w:rsid w:val="6CD72490"/>
    <w:rsid w:val="6CE139C3"/>
    <w:rsid w:val="6CE613FB"/>
    <w:rsid w:val="6CED47E1"/>
    <w:rsid w:val="6CED5447"/>
    <w:rsid w:val="6CF061F2"/>
    <w:rsid w:val="6CF12BD3"/>
    <w:rsid w:val="6CF46746"/>
    <w:rsid w:val="6CF7373B"/>
    <w:rsid w:val="6CFC6468"/>
    <w:rsid w:val="6CFE5724"/>
    <w:rsid w:val="6D0262E5"/>
    <w:rsid w:val="6D052E28"/>
    <w:rsid w:val="6D1055FB"/>
    <w:rsid w:val="6D236D99"/>
    <w:rsid w:val="6D295BFD"/>
    <w:rsid w:val="6D3671B7"/>
    <w:rsid w:val="6D3E485F"/>
    <w:rsid w:val="6D440CA3"/>
    <w:rsid w:val="6D5560F0"/>
    <w:rsid w:val="6D560DCE"/>
    <w:rsid w:val="6D570EDB"/>
    <w:rsid w:val="6D5E10D6"/>
    <w:rsid w:val="6D6241EC"/>
    <w:rsid w:val="6D6A3690"/>
    <w:rsid w:val="6D6C1D7A"/>
    <w:rsid w:val="6D6F0E98"/>
    <w:rsid w:val="6D74531F"/>
    <w:rsid w:val="6D776265"/>
    <w:rsid w:val="6D7E75D6"/>
    <w:rsid w:val="6D820F2B"/>
    <w:rsid w:val="6D8C6249"/>
    <w:rsid w:val="6D9914F3"/>
    <w:rsid w:val="6D9A66A3"/>
    <w:rsid w:val="6DA83CBA"/>
    <w:rsid w:val="6DA9108C"/>
    <w:rsid w:val="6DAD601D"/>
    <w:rsid w:val="6DBF6742"/>
    <w:rsid w:val="6DC33749"/>
    <w:rsid w:val="6DC86186"/>
    <w:rsid w:val="6DCC7B1B"/>
    <w:rsid w:val="6DD0771B"/>
    <w:rsid w:val="6DD2518E"/>
    <w:rsid w:val="6DD25B81"/>
    <w:rsid w:val="6DE11A5B"/>
    <w:rsid w:val="6DE650B4"/>
    <w:rsid w:val="6DEA61BB"/>
    <w:rsid w:val="6DEC1DB2"/>
    <w:rsid w:val="6DF46F90"/>
    <w:rsid w:val="6DFB87A3"/>
    <w:rsid w:val="6DFF91AE"/>
    <w:rsid w:val="6E0333D1"/>
    <w:rsid w:val="6E0341BE"/>
    <w:rsid w:val="6E0B5DBE"/>
    <w:rsid w:val="6E0C12F8"/>
    <w:rsid w:val="6E0D50B9"/>
    <w:rsid w:val="6E123F24"/>
    <w:rsid w:val="6E1F5E9D"/>
    <w:rsid w:val="6E212FF1"/>
    <w:rsid w:val="6E2B33CC"/>
    <w:rsid w:val="6E3A4B3C"/>
    <w:rsid w:val="6E484C32"/>
    <w:rsid w:val="6E49025D"/>
    <w:rsid w:val="6E4904B7"/>
    <w:rsid w:val="6E4B6F06"/>
    <w:rsid w:val="6E56422F"/>
    <w:rsid w:val="6E626D80"/>
    <w:rsid w:val="6E6442C8"/>
    <w:rsid w:val="6E6F2CCF"/>
    <w:rsid w:val="6E800B88"/>
    <w:rsid w:val="6E822963"/>
    <w:rsid w:val="6E980BA8"/>
    <w:rsid w:val="6EA00997"/>
    <w:rsid w:val="6EA6297F"/>
    <w:rsid w:val="6EB81DC0"/>
    <w:rsid w:val="6EBC4CA1"/>
    <w:rsid w:val="6EBE29AC"/>
    <w:rsid w:val="6EC539C8"/>
    <w:rsid w:val="6ED137DF"/>
    <w:rsid w:val="6EDB2941"/>
    <w:rsid w:val="6EDC1070"/>
    <w:rsid w:val="6EE932AF"/>
    <w:rsid w:val="6EF31DA2"/>
    <w:rsid w:val="6EF98AAD"/>
    <w:rsid w:val="6EFF33CF"/>
    <w:rsid w:val="6F072E9B"/>
    <w:rsid w:val="6F0D3B0C"/>
    <w:rsid w:val="6F0E4977"/>
    <w:rsid w:val="6F0F0CA3"/>
    <w:rsid w:val="6F146E6E"/>
    <w:rsid w:val="6F20011E"/>
    <w:rsid w:val="6F2D39A5"/>
    <w:rsid w:val="6F3478F6"/>
    <w:rsid w:val="6F3A5410"/>
    <w:rsid w:val="6F3B69C7"/>
    <w:rsid w:val="6F3C65DA"/>
    <w:rsid w:val="6F433349"/>
    <w:rsid w:val="6F5531C3"/>
    <w:rsid w:val="6F5D4FEC"/>
    <w:rsid w:val="6F5F6FDB"/>
    <w:rsid w:val="6F615976"/>
    <w:rsid w:val="6F6248DC"/>
    <w:rsid w:val="6F6325CC"/>
    <w:rsid w:val="6F6D675F"/>
    <w:rsid w:val="6F730F10"/>
    <w:rsid w:val="6F792C38"/>
    <w:rsid w:val="6F8D3411"/>
    <w:rsid w:val="6F98607E"/>
    <w:rsid w:val="6FA0300D"/>
    <w:rsid w:val="6FA2220E"/>
    <w:rsid w:val="6FAA09E3"/>
    <w:rsid w:val="6FB24331"/>
    <w:rsid w:val="6FB7CBA0"/>
    <w:rsid w:val="6FCB0CF7"/>
    <w:rsid w:val="6FD44D04"/>
    <w:rsid w:val="6FDC1AF3"/>
    <w:rsid w:val="6FDE4158"/>
    <w:rsid w:val="6FE34CA8"/>
    <w:rsid w:val="6FE413F5"/>
    <w:rsid w:val="6FF111BC"/>
    <w:rsid w:val="6FF2263E"/>
    <w:rsid w:val="6FF86B63"/>
    <w:rsid w:val="6FF87B02"/>
    <w:rsid w:val="70052B7B"/>
    <w:rsid w:val="70096967"/>
    <w:rsid w:val="700A07DC"/>
    <w:rsid w:val="700A632C"/>
    <w:rsid w:val="700A7D64"/>
    <w:rsid w:val="700F2BF4"/>
    <w:rsid w:val="701029A4"/>
    <w:rsid w:val="7012146B"/>
    <w:rsid w:val="7022328F"/>
    <w:rsid w:val="702C7DB6"/>
    <w:rsid w:val="7034100C"/>
    <w:rsid w:val="70366D4F"/>
    <w:rsid w:val="703A29B1"/>
    <w:rsid w:val="703E57B3"/>
    <w:rsid w:val="703F6AB7"/>
    <w:rsid w:val="7046026D"/>
    <w:rsid w:val="70464684"/>
    <w:rsid w:val="70487BEE"/>
    <w:rsid w:val="704C3A6F"/>
    <w:rsid w:val="704D2101"/>
    <w:rsid w:val="705A0E29"/>
    <w:rsid w:val="706A4981"/>
    <w:rsid w:val="706D1809"/>
    <w:rsid w:val="706E7D4A"/>
    <w:rsid w:val="70703A03"/>
    <w:rsid w:val="70710506"/>
    <w:rsid w:val="708077A2"/>
    <w:rsid w:val="70883B9E"/>
    <w:rsid w:val="70926D96"/>
    <w:rsid w:val="70977BDA"/>
    <w:rsid w:val="70A3153E"/>
    <w:rsid w:val="70AB5A8D"/>
    <w:rsid w:val="70BE59B8"/>
    <w:rsid w:val="70C42D2B"/>
    <w:rsid w:val="70E24F2A"/>
    <w:rsid w:val="70E8591E"/>
    <w:rsid w:val="70EF0F1F"/>
    <w:rsid w:val="70F1100C"/>
    <w:rsid w:val="70F354F2"/>
    <w:rsid w:val="70FA4056"/>
    <w:rsid w:val="710503C5"/>
    <w:rsid w:val="7105777A"/>
    <w:rsid w:val="710D1C26"/>
    <w:rsid w:val="710F66ED"/>
    <w:rsid w:val="711F4406"/>
    <w:rsid w:val="712A73BF"/>
    <w:rsid w:val="712E69AA"/>
    <w:rsid w:val="71362B59"/>
    <w:rsid w:val="71363825"/>
    <w:rsid w:val="7136502A"/>
    <w:rsid w:val="71497CC8"/>
    <w:rsid w:val="714A1737"/>
    <w:rsid w:val="714A3365"/>
    <w:rsid w:val="71501CB1"/>
    <w:rsid w:val="71501D56"/>
    <w:rsid w:val="71537637"/>
    <w:rsid w:val="71581782"/>
    <w:rsid w:val="71615444"/>
    <w:rsid w:val="71663D2C"/>
    <w:rsid w:val="71695BC9"/>
    <w:rsid w:val="71775552"/>
    <w:rsid w:val="71786785"/>
    <w:rsid w:val="717A60D4"/>
    <w:rsid w:val="718024F2"/>
    <w:rsid w:val="718224E5"/>
    <w:rsid w:val="71830048"/>
    <w:rsid w:val="718311B7"/>
    <w:rsid w:val="71904F1F"/>
    <w:rsid w:val="7191269F"/>
    <w:rsid w:val="7194020B"/>
    <w:rsid w:val="719515E7"/>
    <w:rsid w:val="719C2953"/>
    <w:rsid w:val="719D0592"/>
    <w:rsid w:val="719E26DF"/>
    <w:rsid w:val="719F09CF"/>
    <w:rsid w:val="71A51082"/>
    <w:rsid w:val="71A80027"/>
    <w:rsid w:val="71AA2486"/>
    <w:rsid w:val="71B077FA"/>
    <w:rsid w:val="71B1796B"/>
    <w:rsid w:val="71B20CC4"/>
    <w:rsid w:val="71B6539F"/>
    <w:rsid w:val="71B72890"/>
    <w:rsid w:val="71BB5423"/>
    <w:rsid w:val="71CA3CA2"/>
    <w:rsid w:val="71D2034F"/>
    <w:rsid w:val="71D945B4"/>
    <w:rsid w:val="71DB2A44"/>
    <w:rsid w:val="71DC17AA"/>
    <w:rsid w:val="71DF416D"/>
    <w:rsid w:val="71E33685"/>
    <w:rsid w:val="71E832FF"/>
    <w:rsid w:val="71F313A2"/>
    <w:rsid w:val="71F719C3"/>
    <w:rsid w:val="71F824D8"/>
    <w:rsid w:val="71FA69B8"/>
    <w:rsid w:val="71FC5712"/>
    <w:rsid w:val="71FE4DAA"/>
    <w:rsid w:val="720736F3"/>
    <w:rsid w:val="720F5D71"/>
    <w:rsid w:val="721708BC"/>
    <w:rsid w:val="721B720C"/>
    <w:rsid w:val="721E4CFD"/>
    <w:rsid w:val="722114AE"/>
    <w:rsid w:val="722138CE"/>
    <w:rsid w:val="722577FA"/>
    <w:rsid w:val="72307267"/>
    <w:rsid w:val="7238752D"/>
    <w:rsid w:val="723A1360"/>
    <w:rsid w:val="723A7F4D"/>
    <w:rsid w:val="723B743D"/>
    <w:rsid w:val="723C010E"/>
    <w:rsid w:val="72413334"/>
    <w:rsid w:val="724A02DC"/>
    <w:rsid w:val="725256F8"/>
    <w:rsid w:val="725E766A"/>
    <w:rsid w:val="725F496C"/>
    <w:rsid w:val="726C5595"/>
    <w:rsid w:val="726C6C82"/>
    <w:rsid w:val="72736D62"/>
    <w:rsid w:val="727A242A"/>
    <w:rsid w:val="727A299E"/>
    <w:rsid w:val="727B31B3"/>
    <w:rsid w:val="72935A22"/>
    <w:rsid w:val="72942885"/>
    <w:rsid w:val="72A153D6"/>
    <w:rsid w:val="72A27B4C"/>
    <w:rsid w:val="72A65FC2"/>
    <w:rsid w:val="72AD1E75"/>
    <w:rsid w:val="72AE6B81"/>
    <w:rsid w:val="72B461BC"/>
    <w:rsid w:val="72C2773E"/>
    <w:rsid w:val="72C3373D"/>
    <w:rsid w:val="72D21620"/>
    <w:rsid w:val="72D32999"/>
    <w:rsid w:val="72DF0305"/>
    <w:rsid w:val="72DF19A4"/>
    <w:rsid w:val="72E00D84"/>
    <w:rsid w:val="72E0531F"/>
    <w:rsid w:val="72E871A5"/>
    <w:rsid w:val="72EB1733"/>
    <w:rsid w:val="72F01BB6"/>
    <w:rsid w:val="72F078AE"/>
    <w:rsid w:val="72F96A3B"/>
    <w:rsid w:val="72FC2911"/>
    <w:rsid w:val="730428C4"/>
    <w:rsid w:val="73067FE0"/>
    <w:rsid w:val="73122BB6"/>
    <w:rsid w:val="7312347C"/>
    <w:rsid w:val="732126FB"/>
    <w:rsid w:val="732154C1"/>
    <w:rsid w:val="73295BB1"/>
    <w:rsid w:val="73441F01"/>
    <w:rsid w:val="734B503E"/>
    <w:rsid w:val="734F04CF"/>
    <w:rsid w:val="73523919"/>
    <w:rsid w:val="735A0201"/>
    <w:rsid w:val="735C481A"/>
    <w:rsid w:val="7364685B"/>
    <w:rsid w:val="73674D66"/>
    <w:rsid w:val="736B3F23"/>
    <w:rsid w:val="737D1DB4"/>
    <w:rsid w:val="737E6A7E"/>
    <w:rsid w:val="73863E84"/>
    <w:rsid w:val="738B35EA"/>
    <w:rsid w:val="738F7621"/>
    <w:rsid w:val="73991E3F"/>
    <w:rsid w:val="739B788D"/>
    <w:rsid w:val="739C6DD1"/>
    <w:rsid w:val="739E49A6"/>
    <w:rsid w:val="73A151A1"/>
    <w:rsid w:val="73A51E97"/>
    <w:rsid w:val="73A55787"/>
    <w:rsid w:val="73AF381F"/>
    <w:rsid w:val="73AF396E"/>
    <w:rsid w:val="73B22FED"/>
    <w:rsid w:val="73BD0CBA"/>
    <w:rsid w:val="73BE20B7"/>
    <w:rsid w:val="73C318D1"/>
    <w:rsid w:val="73DA41F1"/>
    <w:rsid w:val="73DA4DF9"/>
    <w:rsid w:val="73E67832"/>
    <w:rsid w:val="740C1E19"/>
    <w:rsid w:val="7410497E"/>
    <w:rsid w:val="741B04DD"/>
    <w:rsid w:val="742209AC"/>
    <w:rsid w:val="74254775"/>
    <w:rsid w:val="74270E88"/>
    <w:rsid w:val="743503FE"/>
    <w:rsid w:val="7437028D"/>
    <w:rsid w:val="743C37E4"/>
    <w:rsid w:val="744A2EF8"/>
    <w:rsid w:val="745A0D15"/>
    <w:rsid w:val="745C5273"/>
    <w:rsid w:val="745E268C"/>
    <w:rsid w:val="7463392D"/>
    <w:rsid w:val="746C5E38"/>
    <w:rsid w:val="7473721D"/>
    <w:rsid w:val="74746816"/>
    <w:rsid w:val="74890CC8"/>
    <w:rsid w:val="74966C9E"/>
    <w:rsid w:val="7499080E"/>
    <w:rsid w:val="749C5887"/>
    <w:rsid w:val="749D6C84"/>
    <w:rsid w:val="749F3BDD"/>
    <w:rsid w:val="74A263EE"/>
    <w:rsid w:val="74A65BDD"/>
    <w:rsid w:val="74AF2A58"/>
    <w:rsid w:val="74B5304D"/>
    <w:rsid w:val="74BA31C7"/>
    <w:rsid w:val="74BD43FE"/>
    <w:rsid w:val="74C87720"/>
    <w:rsid w:val="74DB0643"/>
    <w:rsid w:val="74E0649B"/>
    <w:rsid w:val="74E91D83"/>
    <w:rsid w:val="74EE24D5"/>
    <w:rsid w:val="74F208C7"/>
    <w:rsid w:val="74F579F0"/>
    <w:rsid w:val="74F85EA6"/>
    <w:rsid w:val="75035007"/>
    <w:rsid w:val="750A1E37"/>
    <w:rsid w:val="75175D2D"/>
    <w:rsid w:val="751D3FA9"/>
    <w:rsid w:val="75232ABD"/>
    <w:rsid w:val="753647E9"/>
    <w:rsid w:val="7538180D"/>
    <w:rsid w:val="753D4E5A"/>
    <w:rsid w:val="754627BB"/>
    <w:rsid w:val="754A0980"/>
    <w:rsid w:val="75545CF6"/>
    <w:rsid w:val="755C40BD"/>
    <w:rsid w:val="756103A4"/>
    <w:rsid w:val="75624CA9"/>
    <w:rsid w:val="756D3991"/>
    <w:rsid w:val="756E5C1E"/>
    <w:rsid w:val="75780D4B"/>
    <w:rsid w:val="757A7F26"/>
    <w:rsid w:val="757DDEE5"/>
    <w:rsid w:val="758143B9"/>
    <w:rsid w:val="75815B97"/>
    <w:rsid w:val="75822414"/>
    <w:rsid w:val="758413AD"/>
    <w:rsid w:val="758A675F"/>
    <w:rsid w:val="75932E4C"/>
    <w:rsid w:val="75967579"/>
    <w:rsid w:val="75A3059C"/>
    <w:rsid w:val="75B15D84"/>
    <w:rsid w:val="75B710B1"/>
    <w:rsid w:val="75B84A72"/>
    <w:rsid w:val="75B93098"/>
    <w:rsid w:val="75CD1C2E"/>
    <w:rsid w:val="75D94CFB"/>
    <w:rsid w:val="75DB28F0"/>
    <w:rsid w:val="75DF3BDC"/>
    <w:rsid w:val="75E223E9"/>
    <w:rsid w:val="75E77BAA"/>
    <w:rsid w:val="75F36350"/>
    <w:rsid w:val="75FA42CF"/>
    <w:rsid w:val="75FA4E76"/>
    <w:rsid w:val="75FA729D"/>
    <w:rsid w:val="75FF7EA2"/>
    <w:rsid w:val="76072D30"/>
    <w:rsid w:val="760C1A34"/>
    <w:rsid w:val="7610431D"/>
    <w:rsid w:val="762229C7"/>
    <w:rsid w:val="762840CB"/>
    <w:rsid w:val="762A1E43"/>
    <w:rsid w:val="762A694A"/>
    <w:rsid w:val="7646173B"/>
    <w:rsid w:val="764B6696"/>
    <w:rsid w:val="7658031A"/>
    <w:rsid w:val="76662EEA"/>
    <w:rsid w:val="76697EDF"/>
    <w:rsid w:val="76722F5E"/>
    <w:rsid w:val="76802570"/>
    <w:rsid w:val="768B668B"/>
    <w:rsid w:val="768C231C"/>
    <w:rsid w:val="76926668"/>
    <w:rsid w:val="76936197"/>
    <w:rsid w:val="769836B6"/>
    <w:rsid w:val="769E44A4"/>
    <w:rsid w:val="769F2412"/>
    <w:rsid w:val="76A0380F"/>
    <w:rsid w:val="76A921ED"/>
    <w:rsid w:val="76AA3738"/>
    <w:rsid w:val="76AB547B"/>
    <w:rsid w:val="76B033D9"/>
    <w:rsid w:val="76B26D2D"/>
    <w:rsid w:val="76B6533E"/>
    <w:rsid w:val="76B7673B"/>
    <w:rsid w:val="76BD73AC"/>
    <w:rsid w:val="76C74C38"/>
    <w:rsid w:val="76C80B00"/>
    <w:rsid w:val="76CA32FA"/>
    <w:rsid w:val="76CC293A"/>
    <w:rsid w:val="76D02273"/>
    <w:rsid w:val="76D25101"/>
    <w:rsid w:val="76DDE6F5"/>
    <w:rsid w:val="76F03C9F"/>
    <w:rsid w:val="76F70FE3"/>
    <w:rsid w:val="76F938C8"/>
    <w:rsid w:val="76FD79BD"/>
    <w:rsid w:val="77070C13"/>
    <w:rsid w:val="77075E9C"/>
    <w:rsid w:val="770C1996"/>
    <w:rsid w:val="7711659E"/>
    <w:rsid w:val="771222E8"/>
    <w:rsid w:val="77127121"/>
    <w:rsid w:val="771357EC"/>
    <w:rsid w:val="77221FB6"/>
    <w:rsid w:val="77256F26"/>
    <w:rsid w:val="772C230C"/>
    <w:rsid w:val="772E0143"/>
    <w:rsid w:val="77357EED"/>
    <w:rsid w:val="773D1142"/>
    <w:rsid w:val="77413963"/>
    <w:rsid w:val="77453575"/>
    <w:rsid w:val="774721A9"/>
    <w:rsid w:val="77481BD1"/>
    <w:rsid w:val="77483487"/>
    <w:rsid w:val="774E10B4"/>
    <w:rsid w:val="77523981"/>
    <w:rsid w:val="775C246A"/>
    <w:rsid w:val="776157AF"/>
    <w:rsid w:val="776618B9"/>
    <w:rsid w:val="776D4C9F"/>
    <w:rsid w:val="77723181"/>
    <w:rsid w:val="77897336"/>
    <w:rsid w:val="778B2FB2"/>
    <w:rsid w:val="77910151"/>
    <w:rsid w:val="77980F29"/>
    <w:rsid w:val="77B358A8"/>
    <w:rsid w:val="77B83A94"/>
    <w:rsid w:val="77B86E54"/>
    <w:rsid w:val="77BB497D"/>
    <w:rsid w:val="77BD7908"/>
    <w:rsid w:val="77CF085F"/>
    <w:rsid w:val="77E657E0"/>
    <w:rsid w:val="77F700A3"/>
    <w:rsid w:val="77F71C38"/>
    <w:rsid w:val="77FF300A"/>
    <w:rsid w:val="77FF3688"/>
    <w:rsid w:val="78021E42"/>
    <w:rsid w:val="78031400"/>
    <w:rsid w:val="78054355"/>
    <w:rsid w:val="780C2FB1"/>
    <w:rsid w:val="7816242F"/>
    <w:rsid w:val="78182186"/>
    <w:rsid w:val="78221E06"/>
    <w:rsid w:val="78306EBD"/>
    <w:rsid w:val="78355C5C"/>
    <w:rsid w:val="78373DE3"/>
    <w:rsid w:val="78435004"/>
    <w:rsid w:val="784410EB"/>
    <w:rsid w:val="78466E62"/>
    <w:rsid w:val="7849788F"/>
    <w:rsid w:val="78550741"/>
    <w:rsid w:val="78697F67"/>
    <w:rsid w:val="786F7265"/>
    <w:rsid w:val="787356DB"/>
    <w:rsid w:val="787C365F"/>
    <w:rsid w:val="787C4A86"/>
    <w:rsid w:val="787C73A0"/>
    <w:rsid w:val="788104AA"/>
    <w:rsid w:val="78845A98"/>
    <w:rsid w:val="788E35A3"/>
    <w:rsid w:val="78A277FE"/>
    <w:rsid w:val="78A371FC"/>
    <w:rsid w:val="78A45071"/>
    <w:rsid w:val="78BC5BCA"/>
    <w:rsid w:val="78C209AA"/>
    <w:rsid w:val="78C30045"/>
    <w:rsid w:val="78C617D0"/>
    <w:rsid w:val="78C657C5"/>
    <w:rsid w:val="78CF13C3"/>
    <w:rsid w:val="78D76EE8"/>
    <w:rsid w:val="78DC66D7"/>
    <w:rsid w:val="78E076CC"/>
    <w:rsid w:val="78E91EEF"/>
    <w:rsid w:val="78EA79E3"/>
    <w:rsid w:val="78F16C8B"/>
    <w:rsid w:val="78F82376"/>
    <w:rsid w:val="78FB2499"/>
    <w:rsid w:val="78FE2D57"/>
    <w:rsid w:val="79017442"/>
    <w:rsid w:val="79032546"/>
    <w:rsid w:val="791717F6"/>
    <w:rsid w:val="792627D5"/>
    <w:rsid w:val="79306F1C"/>
    <w:rsid w:val="79321717"/>
    <w:rsid w:val="79324722"/>
    <w:rsid w:val="793638D5"/>
    <w:rsid w:val="793918EE"/>
    <w:rsid w:val="793B06F4"/>
    <w:rsid w:val="793F73C4"/>
    <w:rsid w:val="7942578A"/>
    <w:rsid w:val="79462269"/>
    <w:rsid w:val="79541A60"/>
    <w:rsid w:val="796B20C0"/>
    <w:rsid w:val="79701E8D"/>
    <w:rsid w:val="797A07C3"/>
    <w:rsid w:val="797C4484"/>
    <w:rsid w:val="797E5664"/>
    <w:rsid w:val="797F0C85"/>
    <w:rsid w:val="79801479"/>
    <w:rsid w:val="79824FEC"/>
    <w:rsid w:val="798476A8"/>
    <w:rsid w:val="79885BD8"/>
    <w:rsid w:val="79905EA0"/>
    <w:rsid w:val="7991539F"/>
    <w:rsid w:val="79924B32"/>
    <w:rsid w:val="799743A5"/>
    <w:rsid w:val="79986019"/>
    <w:rsid w:val="799B13B4"/>
    <w:rsid w:val="799C01CB"/>
    <w:rsid w:val="79A2131D"/>
    <w:rsid w:val="79BE4323"/>
    <w:rsid w:val="79C37A03"/>
    <w:rsid w:val="79C85CD9"/>
    <w:rsid w:val="79C94F0E"/>
    <w:rsid w:val="79D85F74"/>
    <w:rsid w:val="79D9725C"/>
    <w:rsid w:val="79E259DE"/>
    <w:rsid w:val="79E32474"/>
    <w:rsid w:val="79EC28CA"/>
    <w:rsid w:val="79F27FD1"/>
    <w:rsid w:val="79FA331A"/>
    <w:rsid w:val="79FB19AC"/>
    <w:rsid w:val="7A006471"/>
    <w:rsid w:val="7A01679E"/>
    <w:rsid w:val="7A03125C"/>
    <w:rsid w:val="7A056D69"/>
    <w:rsid w:val="7A081A5A"/>
    <w:rsid w:val="7A132244"/>
    <w:rsid w:val="7A156C88"/>
    <w:rsid w:val="7A167207"/>
    <w:rsid w:val="7A245618"/>
    <w:rsid w:val="7A3D0120"/>
    <w:rsid w:val="7A3E568F"/>
    <w:rsid w:val="7A444CA3"/>
    <w:rsid w:val="7A4C7647"/>
    <w:rsid w:val="7A5504CD"/>
    <w:rsid w:val="7A576C53"/>
    <w:rsid w:val="7A610508"/>
    <w:rsid w:val="7A62347F"/>
    <w:rsid w:val="7A6357B0"/>
    <w:rsid w:val="7A666C01"/>
    <w:rsid w:val="7A696C03"/>
    <w:rsid w:val="7A6B246A"/>
    <w:rsid w:val="7A6F6F04"/>
    <w:rsid w:val="7A7444BF"/>
    <w:rsid w:val="7A7E067B"/>
    <w:rsid w:val="7A7E30E6"/>
    <w:rsid w:val="7A863489"/>
    <w:rsid w:val="7A866564"/>
    <w:rsid w:val="7A8912C0"/>
    <w:rsid w:val="7A8A2BCE"/>
    <w:rsid w:val="7A8E7A11"/>
    <w:rsid w:val="7A9575C0"/>
    <w:rsid w:val="7A97325F"/>
    <w:rsid w:val="7AA31AD3"/>
    <w:rsid w:val="7AB139BB"/>
    <w:rsid w:val="7AB83901"/>
    <w:rsid w:val="7ACC7B06"/>
    <w:rsid w:val="7AD26045"/>
    <w:rsid w:val="7AD92CD0"/>
    <w:rsid w:val="7ADE0AEC"/>
    <w:rsid w:val="7AE320E3"/>
    <w:rsid w:val="7AE449F3"/>
    <w:rsid w:val="7AE735BA"/>
    <w:rsid w:val="7AEC5E3C"/>
    <w:rsid w:val="7AED5C31"/>
    <w:rsid w:val="7AF16A40"/>
    <w:rsid w:val="7AF3121E"/>
    <w:rsid w:val="7AFF4BB4"/>
    <w:rsid w:val="7B024B7C"/>
    <w:rsid w:val="7B026FB1"/>
    <w:rsid w:val="7B044EA1"/>
    <w:rsid w:val="7B092D4D"/>
    <w:rsid w:val="7B0D79A6"/>
    <w:rsid w:val="7B130976"/>
    <w:rsid w:val="7B19065C"/>
    <w:rsid w:val="7B217B7C"/>
    <w:rsid w:val="7B2567E1"/>
    <w:rsid w:val="7B2E4FF3"/>
    <w:rsid w:val="7B2F1B69"/>
    <w:rsid w:val="7B333BB0"/>
    <w:rsid w:val="7B334F2B"/>
    <w:rsid w:val="7B354B7D"/>
    <w:rsid w:val="7B38339F"/>
    <w:rsid w:val="7B444AF3"/>
    <w:rsid w:val="7B4E6E8E"/>
    <w:rsid w:val="7B5E4990"/>
    <w:rsid w:val="7B5E7074"/>
    <w:rsid w:val="7B7464BE"/>
    <w:rsid w:val="7B750CB9"/>
    <w:rsid w:val="7B7620B6"/>
    <w:rsid w:val="7B79088B"/>
    <w:rsid w:val="7B7E549C"/>
    <w:rsid w:val="7B8239E9"/>
    <w:rsid w:val="7B8A02B1"/>
    <w:rsid w:val="7B8D2142"/>
    <w:rsid w:val="7B93624A"/>
    <w:rsid w:val="7B9449AD"/>
    <w:rsid w:val="7B955D13"/>
    <w:rsid w:val="7B990153"/>
    <w:rsid w:val="7BA87742"/>
    <w:rsid w:val="7BAD5AEF"/>
    <w:rsid w:val="7BAE7724"/>
    <w:rsid w:val="7BB57E40"/>
    <w:rsid w:val="7BB60DE6"/>
    <w:rsid w:val="7BB6364B"/>
    <w:rsid w:val="7BBD224C"/>
    <w:rsid w:val="7BBD6A32"/>
    <w:rsid w:val="7BBE6194"/>
    <w:rsid w:val="7BC645A6"/>
    <w:rsid w:val="7BCF6FDB"/>
    <w:rsid w:val="7BD0649D"/>
    <w:rsid w:val="7BD81D81"/>
    <w:rsid w:val="7BD861F8"/>
    <w:rsid w:val="7BEB488A"/>
    <w:rsid w:val="7BEB5671"/>
    <w:rsid w:val="7BF859D9"/>
    <w:rsid w:val="7BFA6ADE"/>
    <w:rsid w:val="7BFF083F"/>
    <w:rsid w:val="7C0277B6"/>
    <w:rsid w:val="7C046018"/>
    <w:rsid w:val="7C0725A0"/>
    <w:rsid w:val="7C0737A8"/>
    <w:rsid w:val="7C0909D3"/>
    <w:rsid w:val="7C0F6E34"/>
    <w:rsid w:val="7C122B9D"/>
    <w:rsid w:val="7C133B88"/>
    <w:rsid w:val="7C222DDA"/>
    <w:rsid w:val="7C225944"/>
    <w:rsid w:val="7C25750C"/>
    <w:rsid w:val="7C2C3EAD"/>
    <w:rsid w:val="7C2D1A17"/>
    <w:rsid w:val="7C33397C"/>
    <w:rsid w:val="7C3612D6"/>
    <w:rsid w:val="7C425F61"/>
    <w:rsid w:val="7C482D35"/>
    <w:rsid w:val="7C4F6097"/>
    <w:rsid w:val="7C544109"/>
    <w:rsid w:val="7C612C8F"/>
    <w:rsid w:val="7C6B6434"/>
    <w:rsid w:val="7C727909"/>
    <w:rsid w:val="7C7D45E1"/>
    <w:rsid w:val="7C8308CF"/>
    <w:rsid w:val="7C8B2C4E"/>
    <w:rsid w:val="7C8C4263"/>
    <w:rsid w:val="7C9C357A"/>
    <w:rsid w:val="7C9C4B5C"/>
    <w:rsid w:val="7C9D4977"/>
    <w:rsid w:val="7CA12DEE"/>
    <w:rsid w:val="7CA3413D"/>
    <w:rsid w:val="7CAC259A"/>
    <w:rsid w:val="7CB2512E"/>
    <w:rsid w:val="7CB338F1"/>
    <w:rsid w:val="7CB911E6"/>
    <w:rsid w:val="7CBF0FF7"/>
    <w:rsid w:val="7CC913D3"/>
    <w:rsid w:val="7CCC724B"/>
    <w:rsid w:val="7CCD2004"/>
    <w:rsid w:val="7CCE4046"/>
    <w:rsid w:val="7CD02FE7"/>
    <w:rsid w:val="7CDB4B10"/>
    <w:rsid w:val="7CDD105F"/>
    <w:rsid w:val="7CDE0707"/>
    <w:rsid w:val="7CE02F28"/>
    <w:rsid w:val="7CEF2B80"/>
    <w:rsid w:val="7CF53BEC"/>
    <w:rsid w:val="7D065973"/>
    <w:rsid w:val="7D076D70"/>
    <w:rsid w:val="7D0A07AE"/>
    <w:rsid w:val="7D0B5162"/>
    <w:rsid w:val="7D1763C6"/>
    <w:rsid w:val="7D177CB3"/>
    <w:rsid w:val="7D1D3EEF"/>
    <w:rsid w:val="7D1E398A"/>
    <w:rsid w:val="7D234014"/>
    <w:rsid w:val="7D2569E0"/>
    <w:rsid w:val="7D2B57E2"/>
    <w:rsid w:val="7D33614F"/>
    <w:rsid w:val="7D3702E5"/>
    <w:rsid w:val="7D400FFC"/>
    <w:rsid w:val="7D456F8D"/>
    <w:rsid w:val="7D457E4B"/>
    <w:rsid w:val="7D4633F9"/>
    <w:rsid w:val="7D49371D"/>
    <w:rsid w:val="7D5F32F2"/>
    <w:rsid w:val="7D684A0A"/>
    <w:rsid w:val="7D6A7204"/>
    <w:rsid w:val="7D6C2781"/>
    <w:rsid w:val="7D7D3D3F"/>
    <w:rsid w:val="7D7F64B5"/>
    <w:rsid w:val="7D82751B"/>
    <w:rsid w:val="7D847812"/>
    <w:rsid w:val="7D8F547A"/>
    <w:rsid w:val="7D962A43"/>
    <w:rsid w:val="7D973BDB"/>
    <w:rsid w:val="7D99763C"/>
    <w:rsid w:val="7D9A72EE"/>
    <w:rsid w:val="7D9E75FA"/>
    <w:rsid w:val="7DA13610"/>
    <w:rsid w:val="7DA22B27"/>
    <w:rsid w:val="7DA56AD7"/>
    <w:rsid w:val="7DB555B0"/>
    <w:rsid w:val="7DC23D6F"/>
    <w:rsid w:val="7DC25EC0"/>
    <w:rsid w:val="7DD765F2"/>
    <w:rsid w:val="7DDE2431"/>
    <w:rsid w:val="7DF82F4D"/>
    <w:rsid w:val="7DFE52DE"/>
    <w:rsid w:val="7DFFD2AD"/>
    <w:rsid w:val="7E0350C1"/>
    <w:rsid w:val="7E036FF9"/>
    <w:rsid w:val="7E060918"/>
    <w:rsid w:val="7E18726D"/>
    <w:rsid w:val="7E20467A"/>
    <w:rsid w:val="7E2C02B9"/>
    <w:rsid w:val="7E2E3EDA"/>
    <w:rsid w:val="7E377B22"/>
    <w:rsid w:val="7E3926E1"/>
    <w:rsid w:val="7E3B5A8E"/>
    <w:rsid w:val="7E3C11FC"/>
    <w:rsid w:val="7E3F0187"/>
    <w:rsid w:val="7E411CD4"/>
    <w:rsid w:val="7E421DE8"/>
    <w:rsid w:val="7E4C5AAD"/>
    <w:rsid w:val="7E4F5D36"/>
    <w:rsid w:val="7E583893"/>
    <w:rsid w:val="7E5B748A"/>
    <w:rsid w:val="7E601085"/>
    <w:rsid w:val="7E6214DF"/>
    <w:rsid w:val="7E684A6E"/>
    <w:rsid w:val="7E6A7054"/>
    <w:rsid w:val="7E764C46"/>
    <w:rsid w:val="7E7843A0"/>
    <w:rsid w:val="7E7A3A8F"/>
    <w:rsid w:val="7E7D3512"/>
    <w:rsid w:val="7E7E2495"/>
    <w:rsid w:val="7E7E2533"/>
    <w:rsid w:val="7E7E4F8C"/>
    <w:rsid w:val="7E8E5ECF"/>
    <w:rsid w:val="7E9B1E1D"/>
    <w:rsid w:val="7E9C52E7"/>
    <w:rsid w:val="7E9E4B9A"/>
    <w:rsid w:val="7E9F531B"/>
    <w:rsid w:val="7EB24D49"/>
    <w:rsid w:val="7EBE700C"/>
    <w:rsid w:val="7EBEF8D1"/>
    <w:rsid w:val="7EBFFBC2"/>
    <w:rsid w:val="7ED30050"/>
    <w:rsid w:val="7ED36BCE"/>
    <w:rsid w:val="7EDA196C"/>
    <w:rsid w:val="7EDD3CF3"/>
    <w:rsid w:val="7EDE320A"/>
    <w:rsid w:val="7EE450FC"/>
    <w:rsid w:val="7EED4BA1"/>
    <w:rsid w:val="7EF12B0A"/>
    <w:rsid w:val="7EF75A49"/>
    <w:rsid w:val="7EF85072"/>
    <w:rsid w:val="7EFD3841"/>
    <w:rsid w:val="7EFD5558"/>
    <w:rsid w:val="7EFF2D43"/>
    <w:rsid w:val="7EFFAB8E"/>
    <w:rsid w:val="7F076A10"/>
    <w:rsid w:val="7F091B05"/>
    <w:rsid w:val="7F0A3FFF"/>
    <w:rsid w:val="7F0D0A7F"/>
    <w:rsid w:val="7F0E1AA1"/>
    <w:rsid w:val="7F0E47CC"/>
    <w:rsid w:val="7F10456C"/>
    <w:rsid w:val="7F1629A4"/>
    <w:rsid w:val="7F1B26B0"/>
    <w:rsid w:val="7F21C961"/>
    <w:rsid w:val="7F266120"/>
    <w:rsid w:val="7F2E31DC"/>
    <w:rsid w:val="7F2F746E"/>
    <w:rsid w:val="7F356E17"/>
    <w:rsid w:val="7F3663C0"/>
    <w:rsid w:val="7F3D60C4"/>
    <w:rsid w:val="7F4005E2"/>
    <w:rsid w:val="7F411EEE"/>
    <w:rsid w:val="7F4339B5"/>
    <w:rsid w:val="7F4470DC"/>
    <w:rsid w:val="7F533EF3"/>
    <w:rsid w:val="7F5D4081"/>
    <w:rsid w:val="7F624981"/>
    <w:rsid w:val="7F6D484E"/>
    <w:rsid w:val="7F756DC1"/>
    <w:rsid w:val="7F764616"/>
    <w:rsid w:val="7F7F4047"/>
    <w:rsid w:val="7F7FFBA4"/>
    <w:rsid w:val="7F8E5D1E"/>
    <w:rsid w:val="7FA50771"/>
    <w:rsid w:val="7FAC2F97"/>
    <w:rsid w:val="7FAC7379"/>
    <w:rsid w:val="7FAD53A5"/>
    <w:rsid w:val="7FB00F1D"/>
    <w:rsid w:val="7FB1231A"/>
    <w:rsid w:val="7FB26514"/>
    <w:rsid w:val="7FB74303"/>
    <w:rsid w:val="7FBE97D8"/>
    <w:rsid w:val="7FC039AB"/>
    <w:rsid w:val="7FC246DE"/>
    <w:rsid w:val="7FC50736"/>
    <w:rsid w:val="7FCB7818"/>
    <w:rsid w:val="7FCFBEFD"/>
    <w:rsid w:val="7FD12F10"/>
    <w:rsid w:val="7FD52616"/>
    <w:rsid w:val="7FDF586A"/>
    <w:rsid w:val="7FEDBD2E"/>
    <w:rsid w:val="7FEEB500"/>
    <w:rsid w:val="7FEFEB8A"/>
    <w:rsid w:val="7FF03934"/>
    <w:rsid w:val="7FF06C51"/>
    <w:rsid w:val="7FF53123"/>
    <w:rsid w:val="7FF56EE4"/>
    <w:rsid w:val="7FF75AFE"/>
    <w:rsid w:val="7FF7BA69"/>
    <w:rsid w:val="8FEDF124"/>
    <w:rsid w:val="93676287"/>
    <w:rsid w:val="9ECF602F"/>
    <w:rsid w:val="ABDF953F"/>
    <w:rsid w:val="AECE100E"/>
    <w:rsid w:val="AF6D91C4"/>
    <w:rsid w:val="B3F7DB1F"/>
    <w:rsid w:val="B8C71365"/>
    <w:rsid w:val="BBB75A62"/>
    <w:rsid w:val="BCECB2EF"/>
    <w:rsid w:val="BDDF5B67"/>
    <w:rsid w:val="BEF71228"/>
    <w:rsid w:val="BFCD80A4"/>
    <w:rsid w:val="BFEFB1BE"/>
    <w:rsid w:val="BFFF7D51"/>
    <w:rsid w:val="C7A37D29"/>
    <w:rsid w:val="D5FF5747"/>
    <w:rsid w:val="D7F72BF6"/>
    <w:rsid w:val="DAA89C93"/>
    <w:rsid w:val="DAFBDAC2"/>
    <w:rsid w:val="DC3F5589"/>
    <w:rsid w:val="DDD01D80"/>
    <w:rsid w:val="DEBFCBC6"/>
    <w:rsid w:val="DEE9F62B"/>
    <w:rsid w:val="DFDD0E46"/>
    <w:rsid w:val="DFFA97A7"/>
    <w:rsid w:val="E7E7C92F"/>
    <w:rsid w:val="EAAB7DCB"/>
    <w:rsid w:val="EABFA1C0"/>
    <w:rsid w:val="ECEEF9AA"/>
    <w:rsid w:val="EDDC1321"/>
    <w:rsid w:val="EF5FA9E3"/>
    <w:rsid w:val="EF7A047E"/>
    <w:rsid w:val="EFBFEBFB"/>
    <w:rsid w:val="EFFB209D"/>
    <w:rsid w:val="F2F6E050"/>
    <w:rsid w:val="F3F430CC"/>
    <w:rsid w:val="F7CFED50"/>
    <w:rsid w:val="F8DF7900"/>
    <w:rsid w:val="F9FFF6C4"/>
    <w:rsid w:val="FABFA1F2"/>
    <w:rsid w:val="FAFB9B3E"/>
    <w:rsid w:val="FBB891FE"/>
    <w:rsid w:val="FBF8F6A4"/>
    <w:rsid w:val="FBFF869D"/>
    <w:rsid w:val="FCF4D172"/>
    <w:rsid w:val="FD576D10"/>
    <w:rsid w:val="FD77F9CE"/>
    <w:rsid w:val="FDFECB62"/>
    <w:rsid w:val="FE731317"/>
    <w:rsid w:val="FEFEF580"/>
    <w:rsid w:val="FF3FF0F8"/>
    <w:rsid w:val="FF4C17D8"/>
    <w:rsid w:val="FF5B8BAB"/>
    <w:rsid w:val="FF6AF442"/>
    <w:rsid w:val="FF6D1584"/>
    <w:rsid w:val="FFB361E6"/>
    <w:rsid w:val="FFC3831D"/>
    <w:rsid w:val="FFDBD530"/>
    <w:rsid w:val="FFDE0F76"/>
    <w:rsid w:val="FFDF94B8"/>
    <w:rsid w:val="FFEFD195"/>
    <w:rsid w:val="FFFD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7"/>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27"/>
    <w:unhideWhenUsed/>
    <w:qFormat/>
    <w:uiPriority w:val="0"/>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index 8"/>
    <w:basedOn w:val="1"/>
    <w:next w:val="1"/>
    <w:qFormat/>
    <w:uiPriority w:val="0"/>
    <w:pPr>
      <w:ind w:left="1400" w:leftChars="1400"/>
    </w:pPr>
  </w:style>
  <w:style w:type="paragraph" w:styleId="6">
    <w:name w:val="Normal Indent"/>
    <w:basedOn w:val="1"/>
    <w:qFormat/>
    <w:uiPriority w:val="0"/>
    <w:pPr>
      <w:ind w:firstLine="420"/>
    </w:pPr>
    <w:rPr>
      <w:kern w:val="0"/>
      <w:sz w:val="24"/>
    </w:rPr>
  </w:style>
  <w:style w:type="paragraph" w:styleId="7">
    <w:name w:val="toa heading"/>
    <w:basedOn w:val="1"/>
    <w:next w:val="1"/>
    <w:qFormat/>
    <w:uiPriority w:val="0"/>
    <w:rPr>
      <w:rFonts w:ascii="Cambria" w:hAnsi="Cambria" w:cs="Cambria"/>
      <w:sz w:val="24"/>
    </w:rPr>
  </w:style>
  <w:style w:type="paragraph" w:styleId="8">
    <w:name w:val="annotation text"/>
    <w:basedOn w:val="1"/>
    <w:link w:val="98"/>
    <w:qFormat/>
    <w:uiPriority w:val="0"/>
    <w:pPr>
      <w:jc w:val="left"/>
    </w:pPr>
  </w:style>
  <w:style w:type="paragraph" w:styleId="9">
    <w:name w:val="Body Text"/>
    <w:basedOn w:val="1"/>
    <w:next w:val="5"/>
    <w:link w:val="28"/>
    <w:qFormat/>
    <w:uiPriority w:val="99"/>
    <w:rPr>
      <w:rFonts w:ascii="?????" w:hAnsi="?????"/>
      <w:b/>
      <w:spacing w:val="-8"/>
      <w:sz w:val="44"/>
      <w:szCs w:val="20"/>
    </w:rPr>
  </w:style>
  <w:style w:type="paragraph" w:styleId="10">
    <w:name w:val="Body Text Indent"/>
    <w:basedOn w:val="1"/>
    <w:next w:val="11"/>
    <w:link w:val="99"/>
    <w:qFormat/>
    <w:uiPriority w:val="0"/>
    <w:pPr>
      <w:ind w:firstLine="883" w:firstLineChars="200"/>
    </w:pPr>
    <w:rPr>
      <w:rFonts w:ascii="仿宋_GB2312" w:eastAsia="仿宋_GB2312"/>
      <w:b/>
      <w:bCs/>
      <w:sz w:val="44"/>
    </w:rPr>
  </w:style>
  <w:style w:type="paragraph" w:styleId="11">
    <w:name w:val="envelope return"/>
    <w:basedOn w:val="1"/>
    <w:qFormat/>
    <w:uiPriority w:val="0"/>
    <w:pPr>
      <w:snapToGrid w:val="0"/>
    </w:pPr>
    <w:rPr>
      <w:rFonts w:ascii="Arial" w:hAnsi="Arial"/>
    </w:rPr>
  </w:style>
  <w:style w:type="paragraph" w:styleId="12">
    <w:name w:val="toc 5"/>
    <w:basedOn w:val="1"/>
    <w:next w:val="1"/>
    <w:qFormat/>
    <w:uiPriority w:val="0"/>
    <w:pPr>
      <w:ind w:left="1680"/>
    </w:pPr>
    <w:rPr>
      <w:szCs w:val="22"/>
    </w:rPr>
  </w:style>
  <w:style w:type="paragraph" w:styleId="13">
    <w:name w:val="Plain Text"/>
    <w:basedOn w:val="1"/>
    <w:link w:val="29"/>
    <w:qFormat/>
    <w:uiPriority w:val="0"/>
    <w:rPr>
      <w:rFonts w:ascii="宋体" w:hAnsi="Courier New" w:cs="Courier New"/>
      <w:szCs w:val="21"/>
    </w:rPr>
  </w:style>
  <w:style w:type="paragraph" w:styleId="14">
    <w:name w:val="Date"/>
    <w:basedOn w:val="1"/>
    <w:next w:val="1"/>
    <w:link w:val="100"/>
    <w:qFormat/>
    <w:uiPriority w:val="0"/>
    <w:rPr>
      <w:rFonts w:eastAsia="仿宋_GB2312"/>
      <w:sz w:val="32"/>
      <w:szCs w:val="20"/>
    </w:rPr>
  </w:style>
  <w:style w:type="paragraph" w:styleId="15">
    <w:name w:val="Balloon Text"/>
    <w:basedOn w:val="1"/>
    <w:link w:val="101"/>
    <w:semiHidden/>
    <w:qFormat/>
    <w:uiPriority w:val="0"/>
    <w:rPr>
      <w:sz w:val="18"/>
      <w:szCs w:val="18"/>
    </w:rPr>
  </w:style>
  <w:style w:type="paragraph" w:styleId="16">
    <w:name w:val="footer"/>
    <w:basedOn w:val="1"/>
    <w:link w:val="30"/>
    <w:qFormat/>
    <w:uiPriority w:val="99"/>
    <w:pPr>
      <w:tabs>
        <w:tab w:val="center" w:pos="4153"/>
        <w:tab w:val="right" w:pos="8306"/>
      </w:tabs>
      <w:snapToGrid w:val="0"/>
      <w:jc w:val="left"/>
    </w:pPr>
    <w:rPr>
      <w:sz w:val="18"/>
      <w:szCs w:val="18"/>
    </w:rPr>
  </w:style>
  <w:style w:type="paragraph" w:styleId="17">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First Indent 2"/>
    <w:basedOn w:val="10"/>
    <w:next w:val="1"/>
    <w:link w:val="102"/>
    <w:qFormat/>
    <w:uiPriority w:val="0"/>
    <w:pPr>
      <w:ind w:firstLine="420"/>
    </w:p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unhideWhenUsed/>
    <w:qFormat/>
    <w:uiPriority w:val="99"/>
    <w:rPr>
      <w:color w:val="800080"/>
      <w:u w:val="single"/>
    </w:rPr>
  </w:style>
  <w:style w:type="character" w:styleId="24">
    <w:name w:val="Hyperlink"/>
    <w:basedOn w:val="20"/>
    <w:unhideWhenUsed/>
    <w:qFormat/>
    <w:uiPriority w:val="99"/>
    <w:rPr>
      <w:color w:val="0000FF"/>
      <w:u w:val="single"/>
    </w:rPr>
  </w:style>
  <w:style w:type="character" w:styleId="25">
    <w:name w:val="annotation reference"/>
    <w:basedOn w:val="20"/>
    <w:qFormat/>
    <w:uiPriority w:val="0"/>
    <w:rPr>
      <w:sz w:val="21"/>
      <w:szCs w:val="21"/>
    </w:rPr>
  </w:style>
  <w:style w:type="paragraph" w:customStyle="1" w:styleId="26">
    <w:name w:val="实施方案正文"/>
    <w:basedOn w:val="1"/>
    <w:qFormat/>
    <w:uiPriority w:val="0"/>
    <w:pPr>
      <w:ind w:firstLine="566" w:firstLineChars="202"/>
    </w:pPr>
    <w:rPr>
      <w:rFonts w:ascii="Calibri" w:hAnsi="Calibri"/>
      <w:szCs w:val="28"/>
    </w:rPr>
  </w:style>
  <w:style w:type="character" w:customStyle="1" w:styleId="27">
    <w:name w:val="标题 2 字符"/>
    <w:basedOn w:val="20"/>
    <w:link w:val="3"/>
    <w:qFormat/>
    <w:uiPriority w:val="0"/>
    <w:rPr>
      <w:rFonts w:ascii="Cambria" w:hAnsi="Cambria" w:eastAsia="宋体" w:cs="Times New Roman"/>
      <w:b/>
      <w:bCs/>
      <w:kern w:val="2"/>
      <w:sz w:val="32"/>
      <w:szCs w:val="32"/>
    </w:rPr>
  </w:style>
  <w:style w:type="character" w:customStyle="1" w:styleId="28">
    <w:name w:val="正文文本 字符"/>
    <w:basedOn w:val="20"/>
    <w:link w:val="9"/>
    <w:qFormat/>
    <w:uiPriority w:val="99"/>
    <w:rPr>
      <w:rFonts w:ascii="?????" w:hAnsi="?????"/>
      <w:b/>
      <w:spacing w:val="-8"/>
      <w:kern w:val="2"/>
      <w:sz w:val="44"/>
    </w:rPr>
  </w:style>
  <w:style w:type="character" w:customStyle="1" w:styleId="29">
    <w:name w:val="纯文本 字符"/>
    <w:basedOn w:val="20"/>
    <w:link w:val="13"/>
    <w:qFormat/>
    <w:uiPriority w:val="0"/>
    <w:rPr>
      <w:rFonts w:ascii="宋体" w:hAnsi="Courier New" w:cs="Courier New"/>
      <w:kern w:val="2"/>
      <w:sz w:val="21"/>
      <w:szCs w:val="21"/>
    </w:rPr>
  </w:style>
  <w:style w:type="character" w:customStyle="1" w:styleId="30">
    <w:name w:val="页脚 字符"/>
    <w:basedOn w:val="20"/>
    <w:link w:val="16"/>
    <w:qFormat/>
    <w:uiPriority w:val="99"/>
    <w:rPr>
      <w:kern w:val="2"/>
      <w:sz w:val="18"/>
      <w:szCs w:val="18"/>
    </w:rPr>
  </w:style>
  <w:style w:type="paragraph" w:customStyle="1" w:styleId="31">
    <w:name w:val="Normal Indent1"/>
    <w:basedOn w:val="1"/>
    <w:qFormat/>
    <w:uiPriority w:val="0"/>
    <w:pPr>
      <w:snapToGrid w:val="0"/>
      <w:spacing w:line="300" w:lineRule="auto"/>
      <w:ind w:firstLine="556"/>
    </w:pPr>
    <w:rPr>
      <w:rFonts w:ascii="仿宋_GB2312" w:hAnsi="Calibri" w:eastAsia="仿宋_GB2312"/>
      <w:kern w:val="0"/>
      <w:szCs w:val="20"/>
    </w:rPr>
  </w:style>
  <w:style w:type="paragraph" w:customStyle="1" w:styleId="32">
    <w:name w:val="UserStyle_0"/>
    <w:next w:val="33"/>
    <w:qFormat/>
    <w:uiPriority w:val="0"/>
    <w:pPr>
      <w:jc w:val="both"/>
      <w:textAlignment w:val="baseline"/>
    </w:pPr>
    <w:rPr>
      <w:rFonts w:ascii="Times New Roman" w:hAnsi="Times New Roman" w:eastAsia="宋体" w:cs="Times New Roman"/>
      <w:sz w:val="21"/>
      <w:szCs w:val="24"/>
      <w:lang w:val="en-US" w:eastAsia="zh-CN" w:bidi="ar-SA"/>
    </w:rPr>
  </w:style>
  <w:style w:type="paragraph" w:customStyle="1" w:styleId="33">
    <w:name w:val="UserStyle_1"/>
    <w:qFormat/>
    <w:uiPriority w:val="0"/>
    <w:pPr>
      <w:ind w:firstLine="566" w:firstLineChars="202"/>
      <w:jc w:val="both"/>
      <w:textAlignment w:val="baseline"/>
    </w:pPr>
    <w:rPr>
      <w:rFonts w:ascii="Times New Roman" w:hAnsi="Times New Roman" w:eastAsia="宋体" w:cs="Times New Roman"/>
      <w:sz w:val="21"/>
      <w:szCs w:val="28"/>
      <w:lang w:val="en-US" w:eastAsia="zh-CN" w:bidi="ar-SA"/>
    </w:rPr>
  </w:style>
  <w:style w:type="character" w:customStyle="1" w:styleId="34">
    <w:name w:val="font101"/>
    <w:qFormat/>
    <w:uiPriority w:val="0"/>
    <w:rPr>
      <w:rFonts w:hint="eastAsia" w:ascii="宋体" w:hAnsi="宋体" w:eastAsia="宋体" w:cs="宋体"/>
      <w:color w:val="000000"/>
      <w:sz w:val="44"/>
      <w:szCs w:val="44"/>
      <w:u w:val="none"/>
    </w:rPr>
  </w:style>
  <w:style w:type="character" w:customStyle="1" w:styleId="35">
    <w:name w:val="楷体加粗标题 字符"/>
    <w:basedOn w:val="36"/>
    <w:link w:val="38"/>
    <w:qFormat/>
    <w:uiPriority w:val="0"/>
    <w:rPr>
      <w:rFonts w:ascii="Calibri" w:hAnsi="Calibri" w:eastAsia="楷体_GB2312"/>
      <w:b/>
      <w:bCs/>
      <w:sz w:val="32"/>
      <w:szCs w:val="32"/>
      <w:lang w:val="en-US" w:eastAsia="zh-CN" w:bidi="ar-SA"/>
    </w:rPr>
  </w:style>
  <w:style w:type="character" w:customStyle="1" w:styleId="36">
    <w:name w:val="公文正文 字符"/>
    <w:basedOn w:val="20"/>
    <w:link w:val="37"/>
    <w:qFormat/>
    <w:uiPriority w:val="99"/>
    <w:rPr>
      <w:rFonts w:eastAsia="仿宋_GB2312"/>
      <w:sz w:val="32"/>
      <w:szCs w:val="32"/>
    </w:rPr>
  </w:style>
  <w:style w:type="paragraph" w:customStyle="1" w:styleId="37">
    <w:name w:val="公文正文"/>
    <w:basedOn w:val="1"/>
    <w:link w:val="36"/>
    <w:qFormat/>
    <w:uiPriority w:val="0"/>
    <w:pPr>
      <w:spacing w:line="560" w:lineRule="exact"/>
      <w:ind w:firstLine="640" w:firstLineChars="200"/>
    </w:pPr>
    <w:rPr>
      <w:rFonts w:eastAsia="仿宋_GB2312"/>
      <w:sz w:val="32"/>
      <w:szCs w:val="32"/>
    </w:rPr>
  </w:style>
  <w:style w:type="paragraph" w:customStyle="1" w:styleId="38">
    <w:name w:val="楷体加粗标题"/>
    <w:link w:val="35"/>
    <w:qFormat/>
    <w:uiPriority w:val="0"/>
    <w:pPr>
      <w:ind w:firstLine="643"/>
    </w:pPr>
    <w:rPr>
      <w:rFonts w:ascii="Calibri" w:hAnsi="Calibri" w:eastAsia="楷体_GB2312" w:cs="Times New Roman"/>
      <w:b/>
      <w:bCs/>
      <w:kern w:val="2"/>
      <w:sz w:val="32"/>
      <w:szCs w:val="32"/>
      <w:lang w:val="en-US" w:eastAsia="zh-CN" w:bidi="ar-SA"/>
    </w:rPr>
  </w:style>
  <w:style w:type="character" w:customStyle="1" w:styleId="39">
    <w:name w:val="NormalCharacter"/>
    <w:semiHidden/>
    <w:qFormat/>
    <w:uiPriority w:val="0"/>
    <w:rPr>
      <w:rFonts w:ascii="Calibri" w:hAnsi="Calibri" w:eastAsia="宋体" w:cs="Times New Roman"/>
      <w:kern w:val="2"/>
      <w:sz w:val="21"/>
      <w:szCs w:val="22"/>
      <w:lang w:val="en-US" w:eastAsia="zh-CN" w:bidi="ar-SA"/>
    </w:rPr>
  </w:style>
  <w:style w:type="paragraph" w:customStyle="1" w:styleId="4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character" w:customStyle="1" w:styleId="41">
    <w:name w:val="刊物日期"/>
    <w:qFormat/>
    <w:uiPriority w:val="0"/>
    <w:rPr>
      <w:rFonts w:eastAsia="仿宋_GB2312"/>
      <w:spacing w:val="-64"/>
      <w:sz w:val="32"/>
      <w:szCs w:val="32"/>
    </w:rPr>
  </w:style>
  <w:style w:type="character" w:customStyle="1" w:styleId="42">
    <w:name w:val="不明显强调1"/>
    <w:basedOn w:val="20"/>
    <w:qFormat/>
    <w:uiPriority w:val="19"/>
    <w:rPr>
      <w:i/>
      <w:iCs/>
      <w:color w:val="808080"/>
    </w:rPr>
  </w:style>
  <w:style w:type="paragraph" w:customStyle="1" w:styleId="43">
    <w:name w:val="无间隔1"/>
    <w:qFormat/>
    <w:uiPriority w:val="99"/>
    <w:pPr>
      <w:widowControl w:val="0"/>
      <w:jc w:val="both"/>
    </w:pPr>
    <w:rPr>
      <w:rFonts w:ascii="Calibri" w:hAnsi="Calibri" w:eastAsia="宋体" w:cs="Calibri"/>
      <w:kern w:val="2"/>
      <w:sz w:val="21"/>
      <w:szCs w:val="21"/>
      <w:lang w:val="en-US" w:eastAsia="zh-CN" w:bidi="ar-SA"/>
    </w:rPr>
  </w:style>
  <w:style w:type="character" w:customStyle="1" w:styleId="44">
    <w:name w:val="UserStyle_4"/>
    <w:qFormat/>
    <w:uiPriority w:val="0"/>
    <w:rPr>
      <w:kern w:val="2"/>
      <w:sz w:val="21"/>
      <w:lang w:val="en-US" w:eastAsia="zh-CN"/>
    </w:rPr>
  </w:style>
  <w:style w:type="character" w:customStyle="1" w:styleId="45">
    <w:name w:val="font51"/>
    <w:basedOn w:val="20"/>
    <w:qFormat/>
    <w:uiPriority w:val="99"/>
    <w:rPr>
      <w:rFonts w:ascii="仿宋_GB2312" w:eastAsia="仿宋_GB2312" w:cs="仿宋_GB2312"/>
      <w:color w:val="000000"/>
      <w:sz w:val="24"/>
      <w:szCs w:val="24"/>
      <w:u w:val="none"/>
    </w:rPr>
  </w:style>
  <w:style w:type="paragraph" w:customStyle="1" w:styleId="46">
    <w:name w:val="PlainText"/>
    <w:basedOn w:val="1"/>
    <w:qFormat/>
    <w:uiPriority w:val="0"/>
    <w:pPr>
      <w:widowControl/>
      <w:textAlignment w:val="baseline"/>
    </w:pPr>
    <w:rPr>
      <w:rFonts w:ascii="宋体" w:hAnsi="Courier New"/>
    </w:rPr>
  </w:style>
  <w:style w:type="character" w:customStyle="1" w:styleId="47">
    <w:name w:val="fontstyle01"/>
    <w:basedOn w:val="20"/>
    <w:qFormat/>
    <w:uiPriority w:val="0"/>
    <w:rPr>
      <w:rFonts w:ascii="仿宋_GB2312" w:eastAsia="仿宋_GB2312" w:cs="仿宋_GB2312"/>
      <w:color w:val="000000"/>
      <w:sz w:val="32"/>
      <w:szCs w:val="32"/>
    </w:rPr>
  </w:style>
  <w:style w:type="paragraph" w:customStyle="1" w:styleId="4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font5"/>
    <w:basedOn w:val="1"/>
    <w:qFormat/>
    <w:uiPriority w:val="0"/>
    <w:pPr>
      <w:widowControl/>
      <w:spacing w:before="100" w:beforeAutospacing="1" w:after="100" w:afterAutospacing="1"/>
      <w:jc w:val="left"/>
    </w:pPr>
    <w:rPr>
      <w:color w:val="000000"/>
      <w:kern w:val="0"/>
      <w:sz w:val="28"/>
      <w:szCs w:val="28"/>
    </w:rPr>
  </w:style>
  <w:style w:type="paragraph" w:customStyle="1" w:styleId="50">
    <w:name w:val="font6"/>
    <w:basedOn w:val="1"/>
    <w:qFormat/>
    <w:uiPriority w:val="0"/>
    <w:pPr>
      <w:widowControl/>
      <w:spacing w:before="100" w:beforeAutospacing="1" w:after="100" w:afterAutospacing="1"/>
      <w:jc w:val="left"/>
    </w:pPr>
    <w:rPr>
      <w:b/>
      <w:bCs/>
      <w:color w:val="000000"/>
      <w:kern w:val="0"/>
      <w:sz w:val="28"/>
      <w:szCs w:val="28"/>
    </w:rPr>
  </w:style>
  <w:style w:type="paragraph" w:customStyle="1" w:styleId="51">
    <w:name w:val="font7"/>
    <w:basedOn w:val="1"/>
    <w:qFormat/>
    <w:uiPriority w:val="0"/>
    <w:pPr>
      <w:widowControl/>
      <w:spacing w:before="100" w:beforeAutospacing="1" w:after="100" w:afterAutospacing="1"/>
      <w:jc w:val="left"/>
    </w:pPr>
    <w:rPr>
      <w:kern w:val="0"/>
      <w:sz w:val="28"/>
      <w:szCs w:val="28"/>
    </w:rPr>
  </w:style>
  <w:style w:type="paragraph" w:customStyle="1" w:styleId="52">
    <w:name w:val="font8"/>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53">
    <w:name w:val="font9"/>
    <w:basedOn w:val="1"/>
    <w:qFormat/>
    <w:uiPriority w:val="0"/>
    <w:pPr>
      <w:widowControl/>
      <w:spacing w:before="100" w:beforeAutospacing="1" w:after="100" w:afterAutospacing="1"/>
      <w:jc w:val="left"/>
    </w:pPr>
    <w:rPr>
      <w:rFonts w:ascii="仿宋_GB2312" w:hAnsi="宋体" w:eastAsia="仿宋_GB2312" w:cs="宋体"/>
      <w:b/>
      <w:bCs/>
      <w:color w:val="000000"/>
      <w:kern w:val="0"/>
      <w:sz w:val="28"/>
      <w:szCs w:val="28"/>
    </w:rPr>
  </w:style>
  <w:style w:type="paragraph" w:customStyle="1" w:styleId="54">
    <w:name w:val="font10"/>
    <w:basedOn w:val="1"/>
    <w:qFormat/>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55">
    <w:name w:val="font11"/>
    <w:basedOn w:val="1"/>
    <w:qFormat/>
    <w:uiPriority w:val="0"/>
    <w:pPr>
      <w:widowControl/>
      <w:spacing w:before="100" w:beforeAutospacing="1" w:after="100" w:afterAutospacing="1"/>
      <w:jc w:val="left"/>
    </w:pPr>
    <w:rPr>
      <w:rFonts w:ascii="仿宋_GB2312" w:hAnsi="宋体" w:eastAsia="仿宋_GB2312" w:cs="宋体"/>
      <w:kern w:val="0"/>
      <w:sz w:val="28"/>
      <w:szCs w:val="28"/>
    </w:rPr>
  </w:style>
  <w:style w:type="paragraph" w:customStyle="1" w:styleId="56">
    <w:name w:val="font12"/>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57">
    <w:name w:val="font13"/>
    <w:basedOn w:val="1"/>
    <w:qFormat/>
    <w:uiPriority w:val="0"/>
    <w:pPr>
      <w:widowControl/>
      <w:spacing w:before="100" w:beforeAutospacing="1" w:after="100" w:afterAutospacing="1"/>
      <w:jc w:val="left"/>
    </w:pPr>
    <w:rPr>
      <w:rFonts w:ascii="方正仿宋_GBK" w:hAnsi="宋体" w:eastAsia="方正仿宋_GBK" w:cs="宋体"/>
      <w:color w:val="000000"/>
      <w:kern w:val="0"/>
      <w:sz w:val="28"/>
      <w:szCs w:val="28"/>
    </w:rPr>
  </w:style>
  <w:style w:type="paragraph" w:customStyle="1" w:styleId="58">
    <w:name w:val="font14"/>
    <w:basedOn w:val="1"/>
    <w:qFormat/>
    <w:uiPriority w:val="0"/>
    <w:pPr>
      <w:widowControl/>
      <w:spacing w:before="100" w:beforeAutospacing="1" w:after="100" w:afterAutospacing="1"/>
      <w:jc w:val="left"/>
    </w:pPr>
    <w:rPr>
      <w:rFonts w:ascii="仿宋" w:hAnsi="仿宋" w:eastAsia="仿宋" w:cs="宋体"/>
      <w:color w:val="000000"/>
      <w:kern w:val="0"/>
      <w:sz w:val="28"/>
      <w:szCs w:val="28"/>
    </w:rPr>
  </w:style>
  <w:style w:type="paragraph" w:customStyle="1" w:styleId="59">
    <w:name w:val="xl65"/>
    <w:basedOn w:val="1"/>
    <w:qFormat/>
    <w:uiPriority w:val="0"/>
    <w:pPr>
      <w:widowControl/>
      <w:spacing w:before="100" w:beforeAutospacing="1" w:after="100" w:afterAutospacing="1"/>
      <w:jc w:val="left"/>
    </w:pPr>
    <w:rPr>
      <w:rFonts w:ascii="黑体" w:hAnsi="黑体" w:eastAsia="黑体" w:cs="宋体"/>
      <w:kern w:val="0"/>
      <w:sz w:val="24"/>
    </w:rPr>
  </w:style>
  <w:style w:type="paragraph" w:customStyle="1" w:styleId="60">
    <w:name w:val="xl66"/>
    <w:basedOn w:val="1"/>
    <w:qFormat/>
    <w:uiPriority w:val="0"/>
    <w:pPr>
      <w:widowControl/>
      <w:spacing w:before="100" w:beforeAutospacing="1" w:after="100" w:afterAutospacing="1"/>
      <w:jc w:val="left"/>
    </w:pPr>
    <w:rPr>
      <w:kern w:val="0"/>
      <w:sz w:val="28"/>
      <w:szCs w:val="28"/>
    </w:rPr>
  </w:style>
  <w:style w:type="paragraph" w:customStyle="1" w:styleId="61">
    <w:name w:val="xl67"/>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62">
    <w:name w:val="xl68"/>
    <w:basedOn w:val="1"/>
    <w:qFormat/>
    <w:uiPriority w:val="0"/>
    <w:pPr>
      <w:widowControl/>
      <w:spacing w:before="100" w:beforeAutospacing="1" w:after="100" w:afterAutospacing="1"/>
      <w:jc w:val="left"/>
    </w:pPr>
    <w:rPr>
      <w:kern w:val="0"/>
      <w:sz w:val="28"/>
      <w:szCs w:val="28"/>
    </w:rPr>
  </w:style>
  <w:style w:type="paragraph" w:customStyle="1" w:styleId="63">
    <w:name w:val="xl69"/>
    <w:basedOn w:val="1"/>
    <w:qFormat/>
    <w:uiPriority w:val="0"/>
    <w:pPr>
      <w:widowControl/>
      <w:spacing w:before="100" w:beforeAutospacing="1" w:after="100" w:afterAutospacing="1"/>
      <w:jc w:val="left"/>
    </w:pPr>
    <w:rPr>
      <w:kern w:val="0"/>
      <w:sz w:val="24"/>
    </w:rPr>
  </w:style>
  <w:style w:type="paragraph" w:customStyle="1" w:styleId="64">
    <w:name w:val="xl70"/>
    <w:basedOn w:val="1"/>
    <w:qFormat/>
    <w:uiPriority w:val="0"/>
    <w:pPr>
      <w:widowControl/>
      <w:spacing w:before="100" w:beforeAutospacing="1" w:after="100" w:afterAutospacing="1"/>
      <w:jc w:val="left"/>
    </w:pPr>
    <w:rPr>
      <w:kern w:val="0"/>
      <w:sz w:val="24"/>
    </w:rPr>
  </w:style>
  <w:style w:type="paragraph" w:customStyle="1" w:styleId="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32"/>
      <w:szCs w:val="32"/>
    </w:rPr>
  </w:style>
  <w:style w:type="paragraph" w:customStyle="1" w:styleId="6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8"/>
      <w:szCs w:val="28"/>
    </w:rPr>
  </w:style>
  <w:style w:type="paragraph" w:customStyle="1" w:styleId="6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6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8"/>
      <w:szCs w:val="28"/>
    </w:rPr>
  </w:style>
  <w:style w:type="paragraph" w:customStyle="1" w:styleId="7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4">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8"/>
      <w:szCs w:val="28"/>
    </w:rPr>
  </w:style>
  <w:style w:type="paragraph" w:customStyle="1" w:styleId="77">
    <w:name w:val="xl83"/>
    <w:basedOn w:val="1"/>
    <w:qFormat/>
    <w:uiPriority w:val="0"/>
    <w:pPr>
      <w:widowControl/>
      <w:pBdr>
        <w:bottom w:val="single" w:color="auto" w:sz="4" w:space="0"/>
        <w:right w:val="single" w:color="auto" w:sz="4" w:space="0"/>
      </w:pBdr>
      <w:spacing w:before="100" w:beforeAutospacing="1" w:after="100" w:afterAutospacing="1"/>
      <w:jc w:val="left"/>
    </w:pPr>
    <w:rPr>
      <w:kern w:val="0"/>
      <w:sz w:val="28"/>
      <w:szCs w:val="28"/>
    </w:rPr>
  </w:style>
  <w:style w:type="paragraph" w:customStyle="1" w:styleId="7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8"/>
      <w:szCs w:val="28"/>
    </w:rPr>
  </w:style>
  <w:style w:type="paragraph" w:customStyle="1" w:styleId="8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32"/>
      <w:szCs w:val="32"/>
    </w:rPr>
  </w:style>
  <w:style w:type="paragraph" w:customStyle="1" w:styleId="8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8"/>
      <w:szCs w:val="28"/>
    </w:rPr>
  </w:style>
  <w:style w:type="paragraph" w:customStyle="1" w:styleId="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8"/>
      <w:szCs w:val="28"/>
    </w:rPr>
  </w:style>
  <w:style w:type="paragraph" w:customStyle="1" w:styleId="83">
    <w:name w:val="xl89"/>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56"/>
      <w:szCs w:val="56"/>
    </w:rPr>
  </w:style>
  <w:style w:type="character" w:customStyle="1" w:styleId="84">
    <w:name w:val="页眉 字符"/>
    <w:link w:val="17"/>
    <w:qFormat/>
    <w:uiPriority w:val="99"/>
    <w:rPr>
      <w:rFonts w:ascii="Times New Roman" w:hAnsi="Times New Roman"/>
      <w:kern w:val="2"/>
      <w:sz w:val="18"/>
      <w:szCs w:val="18"/>
    </w:rPr>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89">
    <w:name w:val="xl94"/>
    <w:basedOn w:val="1"/>
    <w:qFormat/>
    <w:uiPriority w:val="0"/>
    <w:pPr>
      <w:widowControl/>
      <w:spacing w:before="100" w:beforeAutospacing="1" w:after="100" w:afterAutospacing="1"/>
      <w:jc w:val="left"/>
    </w:pPr>
    <w:rPr>
      <w:rFonts w:ascii="黑体" w:hAnsi="黑体" w:eastAsia="黑体" w:cs="宋体"/>
      <w:b/>
      <w:bCs/>
      <w:kern w:val="0"/>
      <w:sz w:val="24"/>
    </w:rPr>
  </w:style>
  <w:style w:type="paragraph" w:customStyle="1" w:styleId="90">
    <w:name w:val="xl95"/>
    <w:basedOn w:val="1"/>
    <w:qFormat/>
    <w:uiPriority w:val="0"/>
    <w:pPr>
      <w:widowControl/>
      <w:spacing w:before="100" w:beforeAutospacing="1" w:after="100" w:afterAutospacing="1"/>
      <w:jc w:val="center"/>
    </w:pPr>
    <w:rPr>
      <w:rFonts w:ascii="方正小标宋简体" w:hAnsi="宋体" w:eastAsia="方正小标宋简体" w:cs="宋体"/>
      <w:kern w:val="0"/>
      <w:sz w:val="48"/>
      <w:szCs w:val="48"/>
    </w:rPr>
  </w:style>
  <w:style w:type="paragraph" w:customStyle="1" w:styleId="91">
    <w:name w:val="xl96"/>
    <w:basedOn w:val="1"/>
    <w:qFormat/>
    <w:uiPriority w:val="0"/>
    <w:pPr>
      <w:widowControl/>
      <w:spacing w:before="100" w:beforeAutospacing="1" w:after="100" w:afterAutospacing="1"/>
      <w:jc w:val="left"/>
    </w:pPr>
    <w:rPr>
      <w:kern w:val="0"/>
      <w:sz w:val="24"/>
    </w:rPr>
  </w:style>
  <w:style w:type="paragraph" w:customStyle="1" w:styleId="92">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93">
    <w:name w:val="xl98"/>
    <w:basedOn w:val="1"/>
    <w:qFormat/>
    <w:uiPriority w:val="0"/>
    <w:pPr>
      <w:widowControl/>
      <w:pBdr>
        <w:top w:val="single" w:color="auto" w:sz="4" w:space="0"/>
        <w:bottom w:val="single" w:color="auto" w:sz="4" w:space="0"/>
      </w:pBdr>
      <w:spacing w:before="100" w:beforeAutospacing="1" w:after="100" w:afterAutospacing="1"/>
      <w:jc w:val="center"/>
    </w:pPr>
    <w:rPr>
      <w:b/>
      <w:bCs/>
      <w:kern w:val="0"/>
      <w:sz w:val="24"/>
    </w:rPr>
  </w:style>
  <w:style w:type="paragraph" w:customStyle="1" w:styleId="94">
    <w:name w:val="xl99"/>
    <w:basedOn w:val="1"/>
    <w:qFormat/>
    <w:uiPriority w:val="0"/>
    <w:pPr>
      <w:widowControl/>
      <w:pBdr>
        <w:top w:val="single" w:color="auto" w:sz="4" w:space="0"/>
        <w:bottom w:val="single" w:color="auto" w:sz="4" w:space="0"/>
      </w:pBdr>
      <w:spacing w:before="100" w:beforeAutospacing="1" w:after="100" w:afterAutospacing="1"/>
      <w:jc w:val="left"/>
    </w:pPr>
    <w:rPr>
      <w:b/>
      <w:bCs/>
      <w:kern w:val="0"/>
      <w:sz w:val="24"/>
    </w:rPr>
  </w:style>
  <w:style w:type="paragraph" w:customStyle="1" w:styleId="95">
    <w:name w:val="xl100"/>
    <w:basedOn w:val="1"/>
    <w:qFormat/>
    <w:uiPriority w:val="0"/>
    <w:pPr>
      <w:widowControl/>
      <w:pBdr>
        <w:top w:val="single" w:color="auto" w:sz="4" w:space="0"/>
        <w:bottom w:val="single" w:color="auto" w:sz="4" w:space="0"/>
      </w:pBdr>
      <w:spacing w:before="100" w:beforeAutospacing="1" w:after="100" w:afterAutospacing="1"/>
      <w:jc w:val="center"/>
    </w:pPr>
    <w:rPr>
      <w:b/>
      <w:bCs/>
      <w:kern w:val="0"/>
      <w:sz w:val="24"/>
    </w:rPr>
  </w:style>
  <w:style w:type="paragraph" w:customStyle="1" w:styleId="96">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b/>
      <w:bCs/>
      <w:kern w:val="0"/>
      <w:sz w:val="24"/>
    </w:rPr>
  </w:style>
  <w:style w:type="character" w:customStyle="1" w:styleId="97">
    <w:name w:val="标题 1 字符"/>
    <w:basedOn w:val="20"/>
    <w:link w:val="2"/>
    <w:uiPriority w:val="0"/>
    <w:rPr>
      <w:rFonts w:ascii="宋体" w:hAnsi="宋体"/>
      <w:b/>
      <w:kern w:val="44"/>
      <w:sz w:val="48"/>
      <w:szCs w:val="48"/>
    </w:rPr>
  </w:style>
  <w:style w:type="character" w:customStyle="1" w:styleId="98">
    <w:name w:val="批注文字 字符"/>
    <w:basedOn w:val="20"/>
    <w:link w:val="8"/>
    <w:uiPriority w:val="0"/>
    <w:rPr>
      <w:rFonts w:ascii="Times New Roman" w:hAnsi="Times New Roman"/>
      <w:kern w:val="2"/>
      <w:sz w:val="21"/>
      <w:szCs w:val="24"/>
    </w:rPr>
  </w:style>
  <w:style w:type="character" w:customStyle="1" w:styleId="99">
    <w:name w:val="正文文本缩进 字符"/>
    <w:basedOn w:val="20"/>
    <w:link w:val="10"/>
    <w:uiPriority w:val="0"/>
    <w:rPr>
      <w:rFonts w:ascii="仿宋_GB2312" w:hAnsi="Times New Roman" w:eastAsia="仿宋_GB2312"/>
      <w:b/>
      <w:bCs/>
      <w:kern w:val="2"/>
      <w:sz w:val="44"/>
      <w:szCs w:val="24"/>
    </w:rPr>
  </w:style>
  <w:style w:type="character" w:customStyle="1" w:styleId="100">
    <w:name w:val="日期 字符"/>
    <w:basedOn w:val="20"/>
    <w:link w:val="14"/>
    <w:uiPriority w:val="0"/>
    <w:rPr>
      <w:rFonts w:ascii="Times New Roman" w:hAnsi="Times New Roman" w:eastAsia="仿宋_GB2312"/>
      <w:kern w:val="2"/>
      <w:sz w:val="32"/>
    </w:rPr>
  </w:style>
  <w:style w:type="character" w:customStyle="1" w:styleId="101">
    <w:name w:val="批注框文本 字符"/>
    <w:basedOn w:val="20"/>
    <w:link w:val="15"/>
    <w:semiHidden/>
    <w:uiPriority w:val="0"/>
    <w:rPr>
      <w:rFonts w:ascii="Times New Roman" w:hAnsi="Times New Roman"/>
      <w:kern w:val="2"/>
      <w:sz w:val="18"/>
      <w:szCs w:val="18"/>
    </w:rPr>
  </w:style>
  <w:style w:type="character" w:customStyle="1" w:styleId="102">
    <w:name w:val="正文首行缩进 2 字符"/>
    <w:basedOn w:val="99"/>
    <w:link w:val="18"/>
    <w:uiPriority w:val="0"/>
    <w:rPr>
      <w:rFonts w:ascii="仿宋_GB2312" w:hAnsi="Times New Roman" w:eastAsia="仿宋_GB2312"/>
      <w:kern w:val="2"/>
      <w:sz w:val="44"/>
      <w:szCs w:val="24"/>
    </w:rPr>
  </w:style>
  <w:style w:type="paragraph" w:customStyle="1" w:styleId="103">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b/>
      <w:bC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611AE-2ACD-4518-9967-63BDC1E6B53B}">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98</Pages>
  <Words>12387</Words>
  <Characters>70607</Characters>
  <Lines>588</Lines>
  <Paragraphs>165</Paragraphs>
  <TotalTime>311</TotalTime>
  <ScaleCrop>false</ScaleCrop>
  <LinksUpToDate>false</LinksUpToDate>
  <CharactersWithSpaces>82829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2022-01-04T16:23:00Z</dcterms:created>
  <dc:creator>雨林木风</dc:creator>
  <cp:lastModifiedBy>Administrator</cp:lastModifiedBy>
  <cp:lastPrinted>2022-01-05T14:25:00Z</cp:lastPrinted>
  <dcterms:modified xsi:type="dcterms:W3CDTF">2023-02-10T07:39:06Z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